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line="74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供应商报价须知</w:t>
      </w:r>
    </w:p>
    <w:p>
      <w:pPr>
        <w:keepNext w:val="0"/>
        <w:keepLines w:val="0"/>
        <w:pageBreakBefore w:val="0"/>
        <w:widowControl w:val="0"/>
        <w:kinsoku/>
        <w:wordWrap/>
        <w:overflowPunct/>
        <w:topLinePunct w:val="0"/>
        <w:autoSpaceDE w:val="0"/>
        <w:autoSpaceDN w:val="0"/>
        <w:bidi w:val="0"/>
        <w:adjustRightInd/>
        <w:snapToGrid/>
        <w:spacing w:line="740" w:lineRule="exact"/>
        <w:ind w:firstLine="5120" w:firstLineChars="1600"/>
        <w:textAlignment w:val="auto"/>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——原辅材料品类</w:t>
      </w:r>
    </w:p>
    <w:p>
      <w:pPr>
        <w:keepNext w:val="0"/>
        <w:keepLines w:val="0"/>
        <w:pageBreakBefore w:val="0"/>
        <w:widowControl w:val="0"/>
        <w:kinsoku/>
        <w:wordWrap/>
        <w:overflowPunct/>
        <w:topLinePunct w:val="0"/>
        <w:autoSpaceDE w:val="0"/>
        <w:autoSpaceDN w:val="0"/>
        <w:bidi w:val="0"/>
        <w:adjustRightInd/>
        <w:snapToGrid/>
        <w:spacing w:line="74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default" w:ascii="Times New Roman" w:hAnsi="Times New Roman" w:eastAsia="仿宋_GB2312" w:cs="Times New Roman"/>
          <w:color w:val="auto"/>
          <w:sz w:val="32"/>
          <w:szCs w:val="32"/>
        </w:rPr>
        <w:t>V.202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供应商在收到询价后，请按照以下要求进行报价，否则会被视为不合格报价。</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报价前的澄清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lang w:eastAsia="zh-CN"/>
        </w:rPr>
        <w:t>所有澄清应在</w:t>
      </w:r>
      <w:r>
        <w:rPr>
          <w:rFonts w:hint="eastAsia" w:ascii="仿宋_GB2312" w:hAnsi="仿宋_GB2312" w:eastAsia="仿宋_GB2312" w:cs="仿宋_GB2312"/>
          <w:b/>
          <w:bCs/>
          <w:color w:val="auto"/>
          <w:sz w:val="32"/>
          <w:szCs w:val="32"/>
          <w:lang w:val="en-US" w:eastAsia="zh-CN"/>
        </w:rPr>
        <w:t>线上平台</w:t>
      </w:r>
      <w:r>
        <w:rPr>
          <w:rFonts w:hint="eastAsia" w:ascii="仿宋_GB2312" w:hAnsi="仿宋_GB2312" w:eastAsia="仿宋_GB2312" w:cs="仿宋_GB2312"/>
          <w:b/>
          <w:bCs/>
          <w:color w:val="auto"/>
          <w:sz w:val="32"/>
          <w:szCs w:val="32"/>
          <w:lang w:eastAsia="zh-CN"/>
        </w:rPr>
        <w:t>进行</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供应商所报产品与询价要求出现不一致时（如型号、参数、品牌、包装、范围等变更），须事先通过中国海油供应链数字化平台与询价方经办人进行澄清，并获得其认可。澄清完成后，方可</w:t>
      </w:r>
      <w:r>
        <w:rPr>
          <w:rFonts w:hint="eastAsia" w:ascii="仿宋_GB2312" w:hAnsi="仿宋_GB2312" w:eastAsia="仿宋_GB2312" w:cs="仿宋_GB2312"/>
          <w:color w:val="auto"/>
          <w:sz w:val="32"/>
          <w:szCs w:val="32"/>
          <w:lang w:val="en-US" w:eastAsia="zh-CN"/>
        </w:rPr>
        <w:t>正式</w:t>
      </w:r>
      <w:r>
        <w:rPr>
          <w:rFonts w:hint="eastAsia" w:ascii="仿宋_GB2312" w:hAnsi="仿宋_GB2312" w:eastAsia="仿宋_GB2312" w:cs="仿宋_GB2312"/>
          <w:color w:val="auto"/>
          <w:sz w:val="32"/>
          <w:szCs w:val="32"/>
        </w:rPr>
        <w:t>报价，并在“报价说明”栏中注明澄清</w:t>
      </w:r>
      <w:r>
        <w:rPr>
          <w:rFonts w:hint="eastAsia" w:ascii="仿宋_GB2312" w:hAnsi="仿宋_GB2312" w:eastAsia="仿宋_GB2312" w:cs="仿宋_GB2312"/>
          <w:color w:val="auto"/>
          <w:sz w:val="32"/>
          <w:szCs w:val="32"/>
          <w:lang w:val="en-US" w:eastAsia="zh-CN"/>
        </w:rPr>
        <w:t>后的内容</w:t>
      </w:r>
      <w:r>
        <w:rPr>
          <w:rFonts w:hint="eastAsia" w:ascii="仿宋_GB2312" w:hAnsi="仿宋_GB2312" w:eastAsia="仿宋_GB2312" w:cs="仿宋_GB2312"/>
          <w:color w:val="auto"/>
          <w:sz w:val="32"/>
          <w:szCs w:val="32"/>
        </w:rPr>
        <w:t>。所有澄清必须在报价前完成，否则可能被视为无效报价。</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关于最小供货量</w:t>
      </w:r>
      <w:r>
        <w:rPr>
          <w:rFonts w:hint="eastAsia" w:ascii="仿宋_GB2312" w:hAnsi="仿宋_GB2312" w:eastAsia="仿宋_GB2312" w:cs="仿宋_GB2312"/>
          <w:color w:val="auto"/>
          <w:sz w:val="32"/>
          <w:szCs w:val="32"/>
          <w:lang w:val="en-US" w:eastAsia="zh-CN"/>
        </w:rPr>
        <w:t>及报价</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供应商所报产品如涉及最小供货量或者需要按完整包装数量进行供货时，应在“报价说明”栏中注明最小供货量、供货容差、完整包装数量、单节长度、整张尺寸、整张重量等信息，以便询价方做出判断和选择。</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default"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供应商在系统报价时，应以不含税单价</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建议为整数</w:t>
      </w:r>
      <w:r>
        <w:rPr>
          <w:rFonts w:hint="eastAsia" w:ascii="仿宋_GB2312" w:hAnsi="仿宋_GB2312" w:eastAsia="仿宋_GB2312" w:cs="仿宋_GB2312"/>
          <w:color w:val="auto"/>
          <w:sz w:val="32"/>
          <w:szCs w:val="32"/>
          <w:highlight w:val="none"/>
        </w:rPr>
        <w:t>）为准，按照国家现行税率核算含税单价。同时为避免评标价格和折算后的中标价格因系统原因产生偏差，建议不含税单价保留到个位</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关于品牌/制造厂</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、指定唯一品牌：若询价仅列明一个品牌/制造厂，供应商须按此报价。如无法提供所要求的品牌，供应商应于截标前与询价方沟通澄清，获书面认可后方可在</w:t>
      </w:r>
      <w:r>
        <w:rPr>
          <w:rFonts w:hint="eastAsia" w:ascii="仿宋_GB2312" w:hAnsi="仿宋_GB2312" w:eastAsia="仿宋_GB2312" w:cs="仿宋_GB2312"/>
          <w:color w:val="auto"/>
          <w:sz w:val="32"/>
          <w:szCs w:val="32"/>
        </w:rPr>
        <w:t>供应链数字化平台</w:t>
      </w:r>
      <w:r>
        <w:rPr>
          <w:rFonts w:hint="eastAsia" w:ascii="仿宋_GB2312" w:hAnsi="仿宋_GB2312" w:eastAsia="仿宋_GB2312" w:cs="仿宋_GB2312"/>
          <w:color w:val="auto"/>
          <w:sz w:val="32"/>
          <w:szCs w:val="32"/>
          <w:lang w:val="en-US" w:eastAsia="zh-CN"/>
        </w:rPr>
        <w:t>报价，并须在平台“报价说明”栏中注明实际所报品牌/制造厂。原则上，询价方不接受供应商的品牌推荐。</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、多个推荐品牌：若询价推荐两个或以上品牌/制造厂，供应商可选择其一报价，并注明所选品牌。如无法提供所列品牌，可推荐品质相当的替代品牌，但须在截标前获得询价方书面认可，并在</w:t>
      </w:r>
      <w:r>
        <w:rPr>
          <w:rFonts w:hint="eastAsia" w:ascii="仿宋_GB2312" w:hAnsi="仿宋_GB2312" w:eastAsia="仿宋_GB2312" w:cs="仿宋_GB2312"/>
          <w:color w:val="auto"/>
          <w:sz w:val="32"/>
          <w:szCs w:val="32"/>
        </w:rPr>
        <w:t>“报价说明”</w:t>
      </w:r>
      <w:r>
        <w:rPr>
          <w:rFonts w:hint="eastAsia" w:ascii="仿宋_GB2312" w:hAnsi="仿宋_GB2312" w:eastAsia="仿宋_GB2312" w:cs="仿宋_GB2312"/>
          <w:color w:val="auto"/>
          <w:sz w:val="32"/>
          <w:szCs w:val="32"/>
          <w:lang w:val="en-US" w:eastAsia="zh-CN"/>
        </w:rPr>
        <w:t>中注明。若推荐品牌未被接受，其报价视为无效。</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color w:val="auto"/>
          <w:sz w:val="32"/>
          <w:szCs w:val="32"/>
          <w:lang w:val="en-US" w:eastAsia="zh-CN"/>
        </w:rPr>
        <w:t>、未指定品牌：若询价未指定品牌/制造厂，供应商必须在供应链数字化平台“报价说明”栏中明确填写所报价格对应的品牌/制造厂。</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4</w:t>
      </w:r>
      <w:r>
        <w:rPr>
          <w:rFonts w:hint="eastAsia" w:ascii="仿宋_GB2312" w:hAnsi="仿宋_GB2312" w:eastAsia="仿宋_GB2312" w:cs="仿宋_GB2312"/>
          <w:color w:val="auto"/>
          <w:sz w:val="32"/>
          <w:szCs w:val="32"/>
          <w:lang w:val="en-US" w:eastAsia="zh-CN"/>
        </w:rPr>
        <w:t>、所有报价必须提供具体的品牌或制造厂名称。仅报出产地等非具体信息的，将不被接受。</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关于货物包装及运输</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货物包装应满足运输和搬运的要求，危险化学品的包装应遵循国家</w:t>
      </w:r>
      <w:r>
        <w:rPr>
          <w:rFonts w:hint="eastAsia" w:ascii="仿宋_GB2312" w:hAnsi="仿宋_GB2312" w:eastAsia="仿宋_GB2312" w:cs="仿宋_GB2312"/>
          <w:color w:val="auto"/>
          <w:sz w:val="32"/>
          <w:szCs w:val="32"/>
          <w:lang w:val="en-US" w:eastAsia="zh-CN"/>
        </w:rPr>
        <w:t>、当地政府</w:t>
      </w:r>
      <w:r>
        <w:rPr>
          <w:rFonts w:hint="eastAsia" w:ascii="仿宋_GB2312" w:hAnsi="仿宋_GB2312" w:eastAsia="仿宋_GB2312" w:cs="仿宋_GB2312"/>
          <w:color w:val="auto"/>
          <w:sz w:val="32"/>
          <w:szCs w:val="32"/>
        </w:rPr>
        <w:t>的相关规定及要求</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危险化学品运输必须使用合格的危险品运输车辆，运输过程中出现任何意外均由供应商自己承担</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default"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对于易制毒易制爆等危险化学品，供应商应确保在</w:t>
      </w:r>
      <w:r>
        <w:rPr>
          <w:rFonts w:hint="eastAsia" w:ascii="仿宋_GB2312" w:hAnsi="仿宋_GB2312" w:eastAsia="仿宋_GB2312" w:cs="仿宋_GB2312"/>
          <w:color w:val="auto"/>
          <w:sz w:val="32"/>
          <w:szCs w:val="32"/>
          <w:lang w:val="en-US" w:eastAsia="zh-CN"/>
        </w:rPr>
        <w:t>公安机关规定</w:t>
      </w:r>
      <w:r>
        <w:rPr>
          <w:rFonts w:hint="eastAsia" w:ascii="仿宋_GB2312" w:hAnsi="仿宋_GB2312" w:eastAsia="仿宋_GB2312" w:cs="仿宋_GB2312"/>
          <w:color w:val="auto"/>
          <w:sz w:val="32"/>
          <w:szCs w:val="32"/>
        </w:rPr>
        <w:t>网站完成注册及备案，保证货物的正常运输</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需回收包装物的，应在报价说明中注明，未注明的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则</w:t>
      </w:r>
      <w:r>
        <w:rPr>
          <w:rFonts w:hint="eastAsia" w:ascii="仿宋_GB2312" w:hAnsi="仿宋_GB2312" w:eastAsia="仿宋_GB2312" w:cs="仿宋_GB2312"/>
          <w:color w:val="auto"/>
          <w:sz w:val="32"/>
          <w:szCs w:val="32"/>
        </w:rPr>
        <w:t>默认不做回收。</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关于报价交货期</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、单次采购的询价</w:t>
      </w:r>
      <w:r>
        <w:rPr>
          <w:rFonts w:hint="eastAsia" w:ascii="仿宋_GB2312" w:hAnsi="仿宋_GB2312" w:eastAsia="仿宋_GB2312" w:cs="仿宋_GB2312"/>
          <w:color w:val="auto"/>
          <w:sz w:val="32"/>
          <w:szCs w:val="32"/>
        </w:rPr>
        <w:t>，供应商测算交货期时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应包含询价方</w:t>
      </w:r>
      <w:r>
        <w:rPr>
          <w:rFonts w:hint="eastAsia" w:ascii="仿宋_GB2312" w:hAnsi="仿宋_GB2312" w:eastAsia="仿宋_GB2312" w:cs="仿宋_GB2312"/>
          <w:color w:val="auto"/>
          <w:sz w:val="32"/>
          <w:szCs w:val="32"/>
          <w:lang w:val="en-US" w:eastAsia="zh-CN"/>
        </w:rPr>
        <w:t>评标及合同签订的处理</w:t>
      </w:r>
      <w:r>
        <w:rPr>
          <w:rFonts w:hint="eastAsia" w:ascii="仿宋_GB2312" w:hAnsi="仿宋_GB2312" w:eastAsia="仿宋_GB2312" w:cs="仿宋_GB2312"/>
          <w:color w:val="auto"/>
          <w:sz w:val="32"/>
          <w:szCs w:val="32"/>
        </w:rPr>
        <w:t>时间（通常按</w:t>
      </w:r>
      <w:r>
        <w:rPr>
          <w:rFonts w:hint="default" w:ascii="Times New Roman" w:hAnsi="Times New Roman" w:eastAsia="仿宋_GB2312" w:cs="Times New Roman"/>
          <w:color w:val="auto"/>
          <w:sz w:val="32"/>
          <w:szCs w:val="32"/>
        </w:rPr>
        <w:t>15</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预留</w:t>
      </w:r>
      <w:r>
        <w:rPr>
          <w:rFonts w:hint="eastAsia" w:ascii="仿宋_GB2312" w:hAnsi="仿宋_GB2312" w:eastAsia="仿宋_GB2312" w:cs="仿宋_GB2312"/>
          <w:color w:val="auto"/>
          <w:sz w:val="32"/>
          <w:szCs w:val="32"/>
        </w:rPr>
        <w:t>）。如预计</w:t>
      </w:r>
      <w:r>
        <w:rPr>
          <w:rFonts w:hint="eastAsia" w:ascii="仿宋_GB2312" w:hAnsi="仿宋_GB2312" w:eastAsia="仿宋_GB2312" w:cs="仿宋_GB2312"/>
          <w:color w:val="auto"/>
          <w:sz w:val="32"/>
          <w:szCs w:val="32"/>
          <w:lang w:val="en-US" w:eastAsia="zh-CN"/>
        </w:rPr>
        <w:t>交货期</w:t>
      </w:r>
      <w:r>
        <w:rPr>
          <w:rFonts w:hint="eastAsia" w:ascii="仿宋_GB2312" w:hAnsi="仿宋_GB2312" w:eastAsia="仿宋_GB2312" w:cs="仿宋_GB2312"/>
          <w:color w:val="auto"/>
          <w:sz w:val="32"/>
          <w:szCs w:val="32"/>
        </w:rPr>
        <w:t>无法满足询价要求，须在报价前通过供应链数字化平台与询价方沟通澄清，获得认可后方可提交报价，以避免后续</w:t>
      </w:r>
      <w:r>
        <w:rPr>
          <w:rFonts w:hint="eastAsia" w:ascii="仿宋_GB2312" w:hAnsi="仿宋_GB2312" w:eastAsia="仿宋_GB2312" w:cs="仿宋_GB2312"/>
          <w:color w:val="auto"/>
          <w:sz w:val="32"/>
          <w:szCs w:val="32"/>
          <w:lang w:val="en-US" w:eastAsia="zh-CN"/>
        </w:rPr>
        <w:t>造成</w:t>
      </w:r>
      <w:r>
        <w:rPr>
          <w:rFonts w:hint="eastAsia" w:ascii="仿宋_GB2312" w:hAnsi="仿宋_GB2312" w:eastAsia="仿宋_GB2312" w:cs="仿宋_GB2312"/>
          <w:color w:val="auto"/>
          <w:sz w:val="32"/>
          <w:szCs w:val="32"/>
        </w:rPr>
        <w:t>合同违约</w:t>
      </w:r>
      <w:r>
        <w:rPr>
          <w:rFonts w:hint="eastAsia" w:ascii="仿宋_GB2312" w:hAnsi="仿宋_GB2312" w:eastAsia="仿宋_GB2312" w:cs="仿宋_GB2312"/>
          <w:color w:val="auto"/>
          <w:sz w:val="32"/>
          <w:szCs w:val="32"/>
          <w:lang w:val="en-US" w:eastAsia="zh-CN"/>
        </w:rPr>
        <w:t>及影响供应商考评</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、一般订单签订后能够正常交货需要的时间。(</w:t>
      </w:r>
      <w:r>
        <w:rPr>
          <w:rFonts w:hint="eastAsia" w:ascii="仿宋_GB2312" w:hAnsi="仿宋_GB2312" w:eastAsia="仿宋_GB2312" w:cs="仿宋_GB2312"/>
          <w:b/>
          <w:bCs/>
          <w:color w:val="auto"/>
          <w:sz w:val="32"/>
          <w:szCs w:val="32"/>
          <w:lang w:val="en-US" w:eastAsia="zh-CN"/>
        </w:rPr>
        <w:t>仅适用框架协议</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六</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lang w:val="en-US" w:eastAsia="zh-CN"/>
        </w:rPr>
        <w:t>供应商须从生产厂商或其授权代理商等正规渠道采购产品，</w:t>
      </w:r>
      <w:r>
        <w:rPr>
          <w:rFonts w:hint="eastAsia" w:ascii="仿宋_GB2312" w:hAnsi="仿宋_GB2312" w:eastAsia="仿宋_GB2312" w:cs="仿宋_GB2312"/>
          <w:color w:val="auto"/>
          <w:sz w:val="32"/>
          <w:szCs w:val="32"/>
        </w:rPr>
        <w:t>尽量减少中间环节，</w:t>
      </w:r>
      <w:r>
        <w:rPr>
          <w:rFonts w:hint="eastAsia" w:ascii="仿宋_GB2312" w:hAnsi="仿宋_GB2312" w:eastAsia="仿宋_GB2312" w:cs="仿宋_GB2312"/>
          <w:color w:val="auto"/>
          <w:sz w:val="32"/>
          <w:szCs w:val="32"/>
          <w:lang w:val="en-US" w:eastAsia="zh-CN"/>
        </w:rPr>
        <w:t>严禁提供假冒伪劣或以次充好产品。询价方有权要求供应商提供渠道来源证明，必要时供应商应配合验证并出具相关授权文件。</w:t>
      </w:r>
      <w:r>
        <w:rPr>
          <w:rFonts w:hint="eastAsia" w:ascii="仿宋_GB2312" w:hAnsi="仿宋_GB2312" w:eastAsia="仿宋_GB2312" w:cs="仿宋_GB2312"/>
          <w:color w:val="auto"/>
          <w:sz w:val="32"/>
          <w:szCs w:val="32"/>
          <w:highlight w:val="none"/>
          <w:lang w:val="en-US" w:eastAsia="zh-CN"/>
        </w:rPr>
        <w:t>贸易商代理商必须具有一定员工数量，履行社会责任，为员工缴纳社保且人数不为</w:t>
      </w:r>
      <w:r>
        <w:rPr>
          <w:rFonts w:hint="default" w:ascii="Times New Roman" w:hAnsi="Times New Roman" w:eastAsia="仿宋_GB2312" w:cs="Times New Roman"/>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val="en-US" w:eastAsia="zh-CN"/>
        </w:rPr>
        <w:t>，需提供社保单位出具的有效证明。</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七</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lang w:val="en-US" w:eastAsia="zh-CN"/>
        </w:rPr>
        <w:t>关于进口物资</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、进口物资报价时须注明原产地，并承诺配合提供报关单、通关状态、仓单信息等证明材料，以便到货验收。</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、供应商须随货提供原厂质量证明</w:t>
      </w:r>
      <w:r>
        <w:rPr>
          <w:rFonts w:hint="eastAsia" w:ascii="仿宋_GB2312" w:hAnsi="仿宋_GB2312" w:eastAsia="仿宋_GB2312" w:cs="仿宋_GB2312"/>
          <w:color w:val="auto"/>
          <w:sz w:val="32"/>
          <w:szCs w:val="32"/>
        </w:rPr>
        <w:t>（如：带有原厂信息的原产地证明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报关单</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如无法提供，应在报价中说明；</w:t>
      </w:r>
      <w:r>
        <w:rPr>
          <w:rFonts w:hint="eastAsia" w:ascii="仿宋_GB2312" w:hAnsi="仿宋_GB2312" w:eastAsia="仿宋_GB2312" w:cs="仿宋_GB2312"/>
          <w:color w:val="auto"/>
          <w:sz w:val="32"/>
          <w:szCs w:val="32"/>
        </w:rPr>
        <w:t>如提供</w:t>
      </w:r>
      <w:r>
        <w:rPr>
          <w:rFonts w:hint="eastAsia" w:ascii="仿宋_GB2312" w:hAnsi="仿宋_GB2312" w:eastAsia="仿宋_GB2312" w:cs="仿宋_GB2312"/>
          <w:color w:val="auto"/>
          <w:sz w:val="32"/>
          <w:szCs w:val="32"/>
          <w:lang w:val="en-US" w:eastAsia="zh-CN"/>
        </w:rPr>
        <w:t>以上</w:t>
      </w:r>
      <w:r>
        <w:rPr>
          <w:rFonts w:hint="eastAsia" w:ascii="仿宋_GB2312" w:hAnsi="仿宋_GB2312" w:eastAsia="仿宋_GB2312" w:cs="仿宋_GB2312"/>
          <w:color w:val="auto"/>
          <w:sz w:val="32"/>
          <w:szCs w:val="32"/>
        </w:rPr>
        <w:t>证明需要发生费用，</w:t>
      </w:r>
      <w:r>
        <w:rPr>
          <w:rFonts w:hint="eastAsia" w:ascii="仿宋_GB2312" w:hAnsi="仿宋_GB2312" w:eastAsia="仿宋_GB2312" w:cs="仿宋_GB2312"/>
          <w:color w:val="auto"/>
          <w:sz w:val="32"/>
          <w:szCs w:val="32"/>
          <w:lang w:val="en-US" w:eastAsia="zh-CN"/>
        </w:rPr>
        <w:t>该费用已包含在报价中，不另支付。</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color w:val="auto"/>
          <w:sz w:val="32"/>
          <w:szCs w:val="32"/>
          <w:lang w:val="en-US" w:eastAsia="zh-CN"/>
        </w:rPr>
        <w:t>、供应商应建立进口物资电子单证台账，并接受询价方抽查核验。</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供应商在</w:t>
      </w:r>
      <w:r>
        <w:rPr>
          <w:rFonts w:hint="eastAsia" w:ascii="仿宋_GB2312" w:hAnsi="仿宋_GB2312" w:eastAsia="仿宋_GB2312" w:cs="仿宋_GB2312"/>
          <w:color w:val="auto"/>
          <w:sz w:val="32"/>
          <w:szCs w:val="32"/>
          <w:lang w:val="en-US" w:eastAsia="zh-CN"/>
        </w:rPr>
        <w:t>中国海油供应链数字化平台</w:t>
      </w:r>
      <w:r>
        <w:rPr>
          <w:rFonts w:hint="eastAsia" w:ascii="仿宋_GB2312" w:hAnsi="仿宋_GB2312" w:eastAsia="仿宋_GB2312" w:cs="仿宋_GB2312"/>
          <w:color w:val="auto"/>
          <w:sz w:val="32"/>
          <w:szCs w:val="32"/>
        </w:rPr>
        <w:t>报价完毕后，请</w:t>
      </w:r>
      <w:r>
        <w:rPr>
          <w:rFonts w:hint="eastAsia" w:ascii="仿宋_GB2312" w:hAnsi="仿宋_GB2312" w:eastAsia="仿宋_GB2312" w:cs="仿宋_GB2312"/>
          <w:color w:val="auto"/>
          <w:sz w:val="32"/>
          <w:szCs w:val="32"/>
          <w:lang w:val="en-US" w:eastAsia="zh-CN"/>
        </w:rPr>
        <w:t>务必</w:t>
      </w:r>
      <w:r>
        <w:rPr>
          <w:rFonts w:hint="eastAsia" w:ascii="仿宋_GB2312" w:hAnsi="仿宋_GB2312" w:eastAsia="仿宋_GB2312" w:cs="仿宋_GB2312"/>
          <w:color w:val="auto"/>
          <w:sz w:val="32"/>
          <w:szCs w:val="32"/>
        </w:rPr>
        <w:t>做以下检查核实报价信息是否真实上传：</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查看报价是否能成功看见，并下载核实是否与上传的报价明细一致</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下载所上传的附件（如果有）并检查内容是否正确。</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如果出现问题不能解决，请联系</w:t>
      </w:r>
      <w:r>
        <w:rPr>
          <w:rFonts w:hint="default" w:ascii="Times New Roman" w:hAnsi="Times New Roman" w:eastAsia="仿宋_GB2312" w:cs="Times New Roman"/>
          <w:color w:val="auto"/>
          <w:sz w:val="32"/>
          <w:szCs w:val="32"/>
        </w:rPr>
        <w:t>400-928-2020</w:t>
      </w:r>
      <w:r>
        <w:rPr>
          <w:rFonts w:hint="eastAsia" w:ascii="仿宋_GB2312" w:hAnsi="仿宋_GB2312" w:eastAsia="仿宋_GB2312" w:cs="仿宋_GB2312"/>
          <w:color w:val="auto"/>
          <w:sz w:val="32"/>
          <w:szCs w:val="32"/>
        </w:rPr>
        <w:t>解决。</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九、</w:t>
      </w:r>
      <w:r>
        <w:rPr>
          <w:rFonts w:hint="eastAsia" w:ascii="仿宋_GB2312" w:hAnsi="仿宋_GB2312" w:eastAsia="仿宋_GB2312" w:cs="仿宋_GB2312"/>
          <w:color w:val="auto"/>
          <w:sz w:val="32"/>
          <w:szCs w:val="32"/>
        </w:rPr>
        <w:t>评审成交</w:t>
      </w:r>
      <w:r>
        <w:rPr>
          <w:rFonts w:hint="eastAsia" w:ascii="仿宋_GB2312" w:hAnsi="仿宋_GB2312" w:eastAsia="仿宋_GB2312" w:cs="仿宋_GB2312"/>
          <w:color w:val="auto"/>
          <w:sz w:val="32"/>
          <w:szCs w:val="32"/>
          <w:lang w:val="en-US" w:eastAsia="zh-CN"/>
        </w:rPr>
        <w:t xml:space="preserve">原则 </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1、询价采购的首次报价即为最终报价，报价截止后不得修改。原则上实行符合需求最低价中标，但如遇价差过大或超预算，询价方可酌情拆分授标。在询价文件中明确授标原则。</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rPr>
      </w:pPr>
      <w:r>
        <w:rPr>
          <w:rFonts w:hint="default"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highlight w:val="none"/>
          <w:lang w:val="en-US" w:eastAsia="zh-CN"/>
        </w:rPr>
        <w:t>对于报价中存在缺漏项的，除询价文件中另有明确规定，应在比价时计入其它合格报价各方的该项最高价，拉平比价。比价结果最低的供应商，可对其缺漏项进行澄清，澄清后的单项价格不应超过其它合格报价方的最高价；也可仅对除缺漏项以外的范围进行授标，对缺漏项可从合格报价各方中整体低价授标或选择另行采购。</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color w:val="auto"/>
          <w:sz w:val="32"/>
          <w:szCs w:val="32"/>
          <w:lang w:val="en-US" w:eastAsia="zh-CN"/>
        </w:rPr>
        <w:t>、对询价文件中标注“★”的主要指标，清晰偏离将直接废标</w:t>
      </w:r>
      <w:r>
        <w:rPr>
          <w:rFonts w:hint="eastAsia" w:ascii="仿宋_GB2312" w:hAnsi="仿宋_GB2312" w:eastAsia="仿宋_GB2312" w:cs="仿宋_GB2312"/>
          <w:color w:val="auto"/>
          <w:sz w:val="32"/>
          <w:szCs w:val="32"/>
        </w:rPr>
        <w:t>，不予澄清和</w:t>
      </w:r>
      <w:r>
        <w:rPr>
          <w:rFonts w:hint="eastAsia" w:ascii="仿宋_GB2312" w:hAnsi="仿宋_GB2312" w:eastAsia="仿宋_GB2312" w:cs="仿宋_GB2312"/>
          <w:color w:val="auto"/>
          <w:sz w:val="32"/>
          <w:szCs w:val="32"/>
          <w:lang w:val="en-US" w:eastAsia="zh-CN"/>
        </w:rPr>
        <w:t>评议；不明确的可在澄清后</w:t>
      </w:r>
      <w:r>
        <w:rPr>
          <w:rFonts w:hint="eastAsia" w:ascii="仿宋_GB2312" w:hAnsi="仿宋_GB2312" w:eastAsia="仿宋_GB2312" w:cs="仿宋_GB2312"/>
          <w:color w:val="auto"/>
          <w:sz w:val="32"/>
          <w:szCs w:val="32"/>
        </w:rPr>
        <w:t>予以</w:t>
      </w:r>
      <w:r>
        <w:rPr>
          <w:rFonts w:hint="eastAsia" w:ascii="仿宋_GB2312" w:hAnsi="仿宋_GB2312" w:eastAsia="仿宋_GB2312" w:cs="仿宋_GB2312"/>
          <w:color w:val="auto"/>
          <w:sz w:val="32"/>
          <w:szCs w:val="32"/>
          <w:lang w:val="en-US" w:eastAsia="zh-CN"/>
        </w:rPr>
        <w:t>评议。主要指标偏离导致废标后，一般指标不再评议。</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lang w:val="en-US" w:eastAsia="zh-CN"/>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highlight w:val="none"/>
          <w:lang w:val="en-US" w:eastAsia="zh-CN"/>
        </w:rPr>
        <w:t>报价缺漏项数量或金额（评审价格）超过</w:t>
      </w:r>
      <w:r>
        <w:rPr>
          <w:rFonts w:hint="default" w:ascii="Times New Roman" w:hAnsi="Times New Roman" w:eastAsia="仿宋_GB2312" w:cs="Times New Roman"/>
          <w:color w:val="auto"/>
          <w:sz w:val="32"/>
          <w:szCs w:val="32"/>
          <w:highlight w:val="none"/>
          <w:lang w:val="en-US" w:eastAsia="zh-CN"/>
        </w:rPr>
        <w:t>20</w:t>
      </w:r>
      <w:r>
        <w:rPr>
          <w:rFonts w:hint="eastAsia" w:ascii="仿宋_GB2312" w:hAnsi="仿宋_GB2312" w:eastAsia="仿宋_GB2312" w:cs="仿宋_GB2312"/>
          <w:color w:val="auto"/>
          <w:sz w:val="32"/>
          <w:szCs w:val="32"/>
          <w:highlight w:val="none"/>
          <w:lang w:val="en-US" w:eastAsia="zh-CN"/>
        </w:rPr>
        <w:t>%的，可视为非实质性响应，评议不合格。</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十、</w:t>
      </w:r>
      <w:r>
        <w:rPr>
          <w:rFonts w:hint="eastAsia" w:ascii="仿宋_GB2312" w:hAnsi="仿宋_GB2312" w:eastAsia="仿宋_GB2312" w:cs="仿宋_GB2312"/>
          <w:color w:val="auto"/>
          <w:sz w:val="32"/>
          <w:szCs w:val="32"/>
        </w:rPr>
        <w:t>供应商参与本次报价，即视为接受前述全部条件，并承诺对其报价行为承担完全责任。严禁出现中标后拒不签订合同、签订合同后拒不履行等违约行为。</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十</w:t>
      </w: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已在中国海油供应链数字化平台发起禁用处理的供应商，其报价视为无效。在处理期间已获取中标资格但未发出中标通知书的暂缓授标，处理结果确认禁用的取消其中标资格。</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十</w:t>
      </w: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供应商存在下列违法违规情形，处理供应商及其关联公司：</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rPr>
        <w:t>a</w:t>
      </w:r>
      <w:r>
        <w:rPr>
          <w:rFonts w:hint="eastAsia" w:ascii="仿宋_GB2312" w:hAnsi="仿宋_GB2312" w:eastAsia="仿宋_GB2312" w:cs="仿宋_GB2312"/>
          <w:color w:val="auto"/>
          <w:sz w:val="32"/>
          <w:szCs w:val="32"/>
        </w:rPr>
        <w:t>)存在串通投标或提供虚假材料（资质文件、业绩、财务状况、书面承诺等）参与采购活动的；</w:t>
      </w:r>
      <w:r>
        <w:rPr>
          <w:rFonts w:hint="default" w:ascii="Times New Roman" w:hAnsi="Times New Roman" w:eastAsia="仿宋_GB2312" w:cs="Times New Roman"/>
          <w:color w:val="auto"/>
          <w:sz w:val="32"/>
          <w:szCs w:val="32"/>
        </w:rPr>
        <w:t>b</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纪检监察机构通报，与中国海油员工存在违法违规利益输送的。</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本条款 </w:t>
      </w:r>
      <w:r>
        <w:rPr>
          <w:rFonts w:hint="default" w:ascii="Times New Roman" w:hAnsi="Times New Roman" w:eastAsia="仿宋_GB2312" w:cs="Times New Roman"/>
          <w:color w:val="auto"/>
          <w:sz w:val="32"/>
          <w:szCs w:val="32"/>
        </w:rPr>
        <w:t>a</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项的关联公司包括违法违规供应商的分支机构、投资持股比例大于等于</w:t>
      </w:r>
      <w:r>
        <w:rPr>
          <w:rFonts w:hint="default" w:ascii="Times New Roman" w:hAnsi="Times New Roman" w:eastAsia="仿宋_GB2312" w:cs="Times New Roman"/>
          <w:color w:val="auto"/>
          <w:sz w:val="32"/>
          <w:szCs w:val="32"/>
        </w:rPr>
        <w:t>50</w:t>
      </w:r>
      <w:r>
        <w:rPr>
          <w:rFonts w:hint="eastAsia" w:ascii="仿宋_GB2312" w:hAnsi="仿宋_GB2312" w:eastAsia="仿宋_GB2312" w:cs="仿宋_GB2312"/>
          <w:color w:val="auto"/>
          <w:sz w:val="32"/>
          <w:szCs w:val="32"/>
        </w:rPr>
        <w:t>%的控股公司，在工商登记的法定代表人、实际控制人（自然人）担任董监高的公司以及投资持股比例大于等于</w:t>
      </w:r>
      <w:r>
        <w:rPr>
          <w:rFonts w:hint="default" w:ascii="Times New Roman" w:hAnsi="Times New Roman" w:eastAsia="仿宋_GB2312" w:cs="Times New Roman"/>
          <w:color w:val="auto"/>
          <w:sz w:val="32"/>
          <w:szCs w:val="32"/>
        </w:rPr>
        <w:t>50</w:t>
      </w:r>
      <w:r>
        <w:rPr>
          <w:rFonts w:hint="eastAsia" w:ascii="仿宋_GB2312" w:hAnsi="仿宋_GB2312" w:eastAsia="仿宋_GB2312" w:cs="仿宋_GB2312"/>
          <w:color w:val="auto"/>
          <w:sz w:val="32"/>
          <w:szCs w:val="32"/>
        </w:rPr>
        <w:t>%的控股公司。</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本条款 </w:t>
      </w:r>
      <w:r>
        <w:rPr>
          <w:rFonts w:hint="default" w:ascii="Times New Roman" w:hAnsi="Times New Roman" w:eastAsia="仿宋_GB2312" w:cs="Times New Roman"/>
          <w:color w:val="auto"/>
          <w:sz w:val="32"/>
          <w:szCs w:val="32"/>
        </w:rPr>
        <w:t>b</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项的关联公司包括违法违规供应商的分支机构、投资持股的公司，在工商登记的法定代表人、实际控制人（自然人）、董监高投资或担任董监高的公司。</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十三、</w:t>
      </w:r>
      <w:r>
        <w:rPr>
          <w:rFonts w:hint="eastAsia" w:ascii="仿宋_GB2312" w:hAnsi="仿宋_GB2312" w:eastAsia="仿宋_GB2312" w:cs="仿宋_GB2312"/>
          <w:color w:val="auto"/>
          <w:sz w:val="32"/>
          <w:szCs w:val="32"/>
          <w:highlight w:val="none"/>
        </w:rPr>
        <w:t>所签长期协议为清单单价模式，采购量为预测数量，不保证会按照此数量采购，实际采购数量以订单为准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仅适用框架协议</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rPr>
        <w:t>十</w:t>
      </w: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lang w:val="en-US" w:eastAsia="zh-CN"/>
        </w:rPr>
        <w:t>正确使用澄清和异议</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、供应商对询价活动相关文件中存在的表述模糊、条款歧义、内容遗漏或前后矛盾等内容有疑问的，应在系统上明确的“澄清截止时间”前，通过中国海油供应链数字化平台在线发起澄清。</w:t>
      </w:r>
      <w:r>
        <w:rPr>
          <w:rFonts w:hint="eastAsia" w:ascii="仿宋_GB2312" w:hAnsi="仿宋_GB2312" w:eastAsia="仿宋_GB2312" w:cs="仿宋_GB2312"/>
          <w:color w:val="auto"/>
          <w:sz w:val="32"/>
          <w:szCs w:val="32"/>
        </w:rPr>
        <w:t>澄清发起与回复均须通过平台线上</w:t>
      </w:r>
      <w:r>
        <w:rPr>
          <w:rFonts w:hint="eastAsia" w:ascii="仿宋_GB2312" w:hAnsi="仿宋_GB2312" w:eastAsia="仿宋_GB2312" w:cs="仿宋_GB2312"/>
          <w:color w:val="auto"/>
          <w:sz w:val="32"/>
          <w:szCs w:val="32"/>
          <w:lang w:val="en-US" w:eastAsia="zh-CN"/>
        </w:rPr>
        <w:t>进行</w:t>
      </w:r>
      <w:r>
        <w:rPr>
          <w:rFonts w:hint="eastAsia" w:ascii="仿宋_GB2312" w:hAnsi="仿宋_GB2312" w:eastAsia="仿宋_GB2312" w:cs="仿宋_GB2312"/>
          <w:color w:val="auto"/>
          <w:sz w:val="32"/>
          <w:szCs w:val="32"/>
        </w:rPr>
        <w:t>，其他形式的</w:t>
      </w:r>
      <w:r>
        <w:rPr>
          <w:rFonts w:hint="eastAsia" w:ascii="仿宋_GB2312" w:hAnsi="仿宋_GB2312" w:eastAsia="仿宋_GB2312" w:cs="仿宋_GB2312"/>
          <w:color w:val="auto"/>
          <w:sz w:val="32"/>
          <w:szCs w:val="32"/>
          <w:lang w:val="en-US" w:eastAsia="zh-CN"/>
        </w:rPr>
        <w:t>澄清</w:t>
      </w:r>
      <w:r>
        <w:rPr>
          <w:rFonts w:hint="eastAsia" w:ascii="仿宋_GB2312" w:hAnsi="仿宋_GB2312" w:eastAsia="仿宋_GB2312" w:cs="仿宋_GB2312"/>
          <w:color w:val="auto"/>
          <w:sz w:val="32"/>
          <w:szCs w:val="32"/>
        </w:rPr>
        <w:t>原则上不予受理</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color w:val="auto"/>
          <w:sz w:val="32"/>
          <w:szCs w:val="32"/>
          <w:lang w:val="en-US" w:eastAsia="zh-CN"/>
        </w:rPr>
        <w:t>、供应商或其他利害关系人认为询价采购活动存在违反法律法规或招标文件规定、程序不公或其他损害自身合法权益情形的，应在法定时限内，通过中国海油供应链数字化平台以加盖公章的书面形式提出异议，并附相关证明材料。</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color w:val="auto"/>
          <w:sz w:val="32"/>
          <w:szCs w:val="32"/>
          <w:lang w:val="en-US" w:eastAsia="zh-CN"/>
        </w:rPr>
        <w:t>、供应商应优先使用澄清机制，提前消除疑问、规避风险。如遇权益确实受损，请务必在法定期限内及时、规范地行使异议权。</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十</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lang w:val="en-US" w:eastAsia="zh-CN"/>
        </w:rPr>
        <w:t>如</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供应商处理、</w:t>
      </w:r>
      <w:r>
        <w:rPr>
          <w:rFonts w:hint="eastAsia" w:ascii="仿宋_GB2312" w:hAnsi="仿宋_GB2312" w:eastAsia="仿宋_GB2312" w:cs="仿宋_GB2312"/>
          <w:color w:val="auto"/>
          <w:sz w:val="32"/>
          <w:szCs w:val="32"/>
        </w:rPr>
        <w:t>合同执行</w:t>
      </w:r>
      <w:r>
        <w:rPr>
          <w:rFonts w:hint="eastAsia" w:ascii="仿宋_GB2312" w:hAnsi="仿宋_GB2312" w:eastAsia="仿宋_GB2312" w:cs="仿宋_GB2312"/>
          <w:color w:val="auto"/>
          <w:sz w:val="32"/>
          <w:szCs w:val="32"/>
          <w:lang w:val="en-US" w:eastAsia="zh-CN"/>
        </w:rPr>
        <w:t>等相关环节</w:t>
      </w:r>
      <w:r>
        <w:rPr>
          <w:rFonts w:hint="eastAsia" w:ascii="仿宋_GB2312" w:hAnsi="仿宋_GB2312" w:eastAsia="仿宋_GB2312" w:cs="仿宋_GB2312"/>
          <w:color w:val="auto"/>
          <w:sz w:val="32"/>
          <w:szCs w:val="32"/>
        </w:rPr>
        <w:t>受到不公平待遇</w:t>
      </w:r>
      <w:r>
        <w:rPr>
          <w:rFonts w:hint="eastAsia" w:ascii="仿宋_GB2312" w:hAnsi="仿宋_GB2312" w:eastAsia="仿宋_GB2312" w:cs="仿宋_GB2312"/>
          <w:color w:val="auto"/>
          <w:sz w:val="32"/>
          <w:szCs w:val="32"/>
          <w:lang w:val="en-US" w:eastAsia="zh-CN"/>
        </w:rPr>
        <w:t>，无法通过线上提出异议的</w:t>
      </w:r>
      <w:r>
        <w:rPr>
          <w:rFonts w:hint="eastAsia" w:ascii="仿宋_GB2312" w:hAnsi="仿宋_GB2312" w:eastAsia="仿宋_GB2312" w:cs="仿宋_GB2312"/>
          <w:color w:val="auto"/>
          <w:sz w:val="32"/>
          <w:szCs w:val="32"/>
        </w:rPr>
        <w:t>，可通过下述渠道反映，并提供相关证据。</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对相关事宜有异议的，可于</w:t>
      </w:r>
      <w:r>
        <w:rPr>
          <w:rFonts w:hint="eastAsia" w:ascii="仿宋_GB2312" w:hAnsi="仿宋_GB2312" w:eastAsia="仿宋_GB2312" w:cs="仿宋_GB2312"/>
          <w:color w:val="auto"/>
          <w:sz w:val="32"/>
          <w:szCs w:val="32"/>
          <w:lang w:val="en-US" w:eastAsia="zh-CN"/>
        </w:rPr>
        <w:t>异议事项</w:t>
      </w:r>
      <w:r>
        <w:rPr>
          <w:rFonts w:hint="eastAsia" w:ascii="仿宋_GB2312" w:hAnsi="仿宋_GB2312" w:eastAsia="仿宋_GB2312" w:cs="仿宋_GB2312"/>
          <w:color w:val="auto"/>
          <w:sz w:val="32"/>
          <w:szCs w:val="32"/>
        </w:rPr>
        <w:t>发生后</w:t>
      </w:r>
      <w:r>
        <w:rPr>
          <w:rFonts w:hint="default" w:ascii="Times New Roman" w:hAnsi="Times New Roman" w:eastAsia="仿宋_GB2312" w:cs="Times New Roman"/>
          <w:color w:val="auto"/>
          <w:sz w:val="32"/>
          <w:szCs w:val="32"/>
        </w:rPr>
        <w:t>3</w:t>
      </w:r>
      <w:r>
        <w:rPr>
          <w:rFonts w:hint="eastAsia" w:ascii="仿宋_GB2312" w:hAnsi="仿宋_GB2312" w:eastAsia="仿宋_GB2312" w:cs="仿宋_GB2312"/>
          <w:color w:val="auto"/>
          <w:sz w:val="32"/>
          <w:szCs w:val="32"/>
        </w:rPr>
        <w:t>日内向中海化学采办共享中心综合管理部反映。异议截止日期如遇法定节假日，则顺延至其后第一个工作日。</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联系人：</w:t>
      </w:r>
      <w:r>
        <w:rPr>
          <w:rFonts w:hint="eastAsia" w:ascii="仿宋_GB2312" w:hAnsi="仿宋_GB2312" w:eastAsia="仿宋_GB2312" w:cs="仿宋_GB2312"/>
          <w:color w:val="auto"/>
          <w:sz w:val="32"/>
          <w:szCs w:val="32"/>
          <w:lang w:val="en-US" w:eastAsia="zh-CN"/>
        </w:rPr>
        <w:t>黄彩清、焦桂林</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仿宋_GB2312" w:hAnsi="仿宋_GB2312" w:eastAsia="仿宋_GB2312" w:cs="仿宋_GB2312"/>
          <w:color w:val="auto"/>
          <w:sz w:val="32"/>
          <w:szCs w:val="32"/>
        </w:rPr>
        <w:t>电话：</w:t>
      </w:r>
      <w:r>
        <w:rPr>
          <w:rFonts w:hint="default" w:ascii="Times New Roman" w:hAnsi="Times New Roman" w:eastAsia="仿宋_GB2312" w:cs="Times New Roman"/>
          <w:color w:val="auto"/>
          <w:sz w:val="32"/>
          <w:szCs w:val="32"/>
        </w:rPr>
        <w:t>0898-2569</w:t>
      </w:r>
      <w:r>
        <w:rPr>
          <w:rFonts w:hint="default" w:ascii="Times New Roman" w:hAnsi="Times New Roman" w:eastAsia="仿宋_GB2312" w:cs="Times New Roman"/>
          <w:color w:val="auto"/>
          <w:sz w:val="32"/>
          <w:szCs w:val="32"/>
          <w:lang w:val="en-US" w:eastAsia="zh-CN"/>
        </w:rPr>
        <w:t>2215、0898-25500212</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邮箱：</w:t>
      </w:r>
      <w:r>
        <w:rPr>
          <w:rFonts w:hint="default" w:ascii="Times New Roman" w:hAnsi="Times New Roman" w:eastAsia="仿宋_GB2312" w:cs="Times New Roman"/>
          <w:color w:val="auto"/>
          <w:sz w:val="32"/>
          <w:szCs w:val="32"/>
          <w:lang w:val="en-US" w:eastAsia="zh-CN"/>
        </w:rPr>
        <w:fldChar w:fldCharType="begin"/>
      </w:r>
      <w:r>
        <w:rPr>
          <w:rFonts w:hint="default" w:ascii="Times New Roman" w:hAnsi="Times New Roman" w:eastAsia="仿宋_GB2312" w:cs="Times New Roman"/>
          <w:color w:val="auto"/>
          <w:sz w:val="32"/>
          <w:szCs w:val="32"/>
          <w:lang w:val="en-US" w:eastAsia="zh-CN"/>
        </w:rPr>
        <w:instrText xml:space="preserve"> HYPERLINK "mailto:huangcq2@cnooc.com.cn、jiaogl3@cnooc.com.cn" </w:instrText>
      </w:r>
      <w:r>
        <w:rPr>
          <w:rFonts w:hint="default" w:ascii="Times New Roman" w:hAnsi="Times New Roman" w:eastAsia="仿宋_GB2312" w:cs="Times New Roman"/>
          <w:color w:val="auto"/>
          <w:sz w:val="32"/>
          <w:szCs w:val="32"/>
          <w:lang w:val="en-US" w:eastAsia="zh-CN"/>
        </w:rPr>
        <w:fldChar w:fldCharType="separate"/>
      </w:r>
      <w:r>
        <w:rPr>
          <w:rFonts w:hint="default" w:ascii="Times New Roman" w:hAnsi="Times New Roman" w:eastAsia="仿宋_GB2312" w:cs="Times New Roman"/>
          <w:color w:val="auto"/>
          <w:sz w:val="32"/>
          <w:szCs w:val="32"/>
          <w:lang w:val="en-US" w:eastAsia="zh-CN"/>
        </w:rPr>
        <w:t>huangcq2@cnooc.com.cn、jiaogl3@cnooc.com.cn</w:t>
      </w:r>
      <w:r>
        <w:rPr>
          <w:rFonts w:hint="default" w:ascii="Times New Roman" w:hAnsi="Times New Roman" w:eastAsia="仿宋_GB2312" w:cs="Times New Roman"/>
          <w:color w:val="auto"/>
          <w:sz w:val="32"/>
          <w:szCs w:val="32"/>
          <w:lang w:val="en-US" w:eastAsia="zh-CN"/>
        </w:rPr>
        <w:fldChar w:fldCharType="end"/>
      </w:r>
      <w:bookmarkStart w:id="0" w:name="_GoBack"/>
      <w:bookmarkEnd w:id="0"/>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十六</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供应商处理方式和标准</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凡不遵守本须知的供应商，将被记录并列入供应商考核评分中，方式主要包括：警告、禁用一年、禁用两年、无固定期禁用和长期禁用。</w:t>
      </w:r>
      <w:r>
        <w:rPr>
          <w:rFonts w:hint="eastAsia" w:ascii="仿宋_GB2312" w:hAnsi="仿宋_GB2312" w:eastAsia="仿宋_GB2312" w:cs="仿宋_GB2312"/>
          <w:color w:val="auto"/>
          <w:sz w:val="32"/>
          <w:szCs w:val="32"/>
          <w:lang w:val="en-US" w:eastAsia="zh-CN"/>
        </w:rPr>
        <w:t>具体处理标准</w:t>
      </w:r>
      <w:r>
        <w:rPr>
          <w:rFonts w:hint="eastAsia" w:ascii="仿宋_GB2312" w:hAnsi="仿宋_GB2312" w:eastAsia="仿宋_GB2312" w:cs="仿宋_GB2312"/>
          <w:color w:val="auto"/>
          <w:sz w:val="32"/>
          <w:szCs w:val="32"/>
        </w:rPr>
        <w:t>见附件。</w:t>
      </w:r>
    </w:p>
    <w:p>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eastAsia="仿宋_GB2312"/>
          <w:color w:val="auto"/>
          <w:spacing w:val="-2"/>
          <w:sz w:val="32"/>
          <w:szCs w:val="32"/>
          <w:highlight w:val="none"/>
          <w:lang w:val="en-US" w:eastAsia="zh-CN"/>
        </w:rPr>
      </w:pPr>
      <w:r>
        <w:rPr>
          <w:rFonts w:hint="eastAsia" w:ascii="仿宋_GB2312" w:hAnsi="仿宋_GB2312" w:eastAsia="仿宋_GB2312" w:cs="仿宋_GB2312"/>
          <w:color w:val="auto"/>
          <w:sz w:val="32"/>
          <w:szCs w:val="32"/>
          <w:lang w:val="en-US" w:eastAsia="zh-CN"/>
        </w:rPr>
        <w:t>附件：</w:t>
      </w:r>
      <w:r>
        <w:rPr>
          <w:rFonts w:hint="eastAsia" w:ascii="仿宋_GB2312" w:hAnsi="仿宋_GB2312" w:eastAsia="仿宋_GB2312" w:cs="仿宋_GB2312"/>
          <w:color w:val="auto"/>
          <w:sz w:val="32"/>
          <w:szCs w:val="32"/>
          <w:highlight w:val="none"/>
          <w:lang w:val="en-US" w:eastAsia="zh-CN"/>
        </w:rPr>
        <w:t>供应商处理情形和处理标准</w:t>
      </w: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firstLine="4800" w:firstLineChars="15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中海化学采办共享中心</w:t>
      </w:r>
    </w:p>
    <w:p>
      <w:pPr>
        <w:keepNext w:val="0"/>
        <w:keepLines w:val="0"/>
        <w:pageBreakBefore w:val="0"/>
        <w:widowControl w:val="0"/>
        <w:kinsoku/>
        <w:wordWrap/>
        <w:overflowPunct/>
        <w:topLinePunct w:val="0"/>
        <w:autoSpaceDE w:val="0"/>
        <w:autoSpaceDN w:val="0"/>
        <w:bidi w:val="0"/>
        <w:adjustRightInd/>
        <w:snapToGrid/>
        <w:spacing w:line="560" w:lineRule="exact"/>
        <w:ind w:firstLine="5760" w:firstLineChars="18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2026</w:t>
      </w:r>
      <w:r>
        <w:rPr>
          <w:rFonts w:hint="eastAsia" w:ascii="仿宋_GB2312" w:hAnsi="仿宋_GB2312" w:eastAsia="仿宋_GB2312" w:cs="仿宋_GB2312"/>
          <w:color w:val="auto"/>
          <w:sz w:val="32"/>
          <w:szCs w:val="32"/>
          <w:lang w:val="en-US" w:eastAsia="zh-CN"/>
        </w:rPr>
        <w:t>年</w:t>
      </w:r>
      <w:r>
        <w:rPr>
          <w:rFonts w:hint="eastAsia"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color w:val="auto"/>
          <w:sz w:val="32"/>
          <w:szCs w:val="32"/>
          <w:lang w:val="en-US" w:eastAsia="zh-CN"/>
        </w:rPr>
        <w:t>月</w:t>
      </w:r>
    </w:p>
    <w:p>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color w:val="auto"/>
          <w:sz w:val="32"/>
          <w:szCs w:val="32"/>
        </w:rPr>
        <w:sectPr>
          <w:headerReference r:id="rId5" w:type="default"/>
          <w:footerReference r:id="rId6" w:type="default"/>
          <w:pgSz w:w="11910" w:h="16840"/>
          <w:pgMar w:top="1440" w:right="1800" w:bottom="1440" w:left="1800" w:header="720" w:footer="720" w:gutter="0"/>
          <w:pgNumType w:fmt="decimal"/>
          <w:cols w:space="720" w:num="1"/>
        </w:sectPr>
      </w:pPr>
    </w:p>
    <w:p>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黑体" w:hAnsi="黑体" w:eastAsia="黑体" w:cs="黑体"/>
          <w:b w:val="0"/>
          <w:bCs w:val="0"/>
          <w:i w:val="0"/>
          <w:iCs w:val="0"/>
          <w:color w:val="auto"/>
          <w:sz w:val="32"/>
          <w:szCs w:val="32"/>
        </w:rPr>
      </w:pPr>
      <w:r>
        <w:rPr>
          <w:rFonts w:hint="eastAsia" w:ascii="黑体" w:hAnsi="黑体" w:eastAsia="黑体" w:cs="黑体"/>
          <w:b w:val="0"/>
          <w:bCs w:val="0"/>
          <w:i w:val="0"/>
          <w:iCs w:val="0"/>
          <w:color w:val="auto"/>
          <w:sz w:val="32"/>
          <w:szCs w:val="32"/>
        </w:rPr>
        <w:t>附件 1：</w:t>
      </w:r>
      <w:r>
        <w:rPr>
          <w:rFonts w:hint="eastAsia" w:ascii="黑体" w:hAnsi="黑体" w:eastAsia="黑体" w:cs="黑体"/>
          <w:b w:val="0"/>
          <w:bCs w:val="0"/>
          <w:i w:val="0"/>
          <w:iCs w:val="0"/>
          <w:color w:val="auto"/>
          <w:sz w:val="32"/>
          <w:szCs w:val="32"/>
          <w:highlight w:val="none"/>
          <w:lang w:val="en-US" w:eastAsia="zh-CN"/>
        </w:rPr>
        <w:t>供应商处理情形和处理标准</w:t>
      </w:r>
    </w:p>
    <w:tbl>
      <w:tblPr>
        <w:tblStyle w:val="8"/>
        <w:tblW w:w="0" w:type="auto"/>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8"/>
        <w:gridCol w:w="6132"/>
        <w:gridCol w:w="67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3960"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00" w:beforeLines="0" w:afterLines="0"/>
              <w:ind w:left="215"/>
              <w:rPr>
                <w:rFonts w:hint="eastAsia"/>
                <w:color w:val="auto"/>
                <w:sz w:val="24"/>
                <w:szCs w:val="22"/>
              </w:rPr>
            </w:pPr>
            <w:r>
              <w:rPr>
                <w:rFonts w:hint="eastAsia"/>
                <w:color w:val="auto"/>
                <w:spacing w:val="-1"/>
                <w:sz w:val="24"/>
                <w:szCs w:val="22"/>
              </w:rPr>
              <w:t>一、违法、违规供应商处理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03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95" w:beforeLines="0" w:afterLines="0"/>
              <w:ind w:left="223" w:right="96"/>
              <w:jc w:val="center"/>
              <w:rPr>
                <w:rFonts w:hint="eastAsia"/>
                <w:b/>
                <w:color w:val="auto"/>
                <w:sz w:val="24"/>
                <w:szCs w:val="22"/>
              </w:rPr>
            </w:pPr>
            <w:r>
              <w:rPr>
                <w:rFonts w:hint="eastAsia"/>
                <w:b/>
                <w:color w:val="auto"/>
                <w:spacing w:val="-7"/>
                <w:sz w:val="24"/>
                <w:szCs w:val="22"/>
              </w:rPr>
              <w:t>序号</w:t>
            </w:r>
          </w:p>
        </w:tc>
        <w:tc>
          <w:tcPr>
            <w:tcW w:w="613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95" w:beforeLines="0" w:afterLines="0"/>
              <w:ind w:left="448"/>
              <w:jc w:val="center"/>
              <w:rPr>
                <w:rFonts w:hint="eastAsia"/>
                <w:b/>
                <w:color w:val="auto"/>
                <w:sz w:val="24"/>
                <w:szCs w:val="22"/>
              </w:rPr>
            </w:pPr>
            <w:r>
              <w:rPr>
                <w:rFonts w:hint="eastAsia"/>
                <w:b/>
                <w:color w:val="auto"/>
                <w:spacing w:val="-4"/>
                <w:sz w:val="24"/>
                <w:szCs w:val="22"/>
              </w:rPr>
              <w:t>违规类型</w:t>
            </w:r>
          </w:p>
        </w:tc>
        <w:tc>
          <w:tcPr>
            <w:tcW w:w="67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95" w:beforeLines="0" w:afterLines="0"/>
              <w:ind w:left="337"/>
              <w:jc w:val="center"/>
              <w:rPr>
                <w:rFonts w:hint="eastAsia"/>
                <w:b/>
                <w:color w:val="auto"/>
                <w:sz w:val="24"/>
                <w:szCs w:val="22"/>
              </w:rPr>
            </w:pPr>
            <w:r>
              <w:rPr>
                <w:rFonts w:hint="eastAsia"/>
                <w:b/>
                <w:color w:val="auto"/>
                <w:spacing w:val="-4"/>
                <w:sz w:val="24"/>
                <w:szCs w:val="22"/>
              </w:rPr>
              <w:t>处理标准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103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5" w:beforeLines="0" w:afterLines="0"/>
              <w:ind w:left="223" w:right="86"/>
              <w:jc w:val="center"/>
              <w:rPr>
                <w:rFonts w:hint="eastAsia"/>
                <w:color w:val="auto"/>
                <w:sz w:val="24"/>
                <w:szCs w:val="22"/>
              </w:rPr>
            </w:pPr>
            <w:r>
              <w:rPr>
                <w:rFonts w:hint="eastAsia"/>
                <w:color w:val="auto"/>
                <w:spacing w:val="-10"/>
                <w:sz w:val="24"/>
                <w:szCs w:val="22"/>
              </w:rPr>
              <w:t>1</w:t>
            </w:r>
          </w:p>
        </w:tc>
        <w:tc>
          <w:tcPr>
            <w:tcW w:w="613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line="304" w:lineRule="exact"/>
              <w:ind w:right="145"/>
              <w:rPr>
                <w:rFonts w:hint="eastAsia"/>
                <w:color w:val="auto"/>
                <w:sz w:val="24"/>
                <w:szCs w:val="22"/>
              </w:rPr>
            </w:pPr>
            <w:r>
              <w:rPr>
                <w:rFonts w:hint="eastAsia"/>
                <w:color w:val="auto"/>
                <w:spacing w:val="-2"/>
                <w:sz w:val="24"/>
                <w:szCs w:val="22"/>
              </w:rPr>
              <w:t>提供虚假材料（资质文件、业绩、财务状况、书面承诺等）进行供应商注册、准入或参与采购项目</w:t>
            </w:r>
          </w:p>
        </w:tc>
        <w:tc>
          <w:tcPr>
            <w:tcW w:w="67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line="304" w:lineRule="exact"/>
              <w:ind w:right="95"/>
              <w:rPr>
                <w:rFonts w:hint="eastAsia"/>
                <w:color w:val="auto"/>
                <w:sz w:val="24"/>
                <w:szCs w:val="22"/>
              </w:rPr>
            </w:pPr>
            <w:r>
              <w:rPr>
                <w:rFonts w:hint="eastAsia"/>
                <w:color w:val="auto"/>
                <w:spacing w:val="-2"/>
                <w:sz w:val="24"/>
                <w:szCs w:val="22"/>
              </w:rPr>
              <w:t>未造成损失的，对供应商给予“禁用一年”处理；造成损失根据损失程度再增加对其处理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03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7" w:beforeLines="0" w:afterLines="0"/>
              <w:ind w:left="223" w:right="86"/>
              <w:jc w:val="center"/>
              <w:rPr>
                <w:rFonts w:hint="eastAsia"/>
                <w:color w:val="auto"/>
                <w:sz w:val="24"/>
                <w:szCs w:val="22"/>
              </w:rPr>
            </w:pPr>
            <w:r>
              <w:rPr>
                <w:rFonts w:hint="eastAsia"/>
                <w:color w:val="auto"/>
                <w:spacing w:val="-10"/>
                <w:sz w:val="24"/>
                <w:szCs w:val="22"/>
              </w:rPr>
              <w:t>2</w:t>
            </w:r>
          </w:p>
        </w:tc>
        <w:tc>
          <w:tcPr>
            <w:tcW w:w="613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line="310" w:lineRule="exact"/>
              <w:rPr>
                <w:rFonts w:hint="eastAsia"/>
                <w:color w:val="auto"/>
                <w:sz w:val="24"/>
                <w:szCs w:val="22"/>
              </w:rPr>
            </w:pPr>
            <w:r>
              <w:rPr>
                <w:rFonts w:hint="eastAsia"/>
                <w:color w:val="auto"/>
                <w:spacing w:val="-1"/>
                <w:sz w:val="24"/>
                <w:szCs w:val="22"/>
              </w:rPr>
              <w:t>为达到不正当目的相互恶意串通，包括与采购人，代</w:t>
            </w:r>
          </w:p>
          <w:p>
            <w:pPr>
              <w:pStyle w:val="12"/>
              <w:spacing w:beforeLines="0" w:afterLines="0" w:line="295" w:lineRule="exact"/>
              <w:rPr>
                <w:rFonts w:hint="eastAsia"/>
                <w:color w:val="auto"/>
                <w:sz w:val="24"/>
                <w:szCs w:val="22"/>
              </w:rPr>
            </w:pPr>
            <w:r>
              <w:rPr>
                <w:rFonts w:hint="eastAsia"/>
                <w:color w:val="auto"/>
                <w:spacing w:val="-1"/>
                <w:sz w:val="24"/>
                <w:szCs w:val="22"/>
              </w:rPr>
              <w:t>理机构或供应商之间串通</w:t>
            </w:r>
          </w:p>
        </w:tc>
        <w:tc>
          <w:tcPr>
            <w:tcW w:w="67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33" w:beforeLines="0" w:afterLines="0"/>
              <w:rPr>
                <w:rFonts w:hint="eastAsia"/>
                <w:color w:val="auto"/>
                <w:sz w:val="24"/>
                <w:szCs w:val="22"/>
              </w:rPr>
            </w:pPr>
            <w:r>
              <w:rPr>
                <w:rFonts w:hint="eastAsia"/>
                <w:color w:val="auto"/>
                <w:spacing w:val="-1"/>
                <w:sz w:val="24"/>
                <w:szCs w:val="22"/>
              </w:rPr>
              <w:t>对供应商给予“禁用两年”至“长期禁用”处理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03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74" w:beforeLines="0" w:afterLines="0"/>
              <w:ind w:left="223" w:right="86"/>
              <w:jc w:val="center"/>
              <w:rPr>
                <w:rFonts w:hint="eastAsia"/>
                <w:color w:val="auto"/>
                <w:sz w:val="24"/>
                <w:szCs w:val="22"/>
              </w:rPr>
            </w:pPr>
            <w:r>
              <w:rPr>
                <w:rFonts w:hint="eastAsia"/>
                <w:color w:val="auto"/>
                <w:spacing w:val="-10"/>
                <w:sz w:val="24"/>
                <w:szCs w:val="22"/>
              </w:rPr>
              <w:t>3</w:t>
            </w:r>
          </w:p>
        </w:tc>
        <w:tc>
          <w:tcPr>
            <w:tcW w:w="613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7" w:beforeLines="0" w:afterLines="0" w:line="310" w:lineRule="atLeast"/>
              <w:ind w:right="359"/>
              <w:rPr>
                <w:rFonts w:hint="eastAsia"/>
                <w:color w:val="auto"/>
                <w:sz w:val="24"/>
                <w:szCs w:val="22"/>
              </w:rPr>
            </w:pPr>
            <w:r>
              <w:rPr>
                <w:rFonts w:hint="eastAsia"/>
                <w:color w:val="auto"/>
                <w:spacing w:val="-2"/>
                <w:sz w:val="24"/>
                <w:szCs w:val="22"/>
              </w:rPr>
              <w:t>向采购交易所涉及的相关方或能产生实际影响的相关</w:t>
            </w:r>
            <w:r>
              <w:rPr>
                <w:rFonts w:hint="eastAsia"/>
                <w:color w:val="auto"/>
                <w:spacing w:val="-4"/>
                <w:sz w:val="24"/>
                <w:szCs w:val="22"/>
              </w:rPr>
              <w:t>方行贿的</w:t>
            </w:r>
          </w:p>
        </w:tc>
        <w:tc>
          <w:tcPr>
            <w:tcW w:w="67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7" w:beforeLines="0" w:afterLines="0" w:line="310" w:lineRule="atLeast"/>
              <w:ind w:right="297"/>
              <w:rPr>
                <w:rFonts w:hint="eastAsia"/>
                <w:color w:val="auto"/>
                <w:sz w:val="24"/>
                <w:szCs w:val="22"/>
              </w:rPr>
            </w:pPr>
            <w:r>
              <w:rPr>
                <w:rFonts w:hint="eastAsia"/>
                <w:color w:val="auto"/>
                <w:spacing w:val="-2"/>
                <w:sz w:val="24"/>
                <w:szCs w:val="22"/>
              </w:rPr>
              <w:t>对供应商给予“禁用两年”或“长期禁用”处理，行贿判定的依据为检察院或法院书面判定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3" w:hRule="atLeast"/>
        </w:trPr>
        <w:tc>
          <w:tcPr>
            <w:tcW w:w="103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ind w:left="0"/>
              <w:rPr>
                <w:rFonts w:hint="eastAsia"/>
                <w:b/>
                <w:color w:val="auto"/>
                <w:sz w:val="24"/>
                <w:szCs w:val="22"/>
              </w:rPr>
            </w:pPr>
          </w:p>
          <w:p>
            <w:pPr>
              <w:pStyle w:val="12"/>
              <w:spacing w:beforeLines="0" w:afterLines="0"/>
              <w:ind w:left="223" w:right="86"/>
              <w:jc w:val="center"/>
              <w:rPr>
                <w:rFonts w:hint="eastAsia"/>
                <w:color w:val="auto"/>
                <w:sz w:val="24"/>
                <w:szCs w:val="22"/>
              </w:rPr>
            </w:pPr>
            <w:r>
              <w:rPr>
                <w:rFonts w:hint="eastAsia"/>
                <w:color w:val="auto"/>
                <w:spacing w:val="-10"/>
                <w:sz w:val="24"/>
                <w:szCs w:val="22"/>
              </w:rPr>
              <w:t>4</w:t>
            </w:r>
          </w:p>
        </w:tc>
        <w:tc>
          <w:tcPr>
            <w:tcW w:w="613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line="242" w:lineRule="auto"/>
              <w:ind w:right="143"/>
              <w:rPr>
                <w:rFonts w:hint="eastAsia"/>
                <w:color w:val="auto"/>
                <w:sz w:val="24"/>
                <w:szCs w:val="22"/>
              </w:rPr>
            </w:pPr>
            <w:r>
              <w:rPr>
                <w:rFonts w:hint="eastAsia"/>
                <w:color w:val="auto"/>
                <w:spacing w:val="-2"/>
                <w:sz w:val="24"/>
                <w:szCs w:val="22"/>
              </w:rPr>
              <w:t>在采购结果公布之前，违法违规获得非公开评标信息，</w:t>
            </w:r>
            <w:r>
              <w:rPr>
                <w:rFonts w:hint="eastAsia"/>
                <w:color w:val="auto"/>
                <w:spacing w:val="-1"/>
                <w:sz w:val="24"/>
                <w:szCs w:val="22"/>
              </w:rPr>
              <w:t>或采取不正当手段妨碍、排挤其他供应商投标或中标的</w:t>
            </w:r>
          </w:p>
          <w:p>
            <w:pPr>
              <w:pStyle w:val="12"/>
              <w:spacing w:beforeLines="0" w:afterLines="0" w:line="295" w:lineRule="exact"/>
              <w:rPr>
                <w:rFonts w:hint="eastAsia"/>
                <w:color w:val="auto"/>
                <w:sz w:val="24"/>
                <w:szCs w:val="22"/>
              </w:rPr>
            </w:pPr>
            <w:r>
              <w:rPr>
                <w:rFonts w:hint="eastAsia"/>
                <w:color w:val="auto"/>
                <w:spacing w:val="-2"/>
                <w:sz w:val="24"/>
                <w:szCs w:val="22"/>
              </w:rPr>
              <w:t>，证据确凿的</w:t>
            </w:r>
          </w:p>
        </w:tc>
        <w:tc>
          <w:tcPr>
            <w:tcW w:w="67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8" w:beforeLines="0" w:afterLines="0"/>
              <w:ind w:left="0"/>
              <w:rPr>
                <w:rFonts w:hint="eastAsia"/>
                <w:b/>
                <w:color w:val="auto"/>
                <w:sz w:val="24"/>
                <w:szCs w:val="22"/>
              </w:rPr>
            </w:pPr>
          </w:p>
          <w:p>
            <w:pPr>
              <w:pStyle w:val="12"/>
              <w:spacing w:before="1" w:beforeLines="0" w:afterLines="0"/>
              <w:rPr>
                <w:rFonts w:hint="eastAsia"/>
                <w:color w:val="auto"/>
                <w:sz w:val="24"/>
                <w:szCs w:val="22"/>
              </w:rPr>
            </w:pPr>
            <w:r>
              <w:rPr>
                <w:rFonts w:hint="eastAsia"/>
                <w:color w:val="auto"/>
                <w:spacing w:val="-1"/>
                <w:sz w:val="24"/>
                <w:szCs w:val="22"/>
              </w:rPr>
              <w:t>对供应商给予“禁用一年”处理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03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line="303" w:lineRule="exact"/>
              <w:ind w:left="223" w:right="86"/>
              <w:jc w:val="center"/>
              <w:rPr>
                <w:rFonts w:hint="eastAsia"/>
                <w:color w:val="auto"/>
                <w:sz w:val="24"/>
                <w:szCs w:val="22"/>
              </w:rPr>
            </w:pPr>
            <w:r>
              <w:rPr>
                <w:rFonts w:hint="eastAsia"/>
                <w:color w:val="auto"/>
                <w:spacing w:val="-10"/>
                <w:sz w:val="24"/>
                <w:szCs w:val="22"/>
              </w:rPr>
              <w:t>5</w:t>
            </w:r>
          </w:p>
        </w:tc>
        <w:tc>
          <w:tcPr>
            <w:tcW w:w="613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30" w:beforeLines="0" w:afterLines="0"/>
              <w:rPr>
                <w:rFonts w:hint="eastAsia"/>
                <w:color w:val="auto"/>
                <w:sz w:val="24"/>
                <w:szCs w:val="22"/>
              </w:rPr>
            </w:pPr>
            <w:r>
              <w:rPr>
                <w:rFonts w:hint="eastAsia"/>
                <w:color w:val="auto"/>
                <w:spacing w:val="-1"/>
                <w:sz w:val="24"/>
                <w:szCs w:val="22"/>
              </w:rPr>
              <w:t>开标后在有效期内中途撤销投标的</w:t>
            </w:r>
          </w:p>
        </w:tc>
        <w:tc>
          <w:tcPr>
            <w:tcW w:w="67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30" w:beforeLines="0" w:afterLines="0"/>
              <w:rPr>
                <w:rFonts w:hint="eastAsia"/>
                <w:color w:val="auto"/>
                <w:sz w:val="24"/>
                <w:szCs w:val="22"/>
              </w:rPr>
            </w:pPr>
            <w:r>
              <w:rPr>
                <w:rFonts w:hint="eastAsia"/>
                <w:color w:val="auto"/>
                <w:spacing w:val="-1"/>
                <w:sz w:val="24"/>
                <w:szCs w:val="22"/>
              </w:rPr>
              <w:t>对供应商给予“禁用一年”处理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03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line="301" w:lineRule="exact"/>
              <w:ind w:left="223" w:right="86"/>
              <w:jc w:val="center"/>
              <w:rPr>
                <w:rFonts w:hint="eastAsia"/>
                <w:color w:val="auto"/>
                <w:sz w:val="24"/>
                <w:szCs w:val="22"/>
              </w:rPr>
            </w:pPr>
            <w:r>
              <w:rPr>
                <w:rFonts w:hint="eastAsia"/>
                <w:color w:val="auto"/>
                <w:spacing w:val="-10"/>
                <w:sz w:val="24"/>
                <w:szCs w:val="22"/>
              </w:rPr>
              <w:t>6</w:t>
            </w:r>
          </w:p>
        </w:tc>
        <w:tc>
          <w:tcPr>
            <w:tcW w:w="613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04" w:beforeLines="0" w:afterLines="0"/>
              <w:rPr>
                <w:rFonts w:hint="eastAsia"/>
                <w:color w:val="auto"/>
                <w:sz w:val="24"/>
                <w:szCs w:val="22"/>
              </w:rPr>
            </w:pPr>
            <w:r>
              <w:rPr>
                <w:rFonts w:hint="eastAsia"/>
                <w:color w:val="auto"/>
                <w:spacing w:val="-1"/>
                <w:sz w:val="24"/>
                <w:szCs w:val="22"/>
              </w:rPr>
              <w:t>获取中标资格或成交资格拒绝签订合同的</w:t>
            </w:r>
          </w:p>
        </w:tc>
        <w:tc>
          <w:tcPr>
            <w:tcW w:w="67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04" w:beforeLines="0" w:afterLines="0"/>
              <w:rPr>
                <w:rFonts w:hint="eastAsia"/>
                <w:color w:val="auto"/>
                <w:sz w:val="24"/>
                <w:szCs w:val="22"/>
              </w:rPr>
            </w:pPr>
            <w:r>
              <w:rPr>
                <w:rFonts w:hint="eastAsia"/>
                <w:color w:val="auto"/>
                <w:spacing w:val="-1"/>
                <w:sz w:val="24"/>
                <w:szCs w:val="22"/>
              </w:rPr>
              <w:t>对供应商给予“禁用两年”处理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03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7" w:beforeLines="0" w:afterLines="0"/>
              <w:ind w:left="223" w:right="86"/>
              <w:jc w:val="center"/>
              <w:rPr>
                <w:rFonts w:hint="eastAsia"/>
                <w:color w:val="auto"/>
                <w:sz w:val="24"/>
                <w:szCs w:val="22"/>
              </w:rPr>
            </w:pPr>
            <w:r>
              <w:rPr>
                <w:rFonts w:hint="eastAsia"/>
                <w:color w:val="auto"/>
                <w:spacing w:val="-10"/>
                <w:sz w:val="24"/>
                <w:szCs w:val="22"/>
              </w:rPr>
              <w:t>7</w:t>
            </w:r>
          </w:p>
        </w:tc>
        <w:tc>
          <w:tcPr>
            <w:tcW w:w="613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line="311" w:lineRule="exact"/>
              <w:rPr>
                <w:rFonts w:hint="eastAsia"/>
                <w:color w:val="auto"/>
                <w:sz w:val="24"/>
                <w:szCs w:val="22"/>
              </w:rPr>
            </w:pPr>
            <w:r>
              <w:rPr>
                <w:rFonts w:hint="eastAsia"/>
                <w:color w:val="auto"/>
                <w:spacing w:val="-1"/>
                <w:sz w:val="24"/>
                <w:szCs w:val="22"/>
              </w:rPr>
              <w:t>不遵守招投标相关纪律：如在开标、评标现场无理</w:t>
            </w:r>
          </w:p>
          <w:p>
            <w:pPr>
              <w:pStyle w:val="12"/>
              <w:spacing w:beforeLines="0" w:afterLines="0" w:line="294" w:lineRule="exact"/>
              <w:rPr>
                <w:rFonts w:hint="eastAsia"/>
                <w:color w:val="auto"/>
                <w:sz w:val="24"/>
                <w:szCs w:val="22"/>
              </w:rPr>
            </w:pPr>
            <w:r>
              <w:rPr>
                <w:rFonts w:hint="eastAsia"/>
                <w:color w:val="auto"/>
                <w:spacing w:val="-1"/>
                <w:sz w:val="24"/>
                <w:szCs w:val="22"/>
              </w:rPr>
              <w:t>取闹，违反招投标程序,破坏招投标秩序等情形的</w:t>
            </w:r>
          </w:p>
        </w:tc>
        <w:tc>
          <w:tcPr>
            <w:tcW w:w="67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34" w:beforeLines="0" w:afterLines="0"/>
              <w:rPr>
                <w:rFonts w:hint="eastAsia"/>
                <w:color w:val="auto"/>
                <w:sz w:val="24"/>
                <w:szCs w:val="22"/>
              </w:rPr>
            </w:pPr>
            <w:r>
              <w:rPr>
                <w:rFonts w:hint="eastAsia"/>
                <w:color w:val="auto"/>
                <w:spacing w:val="-1"/>
                <w:sz w:val="24"/>
                <w:szCs w:val="22"/>
              </w:rPr>
              <w:t>对供应商给予“禁用一年”处理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7" w:hRule="atLeast"/>
        </w:trPr>
        <w:tc>
          <w:tcPr>
            <w:tcW w:w="103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35" w:beforeLines="0" w:afterLines="0"/>
              <w:ind w:left="0"/>
              <w:rPr>
                <w:rFonts w:hint="eastAsia"/>
                <w:b/>
                <w:color w:val="auto"/>
                <w:sz w:val="24"/>
                <w:szCs w:val="22"/>
              </w:rPr>
            </w:pPr>
          </w:p>
          <w:p>
            <w:pPr>
              <w:pStyle w:val="12"/>
              <w:spacing w:beforeLines="0" w:afterLines="0"/>
              <w:ind w:left="223" w:right="86"/>
              <w:jc w:val="center"/>
              <w:rPr>
                <w:rFonts w:hint="eastAsia"/>
                <w:color w:val="auto"/>
                <w:sz w:val="24"/>
                <w:szCs w:val="22"/>
              </w:rPr>
            </w:pPr>
            <w:r>
              <w:rPr>
                <w:rFonts w:hint="eastAsia"/>
                <w:color w:val="auto"/>
                <w:spacing w:val="-10"/>
                <w:sz w:val="24"/>
                <w:szCs w:val="22"/>
              </w:rPr>
              <w:t>8</w:t>
            </w:r>
          </w:p>
        </w:tc>
        <w:tc>
          <w:tcPr>
            <w:tcW w:w="613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ind w:left="0"/>
              <w:rPr>
                <w:rFonts w:hint="eastAsia"/>
                <w:b/>
                <w:color w:val="auto"/>
                <w:sz w:val="24"/>
                <w:szCs w:val="22"/>
              </w:rPr>
            </w:pPr>
          </w:p>
          <w:p>
            <w:pPr>
              <w:pStyle w:val="12"/>
              <w:spacing w:before="295" w:beforeLines="0" w:afterLines="0"/>
              <w:ind w:left="0"/>
              <w:rPr>
                <w:rFonts w:hint="eastAsia"/>
                <w:b/>
                <w:color w:val="auto"/>
                <w:sz w:val="24"/>
                <w:szCs w:val="22"/>
              </w:rPr>
            </w:pPr>
          </w:p>
          <w:p>
            <w:pPr>
              <w:pStyle w:val="12"/>
              <w:spacing w:beforeLines="0" w:afterLines="0"/>
              <w:rPr>
                <w:rFonts w:hint="eastAsia"/>
                <w:color w:val="auto"/>
                <w:sz w:val="24"/>
                <w:szCs w:val="22"/>
              </w:rPr>
            </w:pPr>
            <w:r>
              <w:rPr>
                <w:rFonts w:hint="eastAsia"/>
                <w:color w:val="auto"/>
                <w:spacing w:val="-1"/>
                <w:sz w:val="24"/>
                <w:szCs w:val="22"/>
              </w:rPr>
              <w:t>无事实依据对采购过程或采购结果进行乱投诉、举报的</w:t>
            </w:r>
          </w:p>
        </w:tc>
        <w:tc>
          <w:tcPr>
            <w:tcW w:w="67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06" w:beforeLines="0" w:afterLines="0"/>
              <w:rPr>
                <w:rFonts w:hint="eastAsia"/>
                <w:color w:val="auto"/>
                <w:sz w:val="24"/>
                <w:szCs w:val="22"/>
              </w:rPr>
            </w:pPr>
            <w:r>
              <w:rPr>
                <w:rFonts w:hint="eastAsia"/>
                <w:color w:val="auto"/>
                <w:spacing w:val="-1"/>
                <w:sz w:val="24"/>
                <w:szCs w:val="22"/>
              </w:rPr>
              <w:t>情节较轻的，对供应商给予“警告”处理；</w:t>
            </w:r>
          </w:p>
          <w:p>
            <w:pPr>
              <w:pStyle w:val="12"/>
              <w:spacing w:before="2" w:beforeLines="0" w:afterLines="0"/>
              <w:rPr>
                <w:rFonts w:hint="eastAsia"/>
                <w:color w:val="auto"/>
                <w:sz w:val="24"/>
                <w:szCs w:val="22"/>
              </w:rPr>
            </w:pPr>
            <w:r>
              <w:rPr>
                <w:rFonts w:hint="eastAsia"/>
                <w:color w:val="auto"/>
                <w:spacing w:val="-1"/>
                <w:sz w:val="24"/>
                <w:szCs w:val="22"/>
              </w:rPr>
              <w:t>恶意投诉、举报的，对供应商给予“禁用一年”处理；</w:t>
            </w:r>
          </w:p>
          <w:p>
            <w:pPr>
              <w:pStyle w:val="12"/>
              <w:spacing w:before="5" w:beforeLines="0" w:afterLines="0" w:line="242" w:lineRule="auto"/>
              <w:ind w:right="150"/>
              <w:rPr>
                <w:rFonts w:hint="eastAsia"/>
                <w:color w:val="auto"/>
                <w:sz w:val="24"/>
                <w:szCs w:val="22"/>
              </w:rPr>
            </w:pPr>
            <w:r>
              <w:rPr>
                <w:rFonts w:hint="eastAsia"/>
                <w:color w:val="auto"/>
                <w:spacing w:val="-4"/>
                <w:sz w:val="24"/>
                <w:szCs w:val="22"/>
              </w:rPr>
              <w:t>对伪造证据、捏造事实、诬陷招标方或供应商管理、供应商使</w:t>
            </w:r>
            <w:r>
              <w:rPr>
                <w:rFonts w:hint="eastAsia"/>
                <w:color w:val="auto"/>
                <w:spacing w:val="-2"/>
                <w:sz w:val="24"/>
                <w:szCs w:val="22"/>
              </w:rPr>
              <w:t>用单位人员的，一经查证，对供应商给予“长期禁用”处理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03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5" w:beforeLines="0" w:afterLines="0"/>
              <w:ind w:left="223"/>
              <w:jc w:val="center"/>
              <w:rPr>
                <w:rFonts w:hint="eastAsia"/>
                <w:color w:val="auto"/>
                <w:sz w:val="24"/>
                <w:szCs w:val="22"/>
              </w:rPr>
            </w:pPr>
            <w:r>
              <w:rPr>
                <w:rFonts w:hint="eastAsia"/>
                <w:color w:val="auto"/>
                <w:spacing w:val="-10"/>
                <w:sz w:val="24"/>
                <w:szCs w:val="22"/>
              </w:rPr>
              <w:t>9</w:t>
            </w:r>
          </w:p>
        </w:tc>
        <w:tc>
          <w:tcPr>
            <w:tcW w:w="6132"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30" w:beforeLines="0" w:afterLines="0"/>
              <w:rPr>
                <w:rFonts w:hint="eastAsia"/>
                <w:color w:val="auto"/>
                <w:sz w:val="24"/>
                <w:szCs w:val="22"/>
              </w:rPr>
            </w:pPr>
            <w:r>
              <w:rPr>
                <w:rFonts w:hint="eastAsia"/>
                <w:color w:val="auto"/>
                <w:spacing w:val="-1"/>
                <w:sz w:val="24"/>
                <w:szCs w:val="22"/>
              </w:rPr>
              <w:t>擅自变更、不按照合同规定履行或者擅自终止合同的</w:t>
            </w:r>
          </w:p>
        </w:tc>
        <w:tc>
          <w:tcPr>
            <w:tcW w:w="679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line="304" w:lineRule="exact"/>
              <w:ind w:right="1523"/>
              <w:rPr>
                <w:rFonts w:hint="eastAsia"/>
                <w:color w:val="auto"/>
                <w:sz w:val="24"/>
                <w:szCs w:val="22"/>
              </w:rPr>
            </w:pPr>
            <w:r>
              <w:rPr>
                <w:rFonts w:hint="eastAsia"/>
                <w:color w:val="auto"/>
                <w:spacing w:val="-2"/>
                <w:sz w:val="24"/>
                <w:szCs w:val="22"/>
              </w:rPr>
              <w:t>情节较轻的，对供应商给予“禁用两年”处理；情节严重的，对供应商给予“长期禁用”处理</w:t>
            </w:r>
          </w:p>
        </w:tc>
      </w:tr>
    </w:tbl>
    <w:p>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tbl>
      <w:tblPr>
        <w:tblStyle w:val="8"/>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0"/>
        <w:gridCol w:w="6143"/>
        <w:gridCol w:w="68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ind w:left="0"/>
              <w:rPr>
                <w:rFonts w:hint="eastAsia"/>
                <w:b/>
                <w:color w:val="auto"/>
                <w:sz w:val="24"/>
                <w:szCs w:val="22"/>
              </w:rPr>
            </w:pPr>
          </w:p>
          <w:p>
            <w:pPr>
              <w:pStyle w:val="12"/>
              <w:spacing w:before="161" w:beforeLines="0" w:afterLines="0"/>
              <w:ind w:left="0"/>
              <w:rPr>
                <w:rFonts w:hint="eastAsia"/>
                <w:b/>
                <w:color w:val="auto"/>
                <w:sz w:val="24"/>
                <w:szCs w:val="22"/>
              </w:rPr>
            </w:pPr>
          </w:p>
          <w:p>
            <w:pPr>
              <w:pStyle w:val="12"/>
              <w:spacing w:beforeLines="0" w:afterLines="0"/>
              <w:ind w:left="0" w:right="282"/>
              <w:jc w:val="right"/>
              <w:rPr>
                <w:rFonts w:hint="eastAsia"/>
                <w:color w:val="auto"/>
                <w:sz w:val="24"/>
                <w:szCs w:val="22"/>
              </w:rPr>
            </w:pPr>
            <w:r>
              <w:rPr>
                <w:rFonts w:hint="eastAsia"/>
                <w:color w:val="auto"/>
                <w:spacing w:val="-5"/>
                <w:sz w:val="24"/>
                <w:szCs w:val="22"/>
              </w:rPr>
              <w:t>10</w:t>
            </w:r>
          </w:p>
        </w:tc>
        <w:tc>
          <w:tcPr>
            <w:tcW w:w="614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28" w:beforeLines="0" w:afterLines="0"/>
              <w:ind w:left="0"/>
              <w:rPr>
                <w:rFonts w:hint="eastAsia"/>
                <w:b/>
                <w:color w:val="auto"/>
                <w:sz w:val="24"/>
                <w:szCs w:val="22"/>
              </w:rPr>
            </w:pPr>
          </w:p>
          <w:p>
            <w:pPr>
              <w:pStyle w:val="12"/>
              <w:spacing w:beforeLines="0" w:afterLines="0" w:line="242" w:lineRule="auto"/>
              <w:ind w:right="358"/>
              <w:jc w:val="both"/>
              <w:rPr>
                <w:rFonts w:hint="eastAsia"/>
                <w:color w:val="auto"/>
                <w:sz w:val="24"/>
                <w:szCs w:val="22"/>
              </w:rPr>
            </w:pPr>
            <w:r>
              <w:rPr>
                <w:rFonts w:hint="eastAsia"/>
                <w:color w:val="auto"/>
                <w:spacing w:val="-2"/>
                <w:sz w:val="24"/>
                <w:szCs w:val="22"/>
              </w:rPr>
              <w:t>擅自降低标的功能标准或改变功能结构。供应商在提供工程、货物和服务时，擅自降低原来规定的功能标</w:t>
            </w:r>
            <w:r>
              <w:rPr>
                <w:rFonts w:hint="eastAsia"/>
                <w:color w:val="auto"/>
                <w:spacing w:val="-9"/>
                <w:sz w:val="24"/>
                <w:szCs w:val="22"/>
              </w:rPr>
              <w:t>准， 改变功能结构，使采购原有的功能要求得不到保</w:t>
            </w:r>
            <w:r>
              <w:rPr>
                <w:rFonts w:hint="eastAsia"/>
                <w:color w:val="auto"/>
                <w:spacing w:val="-6"/>
                <w:sz w:val="24"/>
                <w:szCs w:val="22"/>
              </w:rPr>
              <w:t>证的</w:t>
            </w:r>
          </w:p>
        </w:tc>
        <w:tc>
          <w:tcPr>
            <w:tcW w:w="680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ind w:left="212"/>
              <w:rPr>
                <w:rFonts w:hint="eastAsia"/>
                <w:color w:val="auto"/>
                <w:sz w:val="24"/>
                <w:szCs w:val="22"/>
              </w:rPr>
            </w:pPr>
            <w:r>
              <w:rPr>
                <w:rFonts w:hint="eastAsia"/>
                <w:color w:val="auto"/>
                <w:spacing w:val="-1"/>
                <w:sz w:val="24"/>
                <w:szCs w:val="22"/>
              </w:rPr>
              <w:t>及时整改且未造成影响的，对供应商可以不予处理；</w:t>
            </w:r>
          </w:p>
          <w:p>
            <w:pPr>
              <w:pStyle w:val="12"/>
              <w:spacing w:before="5" w:beforeLines="0" w:afterLines="0"/>
              <w:ind w:left="212" w:right="379"/>
              <w:rPr>
                <w:rFonts w:hint="eastAsia"/>
                <w:color w:val="auto"/>
                <w:sz w:val="24"/>
                <w:szCs w:val="22"/>
              </w:rPr>
            </w:pPr>
            <w:r>
              <w:rPr>
                <w:rFonts w:hint="eastAsia"/>
                <w:color w:val="auto"/>
                <w:spacing w:val="-2"/>
                <w:sz w:val="24"/>
                <w:szCs w:val="22"/>
              </w:rPr>
              <w:t>及时整改但造成一定影响的，对供应商给予“禁用一年”处</w:t>
            </w:r>
            <w:r>
              <w:rPr>
                <w:rFonts w:hint="eastAsia"/>
                <w:color w:val="auto"/>
                <w:spacing w:val="-10"/>
                <w:sz w:val="24"/>
                <w:szCs w:val="22"/>
              </w:rPr>
              <w:t>理</w:t>
            </w:r>
          </w:p>
          <w:p>
            <w:pPr>
              <w:pStyle w:val="12"/>
              <w:spacing w:before="5" w:beforeLines="0" w:afterLines="0" w:line="244" w:lineRule="auto"/>
              <w:ind w:left="212" w:right="297"/>
              <w:rPr>
                <w:rFonts w:hint="eastAsia"/>
                <w:color w:val="auto"/>
                <w:sz w:val="24"/>
                <w:szCs w:val="22"/>
              </w:rPr>
            </w:pPr>
            <w:r>
              <w:rPr>
                <w:rFonts w:hint="eastAsia"/>
                <w:color w:val="auto"/>
                <w:spacing w:val="-2"/>
                <w:sz w:val="24"/>
                <w:szCs w:val="22"/>
              </w:rPr>
              <w:t>及时整改但影响较重的，视情况对供应商给予“禁用两年”</w:t>
            </w:r>
            <w:r>
              <w:rPr>
                <w:rFonts w:hint="eastAsia"/>
                <w:color w:val="auto"/>
                <w:spacing w:val="-6"/>
                <w:sz w:val="24"/>
                <w:szCs w:val="22"/>
              </w:rPr>
              <w:t>处理</w:t>
            </w:r>
          </w:p>
          <w:p>
            <w:pPr>
              <w:pStyle w:val="12"/>
              <w:spacing w:beforeLines="0" w:afterLines="0" w:line="269" w:lineRule="exact"/>
              <w:ind w:left="212"/>
              <w:rPr>
                <w:rFonts w:hint="eastAsia"/>
                <w:color w:val="auto"/>
                <w:sz w:val="24"/>
                <w:szCs w:val="22"/>
              </w:rPr>
            </w:pPr>
            <w:r>
              <w:rPr>
                <w:rFonts w:hint="eastAsia"/>
                <w:color w:val="auto"/>
                <w:spacing w:val="-1"/>
                <w:sz w:val="24"/>
                <w:szCs w:val="22"/>
              </w:rPr>
              <w:t>拒不整改的，对供应商给予“长期禁用”处理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6" w:beforeLines="0" w:afterLines="0"/>
              <w:ind w:left="0" w:right="282"/>
              <w:jc w:val="right"/>
              <w:rPr>
                <w:rFonts w:hint="eastAsia"/>
                <w:color w:val="auto"/>
                <w:sz w:val="24"/>
                <w:szCs w:val="22"/>
              </w:rPr>
            </w:pPr>
            <w:r>
              <w:rPr>
                <w:rFonts w:hint="eastAsia"/>
                <w:color w:val="auto"/>
                <w:spacing w:val="-5"/>
                <w:sz w:val="24"/>
                <w:szCs w:val="22"/>
              </w:rPr>
              <w:t>11</w:t>
            </w:r>
          </w:p>
        </w:tc>
        <w:tc>
          <w:tcPr>
            <w:tcW w:w="614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line="304" w:lineRule="exact"/>
              <w:ind w:right="156"/>
              <w:rPr>
                <w:rFonts w:hint="eastAsia"/>
                <w:color w:val="auto"/>
                <w:sz w:val="24"/>
                <w:szCs w:val="22"/>
              </w:rPr>
            </w:pPr>
            <w:r>
              <w:rPr>
                <w:rFonts w:hint="eastAsia"/>
                <w:color w:val="auto"/>
                <w:spacing w:val="-2"/>
                <w:sz w:val="24"/>
                <w:szCs w:val="22"/>
              </w:rPr>
              <w:t>假冒其他厂家品牌，提供伪劣商品、以假乱真弄虚作假</w:t>
            </w:r>
            <w:r>
              <w:rPr>
                <w:rFonts w:hint="eastAsia"/>
                <w:color w:val="auto"/>
                <w:spacing w:val="-10"/>
                <w:sz w:val="24"/>
                <w:szCs w:val="22"/>
              </w:rPr>
              <w:t>的</w:t>
            </w:r>
          </w:p>
        </w:tc>
        <w:tc>
          <w:tcPr>
            <w:tcW w:w="680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30" w:beforeLines="0" w:afterLines="0"/>
              <w:ind w:left="212"/>
              <w:rPr>
                <w:rFonts w:hint="eastAsia"/>
                <w:color w:val="auto"/>
                <w:sz w:val="24"/>
                <w:szCs w:val="22"/>
              </w:rPr>
            </w:pPr>
            <w:r>
              <w:rPr>
                <w:rFonts w:hint="eastAsia"/>
                <w:color w:val="auto"/>
                <w:spacing w:val="-1"/>
                <w:sz w:val="24"/>
                <w:szCs w:val="22"/>
              </w:rPr>
              <w:t>对供应商给予“禁用两年至长期禁用”处理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5" w:beforeLines="0" w:afterLines="0"/>
              <w:ind w:left="0"/>
              <w:rPr>
                <w:rFonts w:hint="eastAsia"/>
                <w:b/>
                <w:color w:val="auto"/>
                <w:sz w:val="24"/>
                <w:szCs w:val="22"/>
              </w:rPr>
            </w:pPr>
          </w:p>
          <w:p>
            <w:pPr>
              <w:pStyle w:val="12"/>
              <w:spacing w:beforeLines="0" w:afterLines="0"/>
              <w:ind w:left="0" w:right="282"/>
              <w:jc w:val="right"/>
              <w:rPr>
                <w:rFonts w:hint="eastAsia"/>
                <w:color w:val="auto"/>
                <w:sz w:val="24"/>
                <w:szCs w:val="22"/>
              </w:rPr>
            </w:pPr>
            <w:r>
              <w:rPr>
                <w:rFonts w:hint="eastAsia"/>
                <w:color w:val="auto"/>
                <w:spacing w:val="-5"/>
                <w:sz w:val="24"/>
                <w:szCs w:val="22"/>
              </w:rPr>
              <w:t>12</w:t>
            </w:r>
          </w:p>
        </w:tc>
        <w:tc>
          <w:tcPr>
            <w:tcW w:w="614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9" w:beforeLines="0" w:afterLines="0"/>
              <w:ind w:left="0"/>
              <w:rPr>
                <w:rFonts w:hint="eastAsia"/>
                <w:b/>
                <w:color w:val="auto"/>
                <w:sz w:val="24"/>
                <w:szCs w:val="22"/>
              </w:rPr>
            </w:pPr>
          </w:p>
          <w:p>
            <w:pPr>
              <w:pStyle w:val="12"/>
              <w:spacing w:beforeLines="0" w:afterLines="0"/>
              <w:rPr>
                <w:rFonts w:hint="eastAsia"/>
                <w:color w:val="auto"/>
                <w:sz w:val="24"/>
                <w:szCs w:val="22"/>
              </w:rPr>
            </w:pPr>
            <w:r>
              <w:rPr>
                <w:rFonts w:hint="eastAsia"/>
                <w:color w:val="auto"/>
                <w:sz w:val="24"/>
                <w:szCs w:val="22"/>
              </w:rPr>
              <w:t>出现供给不足（即“短斤少两”行为</w:t>
            </w:r>
            <w:r>
              <w:rPr>
                <w:rFonts w:hint="eastAsia"/>
                <w:color w:val="auto"/>
                <w:spacing w:val="-10"/>
                <w:sz w:val="24"/>
                <w:szCs w:val="22"/>
              </w:rPr>
              <w:t>）</w:t>
            </w:r>
          </w:p>
        </w:tc>
        <w:tc>
          <w:tcPr>
            <w:tcW w:w="680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 w:beforeLines="0" w:afterLines="0"/>
              <w:ind w:left="212"/>
              <w:rPr>
                <w:rFonts w:hint="eastAsia"/>
                <w:color w:val="auto"/>
                <w:sz w:val="24"/>
                <w:szCs w:val="22"/>
              </w:rPr>
            </w:pPr>
            <w:r>
              <w:rPr>
                <w:rFonts w:hint="eastAsia"/>
                <w:color w:val="auto"/>
                <w:spacing w:val="-1"/>
                <w:sz w:val="24"/>
                <w:szCs w:val="22"/>
              </w:rPr>
              <w:t>及时整改未产生影响的可以不予处理；</w:t>
            </w:r>
          </w:p>
          <w:p>
            <w:pPr>
              <w:pStyle w:val="12"/>
              <w:spacing w:before="2" w:beforeLines="0" w:afterLines="0" w:line="311" w:lineRule="exact"/>
              <w:ind w:left="212"/>
              <w:rPr>
                <w:rFonts w:hint="eastAsia"/>
                <w:color w:val="auto"/>
                <w:sz w:val="24"/>
                <w:szCs w:val="22"/>
              </w:rPr>
            </w:pPr>
            <w:r>
              <w:rPr>
                <w:rFonts w:hint="eastAsia"/>
                <w:color w:val="auto"/>
                <w:spacing w:val="-1"/>
                <w:sz w:val="24"/>
                <w:szCs w:val="22"/>
              </w:rPr>
              <w:t>整改但产生影响的，对供应商给予“禁用一年”处理；</w:t>
            </w:r>
          </w:p>
          <w:p>
            <w:pPr>
              <w:pStyle w:val="12"/>
              <w:spacing w:beforeLines="0" w:afterLines="0" w:line="294" w:lineRule="exact"/>
              <w:ind w:left="212"/>
              <w:rPr>
                <w:rFonts w:hint="eastAsia"/>
                <w:color w:val="auto"/>
                <w:sz w:val="24"/>
                <w:szCs w:val="22"/>
              </w:rPr>
            </w:pPr>
            <w:r>
              <w:rPr>
                <w:rFonts w:hint="eastAsia"/>
                <w:color w:val="auto"/>
                <w:spacing w:val="-1"/>
                <w:sz w:val="24"/>
                <w:szCs w:val="22"/>
              </w:rPr>
              <w:t>拒不更正的，对供应商给予“长期禁用”处理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5" w:beforeLines="0" w:afterLines="0"/>
              <w:ind w:left="0" w:right="282"/>
              <w:jc w:val="right"/>
              <w:rPr>
                <w:rFonts w:hint="eastAsia"/>
                <w:color w:val="auto"/>
                <w:sz w:val="24"/>
                <w:szCs w:val="22"/>
              </w:rPr>
            </w:pPr>
            <w:r>
              <w:rPr>
                <w:rFonts w:hint="eastAsia"/>
                <w:color w:val="auto"/>
                <w:spacing w:val="-5"/>
                <w:sz w:val="24"/>
                <w:szCs w:val="22"/>
              </w:rPr>
              <w:t>13</w:t>
            </w:r>
          </w:p>
        </w:tc>
        <w:tc>
          <w:tcPr>
            <w:tcW w:w="614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31" w:beforeLines="0" w:afterLines="0"/>
              <w:rPr>
                <w:rFonts w:hint="eastAsia"/>
                <w:color w:val="auto"/>
                <w:sz w:val="24"/>
                <w:szCs w:val="22"/>
              </w:rPr>
            </w:pPr>
            <w:r>
              <w:rPr>
                <w:rFonts w:hint="eastAsia"/>
                <w:color w:val="auto"/>
                <w:spacing w:val="-2"/>
                <w:sz w:val="24"/>
                <w:szCs w:val="22"/>
              </w:rPr>
              <w:t>提供虚假进度报告的</w:t>
            </w:r>
          </w:p>
        </w:tc>
        <w:tc>
          <w:tcPr>
            <w:tcW w:w="680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Lines="0" w:afterLines="0" w:line="304" w:lineRule="exact"/>
              <w:ind w:left="212" w:right="1056"/>
              <w:rPr>
                <w:rFonts w:hint="eastAsia"/>
                <w:color w:val="auto"/>
                <w:sz w:val="24"/>
                <w:szCs w:val="22"/>
              </w:rPr>
            </w:pPr>
            <w:r>
              <w:rPr>
                <w:rFonts w:hint="eastAsia"/>
                <w:color w:val="auto"/>
                <w:spacing w:val="-2"/>
                <w:sz w:val="24"/>
                <w:szCs w:val="22"/>
              </w:rPr>
              <w:t>未造成实质影响的给予供应商“禁用一年”处理； 造成实质性影响的，对供应商给予“禁用两年”处理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66" w:beforeLines="0" w:afterLines="0"/>
              <w:ind w:left="0" w:right="282"/>
              <w:jc w:val="right"/>
              <w:rPr>
                <w:rFonts w:hint="eastAsia"/>
                <w:color w:val="auto"/>
                <w:sz w:val="24"/>
                <w:szCs w:val="22"/>
              </w:rPr>
            </w:pPr>
            <w:r>
              <w:rPr>
                <w:rFonts w:hint="eastAsia"/>
                <w:color w:val="auto"/>
                <w:spacing w:val="-5"/>
                <w:sz w:val="24"/>
                <w:szCs w:val="22"/>
              </w:rPr>
              <w:t>14</w:t>
            </w:r>
          </w:p>
        </w:tc>
        <w:tc>
          <w:tcPr>
            <w:tcW w:w="614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83" w:beforeLines="0" w:afterLines="0"/>
              <w:ind w:left="0"/>
              <w:rPr>
                <w:rFonts w:hint="eastAsia"/>
                <w:b/>
                <w:color w:val="auto"/>
                <w:sz w:val="24"/>
                <w:szCs w:val="22"/>
              </w:rPr>
            </w:pPr>
          </w:p>
          <w:p>
            <w:pPr>
              <w:pStyle w:val="12"/>
              <w:spacing w:beforeLines="0" w:afterLines="0"/>
              <w:rPr>
                <w:rFonts w:hint="eastAsia"/>
                <w:color w:val="auto"/>
                <w:sz w:val="24"/>
                <w:szCs w:val="22"/>
              </w:rPr>
            </w:pPr>
            <w:r>
              <w:rPr>
                <w:rFonts w:hint="eastAsia"/>
                <w:color w:val="auto"/>
                <w:spacing w:val="-1"/>
                <w:sz w:val="24"/>
                <w:szCs w:val="22"/>
              </w:rPr>
              <w:t>违反规定擅自把中标项目或合同转让、转包、分包</w:t>
            </w:r>
          </w:p>
        </w:tc>
        <w:tc>
          <w:tcPr>
            <w:tcW w:w="680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5" w:beforeLines="0" w:afterLines="0" w:line="242" w:lineRule="auto"/>
              <w:ind w:left="212" w:right="177"/>
              <w:rPr>
                <w:rFonts w:hint="eastAsia"/>
                <w:color w:val="auto"/>
                <w:sz w:val="24"/>
                <w:szCs w:val="22"/>
              </w:rPr>
            </w:pPr>
            <w:r>
              <w:rPr>
                <w:rFonts w:hint="eastAsia"/>
                <w:color w:val="auto"/>
                <w:spacing w:val="-4"/>
                <w:sz w:val="24"/>
                <w:szCs w:val="22"/>
              </w:rPr>
              <w:t>及时更正其违规行为的，对供应商给予“警告至禁用一年”处</w:t>
            </w:r>
            <w:r>
              <w:rPr>
                <w:rFonts w:hint="eastAsia"/>
                <w:color w:val="auto"/>
                <w:spacing w:val="-5"/>
                <w:sz w:val="24"/>
                <w:szCs w:val="22"/>
              </w:rPr>
              <w:t>理；拒绝更正其违规行为的，对供应商给予“长期禁用”处理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8" w:hRule="atLeast"/>
        </w:trPr>
        <w:tc>
          <w:tcPr>
            <w:tcW w:w="1040" w:type="dxa"/>
            <w:tcBorders>
              <w:top w:val="single" w:color="000000" w:sz="4" w:space="0"/>
              <w:left w:val="single" w:color="000000" w:sz="4" w:space="0"/>
              <w:bottom w:val="single" w:color="000000" w:sz="6" w:space="0"/>
              <w:right w:val="single" w:color="000000" w:sz="4" w:space="0"/>
              <w:tl2br w:val="nil"/>
              <w:tr2bl w:val="nil"/>
            </w:tcBorders>
            <w:noWrap w:val="0"/>
            <w:vAlign w:val="top"/>
          </w:tcPr>
          <w:p>
            <w:pPr>
              <w:pStyle w:val="12"/>
              <w:spacing w:beforeLines="0" w:afterLines="0"/>
              <w:ind w:left="0"/>
              <w:rPr>
                <w:rFonts w:hint="eastAsia"/>
                <w:b/>
                <w:color w:val="auto"/>
                <w:sz w:val="24"/>
                <w:szCs w:val="22"/>
              </w:rPr>
            </w:pPr>
          </w:p>
          <w:p>
            <w:pPr>
              <w:pStyle w:val="12"/>
              <w:spacing w:before="160" w:beforeLines="0" w:afterLines="0"/>
              <w:ind w:left="0"/>
              <w:rPr>
                <w:rFonts w:hint="eastAsia"/>
                <w:b/>
                <w:color w:val="auto"/>
                <w:sz w:val="24"/>
                <w:szCs w:val="22"/>
              </w:rPr>
            </w:pPr>
          </w:p>
          <w:p>
            <w:pPr>
              <w:pStyle w:val="12"/>
              <w:spacing w:before="1" w:beforeLines="0" w:afterLines="0"/>
              <w:ind w:left="0" w:right="282"/>
              <w:jc w:val="right"/>
              <w:rPr>
                <w:rFonts w:hint="eastAsia"/>
                <w:color w:val="auto"/>
                <w:sz w:val="24"/>
                <w:szCs w:val="22"/>
              </w:rPr>
            </w:pPr>
            <w:r>
              <w:rPr>
                <w:rFonts w:hint="eastAsia"/>
                <w:color w:val="auto"/>
                <w:spacing w:val="-5"/>
                <w:sz w:val="24"/>
                <w:szCs w:val="22"/>
              </w:rPr>
              <w:t>15</w:t>
            </w:r>
          </w:p>
        </w:tc>
        <w:tc>
          <w:tcPr>
            <w:tcW w:w="6143" w:type="dxa"/>
            <w:tcBorders>
              <w:top w:val="single" w:color="000000" w:sz="4" w:space="0"/>
              <w:left w:val="single" w:color="000000" w:sz="4" w:space="0"/>
              <w:bottom w:val="single" w:color="000000" w:sz="6" w:space="0"/>
              <w:right w:val="single" w:color="000000" w:sz="4" w:space="0"/>
              <w:tl2br w:val="nil"/>
              <w:tr2bl w:val="nil"/>
            </w:tcBorders>
            <w:noWrap w:val="0"/>
            <w:vAlign w:val="top"/>
          </w:tcPr>
          <w:p>
            <w:pPr>
              <w:pStyle w:val="12"/>
              <w:spacing w:beforeLines="0" w:afterLines="0"/>
              <w:ind w:left="0"/>
              <w:rPr>
                <w:rFonts w:hint="eastAsia"/>
                <w:b/>
                <w:color w:val="auto"/>
                <w:sz w:val="24"/>
                <w:szCs w:val="22"/>
              </w:rPr>
            </w:pPr>
          </w:p>
          <w:p>
            <w:pPr>
              <w:pStyle w:val="12"/>
              <w:spacing w:beforeLines="0" w:afterLines="0"/>
              <w:ind w:left="0"/>
              <w:rPr>
                <w:rFonts w:hint="eastAsia"/>
                <w:b/>
                <w:color w:val="auto"/>
                <w:sz w:val="24"/>
                <w:szCs w:val="22"/>
              </w:rPr>
            </w:pPr>
          </w:p>
          <w:p>
            <w:pPr>
              <w:pStyle w:val="12"/>
              <w:spacing w:before="232" w:beforeLines="0" w:afterLines="0"/>
              <w:ind w:left="0"/>
              <w:rPr>
                <w:rFonts w:hint="eastAsia"/>
                <w:b/>
                <w:color w:val="auto"/>
                <w:sz w:val="24"/>
                <w:szCs w:val="22"/>
              </w:rPr>
            </w:pPr>
          </w:p>
          <w:p>
            <w:pPr>
              <w:pStyle w:val="12"/>
              <w:spacing w:before="1" w:beforeLines="0" w:afterLines="0"/>
              <w:rPr>
                <w:rFonts w:hint="eastAsia"/>
                <w:color w:val="auto"/>
                <w:sz w:val="24"/>
                <w:szCs w:val="22"/>
              </w:rPr>
            </w:pPr>
            <w:r>
              <w:rPr>
                <w:rFonts w:hint="eastAsia"/>
                <w:color w:val="auto"/>
                <w:spacing w:val="-1"/>
                <w:sz w:val="24"/>
                <w:szCs w:val="22"/>
              </w:rPr>
              <w:t>未经同意拖延交工、交货日期，延缓执行合同的期限</w:t>
            </w:r>
          </w:p>
        </w:tc>
        <w:tc>
          <w:tcPr>
            <w:tcW w:w="6801" w:type="dxa"/>
            <w:tcBorders>
              <w:top w:val="single" w:color="000000" w:sz="4" w:space="0"/>
              <w:left w:val="single" w:color="000000" w:sz="4" w:space="0"/>
              <w:bottom w:val="single" w:color="000000" w:sz="6" w:space="0"/>
              <w:right w:val="single" w:color="000000" w:sz="4" w:space="0"/>
              <w:tl2br w:val="nil"/>
              <w:tr2bl w:val="nil"/>
            </w:tcBorders>
            <w:noWrap w:val="0"/>
            <w:vAlign w:val="top"/>
          </w:tcPr>
          <w:p>
            <w:pPr>
              <w:pStyle w:val="12"/>
              <w:spacing w:before="158" w:beforeLines="0" w:afterLines="0"/>
              <w:ind w:left="212" w:right="300"/>
              <w:jc w:val="both"/>
              <w:rPr>
                <w:rFonts w:hint="eastAsia"/>
                <w:color w:val="auto"/>
                <w:sz w:val="24"/>
                <w:szCs w:val="22"/>
              </w:rPr>
            </w:pPr>
            <w:r>
              <w:rPr>
                <w:rFonts w:hint="eastAsia"/>
                <w:color w:val="auto"/>
                <w:spacing w:val="-2"/>
                <w:sz w:val="24"/>
                <w:szCs w:val="22"/>
              </w:rPr>
              <w:t>未造成严重影响且愿意协商解决或承担赔偿责任的，可不作</w:t>
            </w:r>
            <w:r>
              <w:rPr>
                <w:rFonts w:hint="eastAsia"/>
                <w:color w:val="auto"/>
                <w:spacing w:val="-8"/>
                <w:sz w:val="24"/>
                <w:szCs w:val="22"/>
              </w:rPr>
              <w:t>处理； 造成实质影响但愿意协商解决的，根据影响程度，对</w:t>
            </w:r>
            <w:r>
              <w:rPr>
                <w:rFonts w:hint="eastAsia"/>
                <w:color w:val="auto"/>
                <w:spacing w:val="-2"/>
                <w:sz w:val="24"/>
                <w:szCs w:val="22"/>
              </w:rPr>
              <w:t>供应商给予“禁用一年至禁用两年”处理；</w:t>
            </w:r>
          </w:p>
          <w:p>
            <w:pPr>
              <w:pStyle w:val="12"/>
              <w:spacing w:before="12" w:beforeLines="0" w:afterLines="0" w:line="235" w:lineRule="auto"/>
              <w:ind w:left="212" w:right="96"/>
              <w:rPr>
                <w:rFonts w:hint="eastAsia"/>
                <w:color w:val="auto"/>
                <w:sz w:val="24"/>
                <w:szCs w:val="22"/>
              </w:rPr>
            </w:pPr>
            <w:r>
              <w:rPr>
                <w:rFonts w:hint="eastAsia"/>
                <w:color w:val="auto"/>
                <w:spacing w:val="-2"/>
                <w:sz w:val="24"/>
                <w:szCs w:val="22"/>
              </w:rPr>
              <w:t>造成较重或严重影响且拒绝协商解决的，对供应商给予“长期禁用”处理。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1040" w:type="dxa"/>
            <w:tcBorders>
              <w:top w:val="single" w:color="000000" w:sz="6" w:space="0"/>
              <w:left w:val="single" w:color="000000" w:sz="4" w:space="0"/>
              <w:bottom w:val="single" w:color="000000" w:sz="6" w:space="0"/>
              <w:right w:val="single" w:color="000000" w:sz="4" w:space="0"/>
              <w:tl2br w:val="nil"/>
              <w:tr2bl w:val="nil"/>
            </w:tcBorders>
            <w:noWrap w:val="0"/>
            <w:vAlign w:val="top"/>
          </w:tcPr>
          <w:p>
            <w:pPr>
              <w:pStyle w:val="12"/>
              <w:spacing w:before="154" w:beforeLines="0" w:afterLines="0"/>
              <w:ind w:left="0" w:right="282"/>
              <w:jc w:val="right"/>
              <w:rPr>
                <w:rFonts w:hint="eastAsia"/>
                <w:color w:val="auto"/>
                <w:sz w:val="24"/>
                <w:szCs w:val="22"/>
              </w:rPr>
            </w:pPr>
            <w:r>
              <w:rPr>
                <w:rFonts w:hint="eastAsia"/>
                <w:color w:val="auto"/>
                <w:spacing w:val="-5"/>
                <w:sz w:val="24"/>
                <w:szCs w:val="22"/>
              </w:rPr>
              <w:t>16</w:t>
            </w:r>
          </w:p>
        </w:tc>
        <w:tc>
          <w:tcPr>
            <w:tcW w:w="6143" w:type="dxa"/>
            <w:tcBorders>
              <w:top w:val="single" w:color="000000" w:sz="6" w:space="0"/>
              <w:left w:val="single" w:color="000000" w:sz="4" w:space="0"/>
              <w:bottom w:val="single" w:color="000000" w:sz="6" w:space="0"/>
              <w:right w:val="single" w:color="000000" w:sz="4" w:space="0"/>
              <w:tl2br w:val="nil"/>
              <w:tr2bl w:val="nil"/>
            </w:tcBorders>
            <w:noWrap w:val="0"/>
            <w:vAlign w:val="top"/>
          </w:tcPr>
          <w:p>
            <w:pPr>
              <w:pStyle w:val="12"/>
              <w:spacing w:beforeLines="0" w:afterLines="0" w:line="304" w:lineRule="exact"/>
              <w:ind w:right="156"/>
              <w:rPr>
                <w:rFonts w:hint="eastAsia"/>
                <w:color w:val="auto"/>
                <w:sz w:val="24"/>
                <w:szCs w:val="22"/>
              </w:rPr>
            </w:pPr>
            <w:r>
              <w:rPr>
                <w:rFonts w:hint="eastAsia"/>
                <w:color w:val="auto"/>
                <w:spacing w:val="-2"/>
                <w:sz w:val="24"/>
                <w:szCs w:val="22"/>
              </w:rPr>
              <w:t>拒绝中国海油管理部门的监督检查或不如实反映情况、提供材料的</w:t>
            </w:r>
          </w:p>
        </w:tc>
        <w:tc>
          <w:tcPr>
            <w:tcW w:w="6801" w:type="dxa"/>
            <w:tcBorders>
              <w:top w:val="single" w:color="000000" w:sz="6" w:space="0"/>
              <w:left w:val="single" w:color="000000" w:sz="4" w:space="0"/>
              <w:bottom w:val="single" w:color="000000" w:sz="6" w:space="0"/>
              <w:right w:val="single" w:color="000000" w:sz="4" w:space="0"/>
              <w:tl2br w:val="nil"/>
              <w:tr2bl w:val="nil"/>
            </w:tcBorders>
            <w:noWrap w:val="0"/>
            <w:vAlign w:val="top"/>
          </w:tcPr>
          <w:p>
            <w:pPr>
              <w:pStyle w:val="12"/>
              <w:spacing w:before="228" w:beforeLines="0" w:afterLines="0"/>
              <w:ind w:left="212"/>
              <w:rPr>
                <w:rFonts w:hint="eastAsia"/>
                <w:color w:val="auto"/>
                <w:sz w:val="24"/>
                <w:szCs w:val="22"/>
              </w:rPr>
            </w:pPr>
            <w:r>
              <w:rPr>
                <w:rFonts w:hint="eastAsia"/>
                <w:color w:val="auto"/>
                <w:spacing w:val="-1"/>
                <w:sz w:val="24"/>
                <w:szCs w:val="22"/>
              </w:rPr>
              <w:t>视造成的影响，对供应商给予“禁用一年至禁用两年”处理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3" w:hRule="atLeast"/>
        </w:trPr>
        <w:tc>
          <w:tcPr>
            <w:tcW w:w="1040" w:type="dxa"/>
            <w:tcBorders>
              <w:top w:val="single" w:color="000000" w:sz="6" w:space="0"/>
              <w:left w:val="single" w:color="000000" w:sz="4" w:space="0"/>
              <w:bottom w:val="single" w:color="000000" w:sz="4" w:space="0"/>
              <w:right w:val="single" w:color="000000" w:sz="4" w:space="0"/>
              <w:tl2br w:val="nil"/>
              <w:tr2bl w:val="nil"/>
            </w:tcBorders>
            <w:noWrap w:val="0"/>
            <w:vAlign w:val="top"/>
          </w:tcPr>
          <w:p>
            <w:pPr>
              <w:pStyle w:val="12"/>
              <w:spacing w:before="2" w:beforeLines="0" w:afterLines="0"/>
              <w:ind w:left="0"/>
              <w:rPr>
                <w:rFonts w:hint="eastAsia"/>
                <w:b/>
                <w:color w:val="auto"/>
                <w:sz w:val="24"/>
                <w:szCs w:val="22"/>
              </w:rPr>
            </w:pPr>
          </w:p>
          <w:p>
            <w:pPr>
              <w:pStyle w:val="12"/>
              <w:spacing w:beforeLines="0" w:afterLines="0"/>
              <w:ind w:left="53"/>
              <w:jc w:val="center"/>
              <w:rPr>
                <w:rFonts w:hint="eastAsia"/>
                <w:color w:val="auto"/>
                <w:sz w:val="24"/>
                <w:szCs w:val="22"/>
              </w:rPr>
            </w:pPr>
            <w:r>
              <w:rPr>
                <w:rFonts w:hint="eastAsia"/>
                <w:color w:val="auto"/>
                <w:spacing w:val="-5"/>
                <w:sz w:val="24"/>
                <w:szCs w:val="22"/>
              </w:rPr>
              <w:t>17</w:t>
            </w:r>
          </w:p>
        </w:tc>
        <w:tc>
          <w:tcPr>
            <w:tcW w:w="6143" w:type="dxa"/>
            <w:tcBorders>
              <w:top w:val="single" w:color="000000" w:sz="6" w:space="0"/>
              <w:left w:val="single" w:color="000000" w:sz="4" w:space="0"/>
              <w:bottom w:val="single" w:color="000000" w:sz="4" w:space="0"/>
              <w:right w:val="single" w:color="000000" w:sz="4" w:space="0"/>
              <w:tl2br w:val="nil"/>
              <w:tr2bl w:val="nil"/>
            </w:tcBorders>
            <w:noWrap w:val="0"/>
            <w:vAlign w:val="top"/>
          </w:tcPr>
          <w:p>
            <w:pPr>
              <w:pStyle w:val="12"/>
              <w:spacing w:beforeLines="0" w:afterLines="0" w:line="310" w:lineRule="exact"/>
              <w:rPr>
                <w:rFonts w:hint="eastAsia"/>
                <w:color w:val="auto"/>
                <w:sz w:val="24"/>
                <w:szCs w:val="22"/>
              </w:rPr>
            </w:pPr>
            <w:r>
              <w:rPr>
                <w:rFonts w:hint="eastAsia"/>
                <w:color w:val="auto"/>
                <w:spacing w:val="-1"/>
                <w:sz w:val="24"/>
                <w:szCs w:val="22"/>
              </w:rPr>
              <w:t>参与或承揽中国海油业务时，在已知晓或应当知晓的</w:t>
            </w:r>
          </w:p>
          <w:p>
            <w:pPr>
              <w:pStyle w:val="12"/>
              <w:spacing w:beforeLines="0" w:afterLines="0" w:line="310" w:lineRule="atLeast"/>
              <w:ind w:right="360"/>
              <w:rPr>
                <w:rFonts w:hint="eastAsia"/>
                <w:color w:val="auto"/>
                <w:sz w:val="24"/>
                <w:szCs w:val="22"/>
              </w:rPr>
            </w:pPr>
            <w:r>
              <w:rPr>
                <w:rFonts w:hint="eastAsia"/>
                <w:color w:val="auto"/>
                <w:spacing w:val="-2"/>
                <w:sz w:val="24"/>
                <w:szCs w:val="22"/>
              </w:rPr>
              <w:t>情况下，仍代理被中国海油禁用其他供应商的产品、服务，或将已获取的合同对其分包的</w:t>
            </w:r>
          </w:p>
        </w:tc>
        <w:tc>
          <w:tcPr>
            <w:tcW w:w="6801" w:type="dxa"/>
            <w:tcBorders>
              <w:top w:val="single" w:color="000000" w:sz="6" w:space="0"/>
              <w:left w:val="single" w:color="000000" w:sz="4" w:space="0"/>
              <w:bottom w:val="single" w:color="000000" w:sz="4" w:space="0"/>
              <w:right w:val="single" w:color="000000" w:sz="4" w:space="0"/>
              <w:tl2br w:val="nil"/>
              <w:tr2bl w:val="nil"/>
            </w:tcBorders>
            <w:noWrap w:val="0"/>
            <w:vAlign w:val="top"/>
          </w:tcPr>
          <w:p>
            <w:pPr>
              <w:pStyle w:val="12"/>
              <w:spacing w:before="158" w:beforeLines="0" w:afterLines="0"/>
              <w:ind w:left="0"/>
              <w:rPr>
                <w:rFonts w:hint="eastAsia"/>
                <w:b/>
                <w:color w:val="auto"/>
                <w:sz w:val="24"/>
                <w:szCs w:val="22"/>
              </w:rPr>
            </w:pPr>
          </w:p>
          <w:p>
            <w:pPr>
              <w:pStyle w:val="12"/>
              <w:spacing w:beforeLines="0" w:afterLines="0"/>
              <w:ind w:left="212"/>
              <w:rPr>
                <w:rFonts w:hint="eastAsia"/>
                <w:color w:val="auto"/>
                <w:sz w:val="24"/>
                <w:szCs w:val="22"/>
              </w:rPr>
            </w:pPr>
            <w:r>
              <w:rPr>
                <w:rFonts w:hint="eastAsia"/>
                <w:color w:val="auto"/>
                <w:spacing w:val="-1"/>
                <w:sz w:val="24"/>
                <w:szCs w:val="22"/>
              </w:rPr>
              <w:t>对该供应商给予“禁用一年”处理</w:t>
            </w:r>
          </w:p>
        </w:tc>
      </w:tr>
    </w:tbl>
    <w:p>
      <w:pPr>
        <w:pStyle w:val="2"/>
        <w:rPr>
          <w:rFonts w:hint="eastAsia" w:ascii="仿宋_GB2312" w:hAnsi="仿宋_GB2312" w:eastAsia="仿宋_GB2312" w:cs="仿宋_GB2312"/>
          <w:color w:val="auto"/>
          <w:sz w:val="32"/>
          <w:szCs w:val="32"/>
        </w:rPr>
      </w:pPr>
    </w:p>
    <w:tbl>
      <w:tblPr>
        <w:tblStyle w:val="8"/>
        <w:tblW w:w="0" w:type="auto"/>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6"/>
        <w:gridCol w:w="6123"/>
        <w:gridCol w:w="6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 w:beforeLines="0" w:afterLines="0"/>
              <w:ind w:left="0"/>
              <w:rPr>
                <w:rFonts w:hint="eastAsia"/>
                <w:b/>
                <w:color w:val="auto"/>
                <w:sz w:val="24"/>
                <w:szCs w:val="22"/>
              </w:rPr>
            </w:pPr>
          </w:p>
          <w:p>
            <w:pPr>
              <w:pStyle w:val="12"/>
              <w:spacing w:beforeLines="0" w:afterLines="0"/>
              <w:ind w:left="49"/>
              <w:jc w:val="center"/>
              <w:rPr>
                <w:rFonts w:hint="eastAsia"/>
                <w:color w:val="auto"/>
                <w:sz w:val="24"/>
                <w:szCs w:val="22"/>
              </w:rPr>
            </w:pPr>
            <w:r>
              <w:rPr>
                <w:rFonts w:hint="eastAsia"/>
                <w:color w:val="auto"/>
                <w:spacing w:val="-5"/>
                <w:sz w:val="24"/>
                <w:szCs w:val="22"/>
              </w:rPr>
              <w:t>18</w:t>
            </w:r>
          </w:p>
        </w:tc>
        <w:tc>
          <w:tcPr>
            <w:tcW w:w="612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64" w:beforeLines="0" w:afterLines="0" w:line="242" w:lineRule="auto"/>
              <w:ind w:right="359"/>
              <w:jc w:val="both"/>
              <w:rPr>
                <w:rFonts w:hint="eastAsia"/>
                <w:color w:val="auto"/>
                <w:sz w:val="24"/>
                <w:szCs w:val="22"/>
              </w:rPr>
            </w:pPr>
            <w:r>
              <w:rPr>
                <w:rFonts w:hint="eastAsia"/>
                <w:color w:val="auto"/>
                <w:spacing w:val="-2"/>
                <w:sz w:val="24"/>
                <w:szCs w:val="22"/>
              </w:rPr>
              <w:t>拒绝履行售后服务义务并拒绝协商解决的情况，及其他因供应商的原因导致中国海油受损，并拒绝协商解决和赔偿责任的情况</w:t>
            </w:r>
          </w:p>
        </w:tc>
        <w:tc>
          <w:tcPr>
            <w:tcW w:w="67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66" w:beforeLines="0" w:afterLines="0"/>
              <w:ind w:left="0"/>
              <w:rPr>
                <w:rFonts w:hint="eastAsia"/>
                <w:b/>
                <w:color w:val="auto"/>
                <w:sz w:val="24"/>
                <w:szCs w:val="22"/>
              </w:rPr>
            </w:pPr>
          </w:p>
          <w:p>
            <w:pPr>
              <w:pStyle w:val="12"/>
              <w:spacing w:beforeLines="0" w:afterLines="0"/>
              <w:rPr>
                <w:rFonts w:hint="eastAsia"/>
                <w:color w:val="auto"/>
                <w:sz w:val="24"/>
                <w:szCs w:val="22"/>
              </w:rPr>
            </w:pPr>
            <w:r>
              <w:rPr>
                <w:rFonts w:hint="eastAsia"/>
                <w:color w:val="auto"/>
                <w:spacing w:val="-3"/>
                <w:sz w:val="24"/>
                <w:szCs w:val="22"/>
              </w:rPr>
              <w:t>对供应商给予“长期禁用”处理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67" w:beforeLines="0" w:afterLines="0"/>
              <w:ind w:left="49"/>
              <w:jc w:val="center"/>
              <w:rPr>
                <w:rFonts w:hint="eastAsia"/>
                <w:color w:val="auto"/>
                <w:sz w:val="24"/>
                <w:szCs w:val="22"/>
              </w:rPr>
            </w:pPr>
            <w:r>
              <w:rPr>
                <w:rFonts w:hint="eastAsia"/>
                <w:color w:val="auto"/>
                <w:spacing w:val="-5"/>
                <w:sz w:val="24"/>
                <w:szCs w:val="22"/>
              </w:rPr>
              <w:t>19</w:t>
            </w:r>
          </w:p>
        </w:tc>
        <w:tc>
          <w:tcPr>
            <w:tcW w:w="612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62" w:beforeLines="0" w:afterLines="0"/>
              <w:ind w:right="359"/>
              <w:rPr>
                <w:rFonts w:hint="eastAsia"/>
                <w:color w:val="auto"/>
                <w:sz w:val="24"/>
                <w:szCs w:val="22"/>
              </w:rPr>
            </w:pPr>
            <w:r>
              <w:rPr>
                <w:rFonts w:hint="eastAsia"/>
                <w:color w:val="auto"/>
                <w:spacing w:val="-2"/>
                <w:sz w:val="24"/>
                <w:szCs w:val="22"/>
              </w:rPr>
              <w:t>所提供的产品存在严重质量问题，影响安全生产或对工程建设造成实质性影响的</w:t>
            </w:r>
          </w:p>
        </w:tc>
        <w:tc>
          <w:tcPr>
            <w:tcW w:w="67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62" w:beforeLines="0" w:afterLines="0"/>
              <w:ind w:right="177"/>
              <w:rPr>
                <w:rFonts w:hint="eastAsia"/>
                <w:color w:val="auto"/>
                <w:sz w:val="24"/>
                <w:szCs w:val="22"/>
              </w:rPr>
            </w:pPr>
            <w:r>
              <w:rPr>
                <w:rFonts w:hint="eastAsia"/>
                <w:color w:val="auto"/>
                <w:spacing w:val="-6"/>
                <w:sz w:val="24"/>
                <w:szCs w:val="22"/>
              </w:rPr>
              <w:t>视情况对给予该品类“禁用一年至禁用两年”处理，处理期满</w:t>
            </w:r>
            <w:r>
              <w:rPr>
                <w:rFonts w:hint="eastAsia"/>
                <w:color w:val="auto"/>
                <w:spacing w:val="-10"/>
                <w:sz w:val="24"/>
                <w:szCs w:val="22"/>
              </w:rPr>
              <w:t>后要对产品质量重新进行评估，确保产品合格后方可进行使用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6" w:beforeLines="0" w:afterLines="0"/>
              <w:ind w:left="49"/>
              <w:jc w:val="center"/>
              <w:rPr>
                <w:rFonts w:hint="eastAsia"/>
                <w:color w:val="auto"/>
                <w:sz w:val="24"/>
                <w:szCs w:val="22"/>
              </w:rPr>
            </w:pPr>
            <w:r>
              <w:rPr>
                <w:rFonts w:hint="eastAsia"/>
                <w:color w:val="auto"/>
                <w:spacing w:val="-5"/>
                <w:sz w:val="24"/>
                <w:szCs w:val="22"/>
              </w:rPr>
              <w:t>20</w:t>
            </w:r>
          </w:p>
        </w:tc>
        <w:tc>
          <w:tcPr>
            <w:tcW w:w="612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48" w:beforeLines="0" w:afterLines="0" w:line="237" w:lineRule="auto"/>
              <w:ind w:right="239"/>
              <w:rPr>
                <w:rFonts w:hint="eastAsia"/>
                <w:color w:val="auto"/>
                <w:sz w:val="24"/>
                <w:szCs w:val="22"/>
              </w:rPr>
            </w:pPr>
            <w:r>
              <w:rPr>
                <w:rFonts w:hint="eastAsia"/>
                <w:color w:val="auto"/>
                <w:spacing w:val="-2"/>
                <w:sz w:val="24"/>
                <w:szCs w:val="22"/>
              </w:rPr>
              <w:t>提供的产品/服务出现严重安全隐患，且拒绝整改或整改不及时、不到位的</w:t>
            </w:r>
          </w:p>
        </w:tc>
        <w:tc>
          <w:tcPr>
            <w:tcW w:w="67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81" w:beforeLines="0" w:afterLines="0"/>
              <w:rPr>
                <w:rFonts w:hint="eastAsia"/>
                <w:color w:val="auto"/>
                <w:sz w:val="24"/>
                <w:szCs w:val="22"/>
              </w:rPr>
            </w:pPr>
            <w:r>
              <w:rPr>
                <w:rFonts w:hint="eastAsia"/>
                <w:color w:val="auto"/>
                <w:spacing w:val="-3"/>
                <w:sz w:val="24"/>
                <w:szCs w:val="22"/>
              </w:rPr>
              <w:t>对供应商给予“长期禁用”处理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 w:beforeLines="0" w:afterLines="0"/>
              <w:ind w:left="0"/>
              <w:rPr>
                <w:rFonts w:hint="eastAsia"/>
                <w:b/>
                <w:color w:val="auto"/>
                <w:sz w:val="24"/>
                <w:szCs w:val="22"/>
              </w:rPr>
            </w:pPr>
          </w:p>
          <w:p>
            <w:pPr>
              <w:pStyle w:val="12"/>
              <w:spacing w:beforeLines="0" w:afterLines="0"/>
              <w:ind w:left="49"/>
              <w:jc w:val="center"/>
              <w:rPr>
                <w:rFonts w:hint="eastAsia"/>
                <w:color w:val="auto"/>
                <w:sz w:val="24"/>
                <w:szCs w:val="22"/>
              </w:rPr>
            </w:pPr>
            <w:r>
              <w:rPr>
                <w:rFonts w:hint="eastAsia"/>
                <w:color w:val="auto"/>
                <w:spacing w:val="-5"/>
                <w:sz w:val="24"/>
                <w:szCs w:val="22"/>
              </w:rPr>
              <w:t>21</w:t>
            </w:r>
          </w:p>
        </w:tc>
        <w:tc>
          <w:tcPr>
            <w:tcW w:w="612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55" w:beforeLines="0" w:afterLines="0"/>
              <w:ind w:left="0"/>
              <w:rPr>
                <w:rFonts w:hint="eastAsia"/>
                <w:b/>
                <w:color w:val="auto"/>
                <w:sz w:val="24"/>
                <w:szCs w:val="22"/>
              </w:rPr>
            </w:pPr>
          </w:p>
          <w:p>
            <w:pPr>
              <w:pStyle w:val="12"/>
              <w:spacing w:beforeLines="0" w:afterLines="0"/>
              <w:rPr>
                <w:rFonts w:hint="eastAsia"/>
                <w:color w:val="auto"/>
                <w:sz w:val="24"/>
                <w:szCs w:val="22"/>
              </w:rPr>
            </w:pPr>
            <w:r>
              <w:rPr>
                <w:rFonts w:hint="eastAsia"/>
                <w:color w:val="auto"/>
                <w:spacing w:val="-1"/>
                <w:sz w:val="24"/>
                <w:szCs w:val="22"/>
              </w:rPr>
              <w:t>未经许可，对外披露中国海油商业秘密信息的</w:t>
            </w:r>
          </w:p>
        </w:tc>
        <w:tc>
          <w:tcPr>
            <w:tcW w:w="67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67" w:beforeLines="0" w:afterLines="0" w:line="237" w:lineRule="auto"/>
              <w:ind w:right="1753"/>
              <w:jc w:val="both"/>
              <w:rPr>
                <w:rFonts w:hint="eastAsia"/>
                <w:color w:val="auto"/>
                <w:sz w:val="24"/>
                <w:szCs w:val="22"/>
              </w:rPr>
            </w:pPr>
            <w:r>
              <w:rPr>
                <w:rFonts w:hint="eastAsia"/>
                <w:color w:val="auto"/>
                <w:spacing w:val="-2"/>
                <w:sz w:val="24"/>
                <w:szCs w:val="22"/>
              </w:rPr>
              <w:t>情节较轻的，供应商给予“禁用一年”处理；情节较重的，供应商给予“禁用两年”处理；</w:t>
            </w:r>
            <w:r>
              <w:rPr>
                <w:rFonts w:hint="eastAsia"/>
                <w:color w:val="auto"/>
                <w:spacing w:val="-3"/>
                <w:sz w:val="24"/>
                <w:szCs w:val="22"/>
              </w:rPr>
              <w:t>情节严重的，对供应商给予“长期禁用”处理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6" w:beforeLines="0" w:afterLines="0"/>
              <w:ind w:left="49"/>
              <w:jc w:val="center"/>
              <w:rPr>
                <w:rFonts w:hint="eastAsia"/>
                <w:color w:val="auto"/>
                <w:sz w:val="24"/>
                <w:szCs w:val="22"/>
              </w:rPr>
            </w:pPr>
            <w:r>
              <w:rPr>
                <w:rFonts w:hint="eastAsia"/>
                <w:color w:val="auto"/>
                <w:spacing w:val="-5"/>
                <w:sz w:val="24"/>
                <w:szCs w:val="22"/>
              </w:rPr>
              <w:t>22</w:t>
            </w:r>
          </w:p>
        </w:tc>
        <w:tc>
          <w:tcPr>
            <w:tcW w:w="612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51" w:beforeLines="0" w:afterLines="0" w:line="235" w:lineRule="auto"/>
              <w:ind w:right="136"/>
              <w:rPr>
                <w:rFonts w:hint="eastAsia"/>
                <w:color w:val="auto"/>
                <w:sz w:val="24"/>
                <w:szCs w:val="22"/>
              </w:rPr>
            </w:pPr>
            <w:r>
              <w:rPr>
                <w:rFonts w:hint="eastAsia"/>
                <w:color w:val="auto"/>
                <w:spacing w:val="-2"/>
                <w:sz w:val="24"/>
                <w:szCs w:val="22"/>
              </w:rPr>
              <w:t>由于供应商的过失，与中国海油及所属单位产生法律诉</w:t>
            </w:r>
            <w:r>
              <w:rPr>
                <w:rFonts w:hint="eastAsia"/>
                <w:color w:val="auto"/>
                <w:spacing w:val="-6"/>
                <w:sz w:val="24"/>
                <w:szCs w:val="22"/>
              </w:rPr>
              <w:t>讼的</w:t>
            </w:r>
          </w:p>
        </w:tc>
        <w:tc>
          <w:tcPr>
            <w:tcW w:w="67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69" w:beforeLines="0" w:afterLines="0"/>
              <w:rPr>
                <w:rFonts w:hint="eastAsia"/>
                <w:color w:val="auto"/>
                <w:sz w:val="24"/>
                <w:szCs w:val="22"/>
              </w:rPr>
            </w:pPr>
            <w:r>
              <w:rPr>
                <w:rFonts w:hint="eastAsia"/>
                <w:color w:val="auto"/>
                <w:spacing w:val="-3"/>
                <w:sz w:val="24"/>
                <w:szCs w:val="22"/>
              </w:rPr>
              <w:t>对供应商给予“禁用一年至禁用两年”处理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4" w:beforeLines="0" w:afterLines="0"/>
              <w:ind w:left="49"/>
              <w:jc w:val="center"/>
              <w:rPr>
                <w:rFonts w:hint="eastAsia"/>
                <w:color w:val="auto"/>
                <w:sz w:val="24"/>
                <w:szCs w:val="22"/>
              </w:rPr>
            </w:pPr>
            <w:r>
              <w:rPr>
                <w:rFonts w:hint="eastAsia"/>
                <w:color w:val="auto"/>
                <w:spacing w:val="-5"/>
                <w:sz w:val="24"/>
                <w:szCs w:val="22"/>
              </w:rPr>
              <w:t>23</w:t>
            </w:r>
          </w:p>
        </w:tc>
        <w:tc>
          <w:tcPr>
            <w:tcW w:w="612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49" w:beforeLines="0" w:afterLines="0" w:line="237" w:lineRule="auto"/>
              <w:ind w:right="95"/>
              <w:rPr>
                <w:rFonts w:hint="eastAsia"/>
                <w:color w:val="auto"/>
                <w:sz w:val="24"/>
                <w:szCs w:val="22"/>
              </w:rPr>
            </w:pPr>
            <w:r>
              <w:rPr>
                <w:rFonts w:hint="eastAsia"/>
                <w:color w:val="auto"/>
                <w:sz w:val="24"/>
                <w:szCs w:val="22"/>
              </w:rPr>
              <w:t>对三年记分周期内累积记分满 12 分，或三次合同均发</w:t>
            </w:r>
            <w:r>
              <w:rPr>
                <w:rFonts w:hint="eastAsia"/>
                <w:color w:val="auto"/>
                <w:spacing w:val="-11"/>
                <w:sz w:val="24"/>
                <w:szCs w:val="22"/>
              </w:rPr>
              <w:t xml:space="preserve">生 </w:t>
            </w:r>
            <w:r>
              <w:rPr>
                <w:rFonts w:hint="eastAsia"/>
                <w:color w:val="auto"/>
                <w:sz w:val="24"/>
                <w:szCs w:val="22"/>
              </w:rPr>
              <w:t>B</w:t>
            </w:r>
            <w:r>
              <w:rPr>
                <w:rFonts w:hint="eastAsia"/>
                <w:color w:val="auto"/>
                <w:spacing w:val="-5"/>
                <w:sz w:val="24"/>
                <w:szCs w:val="22"/>
              </w:rPr>
              <w:t xml:space="preserve"> 级事故的供应商/承包商</w:t>
            </w:r>
          </w:p>
        </w:tc>
        <w:tc>
          <w:tcPr>
            <w:tcW w:w="67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58" w:beforeLines="0" w:afterLines="0" w:line="235" w:lineRule="auto"/>
              <w:ind w:right="95"/>
              <w:rPr>
                <w:rFonts w:hint="eastAsia"/>
                <w:color w:val="auto"/>
                <w:sz w:val="24"/>
                <w:szCs w:val="22"/>
              </w:rPr>
            </w:pPr>
            <w:r>
              <w:rPr>
                <w:rFonts w:hint="eastAsia"/>
                <w:color w:val="auto"/>
                <w:spacing w:val="-2"/>
                <w:sz w:val="24"/>
                <w:szCs w:val="22"/>
              </w:rPr>
              <w:t>视情形对供应商给予“禁用一年至禁用两年”处理，情节严重的，对供应商给予“长期禁用”处理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7"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98" w:beforeLines="0" w:afterLines="0"/>
              <w:ind w:left="0"/>
              <w:rPr>
                <w:rFonts w:hint="eastAsia"/>
                <w:b/>
                <w:color w:val="auto"/>
                <w:sz w:val="24"/>
                <w:szCs w:val="22"/>
              </w:rPr>
            </w:pPr>
          </w:p>
          <w:p>
            <w:pPr>
              <w:pStyle w:val="12"/>
              <w:spacing w:beforeLines="0" w:afterLines="0"/>
              <w:ind w:left="49"/>
              <w:jc w:val="center"/>
              <w:rPr>
                <w:rFonts w:hint="eastAsia"/>
                <w:color w:val="auto"/>
                <w:sz w:val="24"/>
                <w:szCs w:val="22"/>
              </w:rPr>
            </w:pPr>
            <w:r>
              <w:rPr>
                <w:rFonts w:hint="eastAsia"/>
                <w:color w:val="auto"/>
                <w:spacing w:val="-5"/>
                <w:sz w:val="24"/>
                <w:szCs w:val="22"/>
              </w:rPr>
              <w:t>24</w:t>
            </w:r>
          </w:p>
        </w:tc>
        <w:tc>
          <w:tcPr>
            <w:tcW w:w="612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4" w:beforeLines="0" w:afterLines="0"/>
              <w:ind w:left="0"/>
              <w:rPr>
                <w:rFonts w:hint="eastAsia"/>
                <w:b/>
                <w:color w:val="auto"/>
                <w:sz w:val="24"/>
                <w:szCs w:val="22"/>
              </w:rPr>
            </w:pPr>
          </w:p>
          <w:p>
            <w:pPr>
              <w:pStyle w:val="12"/>
              <w:spacing w:beforeLines="0" w:afterLines="0" w:line="242" w:lineRule="auto"/>
              <w:ind w:right="359"/>
              <w:rPr>
                <w:rFonts w:hint="eastAsia"/>
                <w:color w:val="auto"/>
                <w:sz w:val="24"/>
                <w:szCs w:val="22"/>
              </w:rPr>
            </w:pPr>
            <w:r>
              <w:rPr>
                <w:rFonts w:hint="eastAsia"/>
                <w:color w:val="auto"/>
                <w:spacing w:val="-2"/>
                <w:sz w:val="24"/>
                <w:szCs w:val="22"/>
              </w:rPr>
              <w:t>供应商在提报中国海油员工、员工亲属、离职退休的领导人员在本单位的任职和持股情况时</w:t>
            </w:r>
          </w:p>
        </w:tc>
        <w:tc>
          <w:tcPr>
            <w:tcW w:w="67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81" w:beforeLines="0" w:afterLines="0" w:line="310" w:lineRule="atLeast"/>
              <w:ind w:right="297"/>
              <w:jc w:val="both"/>
              <w:rPr>
                <w:rFonts w:hint="eastAsia"/>
                <w:color w:val="auto"/>
                <w:sz w:val="24"/>
                <w:szCs w:val="22"/>
              </w:rPr>
            </w:pPr>
            <w:r>
              <w:rPr>
                <w:rFonts w:hint="eastAsia"/>
                <w:color w:val="auto"/>
                <w:spacing w:val="-16"/>
                <w:sz w:val="24"/>
                <w:szCs w:val="22"/>
              </w:rPr>
              <w:t>存在瞒报相关情况的，对供应商给予 “禁用一年”处理； 存</w:t>
            </w:r>
            <w:r>
              <w:rPr>
                <w:rFonts w:hint="eastAsia"/>
                <w:color w:val="auto"/>
                <w:spacing w:val="-2"/>
                <w:sz w:val="24"/>
                <w:szCs w:val="22"/>
              </w:rPr>
              <w:t>在利用中国海油人员的职务之便牟取不正当利益情形的，对供应商给予“长期禁用”处理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24" w:beforeLines="0" w:afterLines="0"/>
              <w:ind w:left="49"/>
              <w:jc w:val="center"/>
              <w:rPr>
                <w:rFonts w:hint="eastAsia"/>
                <w:color w:val="auto"/>
                <w:sz w:val="24"/>
                <w:szCs w:val="22"/>
              </w:rPr>
            </w:pPr>
            <w:r>
              <w:rPr>
                <w:rFonts w:hint="eastAsia"/>
                <w:color w:val="auto"/>
                <w:spacing w:val="-5"/>
                <w:sz w:val="24"/>
                <w:szCs w:val="22"/>
              </w:rPr>
              <w:t>25</w:t>
            </w:r>
          </w:p>
        </w:tc>
        <w:tc>
          <w:tcPr>
            <w:tcW w:w="612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11" w:beforeLines="0" w:afterLines="0"/>
              <w:rPr>
                <w:rFonts w:hint="eastAsia"/>
                <w:color w:val="auto"/>
                <w:sz w:val="24"/>
                <w:szCs w:val="22"/>
              </w:rPr>
            </w:pPr>
            <w:r>
              <w:rPr>
                <w:rFonts w:hint="eastAsia"/>
                <w:color w:val="auto"/>
                <w:spacing w:val="-1"/>
                <w:sz w:val="24"/>
                <w:szCs w:val="22"/>
              </w:rPr>
              <w:t>对存在其它不当行为可能给中国海油带来风险的</w:t>
            </w:r>
          </w:p>
        </w:tc>
        <w:tc>
          <w:tcPr>
            <w:tcW w:w="67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11" w:beforeLines="0" w:afterLines="0"/>
              <w:rPr>
                <w:rFonts w:hint="eastAsia"/>
                <w:color w:val="auto"/>
                <w:sz w:val="24"/>
                <w:szCs w:val="22"/>
              </w:rPr>
            </w:pPr>
            <w:r>
              <w:rPr>
                <w:rFonts w:hint="eastAsia"/>
                <w:color w:val="auto"/>
                <w:spacing w:val="-3"/>
                <w:sz w:val="24"/>
                <w:szCs w:val="22"/>
              </w:rPr>
              <w:t>根据情况或问题程度，约谈供应商，或“警告”处理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8" w:beforeLines="0" w:afterLines="0"/>
              <w:ind w:left="49"/>
              <w:jc w:val="center"/>
              <w:rPr>
                <w:rFonts w:hint="eastAsia"/>
                <w:color w:val="auto"/>
                <w:sz w:val="24"/>
                <w:szCs w:val="22"/>
              </w:rPr>
            </w:pPr>
            <w:r>
              <w:rPr>
                <w:rFonts w:hint="eastAsia"/>
                <w:color w:val="auto"/>
                <w:spacing w:val="-5"/>
                <w:sz w:val="24"/>
                <w:szCs w:val="22"/>
              </w:rPr>
              <w:t>26</w:t>
            </w:r>
          </w:p>
        </w:tc>
        <w:tc>
          <w:tcPr>
            <w:tcW w:w="612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47" w:beforeLines="0" w:afterLines="0" w:line="237" w:lineRule="auto"/>
              <w:ind w:right="359"/>
              <w:rPr>
                <w:rFonts w:hint="eastAsia"/>
                <w:color w:val="auto"/>
                <w:sz w:val="24"/>
                <w:szCs w:val="22"/>
              </w:rPr>
            </w:pPr>
            <w:r>
              <w:rPr>
                <w:rFonts w:hint="eastAsia"/>
                <w:color w:val="auto"/>
                <w:spacing w:val="-2"/>
                <w:sz w:val="24"/>
                <w:szCs w:val="22"/>
              </w:rPr>
              <w:t>其它违反国家法律法规及集团公司规章制度的行为，包括国家、审计、纪检监察、巡视等函件反映问题</w:t>
            </w:r>
          </w:p>
        </w:tc>
        <w:tc>
          <w:tcPr>
            <w:tcW w:w="678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47" w:beforeLines="0" w:afterLines="0" w:line="237" w:lineRule="auto"/>
              <w:ind w:right="297"/>
              <w:rPr>
                <w:rFonts w:hint="eastAsia"/>
                <w:color w:val="auto"/>
                <w:sz w:val="24"/>
                <w:szCs w:val="22"/>
              </w:rPr>
            </w:pPr>
            <w:r>
              <w:rPr>
                <w:rFonts w:hint="eastAsia"/>
                <w:color w:val="auto"/>
                <w:spacing w:val="-2"/>
                <w:sz w:val="24"/>
                <w:szCs w:val="22"/>
              </w:rPr>
              <w:t>由物资装备部或物资装备部组织相关管理部门及所属单位，对供应商问题性质及业务实际情况判定，进行相应处理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13939"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93" w:beforeLines="0" w:afterLines="0"/>
              <w:ind w:left="213"/>
              <w:rPr>
                <w:rFonts w:hint="eastAsia"/>
                <w:color w:val="auto"/>
                <w:sz w:val="24"/>
                <w:szCs w:val="22"/>
              </w:rPr>
            </w:pPr>
            <w:r>
              <w:rPr>
                <w:rFonts w:hint="eastAsia"/>
                <w:color w:val="auto"/>
                <w:spacing w:val="-1"/>
                <w:sz w:val="24"/>
                <w:szCs w:val="22"/>
              </w:rPr>
              <w:t>二、经营状况异常供应商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13939"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26" w:beforeLines="0" w:afterLines="0"/>
              <w:ind w:left="213"/>
              <w:rPr>
                <w:rFonts w:hint="eastAsia"/>
                <w:color w:val="auto"/>
                <w:sz w:val="24"/>
                <w:szCs w:val="22"/>
              </w:rPr>
            </w:pPr>
            <w:r>
              <w:rPr>
                <w:rFonts w:hint="eastAsia"/>
                <w:color w:val="auto"/>
                <w:spacing w:val="-1"/>
                <w:sz w:val="24"/>
                <w:szCs w:val="22"/>
              </w:rPr>
              <w:t>对经营状况异常供应商给予“无固定期禁用”处理，直至其经营风险被解除。</w:t>
            </w:r>
          </w:p>
        </w:tc>
      </w:tr>
    </w:tbl>
    <w:p>
      <w:pPr>
        <w:pStyle w:val="2"/>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tbl>
      <w:tblPr>
        <w:tblStyle w:val="8"/>
        <w:tblW w:w="0" w:type="auto"/>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6"/>
        <w:gridCol w:w="129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3939"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74" w:beforeLines="0" w:afterLines="0"/>
              <w:ind w:left="213"/>
              <w:rPr>
                <w:rFonts w:hint="eastAsia"/>
                <w:color w:val="auto"/>
                <w:sz w:val="24"/>
                <w:szCs w:val="22"/>
              </w:rPr>
            </w:pPr>
            <w:r>
              <w:rPr>
                <w:rFonts w:hint="eastAsia"/>
                <w:color w:val="auto"/>
                <w:spacing w:val="-1"/>
                <w:sz w:val="24"/>
                <w:szCs w:val="22"/>
              </w:rPr>
              <w:t>三、考核不合格供应商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13939"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50" w:beforeLines="0" w:afterLines="0" w:line="235" w:lineRule="auto"/>
              <w:ind w:left="213" w:right="95"/>
              <w:rPr>
                <w:rFonts w:hint="eastAsia"/>
                <w:color w:val="auto"/>
                <w:sz w:val="24"/>
                <w:szCs w:val="22"/>
              </w:rPr>
            </w:pPr>
            <w:r>
              <w:rPr>
                <w:rFonts w:hint="eastAsia"/>
                <w:color w:val="auto"/>
                <w:spacing w:val="-2"/>
                <w:sz w:val="24"/>
                <w:szCs w:val="22"/>
              </w:rPr>
              <w:t>对考核不合格供应商，允许供应商按要求整改，整改期间暂停使用，整改后仍不能通过审核的，对考核不合格的品类给予“禁用一年”处理。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13939"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64" w:beforeLines="0" w:afterLines="0"/>
              <w:ind w:left="213"/>
              <w:rPr>
                <w:rFonts w:hint="eastAsia"/>
                <w:color w:val="auto"/>
                <w:sz w:val="24"/>
                <w:szCs w:val="22"/>
              </w:rPr>
            </w:pPr>
            <w:r>
              <w:rPr>
                <w:rFonts w:hint="eastAsia"/>
                <w:color w:val="auto"/>
                <w:spacing w:val="-2"/>
                <w:sz w:val="24"/>
                <w:szCs w:val="22"/>
              </w:rPr>
              <w:t>四、关联关系供应商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3"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67" w:beforeLines="0" w:afterLines="0"/>
              <w:ind w:left="49"/>
              <w:jc w:val="center"/>
              <w:rPr>
                <w:rFonts w:hint="eastAsia"/>
                <w:color w:val="auto"/>
                <w:sz w:val="24"/>
                <w:szCs w:val="22"/>
              </w:rPr>
            </w:pPr>
            <w:r>
              <w:rPr>
                <w:rFonts w:hint="eastAsia"/>
                <w:color w:val="auto"/>
                <w:spacing w:val="-10"/>
                <w:sz w:val="24"/>
                <w:szCs w:val="22"/>
              </w:rPr>
              <w:t>1</w:t>
            </w:r>
          </w:p>
        </w:tc>
        <w:tc>
          <w:tcPr>
            <w:tcW w:w="1290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61" w:beforeLines="0" w:afterLines="0"/>
              <w:ind w:right="321"/>
              <w:rPr>
                <w:rFonts w:hint="eastAsia"/>
                <w:color w:val="auto"/>
                <w:sz w:val="24"/>
                <w:szCs w:val="22"/>
              </w:rPr>
            </w:pPr>
            <w:r>
              <w:rPr>
                <w:rFonts w:hint="eastAsia"/>
                <w:color w:val="auto"/>
                <w:spacing w:val="-2"/>
                <w:sz w:val="24"/>
                <w:szCs w:val="22"/>
              </w:rPr>
              <w:t>根据《招标投标法实施条例》第三十四条款规定，在招标/采购文件中明确“投标人与本招标项目其他投标人不得存在控股关系或管理关系、单位负责人为同一人”的相应条款，并作为评标/评审的否决项；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4" w:beforeLines="0" w:afterLines="0"/>
              <w:ind w:left="49"/>
              <w:jc w:val="center"/>
              <w:rPr>
                <w:rFonts w:hint="eastAsia"/>
                <w:color w:val="auto"/>
                <w:sz w:val="24"/>
                <w:szCs w:val="22"/>
              </w:rPr>
            </w:pPr>
            <w:r>
              <w:rPr>
                <w:rFonts w:hint="eastAsia"/>
                <w:color w:val="auto"/>
                <w:spacing w:val="-10"/>
                <w:sz w:val="24"/>
                <w:szCs w:val="22"/>
              </w:rPr>
              <w:t>2</w:t>
            </w:r>
          </w:p>
        </w:tc>
        <w:tc>
          <w:tcPr>
            <w:tcW w:w="1290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51" w:beforeLines="0" w:afterLines="0" w:line="235" w:lineRule="auto"/>
              <w:ind w:right="196"/>
              <w:rPr>
                <w:rFonts w:hint="eastAsia"/>
                <w:color w:val="auto"/>
                <w:sz w:val="24"/>
                <w:szCs w:val="22"/>
              </w:rPr>
            </w:pPr>
            <w:r>
              <w:rPr>
                <w:rFonts w:hint="eastAsia"/>
                <w:color w:val="auto"/>
                <w:spacing w:val="-8"/>
                <w:sz w:val="24"/>
                <w:szCs w:val="22"/>
              </w:rPr>
              <w:t>要求供应商参与招标/采购活动时签署《承诺书》，并附上供应商的公司章程或其他能够体现出资人、股东信息的法定文</w:t>
            </w:r>
            <w:r>
              <w:rPr>
                <w:rFonts w:hint="eastAsia"/>
                <w:color w:val="auto"/>
                <w:spacing w:val="-2"/>
                <w:sz w:val="24"/>
                <w:szCs w:val="22"/>
              </w:rPr>
              <w:t>件，作为评标/评审时的依据；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5"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4" w:beforeLines="0" w:afterLines="0"/>
              <w:ind w:left="0"/>
              <w:rPr>
                <w:rFonts w:hint="eastAsia"/>
                <w:b/>
                <w:color w:val="auto"/>
                <w:sz w:val="24"/>
                <w:szCs w:val="22"/>
              </w:rPr>
            </w:pPr>
          </w:p>
          <w:p>
            <w:pPr>
              <w:pStyle w:val="12"/>
              <w:spacing w:beforeLines="0" w:afterLines="0"/>
              <w:ind w:left="49"/>
              <w:jc w:val="center"/>
              <w:rPr>
                <w:rFonts w:hint="eastAsia"/>
                <w:color w:val="auto"/>
                <w:sz w:val="24"/>
                <w:szCs w:val="22"/>
              </w:rPr>
            </w:pPr>
            <w:r>
              <w:rPr>
                <w:rFonts w:hint="eastAsia"/>
                <w:color w:val="auto"/>
                <w:spacing w:val="-10"/>
                <w:sz w:val="24"/>
                <w:szCs w:val="22"/>
              </w:rPr>
              <w:t>3</w:t>
            </w:r>
          </w:p>
        </w:tc>
        <w:tc>
          <w:tcPr>
            <w:tcW w:w="1290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64" w:beforeLines="0" w:afterLines="0"/>
              <w:ind w:right="95"/>
              <w:jc w:val="both"/>
              <w:rPr>
                <w:rFonts w:hint="eastAsia"/>
                <w:color w:val="auto"/>
                <w:sz w:val="24"/>
                <w:szCs w:val="22"/>
              </w:rPr>
            </w:pPr>
            <w:r>
              <w:rPr>
                <w:rFonts w:hint="eastAsia"/>
                <w:color w:val="auto"/>
                <w:spacing w:val="-2"/>
                <w:sz w:val="24"/>
                <w:szCs w:val="22"/>
              </w:rPr>
              <w:t>在非公开采购项目中，在确定被邀请的供应商名单前，要对供应商的单位负责人、股东情况等进行核实，严禁邀请“存在控股关系或管理关系、单位负责人为同一人、同一自然人同时持有两家公司非公开上市股份”情形的关联关系供应商同时参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6" w:hRule="atLeast"/>
        </w:trPr>
        <w:tc>
          <w:tcPr>
            <w:tcW w:w="1036"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65" w:beforeLines="0" w:afterLines="0"/>
              <w:ind w:left="49"/>
              <w:jc w:val="center"/>
              <w:rPr>
                <w:rFonts w:hint="eastAsia"/>
                <w:color w:val="auto"/>
                <w:sz w:val="24"/>
                <w:szCs w:val="22"/>
              </w:rPr>
            </w:pPr>
            <w:r>
              <w:rPr>
                <w:rFonts w:hint="eastAsia"/>
                <w:color w:val="auto"/>
                <w:spacing w:val="-10"/>
                <w:sz w:val="24"/>
                <w:szCs w:val="22"/>
              </w:rPr>
              <w:t>4</w:t>
            </w:r>
          </w:p>
        </w:tc>
        <w:tc>
          <w:tcPr>
            <w:tcW w:w="1290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5" w:beforeLines="0" w:afterLines="0"/>
              <w:ind w:left="0"/>
              <w:rPr>
                <w:rFonts w:hint="eastAsia"/>
                <w:b/>
                <w:color w:val="auto"/>
                <w:sz w:val="24"/>
                <w:szCs w:val="22"/>
              </w:rPr>
            </w:pPr>
          </w:p>
          <w:p>
            <w:pPr>
              <w:pStyle w:val="12"/>
              <w:spacing w:beforeLines="0" w:afterLines="0"/>
              <w:ind w:right="-44"/>
              <w:rPr>
                <w:rFonts w:hint="eastAsia"/>
                <w:color w:val="auto"/>
                <w:sz w:val="24"/>
                <w:szCs w:val="22"/>
              </w:rPr>
            </w:pPr>
            <w:r>
              <w:rPr>
                <w:rFonts w:hint="eastAsia"/>
                <w:color w:val="auto"/>
                <w:spacing w:val="-2"/>
                <w:sz w:val="24"/>
                <w:szCs w:val="22"/>
              </w:rPr>
              <w:t>在结果公示阶段，对涉及关联关系的供应商共同参与竞争的相关异议或投诉要进行调查，对发现违反招投标法《招标投标</w:t>
            </w:r>
            <w:r>
              <w:rPr>
                <w:rFonts w:hint="eastAsia"/>
                <w:color w:val="auto"/>
                <w:spacing w:val="-1"/>
                <w:sz w:val="24"/>
                <w:szCs w:val="22"/>
              </w:rPr>
              <w:t>法实施条例》第三十四条款规定的中标方，取消其中标资格，对发现存在围标、串标情形的投标人或供应商要严肃处理；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3939"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42" w:beforeLines="0" w:afterLines="0"/>
              <w:ind w:left="213"/>
              <w:rPr>
                <w:rFonts w:hint="eastAsia"/>
                <w:color w:val="auto"/>
                <w:sz w:val="24"/>
                <w:szCs w:val="22"/>
              </w:rPr>
            </w:pPr>
            <w:r>
              <w:rPr>
                <w:rFonts w:hint="eastAsia"/>
                <w:color w:val="auto"/>
                <w:spacing w:val="-1"/>
                <w:sz w:val="24"/>
                <w:szCs w:val="22"/>
              </w:rPr>
              <w:t>五、政府通报查处供应商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13939"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52" w:beforeLines="0" w:afterLines="0" w:line="244" w:lineRule="auto"/>
              <w:ind w:left="213" w:right="280"/>
              <w:rPr>
                <w:rFonts w:hint="eastAsia"/>
                <w:color w:val="auto"/>
                <w:sz w:val="24"/>
                <w:szCs w:val="22"/>
              </w:rPr>
            </w:pPr>
            <w:r>
              <w:rPr>
                <w:rFonts w:hint="eastAsia"/>
                <w:color w:val="auto"/>
                <w:spacing w:val="-2"/>
                <w:sz w:val="24"/>
                <w:szCs w:val="22"/>
              </w:rPr>
              <w:t>对政府通报查处供应商，如国家机关对供应商有具体明确处理意见的，按其意见处理；如无明确处理意见的，可参考供应商违规违法情节进行处理。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13939"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60" w:beforeLines="0" w:afterLines="0"/>
              <w:ind w:left="213"/>
              <w:rPr>
                <w:rFonts w:hint="eastAsia"/>
                <w:color w:val="auto"/>
                <w:sz w:val="24"/>
                <w:szCs w:val="22"/>
              </w:rPr>
            </w:pPr>
            <w:r>
              <w:rPr>
                <w:rFonts w:hint="eastAsia"/>
                <w:color w:val="auto"/>
                <w:spacing w:val="-2"/>
                <w:sz w:val="24"/>
                <w:szCs w:val="22"/>
              </w:rPr>
              <w:t>六、禁业限制供应商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13939"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71" w:beforeLines="0" w:afterLines="0"/>
              <w:ind w:left="213" w:right="393"/>
              <w:rPr>
                <w:rFonts w:hint="eastAsia"/>
                <w:color w:val="auto"/>
                <w:sz w:val="24"/>
                <w:szCs w:val="22"/>
              </w:rPr>
            </w:pPr>
            <w:r>
              <w:rPr>
                <w:rFonts w:hint="eastAsia"/>
                <w:color w:val="auto"/>
                <w:spacing w:val="-6"/>
                <w:sz w:val="24"/>
                <w:szCs w:val="22"/>
              </w:rPr>
              <w:t>依据《关于禁止利用中国海油资源谋利的规定》</w:t>
            </w:r>
            <w:r>
              <w:rPr>
                <w:rFonts w:hint="eastAsia"/>
                <w:color w:val="auto"/>
                <w:sz w:val="24"/>
                <w:szCs w:val="22"/>
              </w:rPr>
              <w:t>（党组〔2021〕100</w:t>
            </w:r>
            <w:r>
              <w:rPr>
                <w:rFonts w:hint="eastAsia"/>
                <w:color w:val="auto"/>
                <w:spacing w:val="-13"/>
                <w:sz w:val="24"/>
                <w:szCs w:val="22"/>
              </w:rPr>
              <w:t xml:space="preserve"> 号 </w:t>
            </w:r>
            <w:r>
              <w:rPr>
                <w:rFonts w:hint="eastAsia"/>
                <w:color w:val="auto"/>
                <w:spacing w:val="-120"/>
                <w:sz w:val="24"/>
                <w:szCs w:val="22"/>
              </w:rPr>
              <w:t>）</w:t>
            </w:r>
            <w:r>
              <w:rPr>
                <w:rFonts w:hint="eastAsia"/>
                <w:color w:val="auto"/>
                <w:sz w:val="24"/>
                <w:szCs w:val="22"/>
              </w:rPr>
              <w:t>，对员工主动申报、或供应商主动报告的禁业限制供应</w:t>
            </w:r>
            <w:r>
              <w:rPr>
                <w:rFonts w:hint="eastAsia"/>
                <w:color w:val="auto"/>
                <w:spacing w:val="-2"/>
                <w:sz w:val="24"/>
                <w:szCs w:val="22"/>
              </w:rPr>
              <w:t>商，依照集团公司相关规定对供应商及其下属分公司、全资子公司和控股公司进行以下处理：</w:t>
            </w:r>
          </w:p>
        </w:tc>
      </w:tr>
    </w:tbl>
    <w:p>
      <w:pPr>
        <w:pStyle w:val="2"/>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tbl>
      <w:tblPr>
        <w:tblStyle w:val="8"/>
        <w:tblW w:w="0" w:type="auto"/>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9"/>
        <w:gridCol w:w="6141"/>
        <w:gridCol w:w="68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103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17" w:beforeLines="0" w:afterLines="0"/>
              <w:ind w:left="135" w:right="72"/>
              <w:jc w:val="center"/>
              <w:rPr>
                <w:rFonts w:hint="eastAsia"/>
                <w:b/>
                <w:color w:val="auto"/>
                <w:sz w:val="24"/>
                <w:szCs w:val="22"/>
              </w:rPr>
            </w:pPr>
            <w:r>
              <w:rPr>
                <w:rFonts w:hint="eastAsia"/>
                <w:b/>
                <w:color w:val="auto"/>
                <w:spacing w:val="-7"/>
                <w:sz w:val="24"/>
                <w:szCs w:val="22"/>
              </w:rPr>
              <w:t>序号</w:t>
            </w:r>
          </w:p>
        </w:tc>
        <w:tc>
          <w:tcPr>
            <w:tcW w:w="614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17" w:beforeLines="0" w:afterLines="0"/>
              <w:ind w:left="112"/>
              <w:jc w:val="center"/>
              <w:rPr>
                <w:rFonts w:hint="eastAsia"/>
                <w:b/>
                <w:color w:val="auto"/>
                <w:sz w:val="24"/>
                <w:szCs w:val="22"/>
              </w:rPr>
            </w:pPr>
            <w:r>
              <w:rPr>
                <w:rFonts w:hint="eastAsia"/>
                <w:b/>
                <w:color w:val="auto"/>
                <w:spacing w:val="-4"/>
                <w:sz w:val="24"/>
                <w:szCs w:val="22"/>
              </w:rPr>
              <w:t>禁业限制的类型</w:t>
            </w:r>
          </w:p>
        </w:tc>
        <w:tc>
          <w:tcPr>
            <w:tcW w:w="68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217" w:beforeLines="0" w:afterLines="0"/>
              <w:ind w:left="114"/>
              <w:jc w:val="center"/>
              <w:rPr>
                <w:rFonts w:hint="eastAsia"/>
                <w:b/>
                <w:color w:val="auto"/>
                <w:sz w:val="24"/>
                <w:szCs w:val="22"/>
              </w:rPr>
            </w:pPr>
            <w:r>
              <w:rPr>
                <w:rFonts w:hint="eastAsia"/>
                <w:b/>
                <w:color w:val="auto"/>
                <w:spacing w:val="-4"/>
                <w:sz w:val="24"/>
                <w:szCs w:val="22"/>
              </w:rPr>
              <w:t>处理标准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039" w:type="dxa"/>
            <w:tcBorders>
              <w:top w:val="single" w:color="000000" w:sz="4" w:space="0"/>
              <w:left w:val="single" w:color="000000" w:sz="4" w:space="0"/>
              <w:bottom w:val="single" w:color="000000" w:sz="6" w:space="0"/>
              <w:right w:val="single" w:color="000000" w:sz="4" w:space="0"/>
              <w:tl2br w:val="nil"/>
              <w:tr2bl w:val="nil"/>
            </w:tcBorders>
            <w:noWrap w:val="0"/>
            <w:vAlign w:val="top"/>
          </w:tcPr>
          <w:p>
            <w:pPr>
              <w:pStyle w:val="12"/>
              <w:spacing w:before="101" w:beforeLines="0" w:afterLines="0"/>
              <w:ind w:left="135"/>
              <w:jc w:val="center"/>
              <w:rPr>
                <w:rFonts w:hint="eastAsia"/>
                <w:color w:val="auto"/>
                <w:sz w:val="24"/>
                <w:szCs w:val="22"/>
              </w:rPr>
            </w:pPr>
            <w:r>
              <w:rPr>
                <w:rFonts w:hint="eastAsia"/>
                <w:color w:val="auto"/>
                <w:spacing w:val="-10"/>
                <w:sz w:val="24"/>
                <w:szCs w:val="22"/>
              </w:rPr>
              <w:t>1</w:t>
            </w:r>
          </w:p>
        </w:tc>
        <w:tc>
          <w:tcPr>
            <w:tcW w:w="6141" w:type="dxa"/>
            <w:tcBorders>
              <w:top w:val="single" w:color="000000" w:sz="4" w:space="0"/>
              <w:left w:val="single" w:color="000000" w:sz="4" w:space="0"/>
              <w:bottom w:val="single" w:color="000000" w:sz="6" w:space="0"/>
              <w:right w:val="single" w:color="000000" w:sz="4" w:space="0"/>
              <w:tl2br w:val="nil"/>
              <w:tr2bl w:val="nil"/>
            </w:tcBorders>
            <w:noWrap w:val="0"/>
            <w:vAlign w:val="top"/>
          </w:tcPr>
          <w:p>
            <w:pPr>
              <w:pStyle w:val="12"/>
              <w:spacing w:before="101" w:beforeLines="0" w:afterLines="0"/>
              <w:ind w:left="215"/>
              <w:rPr>
                <w:rFonts w:hint="eastAsia"/>
                <w:color w:val="auto"/>
                <w:sz w:val="24"/>
                <w:szCs w:val="22"/>
              </w:rPr>
            </w:pPr>
            <w:r>
              <w:rPr>
                <w:rFonts w:hint="eastAsia"/>
                <w:color w:val="auto"/>
                <w:spacing w:val="-1"/>
                <w:sz w:val="24"/>
                <w:szCs w:val="22"/>
              </w:rPr>
              <w:t>存在中国海油员工投资或持股情形的供应商</w:t>
            </w:r>
          </w:p>
        </w:tc>
        <w:tc>
          <w:tcPr>
            <w:tcW w:w="6800" w:type="dxa"/>
            <w:tcBorders>
              <w:top w:val="single" w:color="000000" w:sz="4" w:space="0"/>
              <w:left w:val="single" w:color="000000" w:sz="4" w:space="0"/>
              <w:bottom w:val="single" w:color="000000" w:sz="6" w:space="0"/>
              <w:right w:val="single" w:color="000000" w:sz="4" w:space="0"/>
              <w:tl2br w:val="nil"/>
              <w:tr2bl w:val="nil"/>
            </w:tcBorders>
            <w:noWrap w:val="0"/>
            <w:vAlign w:val="top"/>
          </w:tcPr>
          <w:p>
            <w:pPr>
              <w:pStyle w:val="12"/>
              <w:spacing w:before="101" w:beforeLines="0" w:afterLines="0"/>
              <w:ind w:left="213"/>
              <w:rPr>
                <w:rFonts w:hint="eastAsia"/>
                <w:color w:val="auto"/>
                <w:sz w:val="24"/>
                <w:szCs w:val="22"/>
              </w:rPr>
            </w:pPr>
            <w:r>
              <w:rPr>
                <w:rFonts w:hint="eastAsia"/>
                <w:color w:val="auto"/>
                <w:spacing w:val="-1"/>
                <w:sz w:val="24"/>
                <w:szCs w:val="22"/>
              </w:rPr>
              <w:t>对供应商给予“无固定期禁用”处理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1039" w:type="dxa"/>
            <w:tcBorders>
              <w:top w:val="single" w:color="000000" w:sz="6" w:space="0"/>
              <w:left w:val="single" w:color="000000" w:sz="4" w:space="0"/>
              <w:bottom w:val="single" w:color="000000" w:sz="4" w:space="0"/>
              <w:right w:val="single" w:color="000000" w:sz="4" w:space="0"/>
              <w:tl2br w:val="nil"/>
              <w:tr2bl w:val="nil"/>
            </w:tcBorders>
            <w:noWrap w:val="0"/>
            <w:vAlign w:val="top"/>
          </w:tcPr>
          <w:p>
            <w:pPr>
              <w:pStyle w:val="12"/>
              <w:spacing w:before="154" w:beforeLines="0" w:afterLines="0"/>
              <w:ind w:left="135"/>
              <w:jc w:val="center"/>
              <w:rPr>
                <w:rFonts w:hint="eastAsia"/>
                <w:color w:val="auto"/>
                <w:sz w:val="24"/>
                <w:szCs w:val="22"/>
              </w:rPr>
            </w:pPr>
            <w:r>
              <w:rPr>
                <w:rFonts w:hint="eastAsia"/>
                <w:color w:val="auto"/>
                <w:spacing w:val="-10"/>
                <w:sz w:val="24"/>
                <w:szCs w:val="22"/>
              </w:rPr>
              <w:t>2</w:t>
            </w:r>
          </w:p>
        </w:tc>
        <w:tc>
          <w:tcPr>
            <w:tcW w:w="6141" w:type="dxa"/>
            <w:tcBorders>
              <w:top w:val="single" w:color="000000" w:sz="6" w:space="0"/>
              <w:left w:val="single" w:color="000000" w:sz="4" w:space="0"/>
              <w:bottom w:val="single" w:color="000000" w:sz="4" w:space="0"/>
              <w:right w:val="single" w:color="000000" w:sz="4" w:space="0"/>
              <w:tl2br w:val="nil"/>
              <w:tr2bl w:val="nil"/>
            </w:tcBorders>
            <w:noWrap w:val="0"/>
            <w:vAlign w:val="top"/>
          </w:tcPr>
          <w:p>
            <w:pPr>
              <w:pStyle w:val="12"/>
              <w:spacing w:before="3" w:beforeLines="0" w:afterLines="0" w:line="235" w:lineRule="auto"/>
              <w:ind w:left="215" w:right="153"/>
              <w:rPr>
                <w:rFonts w:hint="eastAsia"/>
                <w:color w:val="auto"/>
                <w:sz w:val="24"/>
                <w:szCs w:val="22"/>
              </w:rPr>
            </w:pPr>
            <w:r>
              <w:rPr>
                <w:rFonts w:hint="eastAsia"/>
                <w:color w:val="auto"/>
                <w:spacing w:val="-2"/>
                <w:sz w:val="24"/>
                <w:szCs w:val="22"/>
              </w:rPr>
              <w:t>聘请中国海油员工在其任职或兼职的非国有企业性质供</w:t>
            </w:r>
            <w:r>
              <w:rPr>
                <w:rFonts w:hint="eastAsia"/>
                <w:color w:val="auto"/>
                <w:spacing w:val="-6"/>
                <w:sz w:val="24"/>
                <w:szCs w:val="22"/>
              </w:rPr>
              <w:t>应商</w:t>
            </w:r>
          </w:p>
        </w:tc>
        <w:tc>
          <w:tcPr>
            <w:tcW w:w="6800" w:type="dxa"/>
            <w:tcBorders>
              <w:top w:val="single" w:color="000000" w:sz="6" w:space="0"/>
              <w:left w:val="single" w:color="000000" w:sz="4" w:space="0"/>
              <w:bottom w:val="single" w:color="000000" w:sz="4" w:space="0"/>
              <w:right w:val="single" w:color="000000" w:sz="4" w:space="0"/>
              <w:tl2br w:val="nil"/>
              <w:tr2bl w:val="nil"/>
            </w:tcBorders>
            <w:noWrap w:val="0"/>
            <w:vAlign w:val="top"/>
          </w:tcPr>
          <w:p>
            <w:pPr>
              <w:pStyle w:val="12"/>
              <w:spacing w:before="154" w:beforeLines="0" w:afterLines="0"/>
              <w:ind w:left="213"/>
              <w:rPr>
                <w:rFonts w:hint="eastAsia"/>
                <w:color w:val="auto"/>
                <w:sz w:val="24"/>
                <w:szCs w:val="22"/>
              </w:rPr>
            </w:pPr>
            <w:r>
              <w:rPr>
                <w:rFonts w:hint="eastAsia"/>
                <w:color w:val="auto"/>
                <w:spacing w:val="-1"/>
                <w:sz w:val="24"/>
                <w:szCs w:val="22"/>
              </w:rPr>
              <w:t>对供应商给予“无固定期禁用”处理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03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5" w:beforeLines="0" w:afterLines="0"/>
              <w:ind w:left="135"/>
              <w:jc w:val="center"/>
              <w:rPr>
                <w:rFonts w:hint="eastAsia"/>
                <w:color w:val="auto"/>
                <w:sz w:val="24"/>
                <w:szCs w:val="22"/>
              </w:rPr>
            </w:pPr>
            <w:r>
              <w:rPr>
                <w:rFonts w:hint="eastAsia"/>
                <w:color w:val="auto"/>
                <w:spacing w:val="-10"/>
                <w:sz w:val="24"/>
                <w:szCs w:val="22"/>
              </w:rPr>
              <w:t>3</w:t>
            </w:r>
          </w:p>
        </w:tc>
        <w:tc>
          <w:tcPr>
            <w:tcW w:w="614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4" w:beforeLines="0" w:afterLines="0" w:line="235" w:lineRule="auto"/>
              <w:ind w:left="215" w:right="153"/>
              <w:rPr>
                <w:rFonts w:hint="eastAsia"/>
                <w:color w:val="auto"/>
                <w:sz w:val="24"/>
                <w:szCs w:val="22"/>
              </w:rPr>
            </w:pPr>
            <w:r>
              <w:rPr>
                <w:rFonts w:hint="eastAsia"/>
                <w:color w:val="auto"/>
                <w:spacing w:val="-2"/>
                <w:sz w:val="24"/>
                <w:szCs w:val="22"/>
              </w:rPr>
              <w:t>存在离职、退休的中国海油领导人员投资或持股情形的供应商，如领导人员离职、退休时间未满三年</w:t>
            </w:r>
          </w:p>
        </w:tc>
        <w:tc>
          <w:tcPr>
            <w:tcW w:w="68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4" w:beforeLines="0" w:afterLines="0" w:line="235" w:lineRule="auto"/>
              <w:ind w:left="213" w:right="96"/>
              <w:rPr>
                <w:rFonts w:hint="eastAsia"/>
                <w:color w:val="auto"/>
                <w:sz w:val="24"/>
                <w:szCs w:val="22"/>
              </w:rPr>
            </w:pPr>
            <w:r>
              <w:rPr>
                <w:rFonts w:hint="eastAsia"/>
                <w:color w:val="auto"/>
                <w:spacing w:val="-2"/>
                <w:sz w:val="24"/>
                <w:szCs w:val="22"/>
              </w:rPr>
              <w:t>对供应商给予“无固定期禁用”处理，禁用的最长期限为领导人员离职、退休满三年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03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6" w:beforeLines="0" w:afterLines="0"/>
              <w:ind w:left="135"/>
              <w:jc w:val="center"/>
              <w:rPr>
                <w:rFonts w:hint="eastAsia"/>
                <w:color w:val="auto"/>
                <w:sz w:val="24"/>
                <w:szCs w:val="22"/>
              </w:rPr>
            </w:pPr>
            <w:r>
              <w:rPr>
                <w:rFonts w:hint="eastAsia"/>
                <w:color w:val="auto"/>
                <w:spacing w:val="-10"/>
                <w:sz w:val="24"/>
                <w:szCs w:val="22"/>
              </w:rPr>
              <w:t>4</w:t>
            </w:r>
          </w:p>
        </w:tc>
        <w:tc>
          <w:tcPr>
            <w:tcW w:w="614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4" w:beforeLines="0" w:afterLines="0" w:line="235" w:lineRule="auto"/>
              <w:ind w:left="215" w:right="153"/>
              <w:rPr>
                <w:rFonts w:hint="eastAsia"/>
                <w:color w:val="auto"/>
                <w:sz w:val="24"/>
                <w:szCs w:val="22"/>
              </w:rPr>
            </w:pPr>
            <w:r>
              <w:rPr>
                <w:rFonts w:hint="eastAsia"/>
                <w:color w:val="auto"/>
                <w:spacing w:val="-2"/>
                <w:sz w:val="24"/>
                <w:szCs w:val="22"/>
              </w:rPr>
              <w:t>聘请中国海油离职或退休未满三年的领导人员担任高级职务的非国有性质企业供应商</w:t>
            </w:r>
          </w:p>
        </w:tc>
        <w:tc>
          <w:tcPr>
            <w:tcW w:w="68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4" w:beforeLines="0" w:afterLines="0" w:line="235" w:lineRule="auto"/>
              <w:ind w:left="213" w:right="96"/>
              <w:rPr>
                <w:rFonts w:hint="eastAsia"/>
                <w:color w:val="auto"/>
                <w:sz w:val="24"/>
                <w:szCs w:val="22"/>
              </w:rPr>
            </w:pPr>
            <w:r>
              <w:rPr>
                <w:rFonts w:hint="eastAsia"/>
                <w:color w:val="auto"/>
                <w:spacing w:val="-2"/>
                <w:sz w:val="24"/>
                <w:szCs w:val="22"/>
              </w:rPr>
              <w:t>对供应商给予“无固定期禁用”处理，禁用的最长期限为领导人员离职、退休满三年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03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6" w:beforeLines="0" w:afterLines="0"/>
              <w:ind w:left="135"/>
              <w:jc w:val="center"/>
              <w:rPr>
                <w:rFonts w:hint="eastAsia"/>
                <w:color w:val="auto"/>
                <w:sz w:val="24"/>
                <w:szCs w:val="22"/>
              </w:rPr>
            </w:pPr>
            <w:r>
              <w:rPr>
                <w:rFonts w:hint="eastAsia"/>
                <w:color w:val="auto"/>
                <w:spacing w:val="-10"/>
                <w:sz w:val="24"/>
                <w:szCs w:val="22"/>
              </w:rPr>
              <w:t>5</w:t>
            </w:r>
          </w:p>
        </w:tc>
        <w:tc>
          <w:tcPr>
            <w:tcW w:w="614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5" w:beforeLines="0" w:afterLines="0" w:line="235" w:lineRule="auto"/>
              <w:ind w:left="215" w:right="153"/>
              <w:rPr>
                <w:rFonts w:hint="eastAsia"/>
                <w:color w:val="auto"/>
                <w:sz w:val="24"/>
                <w:szCs w:val="22"/>
              </w:rPr>
            </w:pPr>
            <w:r>
              <w:rPr>
                <w:rFonts w:hint="eastAsia"/>
                <w:color w:val="auto"/>
                <w:spacing w:val="-2"/>
                <w:sz w:val="24"/>
                <w:szCs w:val="22"/>
              </w:rPr>
              <w:t>存在中国海油在职员工亲属注册公司（或企业、个体工商户</w:t>
            </w:r>
            <w:r>
              <w:rPr>
                <w:rFonts w:hint="eastAsia"/>
                <w:color w:val="auto"/>
                <w:spacing w:val="-120"/>
                <w:sz w:val="24"/>
                <w:szCs w:val="22"/>
              </w:rPr>
              <w:t>）</w:t>
            </w:r>
            <w:r>
              <w:rPr>
                <w:rFonts w:hint="eastAsia"/>
                <w:color w:val="auto"/>
                <w:spacing w:val="-2"/>
                <w:sz w:val="24"/>
                <w:szCs w:val="22"/>
              </w:rPr>
              <w:t>、持有非上市股权等情形的供应商</w:t>
            </w:r>
          </w:p>
        </w:tc>
        <w:tc>
          <w:tcPr>
            <w:tcW w:w="68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6" w:beforeLines="0" w:afterLines="0"/>
              <w:ind w:left="213"/>
              <w:rPr>
                <w:rFonts w:hint="eastAsia"/>
                <w:color w:val="auto"/>
                <w:sz w:val="24"/>
                <w:szCs w:val="22"/>
              </w:rPr>
            </w:pPr>
            <w:r>
              <w:rPr>
                <w:rFonts w:hint="eastAsia"/>
                <w:color w:val="auto"/>
                <w:spacing w:val="-1"/>
                <w:sz w:val="24"/>
                <w:szCs w:val="22"/>
              </w:rPr>
              <w:t>对供应商给予“无固定期禁用”处理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1039"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156" w:beforeLines="0" w:afterLines="0"/>
              <w:ind w:left="135"/>
              <w:jc w:val="center"/>
              <w:rPr>
                <w:rFonts w:hint="eastAsia"/>
                <w:color w:val="auto"/>
                <w:sz w:val="24"/>
                <w:szCs w:val="22"/>
              </w:rPr>
            </w:pPr>
            <w:r>
              <w:rPr>
                <w:rFonts w:hint="eastAsia"/>
                <w:color w:val="auto"/>
                <w:spacing w:val="-10"/>
                <w:sz w:val="24"/>
                <w:szCs w:val="22"/>
              </w:rPr>
              <w:t>6</w:t>
            </w:r>
          </w:p>
        </w:tc>
        <w:tc>
          <w:tcPr>
            <w:tcW w:w="6141"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5" w:beforeLines="0" w:afterLines="0" w:line="235" w:lineRule="auto"/>
              <w:ind w:left="215" w:right="153"/>
              <w:rPr>
                <w:rFonts w:hint="eastAsia"/>
                <w:color w:val="auto"/>
                <w:sz w:val="24"/>
                <w:szCs w:val="22"/>
              </w:rPr>
            </w:pPr>
            <w:r>
              <w:rPr>
                <w:rFonts w:hint="eastAsia"/>
                <w:color w:val="auto"/>
                <w:spacing w:val="-2"/>
                <w:sz w:val="24"/>
                <w:szCs w:val="22"/>
              </w:rPr>
              <w:t>聘请中国海油在职领导人员亲属担任高级职务的非国有企业性质供应商</w:t>
            </w:r>
          </w:p>
        </w:tc>
        <w:tc>
          <w:tcPr>
            <w:tcW w:w="680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2"/>
              <w:spacing w:before="5" w:beforeLines="0" w:afterLines="0" w:line="235" w:lineRule="auto"/>
              <w:ind w:left="213" w:right="214"/>
              <w:rPr>
                <w:rFonts w:hint="eastAsia"/>
                <w:color w:val="auto"/>
                <w:sz w:val="24"/>
                <w:szCs w:val="22"/>
              </w:rPr>
            </w:pPr>
            <w:r>
              <w:rPr>
                <w:rFonts w:hint="eastAsia"/>
                <w:color w:val="auto"/>
                <w:spacing w:val="-5"/>
                <w:sz w:val="24"/>
                <w:szCs w:val="22"/>
              </w:rPr>
              <w:t>对供应商给予 “无固定期禁用”处理</w:t>
            </w:r>
            <w:r>
              <w:rPr>
                <w:rFonts w:hint="eastAsia"/>
                <w:color w:val="auto"/>
                <w:sz w:val="24"/>
                <w:szCs w:val="22"/>
              </w:rPr>
              <w:t>（仅适用于在领导人员</w:t>
            </w:r>
            <w:r>
              <w:rPr>
                <w:rFonts w:hint="eastAsia"/>
                <w:color w:val="auto"/>
                <w:spacing w:val="-2"/>
                <w:sz w:val="24"/>
                <w:szCs w:val="22"/>
              </w:rPr>
              <w:t>管辖的地区或业务范围）</w:t>
            </w:r>
          </w:p>
        </w:tc>
      </w:tr>
    </w:tbl>
    <w:p>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color w:val="auto"/>
          <w:sz w:val="32"/>
          <w:szCs w:val="32"/>
        </w:rPr>
      </w:pPr>
    </w:p>
    <w:sectPr>
      <w:pgSz w:w="16840" w:h="11910" w:orient="landscape"/>
      <w:pgMar w:top="1340" w:right="1417" w:bottom="280" w:left="1275" w:header="72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172A27"/>
    <w:rsid w:val="01706581"/>
    <w:rsid w:val="01B51A8D"/>
    <w:rsid w:val="038447CC"/>
    <w:rsid w:val="05DE4E38"/>
    <w:rsid w:val="05F620E4"/>
    <w:rsid w:val="063127B9"/>
    <w:rsid w:val="06CC2B97"/>
    <w:rsid w:val="06F5346E"/>
    <w:rsid w:val="07883367"/>
    <w:rsid w:val="07A27794"/>
    <w:rsid w:val="07DC6996"/>
    <w:rsid w:val="09710FE0"/>
    <w:rsid w:val="0A836004"/>
    <w:rsid w:val="0AC105A6"/>
    <w:rsid w:val="0AE84FF2"/>
    <w:rsid w:val="0DF471F4"/>
    <w:rsid w:val="0FD079FE"/>
    <w:rsid w:val="0FD3139E"/>
    <w:rsid w:val="0FE36A1F"/>
    <w:rsid w:val="10711E0A"/>
    <w:rsid w:val="109702B3"/>
    <w:rsid w:val="119F5E84"/>
    <w:rsid w:val="11FE479F"/>
    <w:rsid w:val="125B292B"/>
    <w:rsid w:val="12AD1EAE"/>
    <w:rsid w:val="13530DA0"/>
    <w:rsid w:val="13F900B6"/>
    <w:rsid w:val="14023AAA"/>
    <w:rsid w:val="146E262F"/>
    <w:rsid w:val="14B94A0A"/>
    <w:rsid w:val="16731C0F"/>
    <w:rsid w:val="168F60C7"/>
    <w:rsid w:val="17D82A95"/>
    <w:rsid w:val="18297BB3"/>
    <w:rsid w:val="19344845"/>
    <w:rsid w:val="19A90B8D"/>
    <w:rsid w:val="1A1C1BD8"/>
    <w:rsid w:val="1AC25B01"/>
    <w:rsid w:val="1B967850"/>
    <w:rsid w:val="1BC90FA3"/>
    <w:rsid w:val="1C241E60"/>
    <w:rsid w:val="1F63358C"/>
    <w:rsid w:val="202253C5"/>
    <w:rsid w:val="20721D04"/>
    <w:rsid w:val="20790F28"/>
    <w:rsid w:val="21345939"/>
    <w:rsid w:val="224551CB"/>
    <w:rsid w:val="24156F07"/>
    <w:rsid w:val="24B56050"/>
    <w:rsid w:val="250078B9"/>
    <w:rsid w:val="25D4529B"/>
    <w:rsid w:val="25F67DEE"/>
    <w:rsid w:val="2A554B7E"/>
    <w:rsid w:val="2AA932EA"/>
    <w:rsid w:val="2AE6433C"/>
    <w:rsid w:val="2C2E745D"/>
    <w:rsid w:val="2C41519A"/>
    <w:rsid w:val="2CB53ED6"/>
    <w:rsid w:val="2CD33F1A"/>
    <w:rsid w:val="2D1D5F38"/>
    <w:rsid w:val="2D942532"/>
    <w:rsid w:val="2E8829DE"/>
    <w:rsid w:val="2F602460"/>
    <w:rsid w:val="2F7A10CE"/>
    <w:rsid w:val="2FB055CC"/>
    <w:rsid w:val="2FF21E67"/>
    <w:rsid w:val="30072734"/>
    <w:rsid w:val="30B377DA"/>
    <w:rsid w:val="319C376B"/>
    <w:rsid w:val="31A279BF"/>
    <w:rsid w:val="31B641AB"/>
    <w:rsid w:val="32DD160D"/>
    <w:rsid w:val="335442FC"/>
    <w:rsid w:val="33DB77A5"/>
    <w:rsid w:val="363B5FF4"/>
    <w:rsid w:val="36C33DE5"/>
    <w:rsid w:val="37A677D8"/>
    <w:rsid w:val="37FE39FA"/>
    <w:rsid w:val="3856675E"/>
    <w:rsid w:val="38B65A35"/>
    <w:rsid w:val="3A156948"/>
    <w:rsid w:val="3A5A39CC"/>
    <w:rsid w:val="3A9202A3"/>
    <w:rsid w:val="3ACE5550"/>
    <w:rsid w:val="3B210752"/>
    <w:rsid w:val="3B720C16"/>
    <w:rsid w:val="3B7D32FB"/>
    <w:rsid w:val="3BE61E2C"/>
    <w:rsid w:val="3E9052B0"/>
    <w:rsid w:val="3FEB336E"/>
    <w:rsid w:val="40202543"/>
    <w:rsid w:val="420958E7"/>
    <w:rsid w:val="43D32954"/>
    <w:rsid w:val="445B2780"/>
    <w:rsid w:val="44826240"/>
    <w:rsid w:val="45685A06"/>
    <w:rsid w:val="46867328"/>
    <w:rsid w:val="47400072"/>
    <w:rsid w:val="47A835DF"/>
    <w:rsid w:val="488E067B"/>
    <w:rsid w:val="490603E3"/>
    <w:rsid w:val="4AB2387D"/>
    <w:rsid w:val="4ADD62DF"/>
    <w:rsid w:val="4B315D69"/>
    <w:rsid w:val="4B32706E"/>
    <w:rsid w:val="4CEA63BF"/>
    <w:rsid w:val="4E2F2F76"/>
    <w:rsid w:val="4E52248E"/>
    <w:rsid w:val="4E966638"/>
    <w:rsid w:val="4F190F4E"/>
    <w:rsid w:val="51507BB9"/>
    <w:rsid w:val="527E0EE4"/>
    <w:rsid w:val="555251D5"/>
    <w:rsid w:val="556E42A0"/>
    <w:rsid w:val="55BD4092"/>
    <w:rsid w:val="56460F02"/>
    <w:rsid w:val="56B600CC"/>
    <w:rsid w:val="574F6249"/>
    <w:rsid w:val="585F6FE1"/>
    <w:rsid w:val="58641614"/>
    <w:rsid w:val="595C34E7"/>
    <w:rsid w:val="5A863554"/>
    <w:rsid w:val="5BFB00CD"/>
    <w:rsid w:val="5C223568"/>
    <w:rsid w:val="5D481D97"/>
    <w:rsid w:val="5E38144E"/>
    <w:rsid w:val="5FCE5AB0"/>
    <w:rsid w:val="5FD47AB7"/>
    <w:rsid w:val="62153F79"/>
    <w:rsid w:val="626D2409"/>
    <w:rsid w:val="628938EB"/>
    <w:rsid w:val="62905878"/>
    <w:rsid w:val="62F66CD2"/>
    <w:rsid w:val="63A2229D"/>
    <w:rsid w:val="64C51278"/>
    <w:rsid w:val="6546199B"/>
    <w:rsid w:val="65EE72FA"/>
    <w:rsid w:val="663D1DCA"/>
    <w:rsid w:val="671356CC"/>
    <w:rsid w:val="67A70AB4"/>
    <w:rsid w:val="683C1890"/>
    <w:rsid w:val="690E6674"/>
    <w:rsid w:val="691172EE"/>
    <w:rsid w:val="6B610780"/>
    <w:rsid w:val="6B9D0EF5"/>
    <w:rsid w:val="6C54633A"/>
    <w:rsid w:val="6CDA49F8"/>
    <w:rsid w:val="6D7F1132"/>
    <w:rsid w:val="6DE07F07"/>
    <w:rsid w:val="6FA85431"/>
    <w:rsid w:val="704F6D52"/>
    <w:rsid w:val="70FF103C"/>
    <w:rsid w:val="71483980"/>
    <w:rsid w:val="71B96071"/>
    <w:rsid w:val="721D27C5"/>
    <w:rsid w:val="723D4B43"/>
    <w:rsid w:val="72A11576"/>
    <w:rsid w:val="736827E7"/>
    <w:rsid w:val="73CA0573"/>
    <w:rsid w:val="74097026"/>
    <w:rsid w:val="742B3D29"/>
    <w:rsid w:val="744976B9"/>
    <w:rsid w:val="749913BC"/>
    <w:rsid w:val="74FD030F"/>
    <w:rsid w:val="7506595D"/>
    <w:rsid w:val="75DA0985"/>
    <w:rsid w:val="764A5A81"/>
    <w:rsid w:val="76547C56"/>
    <w:rsid w:val="767C48BF"/>
    <w:rsid w:val="775904DE"/>
    <w:rsid w:val="78025D46"/>
    <w:rsid w:val="780B6C7D"/>
    <w:rsid w:val="793E7089"/>
    <w:rsid w:val="79CB2DD9"/>
    <w:rsid w:val="7A052DF2"/>
    <w:rsid w:val="7A4333E2"/>
    <w:rsid w:val="7A740C26"/>
    <w:rsid w:val="7C9B7181"/>
    <w:rsid w:val="7D042727"/>
    <w:rsid w:val="7D4D4BEE"/>
    <w:rsid w:val="7DA67EDC"/>
    <w:rsid w:val="7E1B5B20"/>
    <w:rsid w:val="7E446934"/>
    <w:rsid w:val="7E4B2FD1"/>
    <w:rsid w:val="7E4E5E2B"/>
    <w:rsid w:val="7E7E0A84"/>
    <w:rsid w:val="7E8A310F"/>
    <w:rsid w:val="7F3663C0"/>
    <w:rsid w:val="7F7B14DF"/>
    <w:rsid w:val="7F8477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640" w:firstLineChars="200"/>
    </w:pPr>
  </w:style>
  <w:style w:type="paragraph" w:styleId="3">
    <w:name w:val="Body Text"/>
    <w:basedOn w:val="1"/>
    <w:qFormat/>
    <w:uiPriority w:val="1"/>
    <w:pPr>
      <w:ind w:left="100"/>
    </w:pPr>
    <w:rPr>
      <w:rFonts w:ascii="仿宋_GB2312" w:hAnsi="仿宋_GB2312" w:eastAsia="仿宋_GB2312" w:cs="仿宋_GB2312"/>
      <w:sz w:val="32"/>
      <w:szCs w:val="3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basedOn w:val="1"/>
    <w:qFormat/>
    <w:uiPriority w:val="1"/>
    <w:pPr>
      <w:spacing w:before="67"/>
      <w:ind w:left="2713"/>
      <w:jc w:val="center"/>
    </w:pPr>
    <w:rPr>
      <w:rFonts w:ascii="方正小标宋简体" w:hAnsi="方正小标宋简体" w:eastAsia="方正小标宋简体" w:cs="方正小标宋简体"/>
      <w:sz w:val="44"/>
      <w:szCs w:val="44"/>
      <w:lang w:val="en-US" w:eastAsia="zh-CN" w:bidi="ar-SA"/>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00" w:firstLine="640"/>
    </w:pPr>
    <w:rPr>
      <w:rFonts w:ascii="仿宋_GB2312" w:hAnsi="仿宋_GB2312" w:eastAsia="仿宋_GB2312" w:cs="仿宋_GB2312"/>
      <w:lang w:val="en-US" w:eastAsia="zh-CN" w:bidi="ar-SA"/>
    </w:rPr>
  </w:style>
  <w:style w:type="paragraph" w:customStyle="1" w:styleId="12">
    <w:name w:val="Table Paragraph"/>
    <w:basedOn w:val="1"/>
    <w:qFormat/>
    <w:uiPriority w:val="1"/>
    <w:pPr>
      <w:ind w:left="214"/>
    </w:pPr>
    <w:rPr>
      <w:rFonts w:ascii="宋体" w:hAnsi="宋体" w:eastAsia="宋体" w:cs="宋体"/>
      <w:lang w:val="en-US" w:eastAsia="zh-CN" w:bidi="ar-SA"/>
    </w:rPr>
  </w:style>
  <w:style w:type="character" w:customStyle="1" w:styleId="13">
    <w:name w:val="fontstyle01"/>
    <w:basedOn w:val="9"/>
    <w:qFormat/>
    <w:uiPriority w:val="0"/>
    <w:rPr>
      <w:rFonts w:ascii="宋体" w:hAnsi="宋体" w:eastAsia="宋体" w:cs="宋体"/>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Lines>1</Lines>
  <Paragraphs>1</Paragraphs>
  <TotalTime>0</TotalTime>
  <ScaleCrop>false</ScaleCrop>
  <LinksUpToDate>false</LinksUpToDate>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2026-01-07T00:32:00Z</dcterms:created>
  <dc:creator>Administrator</dc:creator>
  <cp:lastModifiedBy>黄彩清</cp:lastModifiedBy>
  <dcterms:modified xsi:type="dcterms:W3CDTF">2026-07-22T02:24:06Z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WPS 文字</vt:lpwstr>
  </property>
  <property fmtid="{D5CDD505-2E9C-101B-9397-08002B2CF9AE}" pid="4" name="LastSaved">
    <vt:filetime>2026-01-07T00:00:00Z</vt:filetime>
  </property>
  <property fmtid="{D5CDD505-2E9C-101B-9397-08002B2CF9AE}" pid="5" name="SourceModified">
    <vt:lpwstr>D:20250103112357+08'00'</vt:lpwstr>
  </property>
  <property fmtid="{D5CDD505-2E9C-101B-9397-08002B2CF9AE}" pid="6" name="KSOProductBuildVer">
    <vt:lpwstr>2052-11.8.2.12309</vt:lpwstr>
  </property>
  <property fmtid="{D5CDD505-2E9C-101B-9397-08002B2CF9AE}" pid="7" name="ICV">
    <vt:lpwstr>2FB0BAC56BEB4A05A75FB11A4FAD8917</vt:lpwstr>
  </property>
</Properties>
</file>