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1"/>
        <w:rPr>
          <w:rFonts w:ascii="黑体" w:hAnsi="黑体" w:eastAsia="黑体"/>
          <w:sz w:val="24"/>
          <w:szCs w:val="24"/>
        </w:rPr>
      </w:pPr>
      <w:r>
        <w:rPr>
          <w:rFonts w:hint="eastAsia" w:ascii="黑体" w:hAnsi="黑体" w:eastAsia="黑体"/>
          <w:sz w:val="24"/>
          <w:szCs w:val="24"/>
        </w:rPr>
        <w:t xml:space="preserve">附件1  </w:t>
      </w:r>
      <w:r>
        <w:rPr>
          <w:rFonts w:ascii="黑体" w:hAnsi="黑体" w:eastAsia="黑体"/>
          <w:sz w:val="24"/>
          <w:szCs w:val="24"/>
        </w:rPr>
        <w:t xml:space="preserve">                     </w:t>
      </w:r>
    </w:p>
    <w:p>
      <w:pPr>
        <w:ind w:firstLine="281" w:firstLineChars="100"/>
        <w:jc w:val="center"/>
        <w:rPr>
          <w:rFonts w:ascii="仿宋" w:hAnsi="仿宋" w:eastAsia="仿宋" w:cs="Calibri"/>
          <w:b/>
          <w:bCs/>
          <w:sz w:val="28"/>
          <w:szCs w:val="28"/>
        </w:rPr>
      </w:pPr>
      <w:r>
        <w:rPr>
          <w:rFonts w:hint="eastAsia" w:ascii="仿宋" w:hAnsi="仿宋" w:eastAsia="仿宋" w:cs="Calibri"/>
          <w:b/>
          <w:bCs/>
          <w:sz w:val="28"/>
          <w:szCs w:val="28"/>
        </w:rPr>
        <w:t>基本要求</w:t>
      </w:r>
    </w:p>
    <w:tbl>
      <w:tblPr>
        <w:tblStyle w:val="7"/>
        <w:tblW w:w="5697" w:type="pct"/>
        <w:jc w:val="center"/>
        <w:tblLayout w:type="autofit"/>
        <w:tblCellMar>
          <w:top w:w="0" w:type="dxa"/>
          <w:left w:w="0" w:type="dxa"/>
          <w:bottom w:w="0" w:type="dxa"/>
          <w:right w:w="0" w:type="dxa"/>
        </w:tblCellMar>
      </w:tblPr>
      <w:tblGrid>
        <w:gridCol w:w="614"/>
        <w:gridCol w:w="529"/>
        <w:gridCol w:w="2030"/>
        <w:gridCol w:w="6302"/>
      </w:tblGrid>
      <w:tr>
        <w:tblPrEx>
          <w:tblCellMar>
            <w:top w:w="0" w:type="dxa"/>
            <w:left w:w="0" w:type="dxa"/>
            <w:bottom w:w="0" w:type="dxa"/>
            <w:right w:w="0" w:type="dxa"/>
          </w:tblCellMar>
        </w:tblPrEx>
        <w:trPr>
          <w:trHeight w:val="397" w:hRule="atLeast"/>
          <w:jc w:val="center"/>
        </w:trPr>
        <w:tc>
          <w:tcPr>
            <w:tcW w:w="603" w:type="pct"/>
            <w:gridSpan w:val="2"/>
            <w:tcBorders>
              <w:top w:val="single" w:color="000000" w:sz="4" w:space="0"/>
              <w:left w:val="single" w:color="000000" w:sz="4" w:space="0"/>
              <w:bottom w:val="single" w:color="000000" w:sz="4" w:space="0"/>
              <w:right w:val="single" w:color="000000" w:sz="4" w:space="0"/>
            </w:tcBorders>
            <w:vAlign w:val="center"/>
          </w:tcPr>
          <w:p>
            <w:pPr>
              <w:pStyle w:val="9"/>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序号</w:t>
            </w:r>
          </w:p>
        </w:tc>
        <w:tc>
          <w:tcPr>
            <w:tcW w:w="1071" w:type="pct"/>
            <w:tcBorders>
              <w:top w:val="single" w:color="000000" w:sz="4" w:space="0"/>
              <w:left w:val="nil"/>
              <w:bottom w:val="single" w:color="000000" w:sz="4" w:space="0"/>
              <w:right w:val="single" w:color="000000" w:sz="4" w:space="0"/>
            </w:tcBorders>
            <w:vAlign w:val="center"/>
          </w:tcPr>
          <w:p>
            <w:pPr>
              <w:pStyle w:val="9"/>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内容</w:t>
            </w:r>
          </w:p>
        </w:tc>
        <w:tc>
          <w:tcPr>
            <w:tcW w:w="3325" w:type="pct"/>
            <w:tcBorders>
              <w:top w:val="single" w:color="000000" w:sz="4" w:space="0"/>
              <w:left w:val="nil"/>
              <w:bottom w:val="single" w:color="000000" w:sz="4" w:space="0"/>
              <w:right w:val="single" w:color="000000" w:sz="4" w:space="0"/>
            </w:tcBorders>
            <w:vAlign w:val="center"/>
          </w:tcPr>
          <w:p>
            <w:pPr>
              <w:pStyle w:val="9"/>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标准</w:t>
            </w:r>
          </w:p>
        </w:tc>
      </w:tr>
      <w:tr>
        <w:tblPrEx>
          <w:tblCellMar>
            <w:top w:w="0" w:type="dxa"/>
            <w:left w:w="0" w:type="dxa"/>
            <w:bottom w:w="0" w:type="dxa"/>
            <w:right w:w="0" w:type="dxa"/>
          </w:tblCellMar>
        </w:tblPrEx>
        <w:trPr>
          <w:trHeight w:val="1924" w:hRule="atLeast"/>
          <w:jc w:val="center"/>
        </w:trPr>
        <w:tc>
          <w:tcPr>
            <w:tcW w:w="324" w:type="pct"/>
            <w:vMerge w:val="restart"/>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78" w:type="pct"/>
            <w:vMerge w:val="restart"/>
            <w:tcBorders>
              <w:left w:val="single" w:color="000000" w:sz="6" w:space="0"/>
              <w:right w:val="single" w:color="000000" w:sz="6" w:space="0"/>
            </w:tcBorders>
            <w:vAlign w:val="center"/>
          </w:tcPr>
          <w:p>
            <w:pPr>
              <w:pStyle w:val="9"/>
              <w:spacing w:line="300" w:lineRule="exact"/>
              <w:jc w:val="center"/>
              <w:rPr>
                <w:rFonts w:ascii="仿宋" w:hAnsi="仿宋" w:eastAsia="仿宋" w:cs="Calibri"/>
                <w:bCs/>
                <w:color w:val="FF0000"/>
                <w:sz w:val="21"/>
                <w:szCs w:val="21"/>
                <w:lang w:eastAsia="zh-CN"/>
              </w:rPr>
            </w:pPr>
          </w:p>
        </w:tc>
        <w:tc>
          <w:tcPr>
            <w:tcW w:w="1071" w:type="pct"/>
            <w:tcBorders>
              <w:top w:val="single" w:color="000000" w:sz="4" w:space="0"/>
              <w:left w:val="single" w:color="000000" w:sz="6" w:space="0"/>
              <w:bottom w:val="single" w:color="auto" w:sz="4" w:space="0"/>
              <w:right w:val="single" w:color="000000" w:sz="4" w:space="0"/>
            </w:tcBorders>
            <w:vAlign w:val="center"/>
          </w:tcPr>
          <w:p>
            <w:pPr>
              <w:pStyle w:val="9"/>
              <w:spacing w:line="300" w:lineRule="exact"/>
              <w:jc w:val="left"/>
              <w:rPr>
                <w:rFonts w:ascii="仿宋" w:hAnsi="仿宋" w:eastAsia="仿宋" w:cs="Calibri"/>
                <w:bCs/>
                <w:color w:val="FF0000"/>
                <w:sz w:val="21"/>
                <w:szCs w:val="21"/>
                <w:highlight w:val="none"/>
                <w:lang w:eastAsia="zh-CN"/>
              </w:rPr>
            </w:pPr>
            <w:r>
              <w:rPr>
                <w:rFonts w:hint="eastAsia" w:ascii="仿宋" w:hAnsi="仿宋" w:eastAsia="仿宋" w:cs="Calibri"/>
                <w:bCs/>
                <w:color w:val="FF0000"/>
                <w:sz w:val="21"/>
                <w:szCs w:val="21"/>
                <w:highlight w:val="none"/>
                <w:lang w:eastAsia="zh-CN"/>
              </w:rPr>
              <w:t>★资质要求</w:t>
            </w:r>
          </w:p>
        </w:tc>
        <w:tc>
          <w:tcPr>
            <w:tcW w:w="3325" w:type="pct"/>
            <w:tcBorders>
              <w:top w:val="single" w:color="000000" w:sz="4" w:space="0"/>
              <w:left w:val="nil"/>
              <w:bottom w:val="single" w:color="auto" w:sz="4" w:space="0"/>
              <w:right w:val="single" w:color="000000" w:sz="4" w:space="0"/>
            </w:tcBorders>
            <w:vAlign w:val="center"/>
          </w:tcPr>
          <w:p>
            <w:pPr>
              <w:pStyle w:val="9"/>
              <w:jc w:val="both"/>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一、资质要求</w:t>
            </w:r>
          </w:p>
          <w:p>
            <w:pPr>
              <w:pStyle w:val="9"/>
              <w:jc w:val="both"/>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1.营业执照：投标人须是中华人民共和国境内具有独立承担民事责任能力的法人，或具备国家认可经营资格的其他组织。 （1）投标人为企业的，应具有合法有效的企业法人营业执照、税务登记证及组织机构代码证或证照合一的营业执照； （2）投标人为分公司的，应具有合法有效的营业执照、税务登记证及组织机构代码证或证照合一的营业执照和总公司合法授权书。总公司与分支机构只可一家参与投标，同时参与投标视为投标无效。</w:t>
            </w:r>
          </w:p>
          <w:p>
            <w:pPr>
              <w:pStyle w:val="9"/>
              <w:jc w:val="both"/>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eastAsia="zh-CN"/>
              </w:rPr>
              <w:t>.专业资质要求(如涉及)</w:t>
            </w:r>
          </w:p>
          <w:p>
            <w:pPr>
              <w:pStyle w:val="9"/>
              <w:jc w:val="both"/>
              <w:rPr>
                <w:rFonts w:hint="eastAsia" w:ascii="仿宋" w:hAnsi="仿宋" w:eastAsia="仿宋" w:cs="仿宋"/>
                <w:color w:val="auto"/>
                <w:sz w:val="21"/>
                <w:szCs w:val="21"/>
                <w:highlight w:val="none"/>
                <w:lang w:eastAsia="zh-CN"/>
              </w:rPr>
            </w:pP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eastAsia="zh-CN"/>
              </w:rPr>
              <w:t>.体系要求(如涉及)</w:t>
            </w:r>
            <w:r>
              <w:rPr>
                <w:rFonts w:hint="eastAsia" w:ascii="仿宋" w:hAnsi="仿宋" w:eastAsia="仿宋" w:cs="仿宋"/>
                <w:color w:val="auto"/>
                <w:sz w:val="21"/>
                <w:szCs w:val="21"/>
                <w:highlight w:val="none"/>
                <w:lang w:eastAsia="zh-CN"/>
              </w:rPr>
              <w:t>。</w:t>
            </w:r>
          </w:p>
        </w:tc>
      </w:tr>
      <w:tr>
        <w:tblPrEx>
          <w:tblCellMar>
            <w:top w:w="0" w:type="dxa"/>
            <w:left w:w="0" w:type="dxa"/>
            <w:bottom w:w="0" w:type="dxa"/>
            <w:right w:w="0" w:type="dxa"/>
          </w:tblCellMar>
        </w:tblPrEx>
        <w:trPr>
          <w:trHeight w:val="1393" w:hRule="atLeast"/>
          <w:jc w:val="center"/>
        </w:trPr>
        <w:tc>
          <w:tcPr>
            <w:tcW w:w="324"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78" w:type="pct"/>
            <w:vMerge w:val="continue"/>
            <w:tcBorders>
              <w:left w:val="single" w:color="000000" w:sz="6" w:space="0"/>
              <w:right w:val="single" w:color="000000" w:sz="6" w:space="0"/>
            </w:tcBorders>
            <w:vAlign w:val="center"/>
          </w:tcPr>
          <w:p>
            <w:pPr>
              <w:pStyle w:val="9"/>
              <w:spacing w:line="300" w:lineRule="exact"/>
              <w:jc w:val="center"/>
              <w:rPr>
                <w:rFonts w:ascii="仿宋" w:hAnsi="仿宋" w:eastAsia="仿宋" w:cs="Calibri"/>
                <w:bCs/>
                <w:color w:val="FF0000"/>
                <w:sz w:val="21"/>
                <w:szCs w:val="21"/>
                <w:lang w:eastAsia="zh-CN"/>
              </w:rPr>
            </w:pPr>
          </w:p>
        </w:tc>
        <w:tc>
          <w:tcPr>
            <w:tcW w:w="1071" w:type="pct"/>
            <w:tcBorders>
              <w:top w:val="single" w:color="auto" w:sz="4" w:space="0"/>
              <w:left w:val="single" w:color="000000" w:sz="6" w:space="0"/>
              <w:bottom w:val="single" w:color="auto" w:sz="4" w:space="0"/>
              <w:right w:val="single" w:color="000000" w:sz="4" w:space="0"/>
            </w:tcBorders>
            <w:vAlign w:val="center"/>
          </w:tcPr>
          <w:p>
            <w:pPr>
              <w:pStyle w:val="9"/>
              <w:jc w:val="left"/>
              <w:rPr>
                <w:rFonts w:hint="default" w:ascii="仿宋" w:hAnsi="仿宋" w:eastAsia="仿宋" w:cs="Calibri"/>
                <w:bCs/>
                <w:color w:val="FF0000"/>
                <w:sz w:val="21"/>
                <w:szCs w:val="21"/>
                <w:highlight w:val="none"/>
                <w:lang w:val="en-US" w:eastAsia="zh-CN"/>
              </w:rPr>
            </w:pPr>
            <w:r>
              <w:rPr>
                <w:rFonts w:hint="eastAsia" w:ascii="仿宋" w:hAnsi="仿宋" w:eastAsia="仿宋" w:cs="仿宋"/>
                <w:color w:val="FF0000"/>
                <w:sz w:val="21"/>
                <w:szCs w:val="21"/>
                <w:highlight w:val="none"/>
                <w:lang w:val="en-US" w:eastAsia="zh-CN"/>
              </w:rPr>
              <w:t>★</w:t>
            </w:r>
            <w:r>
              <w:rPr>
                <w:rFonts w:hint="eastAsia" w:ascii="仿宋" w:hAnsi="仿宋" w:eastAsia="仿宋" w:cs="仿宋"/>
                <w:color w:val="FF0000"/>
                <w:sz w:val="21"/>
                <w:szCs w:val="21"/>
                <w:highlight w:val="none"/>
                <w:lang w:eastAsia="zh-CN"/>
              </w:rPr>
              <w:t>信誉要求（</w:t>
            </w:r>
            <w:r>
              <w:rPr>
                <w:rFonts w:hint="eastAsia" w:ascii="仿宋" w:hAnsi="仿宋" w:eastAsia="仿宋" w:cs="仿宋"/>
                <w:color w:val="FF0000"/>
                <w:sz w:val="21"/>
                <w:szCs w:val="21"/>
                <w:highlight w:val="none"/>
                <w:lang w:val="en-US" w:eastAsia="zh-CN"/>
              </w:rPr>
              <w:t>投标时提供）</w:t>
            </w:r>
          </w:p>
        </w:tc>
        <w:tc>
          <w:tcPr>
            <w:tcW w:w="3325" w:type="pct"/>
            <w:tcBorders>
              <w:top w:val="single" w:color="auto" w:sz="4" w:space="0"/>
              <w:left w:val="nil"/>
              <w:bottom w:val="single" w:color="auto" w:sz="4" w:space="0"/>
              <w:right w:val="single" w:color="000000" w:sz="4" w:space="0"/>
            </w:tcBorders>
            <w:vAlign w:val="center"/>
          </w:tcPr>
          <w:p>
            <w:pPr>
              <w:pStyle w:val="9"/>
              <w:jc w:val="both"/>
              <w:rPr>
                <w:rFonts w:hint="eastAsia" w:ascii="仿宋" w:hAnsi="仿宋" w:eastAsia="仿宋" w:cs="仿宋"/>
                <w:color w:val="auto"/>
                <w:sz w:val="21"/>
                <w:szCs w:val="21"/>
                <w:highlight w:val="none"/>
                <w:lang w:eastAsia="zh-CN"/>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应答人应提供《5.7：供应商承诺书》，应答人应按照模版格式，对涉及信誉情形进行承诺，并加盖</w:t>
            </w:r>
            <w:r>
              <w:rPr>
                <w:rFonts w:hint="eastAsia" w:ascii="仿宋" w:hAnsi="仿宋" w:eastAsia="仿宋" w:cs="仿宋"/>
                <w:color w:val="000000" w:themeColor="text1"/>
                <w:sz w:val="21"/>
                <w:szCs w:val="21"/>
                <w:highlight w:val="none"/>
                <w:lang w:eastAsia="zh-CN"/>
                <w14:textFill>
                  <w14:solidFill>
                    <w14:schemeClr w14:val="tx1"/>
                  </w14:solidFill>
                </w14:textFill>
              </w:rPr>
              <w:t>单位章</w:t>
            </w:r>
            <w:r>
              <w:rPr>
                <w:rFonts w:hint="eastAsia" w:ascii="仿宋" w:hAnsi="仿宋" w:eastAsia="仿宋" w:cs="仿宋"/>
                <w:color w:val="000000" w:themeColor="text1"/>
                <w:sz w:val="21"/>
                <w:szCs w:val="21"/>
                <w:highlight w:val="none"/>
                <w:lang w:val="en-US" w:eastAsia="zh-CN"/>
                <w14:textFill>
                  <w14:solidFill>
                    <w14:schemeClr w14:val="tx1"/>
                  </w14:solidFill>
                </w14:textFill>
              </w:rPr>
              <w:t>。如应答人未提供或不符合填报要求以及无法满足承诺项的，都将影响评审结果。</w:t>
            </w: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（备注：评审时评委通过网上查询结果进行评审，如查询不合格则废标处理。）</w:t>
            </w:r>
          </w:p>
        </w:tc>
      </w:tr>
      <w:tr>
        <w:tblPrEx>
          <w:tblCellMar>
            <w:top w:w="0" w:type="dxa"/>
            <w:left w:w="0" w:type="dxa"/>
            <w:bottom w:w="0" w:type="dxa"/>
            <w:right w:w="0" w:type="dxa"/>
          </w:tblCellMar>
        </w:tblPrEx>
        <w:trPr>
          <w:trHeight w:val="1877" w:hRule="atLeast"/>
          <w:jc w:val="center"/>
        </w:trPr>
        <w:tc>
          <w:tcPr>
            <w:tcW w:w="324"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78" w:type="pct"/>
            <w:vMerge w:val="continue"/>
            <w:tcBorders>
              <w:left w:val="single" w:color="000000" w:sz="6" w:space="0"/>
              <w:right w:val="single" w:color="000000" w:sz="6" w:space="0"/>
            </w:tcBorders>
            <w:vAlign w:val="center"/>
          </w:tcPr>
          <w:p>
            <w:pPr>
              <w:pStyle w:val="9"/>
              <w:spacing w:line="300" w:lineRule="exact"/>
              <w:jc w:val="center"/>
              <w:rPr>
                <w:rFonts w:ascii="仿宋" w:hAnsi="仿宋" w:eastAsia="仿宋" w:cs="Calibri"/>
                <w:bCs/>
                <w:sz w:val="21"/>
                <w:szCs w:val="21"/>
                <w:lang w:eastAsia="zh-CN"/>
              </w:rPr>
            </w:pPr>
          </w:p>
        </w:tc>
        <w:tc>
          <w:tcPr>
            <w:tcW w:w="1071" w:type="pct"/>
            <w:tcBorders>
              <w:top w:val="single" w:color="auto" w:sz="4" w:space="0"/>
              <w:left w:val="single" w:color="000000" w:sz="6" w:space="0"/>
              <w:bottom w:val="single" w:color="000000" w:sz="4" w:space="0"/>
              <w:right w:val="single" w:color="000000" w:sz="4" w:space="0"/>
            </w:tcBorders>
            <w:vAlign w:val="center"/>
          </w:tcPr>
          <w:p>
            <w:pPr>
              <w:pStyle w:val="9"/>
              <w:numPr>
                <w:ilvl w:val="-1"/>
                <w:numId w:val="0"/>
              </w:numPr>
              <w:jc w:val="both"/>
              <w:rPr>
                <w:rFonts w:hint="eastAsia" w:ascii="仿宋" w:hAnsi="仿宋" w:eastAsia="仿宋" w:cs="仿宋"/>
                <w:color w:val="C00000"/>
                <w:kern w:val="2"/>
                <w:sz w:val="21"/>
                <w:szCs w:val="21"/>
                <w:highlight w:val="none"/>
                <w:lang w:eastAsia="zh-CN"/>
              </w:rPr>
            </w:pPr>
            <w:r>
              <w:rPr>
                <w:rFonts w:hint="eastAsia" w:ascii="仿宋" w:hAnsi="仿宋" w:eastAsia="仿宋" w:cs="仿宋"/>
                <w:color w:val="auto"/>
                <w:kern w:val="2"/>
                <w:sz w:val="21"/>
                <w:szCs w:val="21"/>
                <w:highlight w:val="none"/>
                <w:lang w:val="en-US" w:eastAsia="zh-CN" w:bidi="ar-SA"/>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应答人或应答人所提供的第三方不得存在的其他情形</w:t>
            </w:r>
          </w:p>
          <w:p>
            <w:pPr>
              <w:pStyle w:val="9"/>
              <w:jc w:val="center"/>
              <w:rPr>
                <w:rFonts w:hint="eastAsia" w:ascii="仿宋" w:hAnsi="仿宋" w:eastAsia="仿宋" w:cs="Calibri"/>
                <w:bCs/>
                <w:color w:val="FF0000"/>
                <w:sz w:val="21"/>
                <w:szCs w:val="21"/>
                <w:highlight w:val="none"/>
                <w:lang w:eastAsia="zh-CN"/>
              </w:rPr>
            </w:pPr>
          </w:p>
        </w:tc>
        <w:tc>
          <w:tcPr>
            <w:tcW w:w="3325" w:type="pct"/>
            <w:tcBorders>
              <w:top w:val="single" w:color="auto" w:sz="4" w:space="0"/>
              <w:left w:val="nil"/>
              <w:bottom w:val="single" w:color="000000" w:sz="4" w:space="0"/>
              <w:right w:val="single" w:color="000000" w:sz="4" w:space="0"/>
            </w:tcBorders>
            <w:vAlign w:val="center"/>
          </w:tcPr>
          <w:p>
            <w:pPr>
              <w:pStyle w:val="9"/>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1.</w:t>
            </w:r>
            <w:r>
              <w:rPr>
                <w:rFonts w:hint="eastAsia" w:ascii="仿宋" w:hAnsi="仿宋" w:eastAsia="仿宋" w:cs="仿宋"/>
                <w:color w:val="000000" w:themeColor="text1"/>
                <w:sz w:val="21"/>
                <w:szCs w:val="21"/>
                <w:highlight w:val="none"/>
                <w:lang w:eastAsia="zh-CN"/>
                <w14:textFill>
                  <w14:solidFill>
                    <w14:schemeClr w14:val="tx1"/>
                  </w14:solidFill>
                </w14:textFill>
              </w:rPr>
              <w:t>被中国海洋石油集团有限公司在集团范围内进行风险提示，且在中国海洋石油集团有限公司《中国海油供应链数字化平台》中被采购冻结，进入调查程序的；</w:t>
            </w:r>
          </w:p>
          <w:p>
            <w:pPr>
              <w:pStyle w:val="9"/>
              <w:jc w:val="left"/>
              <w:rPr>
                <w:rFonts w:hint="eastAsia" w:ascii="仿宋" w:hAnsi="仿宋" w:eastAsia="仿宋" w:cs="仿宋"/>
                <w:sz w:val="21"/>
                <w:szCs w:val="21"/>
                <w:lang w:val="en-US" w:eastAsia="zh-CN"/>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2.</w:t>
            </w:r>
            <w:r>
              <w:rPr>
                <w:rFonts w:hint="eastAsia" w:ascii="仿宋" w:hAnsi="仿宋" w:eastAsia="仿宋" w:cs="仿宋"/>
                <w:color w:val="000000" w:themeColor="text1"/>
                <w:sz w:val="21"/>
                <w:szCs w:val="21"/>
                <w:highlight w:val="none"/>
                <w:lang w:eastAsia="zh-CN"/>
                <w14:textFill>
                  <w14:solidFill>
                    <w14:schemeClr w14:val="tx1"/>
                  </w14:solidFill>
                </w14:textFill>
              </w:rPr>
              <w:t>被中国海洋石油集团有限公司</w:t>
            </w:r>
            <w:r>
              <w:rPr>
                <w:rFonts w:hint="eastAsia" w:ascii="仿宋" w:hAnsi="仿宋" w:eastAsia="仿宋" w:cs="仿宋"/>
                <w:color w:val="000000" w:themeColor="text1"/>
                <w:sz w:val="21"/>
                <w:szCs w:val="21"/>
                <w:highlight w:val="none"/>
                <w:lang w:val="en-US" w:eastAsia="zh-CN"/>
                <w14:textFill>
                  <w14:solidFill>
                    <w14:schemeClr w14:val="tx1"/>
                  </w14:solidFill>
                </w14:textFill>
              </w:rPr>
              <w:t>及</w:t>
            </w:r>
            <w:r>
              <w:rPr>
                <w:rFonts w:hint="eastAsia" w:ascii="仿宋" w:hAnsi="仿宋" w:eastAsia="仿宋" w:cs="仿宋"/>
                <w:color w:val="000000" w:themeColor="text1"/>
                <w:sz w:val="21"/>
                <w:szCs w:val="21"/>
                <w:highlight w:val="none"/>
                <w:lang w:eastAsia="zh-CN"/>
                <w14:textFill>
                  <w14:solidFill>
                    <w14:schemeClr w14:val="tx1"/>
                  </w14:solidFill>
                </w14:textFill>
              </w:rPr>
              <w:t>所属单位处以“</w:t>
            </w:r>
            <w:r>
              <w:rPr>
                <w:rFonts w:hint="eastAsia" w:ascii="仿宋" w:hAnsi="仿宋" w:eastAsia="仿宋" w:cs="仿宋"/>
                <w:color w:val="000000" w:themeColor="text1"/>
                <w:sz w:val="21"/>
                <w:szCs w:val="21"/>
                <w:highlight w:val="none"/>
                <w:lang w:val="en-US" w:eastAsia="zh-CN"/>
                <w14:textFill>
                  <w14:solidFill>
                    <w14:schemeClr w14:val="tx1"/>
                  </w14:solidFill>
                </w14:textFill>
              </w:rPr>
              <w:t>禁用</w:t>
            </w:r>
            <w:r>
              <w:rPr>
                <w:rFonts w:hint="eastAsia" w:ascii="仿宋" w:hAnsi="仿宋" w:eastAsia="仿宋" w:cs="仿宋"/>
                <w:color w:val="000000" w:themeColor="text1"/>
                <w:sz w:val="21"/>
                <w:szCs w:val="21"/>
                <w:highlight w:val="none"/>
                <w:lang w:eastAsia="zh-CN"/>
                <w14:textFill>
                  <w14:solidFill>
                    <w14:schemeClr w14:val="tx1"/>
                  </w14:solidFill>
                </w14:textFill>
              </w:rPr>
              <w:t>”处罚，且仍在处罚期内或处罚期满但在系统中的供应商档案中的“档案状态”为“</w:t>
            </w:r>
            <w:r>
              <w:rPr>
                <w:rFonts w:hint="eastAsia" w:ascii="仿宋" w:hAnsi="仿宋" w:eastAsia="仿宋" w:cs="仿宋"/>
                <w:color w:val="000000" w:themeColor="text1"/>
                <w:sz w:val="21"/>
                <w:szCs w:val="21"/>
                <w:highlight w:val="none"/>
                <w:lang w:val="en-US" w:eastAsia="zh-CN"/>
                <w14:textFill>
                  <w14:solidFill>
                    <w14:schemeClr w14:val="tx1"/>
                  </w14:solidFill>
                </w14:textFill>
              </w:rPr>
              <w:t>受控</w:t>
            </w:r>
            <w:r>
              <w:rPr>
                <w:rFonts w:hint="eastAsia" w:ascii="仿宋" w:hAnsi="仿宋" w:eastAsia="仿宋" w:cs="仿宋"/>
                <w:color w:val="000000" w:themeColor="text1"/>
                <w:sz w:val="21"/>
                <w:szCs w:val="21"/>
                <w:highlight w:val="none"/>
                <w:lang w:eastAsia="zh-CN"/>
                <w14:textFill>
                  <w14:solidFill>
                    <w14:schemeClr w14:val="tx1"/>
                  </w14:solidFill>
                </w14:textFill>
              </w:rPr>
              <w:t>”、“业务状态”为“采购冻结”的。</w:t>
            </w:r>
          </w:p>
        </w:tc>
      </w:tr>
      <w:tr>
        <w:tblPrEx>
          <w:tblCellMar>
            <w:top w:w="0" w:type="dxa"/>
            <w:left w:w="0" w:type="dxa"/>
            <w:bottom w:w="0" w:type="dxa"/>
            <w:right w:w="0" w:type="dxa"/>
          </w:tblCellMar>
        </w:tblPrEx>
        <w:trPr>
          <w:trHeight w:val="1885" w:hRule="atLeast"/>
          <w:jc w:val="center"/>
        </w:trPr>
        <w:tc>
          <w:tcPr>
            <w:tcW w:w="324"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78" w:type="pct"/>
            <w:vMerge w:val="continue"/>
            <w:tcBorders>
              <w:left w:val="single" w:color="000000" w:sz="6" w:space="0"/>
              <w:right w:val="single" w:color="000000" w:sz="6" w:space="0"/>
            </w:tcBorders>
            <w:vAlign w:val="center"/>
          </w:tcPr>
          <w:p>
            <w:pPr>
              <w:pStyle w:val="9"/>
              <w:spacing w:line="300" w:lineRule="exact"/>
              <w:jc w:val="center"/>
              <w:rPr>
                <w:rFonts w:ascii="仿宋" w:hAnsi="仿宋" w:eastAsia="仿宋" w:cs="Calibri"/>
                <w:bCs/>
                <w:sz w:val="21"/>
                <w:szCs w:val="21"/>
                <w:lang w:eastAsia="zh-CN"/>
              </w:rPr>
            </w:pPr>
          </w:p>
        </w:tc>
        <w:tc>
          <w:tcPr>
            <w:tcW w:w="1071" w:type="pct"/>
            <w:tcBorders>
              <w:top w:val="single" w:color="000000" w:sz="4" w:space="0"/>
              <w:left w:val="single" w:color="000000" w:sz="6" w:space="0"/>
              <w:bottom w:val="single" w:color="auto" w:sz="4" w:space="0"/>
              <w:right w:val="single" w:color="000000" w:sz="4" w:space="0"/>
            </w:tcBorders>
            <w:vAlign w:val="center"/>
          </w:tcPr>
          <w:p>
            <w:pPr>
              <w:pStyle w:val="2"/>
              <w:tabs>
                <w:tab w:val="left" w:pos="770"/>
              </w:tabs>
              <w:ind w:left="0" w:leftChars="0" w:right="134" w:rightChars="0"/>
              <w:jc w:val="left"/>
              <w:rPr>
                <w:rFonts w:hint="default" w:ascii="仿宋" w:hAnsi="仿宋" w:eastAsia="仿宋" w:cs="Calibri"/>
                <w:bCs/>
                <w:color w:val="FF0000"/>
                <w:sz w:val="21"/>
                <w:szCs w:val="21"/>
                <w:highlight w:val="none"/>
                <w:lang w:val="en-US" w:eastAsia="zh-CN"/>
              </w:rPr>
            </w:pPr>
            <w:r>
              <w:rPr>
                <w:rFonts w:hint="eastAsia" w:ascii="仿宋" w:hAnsi="仿宋" w:eastAsia="仿宋" w:cs="仿宋"/>
                <w:color w:val="FF0000"/>
                <w:sz w:val="21"/>
                <w:szCs w:val="21"/>
                <w:highlight w:val="none"/>
                <w:lang w:val="en-US" w:eastAsia="zh-CN"/>
              </w:rPr>
              <w:t>★服务商要求（投标时提供）</w:t>
            </w:r>
          </w:p>
        </w:tc>
        <w:tc>
          <w:tcPr>
            <w:tcW w:w="3325" w:type="pct"/>
            <w:tcBorders>
              <w:top w:val="single" w:color="000000" w:sz="4" w:space="0"/>
              <w:left w:val="nil"/>
              <w:bottom w:val="single" w:color="auto" w:sz="4" w:space="0"/>
              <w:right w:val="single" w:color="000000" w:sz="4" w:space="0"/>
            </w:tcBorders>
            <w:vAlign w:val="center"/>
          </w:tcPr>
          <w:p>
            <w:pPr>
              <w:tabs>
                <w:tab w:val="left" w:pos="770"/>
              </w:tabs>
              <w:ind w:right="134" w:rightChars="0"/>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1)我司承诺承揽中国海油的业务量与其资质能力、财务状况、质量保障能力相匹配；</w:t>
            </w:r>
          </w:p>
          <w:p>
            <w:pPr>
              <w:tabs>
                <w:tab w:val="left" w:pos="770"/>
              </w:tabs>
              <w:ind w:right="134" w:rightChars="0"/>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2</w:t>
            </w:r>
            <w:r>
              <w:rPr>
                <w:rFonts w:hint="eastAsia" w:ascii="仿宋" w:hAnsi="仿宋" w:eastAsia="仿宋" w:cs="仿宋"/>
                <w:color w:val="FF0000"/>
                <w:kern w:val="0"/>
                <w:sz w:val="21"/>
                <w:szCs w:val="21"/>
                <w:highlight w:val="none"/>
                <w:lang w:val="en-US" w:eastAsia="zh-CN" w:bidi="ar-SA"/>
              </w:rPr>
              <w:t>)我司承诺员工缴纳社保人数不为0，可提供近三月连续社保证明；</w:t>
            </w: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 xml:space="preserve"> </w:t>
            </w:r>
          </w:p>
          <w:p>
            <w:pPr>
              <w:tabs>
                <w:tab w:val="left" w:pos="770"/>
              </w:tabs>
              <w:ind w:right="134" w:rightChars="0"/>
              <w:rPr>
                <w:rFonts w:hint="eastAsia" w:ascii="仿宋" w:hAnsi="仿宋" w:eastAsia="仿宋" w:cs="仿宋"/>
                <w:sz w:val="21"/>
                <w:szCs w:val="21"/>
                <w:highlight w:val="none"/>
                <w:lang w:eastAsia="zh-CN"/>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3)我司承诺中国海油不是我司唯一服务客户，我司具有中国海油外业绩，且为近三年内已完成业绩，并可提供原件合同及发票备查。</w:t>
            </w:r>
          </w:p>
        </w:tc>
      </w:tr>
    </w:tbl>
    <w:p/>
    <w:p>
      <w:pPr>
        <w:pStyle w:val="3"/>
        <w:numPr>
          <w:ilvl w:val="0"/>
          <w:numId w:val="0"/>
        </w:numPr>
        <w:ind w:leftChars="0"/>
        <w:rPr>
          <w:rFonts w:hint="eastAsia" w:ascii="仿宋" w:hAnsi="仿宋" w:eastAsia="仿宋" w:cs="仿宋"/>
          <w:b/>
          <w:bCs/>
          <w:sz w:val="44"/>
          <w:szCs w:val="44"/>
          <w:lang w:val="en-US" w:eastAsia="zh-CN"/>
        </w:rPr>
      </w:pPr>
      <w:r>
        <w:rPr>
          <w:rFonts w:hint="eastAsia" w:ascii="黑体" w:hAnsi="黑体" w:eastAsia="黑体"/>
          <w:b/>
          <w:bCs/>
          <w:color w:val="000000" w:themeColor="text1"/>
          <w:sz w:val="24"/>
          <w:szCs w:val="24"/>
          <w:highlight w:val="none"/>
          <w:lang w:val="en-US" w:eastAsia="zh-CN"/>
          <w14:textFill>
            <w14:solidFill>
              <w14:schemeClr w14:val="tx1"/>
            </w14:solidFill>
          </w14:textFill>
        </w:rPr>
        <w:t xml:space="preserve">5.7：供应商承诺书  </w:t>
      </w:r>
    </w:p>
    <w:p>
      <w:pPr>
        <w:keepNext w:val="0"/>
        <w:keepLines w:val="0"/>
        <w:widowControl/>
        <w:suppressLineNumbers w:val="0"/>
        <w:jc w:val="center"/>
        <w:rPr>
          <w:rFonts w:hint="eastAsia" w:ascii="仿宋" w:hAnsi="仿宋" w:eastAsia="仿宋" w:cs="仿宋"/>
          <w:b/>
          <w:bCs/>
          <w:sz w:val="44"/>
          <w:szCs w:val="44"/>
          <w:lang w:val="en-US" w:eastAsia="zh-CN"/>
        </w:rPr>
      </w:pPr>
    </w:p>
    <w:p>
      <w:pPr>
        <w:jc w:val="center"/>
        <w:outlineLvl w:val="9"/>
        <w:rPr>
          <w:rFonts w:hint="default" w:ascii="Times New Roman" w:hAnsi="Times New Roman" w:cs="Times New Roman" w:eastAsiaTheme="minorEastAsia"/>
          <w:color w:val="C00000"/>
          <w:highlight w:val="none"/>
          <w:lang w:eastAsia="zh-CN"/>
        </w:rPr>
      </w:pPr>
      <w:r>
        <w:rPr>
          <w:rFonts w:hint="default" w:ascii="Times New Roman" w:hAnsi="Times New Roman" w:eastAsia="黑体" w:cs="Times New Roman"/>
          <w:b/>
          <w:color w:val="000000" w:themeColor="text1"/>
          <w:sz w:val="36"/>
          <w:szCs w:val="36"/>
          <w:highlight w:val="none"/>
          <w:lang w:val="en-US" w:eastAsia="zh-CN"/>
          <w14:textFill>
            <w14:solidFill>
              <w14:schemeClr w14:val="tx1"/>
            </w14:solidFill>
          </w14:textFill>
        </w:rPr>
        <w:t xml:space="preserve"> </w:t>
      </w:r>
      <w:r>
        <w:rPr>
          <w:rFonts w:hint="default" w:ascii="Times New Roman" w:hAnsi="Times New Roman" w:eastAsia="黑体" w:cs="Times New Roman"/>
          <w:b/>
          <w:color w:val="000000" w:themeColor="text1"/>
          <w:sz w:val="36"/>
          <w:szCs w:val="36"/>
          <w:highlight w:val="none"/>
          <w14:textFill>
            <w14:solidFill>
              <w14:schemeClr w14:val="tx1"/>
            </w14:solidFill>
          </w14:textFill>
        </w:rPr>
        <w:t>供应商承诺</w:t>
      </w:r>
      <w:r>
        <w:rPr>
          <w:rFonts w:hint="default" w:ascii="Times New Roman" w:hAnsi="Times New Roman" w:eastAsia="黑体" w:cs="Times New Roman"/>
          <w:b/>
          <w:color w:val="000000" w:themeColor="text1"/>
          <w:sz w:val="36"/>
          <w:szCs w:val="36"/>
          <w:highlight w:val="none"/>
          <w:lang w:val="en-US" w:eastAsia="zh-CN"/>
          <w14:textFill>
            <w14:solidFill>
              <w14:schemeClr w14:val="tx1"/>
            </w14:solidFill>
          </w14:textFill>
        </w:rPr>
        <w:t>书</w:t>
      </w:r>
      <w:r>
        <w:rPr>
          <w:rFonts w:hint="default" w:ascii="Times New Roman" w:hAnsi="Times New Roman" w:cs="Times New Roman"/>
          <w:lang w:eastAsia="zh-CN"/>
        </w:rPr>
        <w:t>（</w:t>
      </w:r>
      <w:r>
        <w:rPr>
          <w:rFonts w:hint="default" w:ascii="Times New Roman" w:hAnsi="Times New Roman" w:cs="Times New Roman"/>
          <w:lang w:val="en-US" w:eastAsia="zh-CN"/>
        </w:rPr>
        <w:t>服务商适用</w:t>
      </w:r>
      <w:r>
        <w:rPr>
          <w:rFonts w:hint="default"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经查询</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信用中国”网站（https://www.creditchina.gov.cn/）或</w:t>
      </w:r>
      <w:r>
        <w:rPr>
          <w:rFonts w:hint="default" w:ascii="Times New Roman" w:hAnsi="Times New Roman" w:eastAsia="宋体" w:cs="Times New Roman"/>
          <w:color w:val="000000" w:themeColor="text1"/>
          <w:sz w:val="21"/>
          <w:szCs w:val="21"/>
          <w:highlight w:val="none"/>
          <w14:textFill>
            <w14:solidFill>
              <w14:schemeClr w14:val="tx1"/>
            </w14:solidFill>
          </w14:textFill>
        </w:rPr>
        <w:t>“中国执行信息公开网”网站（http://zxgk.court.gov.cn/），</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我公司未</w:t>
      </w:r>
      <w:r>
        <w:rPr>
          <w:rFonts w:hint="default" w:ascii="Times New Roman" w:hAnsi="Times New Roman" w:eastAsia="宋体" w:cs="Times New Roman"/>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经查询“国家企业信用信息公示系统”（http://www.gsxt.gov.cn），</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我公司未</w:t>
      </w:r>
      <w:r>
        <w:rPr>
          <w:rFonts w:hint="default" w:ascii="Times New Roman" w:hAnsi="Times New Roman" w:eastAsia="宋体" w:cs="Times New Roman"/>
          <w:color w:val="000000" w:themeColor="text1"/>
          <w:sz w:val="21"/>
          <w:szCs w:val="21"/>
          <w:highlight w:val="none"/>
          <w14:textFill>
            <w14:solidFill>
              <w14:schemeClr w14:val="tx1"/>
            </w14:solidFill>
          </w14:textFill>
        </w:rPr>
        <w:t>被列入严重违法失信企业名单</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（事业单位、大学除外）</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经查询“中国裁判文书网”（http://wenshu.court.gov.cn），</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我公司及法定代表人和拟委任的项目负责人近三年（202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年1月1日-报价截止日前）不</w:t>
      </w:r>
      <w:r>
        <w:rPr>
          <w:rFonts w:hint="default" w:ascii="Times New Roman" w:hAnsi="Times New Roman" w:eastAsia="宋体" w:cs="Times New Roman"/>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我公司与本采购项目其他应答人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存在</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控股关系或管理关系</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14:textFill>
            <w14:solidFill>
              <w14:schemeClr w14:val="tx1"/>
            </w14:solidFill>
          </w14:textFill>
        </w:rPr>
        <w:t>经</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确认，我公司</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不存在中国海油员工</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7、我公司承诺</w:t>
      </w:r>
      <w:r>
        <w:rPr>
          <w:rFonts w:hint="default" w:ascii="Times New Roman" w:hAnsi="Times New Roman" w:eastAsia="宋体" w:cs="Times New Roman"/>
          <w:kern w:val="0"/>
          <w:sz w:val="21"/>
          <w:szCs w:val="21"/>
          <w:highlight w:val="none"/>
          <w:lang w:val="en-US" w:eastAsia="zh-CN" w:bidi="ar-SA"/>
        </w:rPr>
        <w:t>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9、我公司此次投标涉及供应商属性为：服务商，承诺满足以下条件：</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strike w:val="0"/>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strike w:val="0"/>
          <w:color w:val="FF0000"/>
          <w:sz w:val="21"/>
          <w:szCs w:val="21"/>
          <w:highlight w:val="none"/>
          <w:lang w:val="en-US" w:eastAsia="zh-CN"/>
        </w:rPr>
        <w:t>2</w:t>
      </w:r>
      <w:r>
        <w:rPr>
          <w:rFonts w:hint="default" w:ascii="Times New Roman" w:hAnsi="Times New Roman" w:eastAsia="宋体" w:cs="Times New Roman"/>
          <w:strike w:val="0"/>
          <w:color w:val="FF0000"/>
          <w:sz w:val="21"/>
          <w:szCs w:val="21"/>
          <w:highlight w:val="none"/>
          <w:lang w:val="en-US" w:eastAsia="zh-CN"/>
        </w:rPr>
        <w:t>)我司承诺员工缴纳社保人数不为0，可提供近三月连续社保证明；</w:t>
      </w:r>
      <w:r>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t xml:space="preserve"> </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default" w:ascii="Times New Roman" w:hAnsi="Times New Roman" w:cs="Times New Roman"/>
          <w:lang w:val="en-US" w:eastAsia="zh-CN"/>
        </w:rPr>
      </w:pPr>
      <w:r>
        <w:rPr>
          <w:rFonts w:hint="default" w:ascii="Times New Roman" w:hAnsi="Times New Roman" w:cs="Times New Roman"/>
          <w:strike w:val="0"/>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t>我司承诺中国海油不是我司唯一服务客户，我司具有中国海油外业绩，且为近三年内已完成业绩，并可提供原件合同及发票备查</w:t>
      </w:r>
      <w:r>
        <w:rPr>
          <w:rFonts w:hint="default" w:ascii="Times New Roman" w:hAnsi="Times New Roman" w:cs="Times New Roman"/>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年    月   </w:t>
      </w:r>
      <w:r>
        <w:rPr>
          <w:rFonts w:hint="eastAsia" w:ascii="宋体" w:hAnsi="宋体" w:eastAsia="宋体" w:cs="宋体"/>
          <w:color w:val="000000" w:themeColor="text1"/>
          <w:sz w:val="21"/>
          <w:szCs w:val="21"/>
          <w:highlight w:val="none"/>
          <w:lang w:val="en-US" w:eastAsia="zh-CN"/>
          <w14:textFill>
            <w14:solidFill>
              <w14:schemeClr w14:val="tx1"/>
            </w14:solidFill>
          </w14:textFill>
        </w:rPr>
        <w:t>日</w:t>
      </w:r>
    </w:p>
    <w:p>
      <w:pPr>
        <w:pStyle w:val="10"/>
        <w:adjustRightInd/>
        <w:jc w:val="both"/>
        <w:outlineLvl w:val="1"/>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pPr>
    </w:p>
    <w:p>
      <w:pPr>
        <w:pStyle w:val="10"/>
        <w:adjustRightInd/>
        <w:jc w:val="both"/>
        <w:outlineLvl w:val="1"/>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pPr>
    </w:p>
    <w:p>
      <w:pPr>
        <w:pStyle w:val="10"/>
        <w:adjustRightInd/>
        <w:jc w:val="both"/>
        <w:outlineLvl w:val="1"/>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pPr>
    </w:p>
    <w:p>
      <w:pPr>
        <w:pStyle w:val="10"/>
        <w:adjustRightInd/>
        <w:jc w:val="both"/>
        <w:outlineLvl w:val="1"/>
        <w:rPr>
          <w:rFonts w:hint="default"/>
          <w:lang w:val="en-US" w:eastAsia="zh-CN"/>
        </w:rPr>
      </w:pPr>
      <w:r>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t>5.8：提供材料</w:t>
      </w:r>
    </w:p>
    <w:p>
      <w:pPr>
        <w:pStyle w:val="4"/>
        <w:ind w:left="0" w:leftChars="0" w:firstLine="0" w:firstLineChars="0"/>
        <w:rPr>
          <w:rFonts w:hint="eastAsia" w:ascii="宋体" w:hAnsi="宋体" w:eastAsia="宋体" w:cs="宋体"/>
          <w:b/>
          <w:bCs w:val="0"/>
          <w:sz w:val="21"/>
          <w:szCs w:val="21"/>
          <w:lang w:val="en-US" w:eastAsia="zh-CN"/>
        </w:rPr>
      </w:pPr>
    </w:p>
    <w:p>
      <w:pPr>
        <w:pStyle w:val="4"/>
        <w:ind w:left="0" w:leftChars="0" w:firstLine="0" w:firstLineChars="0"/>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1）、场地资源要求</w:t>
      </w:r>
    </w:p>
    <w:p>
      <w:pPr>
        <w:rPr>
          <w:rFonts w:hint="default"/>
          <w:lang w:val="en-US" w:eastAsia="zh-CN"/>
        </w:rPr>
      </w:pPr>
      <w:r>
        <w:rPr>
          <w:rFonts w:hint="default" w:cs="Times New Roman"/>
          <w:kern w:val="2"/>
          <w:sz w:val="21"/>
          <w:szCs w:val="22"/>
          <w:lang w:eastAsia="zh-CN" w:bidi="ar-SA"/>
        </w:rPr>
        <w:t>至少能够满足3000平方米的库房服务、8829.8平方米设备库房服务、2000平方米高跨重型库房服务、51300平方米堆场服务、1176平方米办公室服务、770平方米恒温恒湿库房服务、3000平方米实验场地服务。仓储使用面积具备划分条件，可按照甲方实际需求划分功能区域。</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eastAsiaTheme="minorEastAsia"/>
          <w:lang w:eastAsia="zh-CN"/>
        </w:rPr>
      </w:pPr>
      <w:r>
        <w:rPr>
          <w:rFonts w:hint="eastAsia"/>
        </w:rPr>
        <w:t>投标时投标人须提供场地平面布置图，图中须标明场地地址、总面积、各功能分区尺寸及​面积。（2）投标时提供使用场地的证明文件，须满足下列条件：为自有场地，须提供产权​证明（房产证或土地使用证或不动产权证书）扫描件，并加盖投标人公章。若产权证明中​所有权人与投标人名称不一致，还须提供相关情况说明（格式自拟）以及所有权人与投标人之间的关联关系证明</w:t>
      </w:r>
      <w:r>
        <w:rPr>
          <w:rFonts w:hint="eastAsia"/>
          <w:lang w:eastAsia="zh-CN"/>
        </w:rPr>
        <w:t>。</w:t>
      </w:r>
    </w:p>
    <w:p>
      <w:pPr>
        <w:rPr>
          <w:rFonts w:hint="eastAsia"/>
          <w:lang w:eastAsia="zh-CN"/>
        </w:rPr>
      </w:pPr>
    </w:p>
    <w:p>
      <w:pPr>
        <w:pStyle w:val="4"/>
        <w:rPr>
          <w:rFonts w:hint="eastAsia"/>
          <w:lang w:eastAsia="zh-CN"/>
        </w:rPr>
      </w:pPr>
    </w:p>
    <w:p>
      <w:pPr>
        <w:rPr>
          <w:rFonts w:hint="eastAsia"/>
          <w:lang w:eastAsia="zh-CN"/>
        </w:rPr>
      </w:pPr>
    </w:p>
    <w:p>
      <w:pPr>
        <w:pStyle w:val="4"/>
        <w:rPr>
          <w:rFonts w:hint="default" w:ascii="Times New Roman" w:hAnsi="Times New Roman" w:eastAsia="宋体" w:cs="Times New Roman"/>
          <w:sz w:val="21"/>
          <w:szCs w:val="21"/>
        </w:rPr>
      </w:pPr>
    </w:p>
    <w:p>
      <w:pPr>
        <w:rPr>
          <w:rFonts w:hint="default" w:ascii="Times New Roman" w:hAnsi="Times New Roman" w:eastAsia="宋体" w:cs="Times New Roman"/>
          <w:sz w:val="21"/>
          <w:szCs w:val="21"/>
        </w:rPr>
      </w:pPr>
    </w:p>
    <w:p>
      <w:pPr>
        <w:pStyle w:val="4"/>
        <w:rPr>
          <w:rFonts w:hint="default"/>
          <w:lang w:val="en-US" w:eastAsia="zh-CN"/>
        </w:rPr>
      </w:pPr>
    </w:p>
    <w:p>
      <w:pPr>
        <w:pStyle w:val="4"/>
        <w:rPr>
          <w:rFonts w:hint="default"/>
          <w:lang w:val="en-US" w:eastAsia="zh-CN"/>
        </w:rPr>
      </w:pPr>
    </w:p>
    <w:p>
      <w:pPr>
        <w:rPr>
          <w:rFonts w:hint="default"/>
          <w:b/>
          <w:bCs/>
          <w:lang w:val="en-US" w:eastAsia="zh-CN"/>
        </w:rPr>
      </w:pPr>
      <w:r>
        <w:rPr>
          <w:rFonts w:hint="eastAsia"/>
          <w:b/>
          <w:bCs/>
          <w:lang w:val="en-US" w:eastAsia="zh-CN"/>
        </w:rPr>
        <w:t>2）、其它要求：</w:t>
      </w:r>
    </w:p>
    <w:p>
      <w:pPr>
        <w:rPr>
          <w:rFonts w:hint="eastAsia" w:ascii="宋体" w:hAnsi="宋体" w:eastAsia="宋体" w:cs="宋体"/>
          <w:lang w:val="en-US" w:eastAsia="zh-CN"/>
        </w:rPr>
      </w:pPr>
    </w:p>
    <w:p>
      <w:pPr>
        <w:rPr>
          <w:rFonts w:hint="eastAsia" w:ascii="宋体" w:hAnsi="宋体" w:eastAsia="宋体" w:cs="宋体"/>
          <w:lang w:val="en-US" w:eastAsia="zh-CN"/>
        </w:rPr>
      </w:pPr>
      <w:r>
        <w:rPr>
          <w:rFonts w:hint="eastAsia" w:ascii="宋体" w:hAnsi="宋体" w:eastAsia="宋体" w:cs="宋体"/>
          <w:lang w:val="en-US" w:eastAsia="zh-CN"/>
        </w:rPr>
        <w:t xml:space="preserve">员工缴纳社保人数不为0，可提供近三月连续社保证明； </w:t>
      </w:r>
    </w:p>
    <w:p>
      <w:pPr>
        <w:pStyle w:val="4"/>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中国海油不是</w:t>
      </w:r>
      <w:r>
        <w:rPr>
          <w:rFonts w:hint="eastAsia"/>
          <w:lang w:val="en-US" w:eastAsia="zh-CN"/>
        </w:rPr>
        <w:t>公</w:t>
      </w:r>
      <w:r>
        <w:rPr>
          <w:rFonts w:hint="default"/>
          <w:lang w:val="en-US" w:eastAsia="zh-CN"/>
        </w:rPr>
        <w:t>司唯一服务客户，</w:t>
      </w:r>
      <w:r>
        <w:rPr>
          <w:rFonts w:hint="eastAsia"/>
          <w:lang w:val="en-US" w:eastAsia="zh-CN"/>
        </w:rPr>
        <w:t>公</w:t>
      </w:r>
      <w:r>
        <w:rPr>
          <w:rFonts w:hint="default"/>
          <w:lang w:val="en-US" w:eastAsia="zh-CN"/>
        </w:rPr>
        <w:t>司具有中国海油外业绩，且为近三年内已完成业绩，并可提供原件合同及发票备查。</w:t>
      </w:r>
    </w:p>
    <w:p>
      <w:pPr>
        <w:pStyle w:val="4"/>
        <w:rPr>
          <w:rFonts w:hint="default"/>
          <w:lang w:val="en-US" w:eastAsia="zh-CN"/>
        </w:rPr>
      </w:pPr>
    </w:p>
    <w:p>
      <w:pPr>
        <w:rPr>
          <w:rFonts w:hint="default"/>
          <w:lang w:val="en-US" w:eastAsia="zh-CN"/>
        </w:rPr>
      </w:pPr>
    </w:p>
    <w:p>
      <w:pPr>
        <w:pStyle w:val="4"/>
        <w:rPr>
          <w:rFonts w:hint="default"/>
          <w:lang w:val="en-US" w:eastAsia="zh-CN"/>
        </w:rPr>
      </w:pPr>
    </w:p>
    <w:p>
      <w:pPr>
        <w:rPr>
          <w:rFonts w:ascii="Arial" w:hAnsi="微软雅黑"/>
          <w:b w:val="0"/>
          <w:i w:val="0"/>
          <w:color w:val="000000"/>
          <w:sz w:val="24"/>
        </w:rPr>
      </w:pPr>
    </w:p>
    <w:p>
      <w:pPr>
        <w:numPr>
          <w:ilvl w:val="0"/>
          <w:numId w:val="2"/>
        </w:numPr>
        <w:rPr>
          <w:rFonts w:ascii="Arial" w:hAnsi="微软雅黑"/>
          <w:b w:val="0"/>
          <w:i w:val="0"/>
          <w:color w:val="000000"/>
          <w:sz w:val="24"/>
        </w:rPr>
      </w:pPr>
      <w:r>
        <w:rPr>
          <w:rFonts w:hint="eastAsia" w:ascii="Arial" w:hAnsi="微软雅黑"/>
          <w:b w:val="0"/>
          <w:i w:val="0"/>
          <w:color w:val="000000"/>
          <w:sz w:val="24"/>
          <w:lang w:val="en-US" w:eastAsia="zh-CN"/>
        </w:rPr>
        <w:t>、</w:t>
      </w:r>
      <w:r>
        <w:rPr>
          <w:rFonts w:ascii="Arial" w:hAnsi="微软雅黑"/>
          <w:b w:val="0"/>
          <w:i w:val="0"/>
          <w:color w:val="000000"/>
          <w:sz w:val="24"/>
        </w:rPr>
        <w:t>体系认证</w:t>
      </w:r>
    </w:p>
    <w:p>
      <w:pPr>
        <w:pStyle w:val="4"/>
        <w:widowControl w:val="0"/>
        <w:numPr>
          <w:numId w:val="0"/>
        </w:numPr>
        <w:jc w:val="both"/>
        <w:rPr>
          <w:rFonts w:hint="default"/>
          <w:lang w:val="en-US" w:eastAsia="zh-CN"/>
        </w:rPr>
      </w:pPr>
    </w:p>
    <w:p>
      <w:pPr>
        <w:rPr>
          <w:rFonts w:hint="default"/>
          <w:lang w:val="en-US" w:eastAsia="zh-CN"/>
        </w:rPr>
      </w:pPr>
      <w:bookmarkStart w:id="0" w:name="_GoBack"/>
      <w:bookmarkEnd w:id="0"/>
    </w:p>
    <w:p>
      <w:pPr>
        <w:rPr>
          <w:rFonts w:hint="default"/>
          <w:lang w:val="en-US" w:eastAsia="zh-CN"/>
        </w:rPr>
      </w:pPr>
    </w:p>
    <w:p>
      <w:pPr>
        <w:numPr>
          <w:ilvl w:val="0"/>
          <w:numId w:val="2"/>
        </w:numPr>
        <w:bidi w:val="0"/>
      </w:pPr>
      <w:r>
        <w:rPr>
          <w:rFonts w:hint="eastAsia"/>
          <w:lang w:val="en-US" w:eastAsia="zh-CN"/>
        </w:rPr>
        <w:t>、</w:t>
      </w:r>
      <w:r>
        <w:t>其他</w:t>
      </w:r>
    </w:p>
    <w:p>
      <w:pPr>
        <w:numPr>
          <w:numId w:val="0"/>
        </w:numPr>
        <w:bidi w:val="0"/>
      </w:pPr>
      <w:r>
        <w:t>1.乙方向甲方提供经有资质的设计院盖章签字的高跨重型库房的设计图纸复印件； 2.乙方应向甲方提供高跨重型库房内配套各类设备设施的出厂合格证书、检验证书的复印件。</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2FFECE"/>
    <w:multiLevelType w:val="singleLevel"/>
    <w:tmpl w:val="8D2FFECE"/>
    <w:lvl w:ilvl="0" w:tentative="0">
      <w:start w:val="3"/>
      <w:numFmt w:val="decimal"/>
      <w:suff w:val="nothing"/>
      <w:lvlText w:val="%1）"/>
      <w:lvlJc w:val="left"/>
    </w:lvl>
  </w:abstractNum>
  <w:abstractNum w:abstractNumId="1">
    <w:nsid w:val="20CD20B2"/>
    <w:multiLevelType w:val="multilevel"/>
    <w:tmpl w:val="20CD20B2"/>
    <w:lvl w:ilvl="0" w:tentative="0">
      <w:start w:val="1"/>
      <w:numFmt w:val="decimal"/>
      <w:pStyle w:val="3"/>
      <w:lvlText w:val="%1"/>
      <w:lvlJc w:val="left"/>
      <w:pPr>
        <w:ind w:left="0" w:firstLine="0"/>
      </w:pPr>
      <w:rPr>
        <w:rFonts w:hint="default" w:ascii="Times New Roman" w:hAnsi="Times New Roman" w:eastAsia="黑体" w:cs="Times New Roman"/>
        <w:color w:val="000000"/>
      </w:rPr>
    </w:lvl>
    <w:lvl w:ilvl="1" w:tentative="0">
      <w:start w:val="1"/>
      <w:numFmt w:val="decimal"/>
      <w:lvlText w:val="%1.%2"/>
      <w:lvlJc w:val="left"/>
      <w:pPr>
        <w:ind w:left="-31" w:firstLine="315"/>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2" w:tentative="0">
      <w:start w:val="1"/>
      <w:numFmt w:val="decimal"/>
      <w:lvlText w:val="%1.%2.%3"/>
      <w:lvlJc w:val="left"/>
      <w:pPr>
        <w:ind w:left="-142" w:firstLine="0"/>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3" w:tentative="0">
      <w:start w:val="1"/>
      <w:numFmt w:val="decimal"/>
      <w:lvlText w:val="%1.%2.%3.%4."/>
      <w:lvlJc w:val="left"/>
      <w:pPr>
        <w:ind w:left="-37" w:firstLine="0"/>
      </w:pPr>
      <w:rPr>
        <w:rFonts w:hint="eastAsia" w:ascii="黑体" w:hAnsi="黑体" w:eastAsia="黑体"/>
      </w:rPr>
    </w:lvl>
    <w:lvl w:ilvl="4" w:tentative="0">
      <w:start w:val="1"/>
      <w:numFmt w:val="decimal"/>
      <w:lvlText w:val="%1.%2.%3.%4.%5."/>
      <w:lvlJc w:val="left"/>
      <w:pPr>
        <w:ind w:left="-142" w:firstLine="0"/>
      </w:pPr>
      <w:rPr>
        <w:rFonts w:hint="eastAsia"/>
      </w:rPr>
    </w:lvl>
    <w:lvl w:ilvl="5" w:tentative="0">
      <w:start w:val="1"/>
      <w:numFmt w:val="decimal"/>
      <w:lvlText w:val="%1.%2.%3.%4.%5.%6."/>
      <w:lvlJc w:val="left"/>
      <w:pPr>
        <w:ind w:left="-142" w:firstLine="0"/>
      </w:pPr>
      <w:rPr>
        <w:rFonts w:hint="eastAsia"/>
      </w:rPr>
    </w:lvl>
    <w:lvl w:ilvl="6" w:tentative="0">
      <w:start w:val="1"/>
      <w:numFmt w:val="decimal"/>
      <w:lvlText w:val="%1.%2.%3.%4.%5.%6.%7."/>
      <w:lvlJc w:val="left"/>
      <w:pPr>
        <w:ind w:left="-142" w:firstLine="0"/>
      </w:pPr>
      <w:rPr>
        <w:rFonts w:hint="eastAsia"/>
      </w:rPr>
    </w:lvl>
    <w:lvl w:ilvl="7" w:tentative="0">
      <w:start w:val="1"/>
      <w:numFmt w:val="decimal"/>
      <w:lvlText w:val="%1.%2.%3.%4.%5.%6.%7.%8."/>
      <w:lvlJc w:val="left"/>
      <w:pPr>
        <w:ind w:left="-142" w:firstLine="0"/>
      </w:pPr>
      <w:rPr>
        <w:rFonts w:hint="eastAsia"/>
      </w:rPr>
    </w:lvl>
    <w:lvl w:ilvl="8" w:tentative="0">
      <w:start w:val="1"/>
      <w:numFmt w:val="decimal"/>
      <w:lvlText w:val="%1.%2.%3.%4.%5.%6.%7.%8.%9."/>
      <w:lvlJc w:val="left"/>
      <w:pPr>
        <w:ind w:left="-142"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940DDA"/>
    <w:rsid w:val="02EF5E6A"/>
    <w:rsid w:val="02F70501"/>
    <w:rsid w:val="0310721B"/>
    <w:rsid w:val="039160D5"/>
    <w:rsid w:val="042D6CDF"/>
    <w:rsid w:val="04B56771"/>
    <w:rsid w:val="06797785"/>
    <w:rsid w:val="06EB7286"/>
    <w:rsid w:val="070F7971"/>
    <w:rsid w:val="076723F2"/>
    <w:rsid w:val="0838230D"/>
    <w:rsid w:val="08B40E0C"/>
    <w:rsid w:val="09991FC5"/>
    <w:rsid w:val="0A2B51DE"/>
    <w:rsid w:val="0B244B23"/>
    <w:rsid w:val="0D3760D0"/>
    <w:rsid w:val="0F457D9D"/>
    <w:rsid w:val="0F4C7B72"/>
    <w:rsid w:val="0FA51344"/>
    <w:rsid w:val="100F707A"/>
    <w:rsid w:val="11A616C6"/>
    <w:rsid w:val="11E95803"/>
    <w:rsid w:val="12041F9A"/>
    <w:rsid w:val="12584A32"/>
    <w:rsid w:val="1322323A"/>
    <w:rsid w:val="138D5716"/>
    <w:rsid w:val="13937DE7"/>
    <w:rsid w:val="13AB5BF4"/>
    <w:rsid w:val="13FA1CEA"/>
    <w:rsid w:val="16CF25A4"/>
    <w:rsid w:val="17764669"/>
    <w:rsid w:val="182D393D"/>
    <w:rsid w:val="18A274A7"/>
    <w:rsid w:val="1ACB19BF"/>
    <w:rsid w:val="1B7E4952"/>
    <w:rsid w:val="1BDA4588"/>
    <w:rsid w:val="1BE87151"/>
    <w:rsid w:val="1C9C1105"/>
    <w:rsid w:val="1CCB71BE"/>
    <w:rsid w:val="1D623620"/>
    <w:rsid w:val="1E9E1050"/>
    <w:rsid w:val="1F090EAC"/>
    <w:rsid w:val="220622F0"/>
    <w:rsid w:val="241D144D"/>
    <w:rsid w:val="246F7569"/>
    <w:rsid w:val="25402978"/>
    <w:rsid w:val="262A7B0D"/>
    <w:rsid w:val="27BF0471"/>
    <w:rsid w:val="28BB3DF8"/>
    <w:rsid w:val="28DB6021"/>
    <w:rsid w:val="29090331"/>
    <w:rsid w:val="29257AEA"/>
    <w:rsid w:val="2A00239E"/>
    <w:rsid w:val="2BCA72F7"/>
    <w:rsid w:val="2CD74B1F"/>
    <w:rsid w:val="2E1C18A3"/>
    <w:rsid w:val="2E633642"/>
    <w:rsid w:val="2F351E80"/>
    <w:rsid w:val="3056073D"/>
    <w:rsid w:val="30EA3DB4"/>
    <w:rsid w:val="31571D54"/>
    <w:rsid w:val="31B31EF2"/>
    <w:rsid w:val="33940DDA"/>
    <w:rsid w:val="33A55044"/>
    <w:rsid w:val="356A3389"/>
    <w:rsid w:val="3715712E"/>
    <w:rsid w:val="374A4EDD"/>
    <w:rsid w:val="379C1A54"/>
    <w:rsid w:val="37AB17F6"/>
    <w:rsid w:val="3A84620E"/>
    <w:rsid w:val="3AA2099B"/>
    <w:rsid w:val="3AE0365F"/>
    <w:rsid w:val="3B631268"/>
    <w:rsid w:val="3D7078F4"/>
    <w:rsid w:val="3E486A63"/>
    <w:rsid w:val="3EC02EA1"/>
    <w:rsid w:val="4143267B"/>
    <w:rsid w:val="42A57837"/>
    <w:rsid w:val="42FA4677"/>
    <w:rsid w:val="43F777EE"/>
    <w:rsid w:val="444A39A5"/>
    <w:rsid w:val="4663293E"/>
    <w:rsid w:val="46BC369C"/>
    <w:rsid w:val="46F9595E"/>
    <w:rsid w:val="470C3097"/>
    <w:rsid w:val="478A163A"/>
    <w:rsid w:val="47AC7CAC"/>
    <w:rsid w:val="4852781F"/>
    <w:rsid w:val="48707448"/>
    <w:rsid w:val="4883212D"/>
    <w:rsid w:val="4AC03DC8"/>
    <w:rsid w:val="4C3A4ABA"/>
    <w:rsid w:val="4C8A3BDB"/>
    <w:rsid w:val="4CAE6375"/>
    <w:rsid w:val="4D9B3603"/>
    <w:rsid w:val="4DAB12AA"/>
    <w:rsid w:val="4E5D1815"/>
    <w:rsid w:val="4F3437BA"/>
    <w:rsid w:val="5077106B"/>
    <w:rsid w:val="50894E4B"/>
    <w:rsid w:val="51EB24A5"/>
    <w:rsid w:val="52061576"/>
    <w:rsid w:val="52C74F9B"/>
    <w:rsid w:val="537B7254"/>
    <w:rsid w:val="53A11FCA"/>
    <w:rsid w:val="53AF6941"/>
    <w:rsid w:val="54475749"/>
    <w:rsid w:val="5473009A"/>
    <w:rsid w:val="55614DF3"/>
    <w:rsid w:val="55A374E3"/>
    <w:rsid w:val="56682F3C"/>
    <w:rsid w:val="56CB2398"/>
    <w:rsid w:val="579F6A6D"/>
    <w:rsid w:val="5A592F28"/>
    <w:rsid w:val="5C7E3178"/>
    <w:rsid w:val="5E14403D"/>
    <w:rsid w:val="5E4B1665"/>
    <w:rsid w:val="605056B0"/>
    <w:rsid w:val="60F608B4"/>
    <w:rsid w:val="63F50FEA"/>
    <w:rsid w:val="640D4D41"/>
    <w:rsid w:val="643861F8"/>
    <w:rsid w:val="64D02B43"/>
    <w:rsid w:val="65874A3F"/>
    <w:rsid w:val="65AC434E"/>
    <w:rsid w:val="66F060B5"/>
    <w:rsid w:val="67472326"/>
    <w:rsid w:val="675E6495"/>
    <w:rsid w:val="690F28BC"/>
    <w:rsid w:val="698A6FB3"/>
    <w:rsid w:val="6A410CE0"/>
    <w:rsid w:val="6B224886"/>
    <w:rsid w:val="6BB02B14"/>
    <w:rsid w:val="6BBA5DF5"/>
    <w:rsid w:val="6C1443C6"/>
    <w:rsid w:val="6D162D88"/>
    <w:rsid w:val="6D645085"/>
    <w:rsid w:val="6EF37E9B"/>
    <w:rsid w:val="703F7E05"/>
    <w:rsid w:val="713A6A44"/>
    <w:rsid w:val="71517ABC"/>
    <w:rsid w:val="71643B0A"/>
    <w:rsid w:val="72224068"/>
    <w:rsid w:val="73D413B4"/>
    <w:rsid w:val="748F6BA3"/>
    <w:rsid w:val="74D74B52"/>
    <w:rsid w:val="76FA4C42"/>
    <w:rsid w:val="775B291C"/>
    <w:rsid w:val="77D2093C"/>
    <w:rsid w:val="79E142CC"/>
    <w:rsid w:val="7B58139B"/>
    <w:rsid w:val="7BC66069"/>
    <w:rsid w:val="7BE04AE2"/>
    <w:rsid w:val="7CA20A93"/>
    <w:rsid w:val="7E121AD5"/>
    <w:rsid w:val="7EB81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widowControl w:val="0"/>
      <w:numPr>
        <w:ilvl w:val="0"/>
        <w:numId w:val="1"/>
      </w:numPr>
      <w:spacing w:line="360" w:lineRule="auto"/>
      <w:outlineLvl w:val="0"/>
    </w:pPr>
    <w:rPr>
      <w:rFonts w:ascii="Times New Roman" w:hAnsi="Times New Roman" w:eastAsia="黑体" w:cs="Times New Roman"/>
      <w:bCs/>
      <w:kern w:val="44"/>
      <w:szCs w:val="44"/>
      <w:lang w:val="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before="36"/>
      <w:ind w:left="780"/>
      <w:jc w:val="left"/>
    </w:pPr>
    <w:rPr>
      <w:rFonts w:ascii="宋体" w:hAnsi="宋体" w:eastAsia="宋体"/>
      <w:kern w:val="0"/>
      <w:szCs w:val="21"/>
      <w:lang w:eastAsia="en-US"/>
    </w:rPr>
  </w:style>
  <w:style w:type="paragraph" w:styleId="4">
    <w:name w:val="Normal Indent"/>
    <w:basedOn w:val="1"/>
    <w:next w:val="1"/>
    <w:qFormat/>
    <w:uiPriority w:val="0"/>
    <w:pPr>
      <w:ind w:firstLine="420" w:firstLineChars="200"/>
    </w:pPr>
    <w:rPr>
      <w:rFonts w:ascii="Times New Roman" w:hAnsi="Times New Roman"/>
      <w:szCs w:val="24"/>
    </w:rPr>
  </w:style>
  <w:style w:type="paragraph" w:styleId="5">
    <w:name w:val="annotation text"/>
    <w:basedOn w:val="1"/>
    <w:unhideWhenUsed/>
    <w:qFormat/>
    <w:uiPriority w:val="99"/>
    <w:pPr>
      <w:jc w:val="left"/>
    </w:pPr>
  </w:style>
  <w:style w:type="paragraph" w:styleId="6">
    <w:name w:val="footer"/>
    <w:basedOn w:val="1"/>
    <w:next w:val="4"/>
    <w:unhideWhenUsed/>
    <w:qFormat/>
    <w:uiPriority w:val="99"/>
    <w:pPr>
      <w:tabs>
        <w:tab w:val="center" w:pos="4153"/>
        <w:tab w:val="right" w:pos="8306"/>
      </w:tabs>
      <w:snapToGrid w:val="0"/>
      <w:jc w:val="left"/>
    </w:pPr>
    <w:rPr>
      <w:sz w:val="18"/>
      <w:szCs w:val="18"/>
    </w:rPr>
  </w:style>
  <w:style w:type="paragraph" w:customStyle="1" w:styleId="9">
    <w:name w:val="Table Paragraph"/>
    <w:basedOn w:val="1"/>
    <w:qFormat/>
    <w:uiPriority w:val="0"/>
    <w:pPr>
      <w:jc w:val="left"/>
    </w:pPr>
    <w:rPr>
      <w:kern w:val="0"/>
      <w:sz w:val="22"/>
      <w:lang w:eastAsia="en-US"/>
    </w:rPr>
  </w:style>
  <w:style w:type="paragraph" w:customStyle="1" w:styleId="1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2025-12-30T02:39:00Z</dcterms:created>
  <dc:creator>安全锋</dc:creator>
  <cp:lastModifiedBy>安全锋</cp:lastModifiedBy>
  <dcterms:modified xsi:type="dcterms:W3CDTF">2026-09-14T03:07:42Z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DF07F62550D146A29610E01D7F0722BF</vt:lpwstr>
  </property>
</Properties>
</file>