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val="0"/>
        <w:pageBreakBefore w:val="0"/>
        <w:widowControl w:val="0"/>
        <w:suppressLineNumbers w:val="0"/>
        <w:kinsoku/>
        <w:wordWrap/>
        <w:overflowPunct/>
        <w:topLinePunct w:val="0"/>
        <w:bidi w:val="0"/>
        <w:snapToGrid/>
        <w:spacing w:before="0" w:beforeAutospacing="0" w:after="0" w:afterAutospacing="0" w:line="360" w:lineRule="auto"/>
        <w:ind w:left="1285" w:right="0" w:hanging="935" w:hangingChars="291"/>
        <w:jc w:val="center"/>
        <w:textAlignment w:val="auto"/>
        <w:rPr>
          <w:rFonts w:hint="eastAsia" w:asciiTheme="minorEastAsia" w:hAnsiTheme="minorEastAsia" w:eastAsiaTheme="minorEastAsia" w:cstheme="minorEastAsia"/>
          <w:b/>
          <w:bCs w:val="0"/>
          <w:kern w:val="2"/>
          <w:sz w:val="32"/>
          <w:szCs w:val="32"/>
          <w:lang w:val="en-US" w:eastAsia="zh-CN" w:bidi="ar"/>
        </w:rPr>
      </w:pPr>
    </w:p>
    <w:p>
      <w:pPr>
        <w:keepNext/>
        <w:keepLines w:val="0"/>
        <w:pageBreakBefore w:val="0"/>
        <w:widowControl w:val="0"/>
        <w:suppressLineNumbers w:val="0"/>
        <w:kinsoku/>
        <w:wordWrap/>
        <w:overflowPunct/>
        <w:topLinePunct w:val="0"/>
        <w:bidi w:val="0"/>
        <w:snapToGrid/>
        <w:spacing w:before="0" w:beforeAutospacing="0" w:after="0" w:afterAutospacing="0" w:line="360" w:lineRule="auto"/>
        <w:ind w:right="0"/>
        <w:jc w:val="center"/>
        <w:textAlignment w:val="auto"/>
        <w:rPr>
          <w:rFonts w:hint="eastAsia" w:asciiTheme="minorEastAsia" w:hAnsiTheme="minorEastAsia" w:eastAsiaTheme="minorEastAsia" w:cstheme="minorEastAsia"/>
          <w:b/>
          <w:bCs w:val="0"/>
          <w:kern w:val="2"/>
          <w:sz w:val="32"/>
          <w:szCs w:val="32"/>
        </w:rPr>
      </w:pPr>
      <w:r>
        <w:rPr>
          <w:rFonts w:hint="eastAsia" w:asciiTheme="minorEastAsia" w:hAnsiTheme="minorEastAsia" w:eastAsiaTheme="minorEastAsia" w:cstheme="minorEastAsia"/>
          <w:b/>
          <w:bCs w:val="0"/>
          <w:kern w:val="2"/>
          <w:sz w:val="32"/>
          <w:szCs w:val="32"/>
          <w:lang w:val="en-US" w:eastAsia="zh-CN" w:bidi="ar"/>
        </w:rPr>
        <w:t>湖北大峪口化工有限责任公司</w:t>
      </w:r>
    </w:p>
    <w:p>
      <w:pPr>
        <w:keepNext/>
        <w:keepLines w:val="0"/>
        <w:pageBreakBefore w:val="0"/>
        <w:widowControl w:val="0"/>
        <w:suppressLineNumbers w:val="0"/>
        <w:kinsoku/>
        <w:wordWrap/>
        <w:overflowPunct/>
        <w:topLinePunct w:val="0"/>
        <w:bidi w:val="0"/>
        <w:snapToGrid/>
        <w:spacing w:before="0" w:beforeAutospacing="0" w:after="0" w:afterAutospacing="0" w:line="360" w:lineRule="auto"/>
        <w:ind w:left="1285" w:right="0" w:hanging="935" w:hangingChars="291"/>
        <w:jc w:val="both"/>
        <w:textAlignment w:val="auto"/>
        <w:rPr>
          <w:rFonts w:hint="eastAsia" w:asciiTheme="minorEastAsia" w:hAnsiTheme="minorEastAsia" w:eastAsiaTheme="minorEastAsia" w:cstheme="minorEastAsia"/>
          <w:b/>
          <w:bCs w:val="0"/>
          <w:kern w:val="2"/>
          <w:sz w:val="32"/>
          <w:szCs w:val="32"/>
          <w:lang w:val="en-US" w:eastAsia="zh-CN" w:bidi="ar"/>
        </w:rPr>
      </w:pPr>
      <w:r>
        <w:rPr>
          <w:rFonts w:hint="eastAsia" w:asciiTheme="minorEastAsia" w:hAnsiTheme="minorEastAsia" w:eastAsiaTheme="minorEastAsia" w:cstheme="minorEastAsia"/>
          <w:b/>
          <w:bCs w:val="0"/>
          <w:kern w:val="2"/>
          <w:sz w:val="32"/>
          <w:szCs w:val="32"/>
          <w:lang w:val="en-US" w:eastAsia="zh-CN" w:bidi="ar"/>
        </w:rPr>
        <w:t xml:space="preserve"> </w:t>
      </w:r>
    </w:p>
    <w:p>
      <w:pPr>
        <w:pStyle w:val="22"/>
        <w:keepNext/>
        <w:keepLines w:val="0"/>
        <w:pageBreakBefore w:val="0"/>
        <w:widowControl w:val="0"/>
        <w:kinsoku/>
        <w:wordWrap/>
        <w:overflowPunct/>
        <w:topLinePunct w:val="0"/>
        <w:bidi w:val="0"/>
        <w:snapToGrid/>
        <w:textAlignment w:val="auto"/>
        <w:rPr>
          <w:rFonts w:hint="eastAsia" w:asciiTheme="minorEastAsia" w:hAnsiTheme="minorEastAsia" w:eastAsiaTheme="minorEastAsia" w:cstheme="minorEastAsia"/>
          <w:lang w:val="en-US" w:eastAsia="zh-CN"/>
        </w:rPr>
      </w:pPr>
    </w:p>
    <w:p>
      <w:pPr>
        <w:keepNext/>
        <w:keepLines w:val="0"/>
        <w:pageBreakBefore w:val="0"/>
        <w:widowControl w:val="0"/>
        <w:suppressLineNumbers w:val="0"/>
        <w:kinsoku/>
        <w:wordWrap/>
        <w:overflowPunct/>
        <w:topLinePunct w:val="0"/>
        <w:bidi w:val="0"/>
        <w:snapToGrid/>
        <w:spacing w:before="0" w:beforeAutospacing="0" w:after="0" w:afterAutospacing="0" w:line="360" w:lineRule="auto"/>
        <w:ind w:left="1285" w:right="0" w:hanging="935" w:hangingChars="291"/>
        <w:jc w:val="center"/>
        <w:textAlignment w:val="auto"/>
        <w:rPr>
          <w:rFonts w:hint="default" w:asciiTheme="minorEastAsia" w:hAnsiTheme="minorEastAsia" w:eastAsiaTheme="minorEastAsia" w:cstheme="minorEastAsia"/>
          <w:b/>
          <w:bCs w:val="0"/>
          <w:kern w:val="2"/>
          <w:sz w:val="32"/>
          <w:szCs w:val="32"/>
          <w:highlight w:val="none"/>
          <w:lang w:val="en-US" w:eastAsia="zh-CN" w:bidi="ar"/>
        </w:rPr>
      </w:pPr>
      <w:r>
        <w:rPr>
          <w:rFonts w:hint="eastAsia" w:asciiTheme="minorEastAsia" w:hAnsiTheme="minorEastAsia" w:eastAsiaTheme="minorEastAsia" w:cstheme="minorEastAsia"/>
          <w:b/>
          <w:bCs w:val="0"/>
          <w:kern w:val="2"/>
          <w:sz w:val="32"/>
          <w:szCs w:val="32"/>
          <w:highlight w:val="none"/>
          <w:lang w:val="en-US" w:eastAsia="zh-CN" w:bidi="ar"/>
        </w:rPr>
        <w:t>大峪口磷矿160万吨/年地下采矿工程项目</w:t>
      </w:r>
    </w:p>
    <w:p>
      <w:pPr>
        <w:keepNext/>
        <w:keepLines w:val="0"/>
        <w:pageBreakBefore w:val="0"/>
        <w:widowControl w:val="0"/>
        <w:suppressLineNumbers w:val="0"/>
        <w:kinsoku/>
        <w:wordWrap/>
        <w:overflowPunct/>
        <w:topLinePunct w:val="0"/>
        <w:bidi w:val="0"/>
        <w:snapToGrid/>
        <w:spacing w:before="0" w:beforeAutospacing="0" w:after="0" w:afterAutospacing="0" w:line="360" w:lineRule="auto"/>
        <w:ind w:left="1285" w:right="0" w:hanging="935" w:hangingChars="291"/>
        <w:jc w:val="center"/>
        <w:textAlignment w:val="auto"/>
        <w:rPr>
          <w:rFonts w:hint="default" w:asciiTheme="minorEastAsia" w:hAnsiTheme="minorEastAsia" w:eastAsiaTheme="minorEastAsia" w:cstheme="minorEastAsia"/>
          <w:b/>
          <w:bCs w:val="0"/>
          <w:kern w:val="2"/>
          <w:sz w:val="32"/>
          <w:szCs w:val="32"/>
          <w:highlight w:val="none"/>
          <w:lang w:val="en-US" w:eastAsia="zh-CN" w:bidi="ar"/>
        </w:rPr>
      </w:pPr>
      <w:r>
        <w:rPr>
          <w:rFonts w:hint="eastAsia" w:asciiTheme="minorEastAsia" w:hAnsiTheme="minorEastAsia" w:eastAsiaTheme="minorEastAsia" w:cstheme="minorEastAsia"/>
          <w:b/>
          <w:bCs w:val="0"/>
          <w:kern w:val="2"/>
          <w:sz w:val="32"/>
          <w:szCs w:val="32"/>
          <w:highlight w:val="none"/>
          <w:lang w:val="en-US" w:eastAsia="zh-CN" w:bidi="ar"/>
        </w:rPr>
        <w:t>电动调节阀采购</w:t>
      </w:r>
    </w:p>
    <w:p>
      <w:pPr>
        <w:pStyle w:val="15"/>
        <w:keepNext/>
        <w:keepLines w:val="0"/>
        <w:pageBreakBefore w:val="0"/>
        <w:widowControl w:val="0"/>
        <w:kinsoku/>
        <w:wordWrap/>
        <w:overflowPunct/>
        <w:topLinePunct w:val="0"/>
        <w:bidi w:val="0"/>
        <w:snapToGrid/>
        <w:textAlignment w:val="auto"/>
        <w:rPr>
          <w:rFonts w:hint="eastAsia" w:asciiTheme="minorEastAsia" w:hAnsiTheme="minorEastAsia" w:eastAsiaTheme="minorEastAsia" w:cstheme="minorEastAsia"/>
          <w:b/>
          <w:bCs w:val="0"/>
          <w:kern w:val="2"/>
          <w:sz w:val="32"/>
          <w:szCs w:val="32"/>
          <w:highlight w:val="none"/>
          <w:lang w:val="en-US" w:eastAsia="zh-CN" w:bidi="ar"/>
        </w:rPr>
      </w:pPr>
    </w:p>
    <w:p>
      <w:pPr>
        <w:pStyle w:val="16"/>
        <w:keepNext/>
        <w:keepLines w:val="0"/>
        <w:pageBreakBefore w:val="0"/>
        <w:widowControl w:val="0"/>
        <w:kinsoku/>
        <w:wordWrap/>
        <w:overflowPunct/>
        <w:topLinePunct w:val="0"/>
        <w:bidi w:val="0"/>
        <w:snapToGrid/>
        <w:textAlignment w:val="auto"/>
        <w:rPr>
          <w:rFonts w:hint="eastAsia" w:asciiTheme="minorEastAsia" w:hAnsiTheme="minorEastAsia" w:eastAsiaTheme="minorEastAsia" w:cstheme="minorEastAsia"/>
          <w:highlight w:val="none"/>
          <w:lang w:val="en-US" w:eastAsia="zh-CN"/>
        </w:rPr>
      </w:pPr>
    </w:p>
    <w:p>
      <w:pPr>
        <w:keepNext/>
        <w:keepLines w:val="0"/>
        <w:pageBreakBefore w:val="0"/>
        <w:widowControl w:val="0"/>
        <w:suppressLineNumbers w:val="0"/>
        <w:kinsoku/>
        <w:wordWrap/>
        <w:overflowPunct/>
        <w:topLinePunct w:val="0"/>
        <w:bidi w:val="0"/>
        <w:snapToGrid/>
        <w:spacing w:before="0" w:beforeAutospacing="0" w:after="0" w:afterAutospacing="0" w:line="360" w:lineRule="auto"/>
        <w:ind w:left="1285" w:right="0" w:hanging="935" w:hangingChars="291"/>
        <w:jc w:val="center"/>
        <w:textAlignment w:val="auto"/>
        <w:rPr>
          <w:rFonts w:hint="eastAsia" w:asciiTheme="minorEastAsia" w:hAnsiTheme="minorEastAsia" w:eastAsiaTheme="minorEastAsia" w:cstheme="minorEastAsia"/>
          <w:b/>
          <w:bCs w:val="0"/>
          <w:kern w:val="2"/>
          <w:sz w:val="32"/>
          <w:szCs w:val="32"/>
          <w:highlight w:val="none"/>
          <w:lang w:val="en-US" w:eastAsia="zh-CN" w:bidi="ar"/>
        </w:rPr>
      </w:pPr>
      <w:r>
        <w:rPr>
          <w:rFonts w:hint="eastAsia" w:asciiTheme="minorEastAsia" w:hAnsiTheme="minorEastAsia" w:eastAsiaTheme="minorEastAsia" w:cstheme="minorEastAsia"/>
          <w:b/>
          <w:bCs w:val="0"/>
          <w:kern w:val="2"/>
          <w:sz w:val="32"/>
          <w:szCs w:val="32"/>
          <w:highlight w:val="none"/>
          <w:lang w:val="en-US" w:eastAsia="zh-CN" w:bidi="ar"/>
        </w:rPr>
        <w:t>技术文件</w:t>
      </w:r>
    </w:p>
    <w:p>
      <w:pPr>
        <w:keepNext/>
        <w:keepLines w:val="0"/>
        <w:pageBreakBefore w:val="0"/>
        <w:widowControl w:val="0"/>
        <w:suppressLineNumbers w:val="0"/>
        <w:kinsoku/>
        <w:wordWrap/>
        <w:overflowPunct/>
        <w:topLinePunct w:val="0"/>
        <w:bidi w:val="0"/>
        <w:snapToGrid/>
        <w:spacing w:before="0" w:beforeAutospacing="0" w:after="0" w:afterAutospacing="0" w:line="360" w:lineRule="auto"/>
        <w:ind w:left="1285" w:right="0" w:hanging="935" w:hangingChars="291"/>
        <w:jc w:val="center"/>
        <w:textAlignment w:val="auto"/>
        <w:rPr>
          <w:rFonts w:hint="eastAsia" w:asciiTheme="minorEastAsia" w:hAnsiTheme="minorEastAsia" w:eastAsiaTheme="minorEastAsia" w:cstheme="minorEastAsia"/>
          <w:b/>
          <w:bCs w:val="0"/>
          <w:kern w:val="2"/>
          <w:sz w:val="32"/>
          <w:szCs w:val="32"/>
          <w:lang w:val="en-US" w:eastAsia="zh-CN" w:bidi="ar"/>
        </w:rPr>
      </w:pPr>
      <w:r>
        <w:rPr>
          <w:rFonts w:hint="eastAsia" w:asciiTheme="minorEastAsia" w:hAnsiTheme="minorEastAsia" w:eastAsiaTheme="minorEastAsia" w:cstheme="minorEastAsia"/>
          <w:b/>
          <w:bCs w:val="0"/>
          <w:kern w:val="2"/>
          <w:sz w:val="32"/>
          <w:szCs w:val="32"/>
          <w:lang w:val="en-US" w:eastAsia="zh-CN" w:bidi="ar"/>
        </w:rPr>
        <w:t xml:space="preserve">  </w:t>
      </w:r>
    </w:p>
    <w:p>
      <w:pPr>
        <w:pStyle w:val="22"/>
        <w:keepNext/>
        <w:keepLines w:val="0"/>
        <w:pageBreakBefore w:val="0"/>
        <w:widowControl w:val="0"/>
        <w:kinsoku/>
        <w:wordWrap/>
        <w:overflowPunct/>
        <w:topLinePunct w:val="0"/>
        <w:bidi w:val="0"/>
        <w:snapToGrid/>
        <w:textAlignment w:val="auto"/>
        <w:rPr>
          <w:rFonts w:hint="eastAsia" w:asciiTheme="minorEastAsia" w:hAnsiTheme="minorEastAsia" w:eastAsiaTheme="minorEastAsia" w:cstheme="minorEastAsia"/>
          <w:b/>
          <w:bCs w:val="0"/>
          <w:kern w:val="2"/>
          <w:sz w:val="44"/>
          <w:szCs w:val="44"/>
          <w:lang w:val="en-US" w:eastAsia="zh-CN" w:bidi="ar"/>
        </w:rPr>
      </w:pPr>
    </w:p>
    <w:p>
      <w:pPr>
        <w:keepNext/>
        <w:keepLines w:val="0"/>
        <w:pageBreakBefore w:val="0"/>
        <w:widowControl w:val="0"/>
        <w:suppressLineNumbers w:val="0"/>
        <w:kinsoku/>
        <w:wordWrap/>
        <w:overflowPunct/>
        <w:topLinePunct w:val="0"/>
        <w:autoSpaceDE w:val="0"/>
        <w:autoSpaceDN/>
        <w:bidi w:val="0"/>
        <w:snapToGrid/>
        <w:spacing w:before="0" w:beforeAutospacing="0" w:after="0" w:afterAutospacing="0" w:line="360" w:lineRule="auto"/>
        <w:ind w:right="0" w:firstLine="1928" w:firstLineChars="800"/>
        <w:jc w:val="left"/>
        <w:textAlignment w:val="auto"/>
        <w:rPr>
          <w:rFonts w:hint="eastAsia" w:asciiTheme="minorEastAsia" w:hAnsiTheme="minorEastAsia" w:eastAsiaTheme="minorEastAsia" w:cstheme="minorEastAsia"/>
          <w:b/>
          <w:bCs w:val="0"/>
          <w:kern w:val="2"/>
          <w:sz w:val="24"/>
          <w:szCs w:val="24"/>
          <w:lang w:val="en-US" w:eastAsia="zh-CN" w:bidi="ar"/>
        </w:rPr>
      </w:pPr>
      <w:r>
        <w:rPr>
          <w:rFonts w:hint="eastAsia" w:asciiTheme="minorEastAsia" w:hAnsiTheme="minorEastAsia" w:eastAsiaTheme="minorEastAsia" w:cstheme="minorEastAsia"/>
          <w:b/>
          <w:bCs w:val="0"/>
          <w:kern w:val="2"/>
          <w:sz w:val="24"/>
          <w:szCs w:val="24"/>
          <w:lang w:val="en-US" w:eastAsia="zh-CN" w:bidi="ar"/>
        </w:rPr>
        <w:t>编制：</w:t>
      </w:r>
    </w:p>
    <w:p>
      <w:pPr>
        <w:pStyle w:val="22"/>
        <w:keepNext/>
        <w:keepLines w:val="0"/>
        <w:pageBreakBefore w:val="0"/>
        <w:widowControl w:val="0"/>
        <w:kinsoku/>
        <w:wordWrap/>
        <w:overflowPunct/>
        <w:topLinePunct w:val="0"/>
        <w:bidi w:val="0"/>
        <w:snapToGrid/>
        <w:textAlignment w:val="auto"/>
        <w:rPr>
          <w:rFonts w:hint="eastAsia" w:asciiTheme="minorEastAsia" w:hAnsiTheme="minorEastAsia" w:eastAsiaTheme="minorEastAsia" w:cstheme="minorEastAsia"/>
          <w:sz w:val="24"/>
          <w:szCs w:val="24"/>
        </w:rPr>
      </w:pPr>
    </w:p>
    <w:p>
      <w:pPr>
        <w:pStyle w:val="22"/>
        <w:keepNext/>
        <w:keepLines w:val="0"/>
        <w:pageBreakBefore w:val="0"/>
        <w:widowControl w:val="0"/>
        <w:kinsoku/>
        <w:wordWrap/>
        <w:overflowPunct/>
        <w:topLinePunct w:val="0"/>
        <w:bidi w:val="0"/>
        <w:snapToGrid/>
        <w:textAlignment w:val="auto"/>
        <w:rPr>
          <w:rFonts w:hint="eastAsia" w:asciiTheme="minorEastAsia" w:hAnsiTheme="minorEastAsia" w:eastAsiaTheme="minorEastAsia" w:cstheme="minorEastAsia"/>
          <w:sz w:val="24"/>
          <w:szCs w:val="24"/>
        </w:rPr>
      </w:pPr>
    </w:p>
    <w:p>
      <w:pPr>
        <w:pStyle w:val="22"/>
        <w:keepNext/>
        <w:keepLines w:val="0"/>
        <w:pageBreakBefore w:val="0"/>
        <w:widowControl w:val="0"/>
        <w:kinsoku/>
        <w:wordWrap/>
        <w:overflowPunct/>
        <w:topLinePunct w:val="0"/>
        <w:bidi w:val="0"/>
        <w:snapToGrid/>
        <w:textAlignment w:val="auto"/>
        <w:rPr>
          <w:rFonts w:hint="eastAsia" w:asciiTheme="minorEastAsia" w:hAnsiTheme="minorEastAsia" w:eastAsiaTheme="minorEastAsia" w:cstheme="minorEastAsia"/>
          <w:sz w:val="24"/>
          <w:szCs w:val="24"/>
        </w:rPr>
      </w:pPr>
    </w:p>
    <w:p>
      <w:pPr>
        <w:keepNext/>
        <w:keepLines w:val="0"/>
        <w:pageBreakBefore w:val="0"/>
        <w:widowControl w:val="0"/>
        <w:suppressLineNumbers w:val="0"/>
        <w:kinsoku/>
        <w:wordWrap/>
        <w:overflowPunct/>
        <w:topLinePunct w:val="0"/>
        <w:autoSpaceDE w:val="0"/>
        <w:autoSpaceDN/>
        <w:bidi w:val="0"/>
        <w:snapToGrid/>
        <w:spacing w:before="0" w:beforeAutospacing="0" w:after="0" w:afterAutospacing="0" w:line="360" w:lineRule="auto"/>
        <w:ind w:right="0" w:firstLine="1928" w:firstLineChars="800"/>
        <w:jc w:val="left"/>
        <w:textAlignment w:val="auto"/>
        <w:rPr>
          <w:rFonts w:hint="eastAsia" w:asciiTheme="minorEastAsia" w:hAnsiTheme="minorEastAsia" w:eastAsiaTheme="minorEastAsia" w:cstheme="minorEastAsia"/>
          <w:b/>
          <w:bCs w:val="0"/>
          <w:kern w:val="2"/>
          <w:sz w:val="24"/>
          <w:szCs w:val="24"/>
          <w:lang w:val="en-US" w:eastAsia="zh-CN" w:bidi="ar"/>
        </w:rPr>
      </w:pPr>
      <w:r>
        <w:rPr>
          <w:rFonts w:hint="eastAsia" w:asciiTheme="minorEastAsia" w:hAnsiTheme="minorEastAsia" w:eastAsiaTheme="minorEastAsia" w:cstheme="minorEastAsia"/>
          <w:b/>
          <w:bCs w:val="0"/>
          <w:kern w:val="2"/>
          <w:sz w:val="24"/>
          <w:szCs w:val="24"/>
          <w:lang w:val="en-US" w:eastAsia="zh-CN" w:bidi="ar"/>
        </w:rPr>
        <w:t>审核：</w:t>
      </w:r>
    </w:p>
    <w:p>
      <w:pPr>
        <w:pStyle w:val="22"/>
        <w:keepNext/>
        <w:keepLines w:val="0"/>
        <w:pageBreakBefore w:val="0"/>
        <w:widowControl w:val="0"/>
        <w:kinsoku/>
        <w:wordWrap/>
        <w:overflowPunct/>
        <w:topLinePunct w:val="0"/>
        <w:bidi w:val="0"/>
        <w:snapToGrid/>
        <w:textAlignment w:val="auto"/>
        <w:rPr>
          <w:rFonts w:hint="eastAsia" w:asciiTheme="minorEastAsia" w:hAnsiTheme="minorEastAsia" w:eastAsiaTheme="minorEastAsia" w:cstheme="minorEastAsia"/>
          <w:sz w:val="24"/>
          <w:szCs w:val="24"/>
        </w:rPr>
      </w:pPr>
    </w:p>
    <w:p>
      <w:pPr>
        <w:pStyle w:val="22"/>
        <w:keepNext/>
        <w:keepLines w:val="0"/>
        <w:pageBreakBefore w:val="0"/>
        <w:widowControl w:val="0"/>
        <w:kinsoku/>
        <w:wordWrap/>
        <w:overflowPunct/>
        <w:topLinePunct w:val="0"/>
        <w:bidi w:val="0"/>
        <w:snapToGrid/>
        <w:textAlignment w:val="auto"/>
        <w:rPr>
          <w:rFonts w:hint="eastAsia" w:asciiTheme="minorEastAsia" w:hAnsiTheme="minorEastAsia" w:eastAsiaTheme="minorEastAsia" w:cstheme="minorEastAsia"/>
          <w:sz w:val="24"/>
          <w:szCs w:val="24"/>
        </w:rPr>
      </w:pPr>
    </w:p>
    <w:p>
      <w:pPr>
        <w:pStyle w:val="22"/>
        <w:keepNext/>
        <w:keepLines w:val="0"/>
        <w:pageBreakBefore w:val="0"/>
        <w:widowControl w:val="0"/>
        <w:kinsoku/>
        <w:wordWrap/>
        <w:overflowPunct/>
        <w:topLinePunct w:val="0"/>
        <w:bidi w:val="0"/>
        <w:snapToGrid/>
        <w:textAlignment w:val="auto"/>
        <w:rPr>
          <w:rFonts w:hint="eastAsia" w:asciiTheme="minorEastAsia" w:hAnsiTheme="minorEastAsia" w:eastAsiaTheme="minorEastAsia" w:cstheme="minorEastAsia"/>
          <w:sz w:val="24"/>
          <w:szCs w:val="24"/>
        </w:rPr>
      </w:pPr>
    </w:p>
    <w:p>
      <w:pPr>
        <w:keepNext/>
        <w:keepLines w:val="0"/>
        <w:pageBreakBefore w:val="0"/>
        <w:widowControl w:val="0"/>
        <w:suppressLineNumbers w:val="0"/>
        <w:kinsoku/>
        <w:wordWrap/>
        <w:overflowPunct/>
        <w:topLinePunct w:val="0"/>
        <w:autoSpaceDE w:val="0"/>
        <w:autoSpaceDN/>
        <w:bidi w:val="0"/>
        <w:snapToGrid/>
        <w:spacing w:before="0" w:beforeAutospacing="0" w:after="0" w:afterAutospacing="0" w:line="360" w:lineRule="auto"/>
        <w:ind w:right="0" w:firstLine="1928" w:firstLineChars="800"/>
        <w:jc w:val="left"/>
        <w:textAlignment w:val="auto"/>
        <w:rPr>
          <w:rFonts w:hint="eastAsia" w:asciiTheme="minorEastAsia" w:hAnsiTheme="minorEastAsia" w:eastAsiaTheme="minorEastAsia" w:cstheme="minorEastAsia"/>
          <w:b/>
          <w:bCs w:val="0"/>
          <w:kern w:val="2"/>
          <w:sz w:val="24"/>
          <w:szCs w:val="24"/>
          <w:lang w:val="en-US" w:eastAsia="zh-CN" w:bidi="ar"/>
        </w:rPr>
      </w:pPr>
      <w:r>
        <w:rPr>
          <w:rFonts w:hint="eastAsia" w:asciiTheme="minorEastAsia" w:hAnsiTheme="minorEastAsia" w:eastAsiaTheme="minorEastAsia" w:cstheme="minorEastAsia"/>
          <w:b/>
          <w:bCs w:val="0"/>
          <w:kern w:val="2"/>
          <w:sz w:val="24"/>
          <w:szCs w:val="24"/>
          <w:lang w:val="en-US" w:eastAsia="zh-CN" w:bidi="ar"/>
        </w:rPr>
        <w:t>审批：</w:t>
      </w:r>
    </w:p>
    <w:p>
      <w:pPr>
        <w:keepNext/>
        <w:keepLines w:val="0"/>
        <w:pageBreakBefore w:val="0"/>
        <w:widowControl w:val="0"/>
        <w:suppressLineNumbers w:val="0"/>
        <w:kinsoku/>
        <w:wordWrap/>
        <w:overflowPunct/>
        <w:topLinePunct w:val="0"/>
        <w:bidi w:val="0"/>
        <w:snapToGrid/>
        <w:spacing w:before="0" w:beforeAutospacing="0" w:after="0" w:afterAutospacing="0" w:line="360" w:lineRule="auto"/>
        <w:ind w:left="1285" w:right="0" w:hanging="1052" w:hangingChars="291"/>
        <w:jc w:val="center"/>
        <w:textAlignment w:val="auto"/>
        <w:rPr>
          <w:rFonts w:hint="eastAsia" w:asciiTheme="minorEastAsia" w:hAnsiTheme="minorEastAsia" w:eastAsiaTheme="minorEastAsia" w:cstheme="minorEastAsia"/>
          <w:b/>
          <w:bCs w:val="0"/>
          <w:kern w:val="2"/>
          <w:sz w:val="36"/>
          <w:szCs w:val="36"/>
          <w:highlight w:val="none"/>
          <w:lang w:val="en-US" w:eastAsia="zh-CN" w:bidi="ar"/>
        </w:rPr>
      </w:pPr>
    </w:p>
    <w:p>
      <w:pPr>
        <w:keepNext/>
        <w:keepLines w:val="0"/>
        <w:pageBreakBefore w:val="0"/>
        <w:widowControl w:val="0"/>
        <w:suppressLineNumbers w:val="0"/>
        <w:kinsoku/>
        <w:wordWrap/>
        <w:overflowPunct/>
        <w:topLinePunct w:val="0"/>
        <w:bidi w:val="0"/>
        <w:snapToGrid/>
        <w:spacing w:before="0" w:beforeAutospacing="0" w:after="0" w:afterAutospacing="0" w:line="360" w:lineRule="auto"/>
        <w:ind w:left="1285" w:right="0" w:hanging="1052" w:hangingChars="291"/>
        <w:jc w:val="center"/>
        <w:textAlignment w:val="auto"/>
        <w:rPr>
          <w:rFonts w:hint="eastAsia" w:asciiTheme="minorEastAsia" w:hAnsiTheme="minorEastAsia" w:eastAsiaTheme="minorEastAsia" w:cstheme="minorEastAsia"/>
          <w:b/>
          <w:bCs w:val="0"/>
          <w:kern w:val="2"/>
          <w:sz w:val="36"/>
          <w:szCs w:val="36"/>
          <w:highlight w:val="none"/>
          <w:lang w:val="en-US" w:eastAsia="zh-CN" w:bidi="ar"/>
        </w:rPr>
      </w:pPr>
    </w:p>
    <w:p>
      <w:pPr>
        <w:keepNext/>
        <w:keepLines w:val="0"/>
        <w:pageBreakBefore w:val="0"/>
        <w:widowControl w:val="0"/>
        <w:suppressLineNumbers w:val="0"/>
        <w:kinsoku/>
        <w:wordWrap/>
        <w:overflowPunct/>
        <w:topLinePunct w:val="0"/>
        <w:bidi w:val="0"/>
        <w:snapToGrid/>
        <w:spacing w:before="0" w:beforeAutospacing="0" w:after="0" w:afterAutospacing="0" w:line="360" w:lineRule="auto"/>
        <w:ind w:left="1285" w:right="0" w:hanging="1052" w:hangingChars="291"/>
        <w:jc w:val="center"/>
        <w:textAlignment w:val="auto"/>
        <w:rPr>
          <w:rFonts w:hint="eastAsia" w:asciiTheme="minorEastAsia" w:hAnsiTheme="minorEastAsia" w:eastAsiaTheme="minorEastAsia" w:cstheme="minorEastAsia"/>
          <w:b/>
          <w:bCs w:val="0"/>
          <w:kern w:val="2"/>
          <w:sz w:val="36"/>
          <w:szCs w:val="36"/>
          <w:highlight w:val="none"/>
          <w:lang w:val="en-US" w:eastAsia="zh-CN" w:bidi="ar"/>
        </w:rPr>
      </w:pPr>
    </w:p>
    <w:p>
      <w:pPr>
        <w:keepNext/>
        <w:keepLines w:val="0"/>
        <w:pageBreakBefore w:val="0"/>
        <w:widowControl w:val="0"/>
        <w:suppressLineNumbers w:val="0"/>
        <w:kinsoku/>
        <w:wordWrap/>
        <w:overflowPunct/>
        <w:topLinePunct w:val="0"/>
        <w:bidi w:val="0"/>
        <w:snapToGrid/>
        <w:spacing w:before="0" w:beforeAutospacing="0" w:after="0" w:afterAutospacing="0" w:line="360" w:lineRule="auto"/>
        <w:ind w:left="1285" w:right="0" w:hanging="1052" w:hangingChars="291"/>
        <w:jc w:val="center"/>
        <w:textAlignment w:val="auto"/>
        <w:rPr>
          <w:rFonts w:hint="eastAsia" w:asciiTheme="minorEastAsia" w:hAnsiTheme="minorEastAsia" w:eastAsiaTheme="minorEastAsia" w:cstheme="minorEastAsia"/>
          <w:b/>
          <w:bCs w:val="0"/>
          <w:kern w:val="2"/>
          <w:sz w:val="36"/>
          <w:szCs w:val="36"/>
          <w:highlight w:val="none"/>
          <w:lang w:val="en-US" w:eastAsia="zh-CN" w:bidi="ar"/>
        </w:rPr>
      </w:pPr>
    </w:p>
    <w:p>
      <w:pPr>
        <w:keepNext/>
        <w:keepLines w:val="0"/>
        <w:pageBreakBefore w:val="0"/>
        <w:widowControl w:val="0"/>
        <w:suppressLineNumbers w:val="0"/>
        <w:kinsoku/>
        <w:wordWrap/>
        <w:overflowPunct/>
        <w:topLinePunct w:val="0"/>
        <w:bidi w:val="0"/>
        <w:snapToGrid/>
        <w:spacing w:before="0" w:beforeAutospacing="0" w:after="0" w:afterAutospacing="0" w:line="360" w:lineRule="auto"/>
        <w:ind w:right="0"/>
        <w:jc w:val="both"/>
        <w:textAlignment w:val="auto"/>
        <w:rPr>
          <w:rFonts w:hint="eastAsia" w:asciiTheme="minorEastAsia" w:hAnsiTheme="minorEastAsia" w:eastAsiaTheme="minorEastAsia" w:cstheme="minorEastAsia"/>
          <w:b/>
          <w:bCs w:val="0"/>
          <w:kern w:val="2"/>
          <w:sz w:val="36"/>
          <w:szCs w:val="36"/>
          <w:highlight w:val="none"/>
          <w:lang w:val="en-US" w:eastAsia="zh-CN" w:bidi="ar"/>
        </w:rPr>
      </w:pPr>
    </w:p>
    <w:p>
      <w:pPr>
        <w:keepNext/>
        <w:keepLines w:val="0"/>
        <w:pageBreakBefore w:val="0"/>
        <w:widowControl w:val="0"/>
        <w:suppressLineNumbers w:val="0"/>
        <w:kinsoku/>
        <w:wordWrap/>
        <w:overflowPunct/>
        <w:topLinePunct w:val="0"/>
        <w:autoSpaceDE w:val="0"/>
        <w:autoSpaceDN/>
        <w:bidi w:val="0"/>
        <w:snapToGrid/>
        <w:spacing w:before="0" w:beforeAutospacing="0" w:after="0" w:afterAutospacing="0" w:line="360" w:lineRule="auto"/>
        <w:ind w:right="0"/>
        <w:jc w:val="center"/>
        <w:textAlignment w:val="auto"/>
        <w:rPr>
          <w:rFonts w:hint="eastAsia" w:asciiTheme="minorEastAsia" w:hAnsiTheme="minorEastAsia" w:eastAsiaTheme="minorEastAsia" w:cstheme="minorEastAsia"/>
          <w:b/>
          <w:bCs w:val="0"/>
          <w:kern w:val="2"/>
          <w:sz w:val="32"/>
          <w:szCs w:val="32"/>
          <w:lang w:val="en-US" w:eastAsia="zh-CN" w:bidi="ar"/>
        </w:rPr>
      </w:pPr>
      <w:r>
        <w:rPr>
          <w:rFonts w:hint="eastAsia" w:asciiTheme="minorEastAsia" w:hAnsiTheme="minorEastAsia" w:eastAsiaTheme="minorEastAsia" w:cstheme="minorEastAsia"/>
          <w:b/>
          <w:bCs w:val="0"/>
          <w:kern w:val="2"/>
          <w:sz w:val="32"/>
          <w:szCs w:val="32"/>
          <w:lang w:val="en-US" w:eastAsia="zh-CN" w:bidi="ar"/>
        </w:rPr>
        <w:t>2026年4月3日</w:t>
      </w:r>
    </w:p>
    <w:p>
      <w:pPr>
        <w:keepNext/>
        <w:keepLines w:val="0"/>
        <w:pageBreakBefore w:val="0"/>
        <w:widowControl w:val="0"/>
        <w:kinsoku/>
        <w:wordWrap/>
        <w:overflowPunct/>
        <w:topLinePunct w:val="0"/>
        <w:bidi w:val="0"/>
        <w:snapToGrid/>
        <w:jc w:val="center"/>
        <w:textAlignment w:val="auto"/>
        <w:rPr>
          <w:rFonts w:hint="eastAsia" w:asciiTheme="minorEastAsia" w:hAnsiTheme="minorEastAsia" w:eastAsiaTheme="minorEastAsia" w:cstheme="minorEastAsia"/>
          <w:b/>
          <w:sz w:val="24"/>
        </w:rPr>
      </w:pPr>
    </w:p>
    <w:p>
      <w:pPr>
        <w:pStyle w:val="2"/>
        <w:ind w:left="0" w:leftChars="0" w:firstLine="0" w:firstLineChars="0"/>
        <w:rPr>
          <w:rFonts w:hint="eastAsia"/>
        </w:rPr>
      </w:pPr>
    </w:p>
    <w:p>
      <w:pPr>
        <w:pStyle w:val="2"/>
        <w:rPr>
          <w:rFonts w:hint="eastAsia"/>
        </w:rPr>
        <w:sectPr>
          <w:headerReference r:id="rId3" w:type="default"/>
          <w:pgSz w:w="11906" w:h="16838"/>
          <w:pgMar w:top="1440" w:right="1800" w:bottom="1440" w:left="1800" w:header="851" w:footer="992" w:gutter="0"/>
          <w:cols w:space="425" w:num="1"/>
          <w:docGrid w:type="lines" w:linePitch="312" w:charSpace="0"/>
        </w:sectPr>
      </w:pPr>
    </w:p>
    <w:p>
      <w:pPr>
        <w:pStyle w:val="28"/>
        <w:numPr>
          <w:ilvl w:val="0"/>
          <w:numId w:val="0"/>
        </w:numPr>
        <w:tabs>
          <w:tab w:val="left" w:pos="426"/>
        </w:tabs>
        <w:suppressAutoHyphens w:val="0"/>
        <w:spacing w:line="360" w:lineRule="auto"/>
        <w:ind w:leftChars="0"/>
        <w:outlineLvl w:val="0"/>
        <w:rPr>
          <w:rFonts w:hint="eastAsia" w:ascii="宋体" w:hAnsi="宋体"/>
          <w:b/>
          <w:bCs/>
          <w:color w:val="000000"/>
          <w:sz w:val="21"/>
          <w:szCs w:val="21"/>
        </w:rPr>
      </w:pPr>
      <w:bookmarkStart w:id="0" w:name="_Toc1919"/>
      <w:r>
        <w:rPr>
          <w:rFonts w:hint="eastAsia" w:ascii="宋体" w:hAnsi="宋体"/>
          <w:b/>
          <w:bCs/>
          <w:color w:val="000000"/>
          <w:sz w:val="21"/>
          <w:szCs w:val="21"/>
          <w:lang w:val="en-US" w:eastAsia="zh-CN"/>
        </w:rPr>
        <w:t>1.</w:t>
      </w:r>
      <w:r>
        <w:rPr>
          <w:rFonts w:hint="eastAsia" w:ascii="宋体" w:hAnsi="宋体"/>
          <w:b/>
          <w:bCs/>
          <w:color w:val="000000"/>
          <w:sz w:val="21"/>
          <w:szCs w:val="21"/>
        </w:rPr>
        <w:t>总则</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40" w:firstLineChars="200"/>
        <w:textAlignment w:val="auto"/>
        <w:rPr>
          <w:rFonts w:ascii="宋体" w:hAnsi="宋体"/>
          <w:szCs w:val="21"/>
        </w:rPr>
      </w:pPr>
      <w:r>
        <w:rPr>
          <w:rFonts w:ascii="宋体" w:hAnsi="宋体"/>
          <w:szCs w:val="21"/>
        </w:rPr>
        <w:t>本</w:t>
      </w:r>
      <w:r>
        <w:rPr>
          <w:rFonts w:hint="eastAsia" w:ascii="宋体" w:hAnsi="宋体"/>
          <w:szCs w:val="21"/>
        </w:rPr>
        <w:t>技术询价文件仅适用于湖北大峪口化工有限责任公司</w:t>
      </w:r>
      <w:r>
        <w:rPr>
          <w:rFonts w:hint="eastAsia" w:ascii="宋体" w:hAnsi="宋体"/>
          <w:szCs w:val="21"/>
          <w:lang w:val="en-US" w:eastAsia="zh-CN"/>
        </w:rPr>
        <w:t>大峪口磷矿</w:t>
      </w:r>
      <w:r>
        <w:rPr>
          <w:rFonts w:hint="default" w:ascii="宋体" w:hAnsi="宋体"/>
          <w:szCs w:val="21"/>
          <w:lang w:val="en-US" w:eastAsia="zh-CN"/>
        </w:rPr>
        <w:t>160</w:t>
      </w:r>
      <w:r>
        <w:rPr>
          <w:rFonts w:hint="eastAsia" w:ascii="宋体" w:hAnsi="宋体"/>
          <w:szCs w:val="21"/>
          <w:lang w:val="en-US" w:eastAsia="zh-CN"/>
        </w:rPr>
        <w:t>万吨</w:t>
      </w:r>
      <w:r>
        <w:rPr>
          <w:rFonts w:hint="default" w:ascii="宋体" w:hAnsi="宋体"/>
          <w:szCs w:val="21"/>
          <w:lang w:val="en-US" w:eastAsia="zh-CN"/>
        </w:rPr>
        <w:t>/</w:t>
      </w:r>
      <w:r>
        <w:rPr>
          <w:rFonts w:hint="eastAsia" w:ascii="宋体" w:hAnsi="宋体"/>
          <w:szCs w:val="21"/>
          <w:lang w:val="en-US" w:eastAsia="zh-CN"/>
        </w:rPr>
        <w:t>年地下采矿工程</w:t>
      </w:r>
      <w:r>
        <w:rPr>
          <w:rFonts w:hint="eastAsia" w:asciiTheme="minorEastAsia" w:hAnsiTheme="minorEastAsia" w:eastAsiaTheme="minorEastAsia" w:cstheme="minorEastAsia"/>
          <w:sz w:val="21"/>
          <w:szCs w:val="21"/>
          <w:highlight w:val="none"/>
          <w:lang w:val="en-US" w:eastAsia="zh-CN"/>
        </w:rPr>
        <w:t>电动调节阀</w:t>
      </w:r>
      <w:r>
        <w:rPr>
          <w:rFonts w:hint="eastAsia" w:ascii="宋体" w:hAnsi="宋体"/>
          <w:szCs w:val="21"/>
          <w:lang w:val="en-US" w:eastAsia="zh-CN"/>
        </w:rPr>
        <w:t>项目</w:t>
      </w:r>
      <w:r>
        <w:rPr>
          <w:rFonts w:hint="eastAsia" w:ascii="宋体" w:hAnsi="宋体"/>
          <w:szCs w:val="21"/>
        </w:rPr>
        <w:t>的采办</w:t>
      </w:r>
      <w:r>
        <w:rPr>
          <w:rFonts w:ascii="宋体" w:hAnsi="宋体"/>
          <w:szCs w:val="21"/>
        </w:rPr>
        <w:t>。它</w:t>
      </w:r>
      <w:r>
        <w:rPr>
          <w:rFonts w:hint="eastAsia" w:ascii="宋体" w:hAnsi="宋体"/>
          <w:szCs w:val="21"/>
        </w:rPr>
        <w:t>规定</w:t>
      </w:r>
      <w:r>
        <w:rPr>
          <w:rFonts w:ascii="宋体" w:hAnsi="宋体"/>
          <w:szCs w:val="21"/>
        </w:rPr>
        <w:t>了该</w:t>
      </w:r>
      <w:r>
        <w:rPr>
          <w:rFonts w:hint="eastAsia" w:ascii="宋体" w:hAnsi="宋体"/>
          <w:szCs w:val="21"/>
        </w:rPr>
        <w:t>项目采办在标准规范与技术要求、供货范围</w:t>
      </w:r>
      <w:r>
        <w:rPr>
          <w:rFonts w:ascii="宋体" w:hAnsi="宋体"/>
          <w:szCs w:val="21"/>
        </w:rPr>
        <w:t>及要求</w:t>
      </w:r>
      <w:r>
        <w:rPr>
          <w:rFonts w:hint="eastAsia" w:ascii="宋体" w:hAnsi="宋体"/>
          <w:szCs w:val="21"/>
        </w:rPr>
        <w:t>、</w:t>
      </w:r>
      <w:r>
        <w:rPr>
          <w:rFonts w:ascii="宋体" w:hAnsi="宋体"/>
          <w:szCs w:val="21"/>
        </w:rPr>
        <w:t>交货期</w:t>
      </w:r>
      <w:r>
        <w:rPr>
          <w:rFonts w:hint="eastAsia" w:ascii="宋体" w:hAnsi="宋体"/>
          <w:szCs w:val="21"/>
        </w:rPr>
        <w:t>、</w:t>
      </w:r>
      <w:r>
        <w:rPr>
          <w:rFonts w:ascii="宋体" w:hAnsi="宋体"/>
          <w:szCs w:val="21"/>
        </w:rPr>
        <w:t>检验和试验</w:t>
      </w:r>
      <w:r>
        <w:rPr>
          <w:rFonts w:hint="eastAsia" w:ascii="宋体" w:hAnsi="宋体"/>
          <w:szCs w:val="21"/>
        </w:rPr>
        <w:t>、</w:t>
      </w:r>
      <w:r>
        <w:rPr>
          <w:rFonts w:ascii="宋体" w:hAnsi="宋体"/>
          <w:szCs w:val="21"/>
        </w:rPr>
        <w:t>售后服务</w:t>
      </w:r>
      <w:r>
        <w:rPr>
          <w:rFonts w:hint="eastAsia" w:ascii="宋体" w:hAnsi="宋体"/>
          <w:szCs w:val="21"/>
        </w:rPr>
        <w:t>、</w:t>
      </w:r>
      <w:r>
        <w:rPr>
          <w:rFonts w:ascii="宋体" w:hAnsi="宋体"/>
          <w:szCs w:val="21"/>
        </w:rPr>
        <w:t>技术投标文件</w:t>
      </w:r>
      <w:r>
        <w:rPr>
          <w:rFonts w:hint="eastAsia" w:ascii="宋体" w:hAnsi="宋体"/>
          <w:szCs w:val="21"/>
        </w:rPr>
        <w:t>要求</w:t>
      </w:r>
      <w:r>
        <w:rPr>
          <w:rFonts w:ascii="宋体" w:hAnsi="宋体"/>
          <w:szCs w:val="21"/>
        </w:rPr>
        <w:t>、</w:t>
      </w:r>
      <w:r>
        <w:rPr>
          <w:rFonts w:hint="eastAsia" w:ascii="宋体" w:hAnsi="宋体"/>
          <w:szCs w:val="21"/>
        </w:rPr>
        <w:t>投标人</w:t>
      </w:r>
      <w:r>
        <w:rPr>
          <w:rFonts w:ascii="宋体" w:hAnsi="宋体"/>
          <w:szCs w:val="21"/>
        </w:rPr>
        <w:t>应提供</w:t>
      </w:r>
      <w:r>
        <w:rPr>
          <w:rFonts w:hint="eastAsia" w:ascii="宋体" w:hAnsi="宋体"/>
          <w:szCs w:val="21"/>
        </w:rPr>
        <w:t>的</w:t>
      </w:r>
      <w:r>
        <w:rPr>
          <w:rFonts w:ascii="宋体" w:hAnsi="宋体"/>
          <w:szCs w:val="21"/>
        </w:rPr>
        <w:t>设备出厂资料</w:t>
      </w:r>
      <w:r>
        <w:rPr>
          <w:rFonts w:hint="eastAsia" w:ascii="宋体" w:hAnsi="宋体"/>
          <w:szCs w:val="21"/>
        </w:rPr>
        <w:t>（可选）</w:t>
      </w:r>
      <w:r>
        <w:rPr>
          <w:rFonts w:ascii="宋体" w:hAnsi="宋体"/>
          <w:szCs w:val="21"/>
        </w:rPr>
        <w:t>等方面的</w:t>
      </w:r>
      <w:r>
        <w:rPr>
          <w:rFonts w:hint="eastAsia" w:ascii="宋体" w:hAnsi="宋体"/>
          <w:szCs w:val="21"/>
        </w:rPr>
        <w:t>具体</w:t>
      </w:r>
      <w:r>
        <w:rPr>
          <w:rFonts w:ascii="宋体" w:hAnsi="宋体"/>
          <w:szCs w:val="21"/>
        </w:rPr>
        <w:t>要求。</w:t>
      </w:r>
    </w:p>
    <w:p>
      <w:pPr>
        <w:numPr>
          <w:ilvl w:val="0"/>
          <w:numId w:val="1"/>
        </w:numPr>
        <w:spacing w:line="360" w:lineRule="auto"/>
        <w:ind w:left="0" w:firstLine="0"/>
        <w:rPr>
          <w:rFonts w:hint="eastAsia" w:ascii="宋体" w:hAnsi="宋体"/>
          <w:szCs w:val="21"/>
        </w:rPr>
      </w:pPr>
      <w:r>
        <w:rPr>
          <w:rFonts w:ascii="宋体" w:hAnsi="宋体"/>
          <w:szCs w:val="21"/>
        </w:rPr>
        <w:t>本</w:t>
      </w:r>
      <w:r>
        <w:rPr>
          <w:rFonts w:hint="eastAsia" w:ascii="宋体" w:hAnsi="宋体"/>
          <w:szCs w:val="21"/>
        </w:rPr>
        <w:t>技术询价文件</w:t>
      </w:r>
      <w:r>
        <w:rPr>
          <w:rFonts w:ascii="宋体" w:hAnsi="宋体"/>
          <w:szCs w:val="21"/>
        </w:rPr>
        <w:t>提出的是最低限度的技术要求，并未对一切技术细节</w:t>
      </w:r>
      <w:r>
        <w:rPr>
          <w:rFonts w:hint="eastAsia" w:ascii="宋体" w:hAnsi="宋体"/>
          <w:szCs w:val="21"/>
        </w:rPr>
        <w:t>做</w:t>
      </w:r>
      <w:r>
        <w:rPr>
          <w:rFonts w:ascii="宋体" w:hAnsi="宋体"/>
          <w:szCs w:val="21"/>
        </w:rPr>
        <w:t>出规定，也未引述</w:t>
      </w:r>
      <w:r>
        <w:rPr>
          <w:rFonts w:hint="eastAsia" w:ascii="宋体" w:hAnsi="宋体"/>
          <w:szCs w:val="21"/>
        </w:rPr>
        <w:t>全部</w:t>
      </w:r>
      <w:r>
        <w:rPr>
          <w:rFonts w:ascii="宋体" w:hAnsi="宋体"/>
          <w:szCs w:val="21"/>
        </w:rPr>
        <w:t>有关标准规范的条文，</w:t>
      </w:r>
      <w:r>
        <w:rPr>
          <w:rFonts w:hint="eastAsia" w:ascii="宋体" w:hAnsi="宋体"/>
          <w:szCs w:val="21"/>
        </w:rPr>
        <w:t>投标人应按本技术询价文件的要求进行投标，并</w:t>
      </w:r>
      <w:r>
        <w:rPr>
          <w:rFonts w:ascii="宋体" w:hAnsi="宋体"/>
          <w:szCs w:val="21"/>
        </w:rPr>
        <w:t>应提供符合本</w:t>
      </w:r>
      <w:r>
        <w:rPr>
          <w:rFonts w:hint="eastAsia" w:ascii="宋体" w:hAnsi="宋体"/>
          <w:szCs w:val="21"/>
        </w:rPr>
        <w:t>技术询价文件</w:t>
      </w:r>
      <w:r>
        <w:rPr>
          <w:rFonts w:ascii="宋体" w:hAnsi="宋体"/>
          <w:szCs w:val="21"/>
        </w:rPr>
        <w:t>和有关标准规范的优质产品</w:t>
      </w:r>
      <w:r>
        <w:rPr>
          <w:rFonts w:hint="eastAsia" w:ascii="宋体" w:hAnsi="宋体"/>
          <w:szCs w:val="21"/>
        </w:rPr>
        <w:t>及其相应服务。对国家有关安全、环保等强制性标准，投标人必须满足。</w:t>
      </w:r>
    </w:p>
    <w:p>
      <w:pPr>
        <w:numPr>
          <w:ilvl w:val="0"/>
          <w:numId w:val="1"/>
        </w:numPr>
        <w:spacing w:line="360" w:lineRule="auto"/>
        <w:ind w:left="0" w:firstLine="0"/>
        <w:rPr>
          <w:rFonts w:ascii="宋体" w:hAnsi="宋体"/>
          <w:szCs w:val="21"/>
        </w:rPr>
      </w:pPr>
      <w:r>
        <w:rPr>
          <w:rFonts w:hint="eastAsia" w:ascii="宋体" w:hAnsi="宋体"/>
          <w:szCs w:val="21"/>
        </w:rPr>
        <w:t>任何偏差都应取得招标人的书面确认，否则招标人将认为投标人已经认可了本技术询价文件中的所有要求。</w:t>
      </w:r>
      <w:r>
        <w:rPr>
          <w:rFonts w:ascii="宋体" w:hAnsi="宋体"/>
          <w:szCs w:val="21"/>
        </w:rPr>
        <w:t>如果</w:t>
      </w:r>
      <w:r>
        <w:rPr>
          <w:rFonts w:hint="eastAsia" w:ascii="宋体" w:hAnsi="宋体"/>
          <w:szCs w:val="21"/>
        </w:rPr>
        <w:t>投标人</w:t>
      </w:r>
      <w:r>
        <w:rPr>
          <w:rFonts w:ascii="宋体" w:hAnsi="宋体"/>
          <w:szCs w:val="21"/>
        </w:rPr>
        <w:t>没有以书面形式对本</w:t>
      </w:r>
      <w:r>
        <w:rPr>
          <w:rFonts w:hint="eastAsia" w:ascii="宋体" w:hAnsi="宋体"/>
          <w:szCs w:val="21"/>
        </w:rPr>
        <w:t>技术询价文件</w:t>
      </w:r>
      <w:r>
        <w:rPr>
          <w:rFonts w:ascii="宋体" w:hAnsi="宋体"/>
          <w:szCs w:val="21"/>
        </w:rPr>
        <w:t>的条文提出异议，则意味着</w:t>
      </w:r>
      <w:r>
        <w:rPr>
          <w:rFonts w:hint="eastAsia" w:ascii="宋体" w:hAnsi="宋体"/>
          <w:szCs w:val="21"/>
        </w:rPr>
        <w:t>投标人</w:t>
      </w:r>
      <w:r>
        <w:rPr>
          <w:rFonts w:ascii="宋体" w:hAnsi="宋体"/>
          <w:szCs w:val="21"/>
        </w:rPr>
        <w:t>提供的设备</w:t>
      </w:r>
      <w:r>
        <w:rPr>
          <w:rFonts w:hint="eastAsia" w:ascii="宋体" w:hAnsi="宋体"/>
          <w:szCs w:val="21"/>
        </w:rPr>
        <w:t>及其</w:t>
      </w:r>
      <w:r>
        <w:rPr>
          <w:rFonts w:ascii="宋体" w:hAnsi="宋体"/>
          <w:szCs w:val="21"/>
        </w:rPr>
        <w:t>服务完全符合本</w:t>
      </w:r>
      <w:r>
        <w:rPr>
          <w:rFonts w:hint="eastAsia" w:ascii="宋体" w:hAnsi="宋体"/>
          <w:szCs w:val="21"/>
        </w:rPr>
        <w:t>技术询价文件</w:t>
      </w:r>
      <w:r>
        <w:rPr>
          <w:rFonts w:ascii="宋体" w:hAnsi="宋体"/>
          <w:szCs w:val="21"/>
        </w:rPr>
        <w:t>的</w:t>
      </w:r>
      <w:r>
        <w:rPr>
          <w:rFonts w:hint="eastAsia" w:ascii="宋体" w:hAnsi="宋体"/>
          <w:szCs w:val="21"/>
        </w:rPr>
        <w:t>明确的和潜在</w:t>
      </w:r>
      <w:r>
        <w:rPr>
          <w:rFonts w:ascii="宋体" w:hAnsi="宋体"/>
          <w:szCs w:val="21"/>
        </w:rPr>
        <w:t>要求</w:t>
      </w:r>
      <w:r>
        <w:rPr>
          <w:rFonts w:hint="eastAsia" w:ascii="宋体" w:hAnsi="宋体"/>
          <w:szCs w:val="21"/>
        </w:rPr>
        <w:t>；</w:t>
      </w:r>
      <w:r>
        <w:rPr>
          <w:rFonts w:ascii="宋体" w:hAnsi="宋体"/>
          <w:szCs w:val="21"/>
        </w:rPr>
        <w:t>如有异议，应在以“</w:t>
      </w:r>
      <w:r>
        <w:rPr>
          <w:rFonts w:hint="eastAsia" w:ascii="宋体" w:hAnsi="宋体"/>
          <w:szCs w:val="21"/>
        </w:rPr>
        <w:t>技术偏离表</w:t>
      </w:r>
      <w:r>
        <w:rPr>
          <w:rFonts w:ascii="宋体" w:hAnsi="宋体"/>
          <w:szCs w:val="21"/>
        </w:rPr>
        <w:t>”为标题的专门</w:t>
      </w:r>
      <w:r>
        <w:rPr>
          <w:rFonts w:hint="eastAsia" w:ascii="宋体" w:hAnsi="宋体"/>
          <w:szCs w:val="21"/>
        </w:rPr>
        <w:t>文件</w:t>
      </w:r>
      <w:r>
        <w:rPr>
          <w:rFonts w:ascii="宋体" w:hAnsi="宋体"/>
          <w:szCs w:val="21"/>
        </w:rPr>
        <w:t>中加以详细描述。</w:t>
      </w:r>
    </w:p>
    <w:p>
      <w:pPr>
        <w:numPr>
          <w:ilvl w:val="0"/>
          <w:numId w:val="1"/>
        </w:numPr>
        <w:spacing w:line="360" w:lineRule="auto"/>
        <w:ind w:left="0" w:firstLine="0"/>
        <w:rPr>
          <w:rFonts w:ascii="宋体" w:hAnsi="宋体"/>
          <w:szCs w:val="21"/>
        </w:rPr>
      </w:pPr>
      <w:r>
        <w:rPr>
          <w:rFonts w:ascii="宋体" w:hAnsi="宋体"/>
          <w:szCs w:val="21"/>
        </w:rPr>
        <w:t>本</w:t>
      </w:r>
      <w:r>
        <w:rPr>
          <w:rFonts w:hint="eastAsia" w:ascii="宋体" w:hAnsi="宋体"/>
          <w:szCs w:val="21"/>
        </w:rPr>
        <w:t>技术询价文件</w:t>
      </w:r>
      <w:r>
        <w:rPr>
          <w:rFonts w:ascii="宋体" w:hAnsi="宋体"/>
          <w:szCs w:val="21"/>
        </w:rPr>
        <w:t>所使用的标准</w:t>
      </w:r>
      <w:r>
        <w:rPr>
          <w:rFonts w:hint="eastAsia" w:ascii="宋体" w:hAnsi="宋体"/>
          <w:szCs w:val="21"/>
        </w:rPr>
        <w:t>规范</w:t>
      </w:r>
      <w:r>
        <w:rPr>
          <w:rFonts w:ascii="宋体" w:hAnsi="宋体"/>
          <w:szCs w:val="21"/>
        </w:rPr>
        <w:t>如遇与</w:t>
      </w:r>
      <w:r>
        <w:rPr>
          <w:rFonts w:hint="eastAsia" w:ascii="宋体" w:hAnsi="宋体"/>
          <w:szCs w:val="21"/>
        </w:rPr>
        <w:t>投标人</w:t>
      </w:r>
      <w:r>
        <w:rPr>
          <w:rFonts w:ascii="宋体" w:hAnsi="宋体"/>
          <w:szCs w:val="21"/>
        </w:rPr>
        <w:t>所执行的标准</w:t>
      </w:r>
      <w:r>
        <w:rPr>
          <w:rFonts w:hint="eastAsia" w:ascii="宋体" w:hAnsi="宋体"/>
          <w:szCs w:val="21"/>
        </w:rPr>
        <w:t>规范</w:t>
      </w:r>
      <w:r>
        <w:rPr>
          <w:rFonts w:ascii="宋体" w:hAnsi="宋体"/>
          <w:szCs w:val="21"/>
        </w:rPr>
        <w:t>发生矛盾时，按较高标准</w:t>
      </w:r>
      <w:r>
        <w:rPr>
          <w:rFonts w:hint="eastAsia" w:ascii="宋体" w:hAnsi="宋体"/>
          <w:szCs w:val="21"/>
        </w:rPr>
        <w:t>规范</w:t>
      </w:r>
      <w:r>
        <w:rPr>
          <w:rFonts w:ascii="宋体" w:hAnsi="宋体"/>
          <w:szCs w:val="21"/>
        </w:rPr>
        <w:t>执行。在合同签订后，</w:t>
      </w:r>
      <w:r>
        <w:rPr>
          <w:rFonts w:hint="eastAsia" w:ascii="宋体" w:hAnsi="宋体"/>
          <w:szCs w:val="21"/>
        </w:rPr>
        <w:t>招标人</w:t>
      </w:r>
      <w:r>
        <w:rPr>
          <w:rFonts w:ascii="宋体" w:hAnsi="宋体"/>
          <w:szCs w:val="21"/>
        </w:rPr>
        <w:t>有权提出因标准规范发生变化</w:t>
      </w:r>
      <w:r>
        <w:rPr>
          <w:rFonts w:hint="eastAsia" w:ascii="宋体" w:hAnsi="宋体"/>
          <w:szCs w:val="21"/>
        </w:rPr>
        <w:t>或招标人实际工作需要</w:t>
      </w:r>
      <w:r>
        <w:rPr>
          <w:rFonts w:ascii="宋体" w:hAnsi="宋体"/>
          <w:szCs w:val="21"/>
        </w:rPr>
        <w:t>而产生的修订要求，具体事宜由</w:t>
      </w:r>
      <w:r>
        <w:rPr>
          <w:rFonts w:hint="eastAsia" w:ascii="宋体" w:hAnsi="宋体"/>
          <w:szCs w:val="21"/>
        </w:rPr>
        <w:t>招投标</w:t>
      </w:r>
      <w:r>
        <w:rPr>
          <w:rFonts w:ascii="宋体" w:hAnsi="宋体"/>
          <w:szCs w:val="21"/>
        </w:rPr>
        <w:t>双方协商确定。</w:t>
      </w:r>
    </w:p>
    <w:p>
      <w:pPr>
        <w:numPr>
          <w:ilvl w:val="0"/>
          <w:numId w:val="1"/>
        </w:numPr>
        <w:spacing w:line="360" w:lineRule="auto"/>
        <w:ind w:left="0" w:firstLine="0"/>
        <w:rPr>
          <w:rFonts w:ascii="宋体" w:hAnsi="宋体"/>
          <w:szCs w:val="21"/>
        </w:rPr>
      </w:pPr>
      <w:r>
        <w:rPr>
          <w:rFonts w:hint="eastAsia" w:ascii="宋体" w:hAnsi="宋体"/>
          <w:szCs w:val="21"/>
        </w:rPr>
        <w:t>当招标人的有关技术文件发生相互矛盾或抵触时，将按照下列顺序优先执行：采用的技术标准规范、详细设计图纸及技术规格书。</w:t>
      </w:r>
    </w:p>
    <w:p>
      <w:pPr>
        <w:numPr>
          <w:ilvl w:val="0"/>
          <w:numId w:val="1"/>
        </w:numPr>
        <w:spacing w:line="360" w:lineRule="auto"/>
        <w:ind w:left="0" w:firstLine="0"/>
        <w:rPr>
          <w:rFonts w:hint="eastAsia" w:ascii="宋体" w:hAnsi="宋体"/>
          <w:szCs w:val="21"/>
        </w:rPr>
      </w:pPr>
      <w:r>
        <w:rPr>
          <w:rFonts w:hint="eastAsia" w:ascii="宋体" w:hAnsi="宋体"/>
          <w:szCs w:val="21"/>
        </w:rPr>
        <w:t>招标人对投标人技术文件的审核，并不能减轻或取消投标人对所供设备及其服务应承担的责任和义务。</w:t>
      </w:r>
    </w:p>
    <w:p>
      <w:pPr>
        <w:numPr>
          <w:ilvl w:val="0"/>
          <w:numId w:val="1"/>
        </w:numPr>
        <w:spacing w:line="360" w:lineRule="auto"/>
        <w:ind w:left="0" w:firstLine="0"/>
        <w:rPr>
          <w:rFonts w:hint="eastAsia" w:ascii="宋体" w:hAnsi="宋体"/>
          <w:szCs w:val="21"/>
        </w:rPr>
      </w:pPr>
      <w:r>
        <w:rPr>
          <w:rFonts w:hint="eastAsia" w:ascii="宋体" w:hAnsi="宋体"/>
          <w:szCs w:val="21"/>
        </w:rPr>
        <w:t>投标人所提供的设备及附属物资，必须完全满足招标人技术询价文件及标准规范要求，并对所供设备及附属物资的质量负有全部责任。</w:t>
      </w:r>
    </w:p>
    <w:p>
      <w:pPr>
        <w:numPr>
          <w:ilvl w:val="0"/>
          <w:numId w:val="1"/>
        </w:numPr>
        <w:spacing w:line="360" w:lineRule="auto"/>
        <w:ind w:left="0" w:firstLine="0"/>
        <w:rPr>
          <w:rFonts w:ascii="宋体" w:hAnsi="宋体"/>
          <w:szCs w:val="21"/>
        </w:rPr>
      </w:pPr>
      <w:r>
        <w:rPr>
          <w:rFonts w:hint="eastAsia" w:ascii="宋体" w:hAnsi="宋体"/>
          <w:szCs w:val="21"/>
        </w:rPr>
        <w:t>投标文件不满足任何一项本技术询价文件中加注星号（“★”）的技术条款（参数），其投标将被拒绝。</w:t>
      </w:r>
    </w:p>
    <w:p>
      <w:pPr>
        <w:pStyle w:val="28"/>
        <w:keepNext w:val="0"/>
        <w:keepLines w:val="0"/>
        <w:pageBreakBefore w:val="0"/>
        <w:widowControl w:val="0"/>
        <w:numPr>
          <w:ilvl w:val="0"/>
          <w:numId w:val="2"/>
        </w:numPr>
        <w:tabs>
          <w:tab w:val="left" w:pos="426"/>
        </w:tabs>
        <w:suppressAutoHyphens w:val="0"/>
        <w:kinsoku/>
        <w:wordWrap/>
        <w:overflowPunct/>
        <w:topLinePunct w:val="0"/>
        <w:autoSpaceDE/>
        <w:autoSpaceDN/>
        <w:bidi w:val="0"/>
        <w:adjustRightInd/>
        <w:snapToGrid/>
        <w:spacing w:line="360" w:lineRule="auto"/>
        <w:ind w:leftChars="0"/>
        <w:textAlignment w:val="auto"/>
        <w:outlineLvl w:val="0"/>
        <w:rPr>
          <w:rFonts w:hint="eastAsia" w:asciiTheme="minorEastAsia" w:hAnsiTheme="minorEastAsia" w:eastAsiaTheme="minorEastAsia" w:cstheme="minorEastAsia"/>
          <w:b/>
          <w:bCs/>
          <w:color w:val="000000"/>
          <w:sz w:val="21"/>
          <w:szCs w:val="21"/>
          <w:lang w:val="en-US" w:eastAsia="zh-CN"/>
        </w:rPr>
      </w:pPr>
      <w:r>
        <w:rPr>
          <w:rFonts w:hint="eastAsia" w:asciiTheme="minorEastAsia" w:hAnsiTheme="minorEastAsia" w:eastAsiaTheme="minorEastAsia" w:cstheme="minorEastAsia"/>
          <w:b/>
          <w:bCs/>
          <w:color w:val="000000"/>
          <w:sz w:val="21"/>
          <w:szCs w:val="21"/>
          <w:lang w:val="en-US" w:eastAsia="zh-CN"/>
        </w:rPr>
        <w:t>项目概况</w:t>
      </w:r>
      <w:bookmarkEnd w:id="0"/>
    </w:p>
    <w:p>
      <w:pPr>
        <w:pStyle w:val="28"/>
        <w:keepNext w:val="0"/>
        <w:keepLines w:val="0"/>
        <w:pageBreakBefore w:val="0"/>
        <w:widowControl w:val="0"/>
        <w:numPr>
          <w:ilvl w:val="0"/>
          <w:numId w:val="0"/>
        </w:numPr>
        <w:tabs>
          <w:tab w:val="left" w:pos="426"/>
        </w:tabs>
        <w:suppressAutoHyphens w:val="0"/>
        <w:kinsoku/>
        <w:wordWrap/>
        <w:overflowPunct/>
        <w:topLinePunct w:val="0"/>
        <w:autoSpaceDE/>
        <w:autoSpaceDN/>
        <w:bidi w:val="0"/>
        <w:adjustRightInd/>
        <w:snapToGrid/>
        <w:spacing w:line="360" w:lineRule="auto"/>
        <w:ind w:left="0" w:leftChars="0"/>
        <w:textAlignment w:val="auto"/>
        <w:outlineLvl w:val="0"/>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lang w:val="en-US" w:eastAsia="zh-CN"/>
        </w:rPr>
        <w:t>2.1</w:t>
      </w:r>
      <w:r>
        <w:rPr>
          <w:rFonts w:hint="eastAsia" w:asciiTheme="minorEastAsia" w:hAnsiTheme="minorEastAsia" w:eastAsiaTheme="minorEastAsia" w:cstheme="minorEastAsia"/>
          <w:sz w:val="21"/>
          <w:szCs w:val="21"/>
        </w:rPr>
        <w:t>项目名称：</w:t>
      </w:r>
      <w:r>
        <w:rPr>
          <w:rFonts w:hint="eastAsia" w:asciiTheme="minorEastAsia" w:hAnsiTheme="minorEastAsia" w:eastAsiaTheme="minorEastAsia" w:cstheme="minorEastAsia"/>
          <w:sz w:val="21"/>
          <w:szCs w:val="21"/>
          <w:lang w:val="en-US" w:eastAsia="zh-CN"/>
        </w:rPr>
        <w:t>大峪口磷矿</w:t>
      </w:r>
      <w:r>
        <w:rPr>
          <w:rFonts w:hint="default" w:asciiTheme="minorEastAsia" w:hAnsiTheme="minorEastAsia" w:eastAsiaTheme="minorEastAsia" w:cstheme="minorEastAsia"/>
          <w:sz w:val="21"/>
          <w:szCs w:val="21"/>
          <w:lang w:val="en-US" w:eastAsia="zh-CN"/>
        </w:rPr>
        <w:t>160</w:t>
      </w:r>
      <w:r>
        <w:rPr>
          <w:rFonts w:hint="eastAsia" w:asciiTheme="minorEastAsia" w:hAnsiTheme="minorEastAsia" w:eastAsiaTheme="minorEastAsia" w:cstheme="minorEastAsia"/>
          <w:sz w:val="21"/>
          <w:szCs w:val="21"/>
          <w:lang w:val="en-US" w:eastAsia="zh-CN"/>
        </w:rPr>
        <w:t>万吨</w:t>
      </w:r>
      <w:r>
        <w:rPr>
          <w:rFonts w:hint="default"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年地下采矿工程电动调节阀采购项目</w:t>
      </w:r>
    </w:p>
    <w:p>
      <w:pPr>
        <w:pStyle w:val="28"/>
        <w:keepNext w:val="0"/>
        <w:keepLines w:val="0"/>
        <w:pageBreakBefore w:val="0"/>
        <w:widowControl w:val="0"/>
        <w:numPr>
          <w:ilvl w:val="0"/>
          <w:numId w:val="0"/>
        </w:numPr>
        <w:tabs>
          <w:tab w:val="left" w:pos="426"/>
        </w:tabs>
        <w:suppressAutoHyphens w:val="0"/>
        <w:kinsoku/>
        <w:wordWrap/>
        <w:overflowPunct/>
        <w:topLinePunct w:val="0"/>
        <w:autoSpaceDE/>
        <w:autoSpaceDN/>
        <w:bidi w:val="0"/>
        <w:adjustRightInd/>
        <w:snapToGrid/>
        <w:spacing w:line="360" w:lineRule="auto"/>
        <w:ind w:left="0" w:leftChars="0"/>
        <w:textAlignment w:val="auto"/>
        <w:outlineLvl w:val="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highlight w:val="none"/>
          <w:lang w:val="en-US" w:eastAsia="zh-CN"/>
        </w:rPr>
        <w:t>2.2</w:t>
      </w:r>
      <w:r>
        <w:rPr>
          <w:rFonts w:hint="eastAsia" w:asciiTheme="minorEastAsia" w:hAnsiTheme="minorEastAsia" w:eastAsiaTheme="minorEastAsia" w:cstheme="minorEastAsia"/>
          <w:sz w:val="21"/>
          <w:szCs w:val="21"/>
          <w:highlight w:val="none"/>
        </w:rPr>
        <w:t>项目地点：</w:t>
      </w:r>
      <w:r>
        <w:rPr>
          <w:rFonts w:hint="eastAsia" w:asciiTheme="minorEastAsia" w:hAnsiTheme="minorEastAsia" w:eastAsiaTheme="minorEastAsia" w:cstheme="minorEastAsia"/>
          <w:sz w:val="21"/>
          <w:szCs w:val="21"/>
          <w:lang w:val="en-US" w:eastAsia="zh-CN"/>
        </w:rPr>
        <w:t>湖北省荆门市湖北大峪口化工有限责任公司</w:t>
      </w:r>
    </w:p>
    <w:p>
      <w:pPr>
        <w:pStyle w:val="28"/>
        <w:keepNext w:val="0"/>
        <w:keepLines w:val="0"/>
        <w:pageBreakBefore w:val="0"/>
        <w:widowControl w:val="0"/>
        <w:numPr>
          <w:ilvl w:val="0"/>
          <w:numId w:val="0"/>
        </w:numPr>
        <w:tabs>
          <w:tab w:val="left" w:pos="426"/>
        </w:tabs>
        <w:suppressAutoHyphens w:val="0"/>
        <w:kinsoku/>
        <w:wordWrap/>
        <w:overflowPunct/>
        <w:topLinePunct w:val="0"/>
        <w:autoSpaceDE/>
        <w:autoSpaceDN/>
        <w:bidi w:val="0"/>
        <w:adjustRightInd/>
        <w:snapToGrid/>
        <w:spacing w:line="360" w:lineRule="auto"/>
        <w:ind w:left="0" w:leftChars="0"/>
        <w:textAlignment w:val="auto"/>
        <w:outlineLvl w:val="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2.3</w:t>
      </w:r>
      <w:r>
        <w:rPr>
          <w:rFonts w:hint="eastAsia" w:asciiTheme="minorEastAsia" w:hAnsiTheme="minorEastAsia" w:eastAsiaTheme="minorEastAsia" w:cstheme="minorEastAsia"/>
          <w:sz w:val="21"/>
          <w:szCs w:val="21"/>
          <w:highlight w:val="none"/>
        </w:rPr>
        <w:t>概述：购置</w:t>
      </w:r>
      <w:r>
        <w:rPr>
          <w:rFonts w:hint="eastAsia" w:asciiTheme="minorEastAsia" w:hAnsiTheme="minorEastAsia" w:eastAsiaTheme="minorEastAsia" w:cstheme="minorEastAsia"/>
          <w:sz w:val="21"/>
          <w:szCs w:val="21"/>
          <w:highlight w:val="none"/>
          <w:lang w:val="en-US" w:eastAsia="zh-CN"/>
        </w:rPr>
        <w:t>4套电动调节阀 ，用于大峪口磷矿160万吨/年地下采矿工程项目-65m供水泵房</w:t>
      </w:r>
      <w:r>
        <w:rPr>
          <w:rFonts w:hint="eastAsia" w:asciiTheme="minorEastAsia" w:hAnsiTheme="minorEastAsia" w:eastAsiaTheme="minorEastAsia" w:cstheme="minorEastAsia"/>
          <w:sz w:val="21"/>
          <w:szCs w:val="21"/>
          <w:highlight w:val="none"/>
        </w:rPr>
        <w:t>。</w:t>
      </w:r>
      <w:bookmarkStart w:id="1" w:name="_Toc8163"/>
    </w:p>
    <w:p>
      <w:pPr>
        <w:pStyle w:val="28"/>
        <w:keepNext w:val="0"/>
        <w:keepLines w:val="0"/>
        <w:pageBreakBefore w:val="0"/>
        <w:widowControl w:val="0"/>
        <w:numPr>
          <w:ilvl w:val="0"/>
          <w:numId w:val="0"/>
        </w:numPr>
        <w:tabs>
          <w:tab w:val="left" w:pos="426"/>
        </w:tabs>
        <w:suppressAutoHyphens w:val="0"/>
        <w:kinsoku/>
        <w:wordWrap/>
        <w:overflowPunct/>
        <w:topLinePunct w:val="0"/>
        <w:autoSpaceDE/>
        <w:autoSpaceDN/>
        <w:bidi w:val="0"/>
        <w:adjustRightInd/>
        <w:snapToGrid/>
        <w:spacing w:line="360" w:lineRule="auto"/>
        <w:ind w:left="0" w:leftChars="0"/>
        <w:textAlignment w:val="auto"/>
        <w:outlineLvl w:val="0"/>
        <w:rPr>
          <w:rFonts w:hint="default"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2.4 使用环境：非金属地下矿山井下-65m，非爆炸环境，环境温度≥0℃，相对湿度80%～90% 。</w:t>
      </w:r>
    </w:p>
    <w:bookmarkEnd w:id="1"/>
    <w:p>
      <w:pPr>
        <w:pStyle w:val="28"/>
        <w:numPr>
          <w:ilvl w:val="0"/>
          <w:numId w:val="3"/>
        </w:numPr>
        <w:tabs>
          <w:tab w:val="left" w:pos="426"/>
          <w:tab w:val="clear" w:pos="312"/>
        </w:tabs>
        <w:suppressAutoHyphens w:val="0"/>
        <w:spacing w:line="360" w:lineRule="auto"/>
        <w:ind w:leftChars="0"/>
        <w:outlineLvl w:val="0"/>
        <w:rPr>
          <w:rFonts w:hint="eastAsia" w:ascii="宋体" w:hAnsi="宋体"/>
          <w:b/>
          <w:bCs/>
          <w:color w:val="000000"/>
          <w:sz w:val="21"/>
          <w:szCs w:val="21"/>
          <w:lang w:val="en-US" w:eastAsia="zh-CN"/>
        </w:rPr>
      </w:pPr>
      <w:bookmarkStart w:id="2" w:name="OLE_LINK1"/>
      <w:bookmarkStart w:id="3" w:name="_Toc26815"/>
      <w:r>
        <w:rPr>
          <w:rFonts w:hint="eastAsia" w:ascii="宋体" w:hAnsi="宋体"/>
          <w:b/>
          <w:bCs/>
          <w:color w:val="000000"/>
          <w:sz w:val="21"/>
          <w:szCs w:val="21"/>
          <w:lang w:val="en-US" w:eastAsia="zh-CN"/>
        </w:rPr>
        <w:t>标准规范</w:t>
      </w:r>
      <w:bookmarkStart w:id="4" w:name="_Toc3395"/>
      <w:r>
        <w:rPr>
          <w:rFonts w:hint="eastAsia" w:ascii="宋体" w:hAnsi="宋体"/>
          <w:b/>
          <w:bCs/>
          <w:color w:val="000000"/>
          <w:sz w:val="21"/>
          <w:szCs w:val="21"/>
          <w:lang w:val="en-US" w:eastAsia="zh-CN"/>
        </w:rPr>
        <w:t>及技术要求</w:t>
      </w:r>
    </w:p>
    <w:p>
      <w:pPr>
        <w:pStyle w:val="28"/>
        <w:numPr>
          <w:ilvl w:val="0"/>
          <w:numId w:val="0"/>
        </w:numPr>
        <w:tabs>
          <w:tab w:val="left" w:pos="426"/>
        </w:tabs>
        <w:suppressAutoHyphens w:val="0"/>
        <w:spacing w:line="360" w:lineRule="auto"/>
        <w:outlineLvl w:val="0"/>
        <w:rPr>
          <w:rFonts w:hint="eastAsia" w:cs="Times New Roman"/>
          <w:b/>
          <w:bCs/>
          <w:color w:val="000000"/>
          <w:sz w:val="21"/>
          <w:szCs w:val="21"/>
          <w:lang w:val="en-US" w:eastAsia="zh-CN"/>
        </w:rPr>
      </w:pPr>
      <w:r>
        <w:rPr>
          <w:rFonts w:hint="eastAsia" w:cs="Times New Roman"/>
          <w:b/>
          <w:bCs/>
          <w:color w:val="000000"/>
          <w:sz w:val="21"/>
          <w:szCs w:val="21"/>
          <w:lang w:val="en-US" w:eastAsia="zh-CN"/>
        </w:rPr>
        <w:t>3.1标准规范</w:t>
      </w:r>
    </w:p>
    <w:bookmarkEnd w:id="4"/>
    <w:p>
      <w:pPr>
        <w:pStyle w:val="28"/>
        <w:keepNext w:val="0"/>
        <w:keepLines w:val="0"/>
        <w:pageBreakBefore w:val="0"/>
        <w:widowControl/>
        <w:numPr>
          <w:ilvl w:val="0"/>
          <w:numId w:val="0"/>
        </w:numPr>
        <w:tabs>
          <w:tab w:val="left" w:pos="426"/>
        </w:tabs>
        <w:suppressAutoHyphens w:val="0"/>
        <w:kinsoku/>
        <w:wordWrap/>
        <w:overflowPunct/>
        <w:topLinePunct w:val="0"/>
        <w:autoSpaceDE/>
        <w:autoSpaceDN/>
        <w:bidi w:val="0"/>
        <w:adjustRightInd/>
        <w:snapToGrid/>
        <w:spacing w:line="360" w:lineRule="auto"/>
        <w:ind w:leftChars="0" w:firstLine="420" w:firstLineChars="200"/>
        <w:textAlignment w:val="auto"/>
        <w:outlineLvl w:val="1"/>
        <w:rPr>
          <w:rFonts w:hint="eastAsia" w:ascii="宋体" w:hAnsi="宋体" w:cs="Times New Roman"/>
          <w:b w:val="0"/>
          <w:bCs w:val="0"/>
          <w:color w:val="000000"/>
          <w:sz w:val="21"/>
          <w:szCs w:val="21"/>
          <w:lang w:val="en-US" w:eastAsia="zh-CN"/>
        </w:rPr>
      </w:pPr>
      <w:r>
        <w:rPr>
          <w:rFonts w:hint="eastAsia" w:ascii="宋体" w:hAnsi="宋体" w:cs="Times New Roman"/>
          <w:b w:val="0"/>
          <w:bCs w:val="0"/>
          <w:color w:val="000000"/>
          <w:sz w:val="21"/>
          <w:szCs w:val="21"/>
          <w:lang w:val="en-US" w:eastAsia="zh-CN"/>
        </w:rPr>
        <w:t>本项目执行的标准规范包括但不限于以下标准规范，若以下标准规范与最新的国家、行业的标准规范不一致或相冲突，则应按最新的标准规范执行。</w:t>
      </w:r>
    </w:p>
    <w:bookmarkEnd w:id="2"/>
    <w:bookmarkEnd w:id="3"/>
    <w:p>
      <w:pPr>
        <w:pStyle w:val="28"/>
        <w:keepNext w:val="0"/>
        <w:keepLines w:val="0"/>
        <w:pageBreakBefore w:val="0"/>
        <w:widowControl w:val="0"/>
        <w:numPr>
          <w:ilvl w:val="0"/>
          <w:numId w:val="0"/>
        </w:numPr>
        <w:tabs>
          <w:tab w:val="left" w:pos="426"/>
        </w:tabs>
        <w:suppressAutoHyphens w:val="0"/>
        <w:kinsoku/>
        <w:wordWrap/>
        <w:overflowPunct/>
        <w:topLinePunct w:val="0"/>
        <w:autoSpaceDE/>
        <w:autoSpaceDN/>
        <w:bidi w:val="0"/>
        <w:adjustRightInd/>
        <w:snapToGrid/>
        <w:spacing w:line="360" w:lineRule="auto"/>
        <w:ind w:leftChars="0"/>
        <w:textAlignment w:val="auto"/>
        <w:outlineLvl w:val="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GB/T</w:t>
      </w:r>
      <w:r>
        <w:rPr>
          <w:rFonts w:hint="eastAsia" w:asciiTheme="minorEastAsia" w:hAnsiTheme="minorEastAsia" w:eastAsiaTheme="minorEastAsia" w:cstheme="minorEastAsia"/>
          <w:sz w:val="21"/>
          <w:szCs w:val="21"/>
          <w:highlight w:val="none"/>
          <w:lang w:val="en-US" w:eastAsia="zh-CN"/>
        </w:rPr>
        <w:t xml:space="preserve"> </w:t>
      </w:r>
      <w:r>
        <w:rPr>
          <w:rFonts w:hint="eastAsia" w:asciiTheme="minorEastAsia" w:hAnsiTheme="minorEastAsia" w:eastAsiaTheme="minorEastAsia" w:cstheme="minorEastAsia"/>
          <w:sz w:val="21"/>
          <w:szCs w:val="21"/>
          <w:highlight w:val="none"/>
        </w:rPr>
        <w:t>17213</w:t>
      </w:r>
      <w:r>
        <w:rPr>
          <w:rFonts w:hint="eastAsia" w:asciiTheme="minorEastAsia" w:hAnsiTheme="minorEastAsia" w:eastAsiaTheme="minorEastAsia" w:cstheme="minorEastAsia"/>
          <w:sz w:val="21"/>
          <w:szCs w:val="21"/>
          <w:highlight w:val="none"/>
          <w:lang w:val="en-US" w:eastAsia="zh-CN"/>
        </w:rPr>
        <w:t xml:space="preserve">系列            </w:t>
      </w:r>
      <w:r>
        <w:rPr>
          <w:rFonts w:hint="eastAsia" w:asciiTheme="minorEastAsia" w:hAnsiTheme="minorEastAsia" w:eastAsiaTheme="minorEastAsia" w:cstheme="minorEastAsia"/>
          <w:sz w:val="21"/>
          <w:szCs w:val="21"/>
          <w:highlight w:val="none"/>
        </w:rPr>
        <w:t>《工业过程控制阀》</w:t>
      </w:r>
    </w:p>
    <w:p>
      <w:pPr>
        <w:pStyle w:val="28"/>
        <w:keepNext w:val="0"/>
        <w:keepLines w:val="0"/>
        <w:pageBreakBefore w:val="0"/>
        <w:widowControl w:val="0"/>
        <w:numPr>
          <w:ilvl w:val="0"/>
          <w:numId w:val="0"/>
        </w:numPr>
        <w:tabs>
          <w:tab w:val="left" w:pos="426"/>
        </w:tabs>
        <w:suppressAutoHyphens w:val="0"/>
        <w:kinsoku/>
        <w:wordWrap/>
        <w:overflowPunct/>
        <w:topLinePunct w:val="0"/>
        <w:autoSpaceDE/>
        <w:autoSpaceDN/>
        <w:bidi w:val="0"/>
        <w:adjustRightInd/>
        <w:snapToGrid/>
        <w:spacing w:line="360" w:lineRule="auto"/>
        <w:ind w:leftChars="0"/>
        <w:textAlignment w:val="auto"/>
        <w:outlineLvl w:val="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GB/T</w:t>
      </w:r>
      <w:r>
        <w:rPr>
          <w:rFonts w:hint="eastAsia" w:asciiTheme="minorEastAsia" w:hAnsiTheme="minorEastAsia" w:eastAsiaTheme="minorEastAsia" w:cstheme="minorEastAsia"/>
          <w:sz w:val="21"/>
          <w:szCs w:val="21"/>
          <w:highlight w:val="none"/>
          <w:lang w:val="en-US" w:eastAsia="zh-CN"/>
        </w:rPr>
        <w:t xml:space="preserve"> </w:t>
      </w:r>
      <w:r>
        <w:rPr>
          <w:rFonts w:hint="eastAsia" w:asciiTheme="minorEastAsia" w:hAnsiTheme="minorEastAsia" w:eastAsiaTheme="minorEastAsia" w:cstheme="minorEastAsia"/>
          <w:sz w:val="21"/>
          <w:szCs w:val="21"/>
          <w:highlight w:val="none"/>
        </w:rPr>
        <w:t>12224</w:t>
      </w:r>
      <w:r>
        <w:rPr>
          <w:rFonts w:hint="eastAsia" w:asciiTheme="minorEastAsia" w:hAnsiTheme="minorEastAsia" w:eastAsiaTheme="minorEastAsia" w:cstheme="minorEastAsia"/>
          <w:sz w:val="21"/>
          <w:szCs w:val="21"/>
          <w:highlight w:val="none"/>
          <w:lang w:val="en-US" w:eastAsia="zh-CN"/>
        </w:rPr>
        <w:t>-2015</w:t>
      </w:r>
      <w:r>
        <w:rPr>
          <w:rFonts w:hint="eastAsia" w:asciiTheme="minorEastAsia" w:hAnsiTheme="minorEastAsia" w:eastAsiaTheme="minorEastAsia" w:cstheme="minorEastAsia"/>
          <w:sz w:val="21"/>
          <w:szCs w:val="21"/>
          <w:highlight w:val="none"/>
        </w:rPr>
        <w:t xml:space="preserve">     </w:t>
      </w:r>
      <w:r>
        <w:rPr>
          <w:rFonts w:hint="eastAsia" w:asciiTheme="minorEastAsia" w:hAnsiTheme="minorEastAsia" w:eastAsiaTheme="minorEastAsia" w:cstheme="minorEastAsia"/>
          <w:sz w:val="21"/>
          <w:szCs w:val="21"/>
          <w:highlight w:val="none"/>
          <w:lang w:val="en-US" w:eastAsia="zh-CN"/>
        </w:rPr>
        <w:t xml:space="preserve">       </w:t>
      </w:r>
      <w:r>
        <w:rPr>
          <w:rFonts w:hint="eastAsia" w:asciiTheme="minorEastAsia" w:hAnsiTheme="minorEastAsia" w:eastAsiaTheme="minorEastAsia" w:cstheme="minorEastAsia"/>
          <w:sz w:val="21"/>
          <w:szCs w:val="21"/>
          <w:highlight w:val="none"/>
        </w:rPr>
        <w:t>《钢制阀门</w:t>
      </w:r>
      <w:r>
        <w:rPr>
          <w:rFonts w:hint="eastAsia" w:asciiTheme="minorEastAsia" w:hAnsiTheme="minorEastAsia" w:eastAsiaTheme="minorEastAsia" w:cstheme="minorEastAsia"/>
          <w:sz w:val="21"/>
          <w:szCs w:val="21"/>
          <w:highlight w:val="none"/>
          <w:lang w:val="en-US" w:eastAsia="zh-CN"/>
        </w:rPr>
        <w:t xml:space="preserve"> </w:t>
      </w:r>
      <w:r>
        <w:rPr>
          <w:rFonts w:hint="eastAsia" w:asciiTheme="minorEastAsia" w:hAnsiTheme="minorEastAsia" w:eastAsiaTheme="minorEastAsia" w:cstheme="minorEastAsia"/>
          <w:sz w:val="21"/>
          <w:szCs w:val="21"/>
          <w:highlight w:val="none"/>
        </w:rPr>
        <w:t>一般要求》</w:t>
      </w:r>
    </w:p>
    <w:p>
      <w:pPr>
        <w:pStyle w:val="28"/>
        <w:keepNext w:val="0"/>
        <w:keepLines w:val="0"/>
        <w:pageBreakBefore w:val="0"/>
        <w:widowControl w:val="0"/>
        <w:numPr>
          <w:ilvl w:val="0"/>
          <w:numId w:val="0"/>
        </w:numPr>
        <w:tabs>
          <w:tab w:val="left" w:pos="426"/>
        </w:tabs>
        <w:suppressAutoHyphens w:val="0"/>
        <w:kinsoku/>
        <w:wordWrap/>
        <w:overflowPunct/>
        <w:topLinePunct w:val="0"/>
        <w:autoSpaceDE/>
        <w:autoSpaceDN/>
        <w:bidi w:val="0"/>
        <w:adjustRightInd/>
        <w:snapToGrid/>
        <w:spacing w:line="360" w:lineRule="auto"/>
        <w:ind w:leftChars="0"/>
        <w:textAlignment w:val="auto"/>
        <w:outlineLvl w:val="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HG/T</w:t>
      </w:r>
      <w:r>
        <w:rPr>
          <w:rFonts w:hint="eastAsia" w:asciiTheme="minorEastAsia" w:hAnsiTheme="minorEastAsia" w:eastAsiaTheme="minorEastAsia" w:cstheme="minorEastAsia"/>
          <w:sz w:val="21"/>
          <w:szCs w:val="21"/>
          <w:highlight w:val="none"/>
          <w:lang w:val="en-US" w:eastAsia="zh-CN"/>
        </w:rPr>
        <w:t xml:space="preserve"> </w:t>
      </w:r>
      <w:r>
        <w:rPr>
          <w:rFonts w:hint="eastAsia" w:asciiTheme="minorEastAsia" w:hAnsiTheme="minorEastAsia" w:eastAsiaTheme="minorEastAsia" w:cstheme="minorEastAsia"/>
          <w:sz w:val="21"/>
          <w:szCs w:val="21"/>
          <w:highlight w:val="none"/>
        </w:rPr>
        <w:t>20507</w:t>
      </w:r>
      <w:r>
        <w:rPr>
          <w:rFonts w:hint="eastAsia" w:asciiTheme="minorEastAsia" w:hAnsiTheme="minorEastAsia" w:eastAsiaTheme="minorEastAsia" w:cstheme="minorEastAsia"/>
          <w:sz w:val="21"/>
          <w:szCs w:val="21"/>
          <w:highlight w:val="none"/>
          <w:lang w:val="en-US" w:eastAsia="zh-CN"/>
        </w:rPr>
        <w:t xml:space="preserve">-2014            </w:t>
      </w:r>
      <w:r>
        <w:rPr>
          <w:rFonts w:hint="eastAsia" w:asciiTheme="minorEastAsia" w:hAnsiTheme="minorEastAsia" w:eastAsiaTheme="minorEastAsia" w:cstheme="minorEastAsia"/>
          <w:sz w:val="21"/>
          <w:szCs w:val="21"/>
          <w:highlight w:val="none"/>
        </w:rPr>
        <w:t>《自动化仪表选型设计规范》</w:t>
      </w:r>
    </w:p>
    <w:p>
      <w:pPr>
        <w:pStyle w:val="28"/>
        <w:keepNext w:val="0"/>
        <w:keepLines w:val="0"/>
        <w:pageBreakBefore w:val="0"/>
        <w:widowControl w:val="0"/>
        <w:numPr>
          <w:ilvl w:val="0"/>
          <w:numId w:val="0"/>
        </w:numPr>
        <w:tabs>
          <w:tab w:val="left" w:pos="426"/>
        </w:tabs>
        <w:suppressAutoHyphens w:val="0"/>
        <w:kinsoku/>
        <w:wordWrap/>
        <w:overflowPunct/>
        <w:topLinePunct w:val="0"/>
        <w:autoSpaceDE/>
        <w:autoSpaceDN/>
        <w:bidi w:val="0"/>
        <w:adjustRightInd/>
        <w:snapToGrid/>
        <w:spacing w:line="360" w:lineRule="auto"/>
        <w:ind w:leftChars="0"/>
        <w:textAlignment w:val="auto"/>
        <w:outlineLvl w:val="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IEC</w:t>
      </w:r>
      <w:r>
        <w:rPr>
          <w:rFonts w:hint="eastAsia" w:asciiTheme="minorEastAsia" w:hAnsiTheme="minorEastAsia" w:eastAsiaTheme="minorEastAsia" w:cstheme="minorEastAsia"/>
          <w:sz w:val="21"/>
          <w:szCs w:val="21"/>
          <w:highlight w:val="none"/>
          <w:lang w:val="en-US" w:eastAsia="zh-CN"/>
        </w:rPr>
        <w:t xml:space="preserve"> </w:t>
      </w:r>
      <w:r>
        <w:rPr>
          <w:rFonts w:hint="eastAsia" w:asciiTheme="minorEastAsia" w:hAnsiTheme="minorEastAsia" w:eastAsiaTheme="minorEastAsia" w:cstheme="minorEastAsia"/>
          <w:sz w:val="21"/>
          <w:szCs w:val="21"/>
          <w:highlight w:val="none"/>
        </w:rPr>
        <w:t xml:space="preserve">60534-2-1  </w:t>
      </w:r>
      <w:r>
        <w:rPr>
          <w:rFonts w:hint="eastAsia" w:asciiTheme="minorEastAsia" w:hAnsiTheme="minorEastAsia" w:eastAsiaTheme="minorEastAsia" w:cstheme="minorEastAsia"/>
          <w:sz w:val="21"/>
          <w:szCs w:val="21"/>
          <w:highlight w:val="none"/>
          <w:lang w:val="en-US" w:eastAsia="zh-CN"/>
        </w:rPr>
        <w:t xml:space="preserve">            </w:t>
      </w:r>
      <w:r>
        <w:rPr>
          <w:rFonts w:hint="eastAsia" w:asciiTheme="minorEastAsia" w:hAnsiTheme="minorEastAsia" w:eastAsiaTheme="minorEastAsia" w:cstheme="minorEastAsia"/>
          <w:sz w:val="21"/>
          <w:szCs w:val="21"/>
          <w:highlight w:val="none"/>
        </w:rPr>
        <w:t>《工业过程控制阀</w:t>
      </w:r>
      <w:r>
        <w:rPr>
          <w:rFonts w:hint="eastAsia" w:asciiTheme="minorEastAsia" w:hAnsiTheme="minorEastAsia" w:eastAsiaTheme="minorEastAsia" w:cstheme="minorEastAsia"/>
          <w:sz w:val="21"/>
          <w:szCs w:val="21"/>
          <w:highlight w:val="none"/>
          <w:lang w:val="en-US" w:eastAsia="zh-CN"/>
        </w:rPr>
        <w:t xml:space="preserve"> </w:t>
      </w:r>
      <w:r>
        <w:rPr>
          <w:rFonts w:hint="eastAsia" w:asciiTheme="minorEastAsia" w:hAnsiTheme="minorEastAsia" w:eastAsiaTheme="minorEastAsia" w:cstheme="minorEastAsia"/>
          <w:sz w:val="21"/>
          <w:szCs w:val="21"/>
          <w:highlight w:val="none"/>
        </w:rPr>
        <w:t>第2-1部分</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流通能力》</w:t>
      </w:r>
    </w:p>
    <w:p>
      <w:pPr>
        <w:pStyle w:val="28"/>
        <w:keepNext w:val="0"/>
        <w:keepLines w:val="0"/>
        <w:pageBreakBefore w:val="0"/>
        <w:widowControl w:val="0"/>
        <w:numPr>
          <w:ilvl w:val="0"/>
          <w:numId w:val="0"/>
        </w:numPr>
        <w:tabs>
          <w:tab w:val="left" w:pos="426"/>
        </w:tabs>
        <w:suppressAutoHyphens w:val="0"/>
        <w:kinsoku/>
        <w:wordWrap/>
        <w:overflowPunct/>
        <w:topLinePunct w:val="0"/>
        <w:autoSpaceDE/>
        <w:autoSpaceDN/>
        <w:bidi w:val="0"/>
        <w:adjustRightInd/>
        <w:snapToGrid/>
        <w:spacing w:line="360" w:lineRule="auto"/>
        <w:ind w:leftChars="0"/>
        <w:textAlignment w:val="auto"/>
        <w:outlineLvl w:val="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GB/T</w:t>
      </w:r>
      <w:r>
        <w:rPr>
          <w:rFonts w:hint="eastAsia" w:asciiTheme="minorEastAsia" w:hAnsiTheme="minorEastAsia" w:eastAsiaTheme="minorEastAsia" w:cstheme="minorEastAsia"/>
          <w:sz w:val="21"/>
          <w:szCs w:val="21"/>
          <w:highlight w:val="none"/>
          <w:lang w:val="en-US" w:eastAsia="zh-CN"/>
        </w:rPr>
        <w:t xml:space="preserve"> </w:t>
      </w:r>
      <w:r>
        <w:rPr>
          <w:rFonts w:hint="eastAsia" w:asciiTheme="minorEastAsia" w:hAnsiTheme="minorEastAsia" w:eastAsiaTheme="minorEastAsia" w:cstheme="minorEastAsia"/>
          <w:sz w:val="21"/>
          <w:szCs w:val="21"/>
          <w:highlight w:val="none"/>
        </w:rPr>
        <w:t>13384</w:t>
      </w:r>
      <w:r>
        <w:rPr>
          <w:rFonts w:hint="eastAsia" w:asciiTheme="minorEastAsia" w:hAnsiTheme="minorEastAsia" w:eastAsiaTheme="minorEastAsia" w:cstheme="minorEastAsia"/>
          <w:sz w:val="21"/>
          <w:szCs w:val="21"/>
          <w:highlight w:val="none"/>
          <w:lang w:val="en-US" w:eastAsia="zh-CN"/>
        </w:rPr>
        <w:t>-2008</w:t>
      </w:r>
      <w:r>
        <w:rPr>
          <w:rFonts w:hint="eastAsia" w:asciiTheme="minorEastAsia" w:hAnsiTheme="minorEastAsia" w:eastAsiaTheme="minorEastAsia" w:cstheme="minorEastAsia"/>
          <w:sz w:val="21"/>
          <w:szCs w:val="21"/>
          <w:highlight w:val="none"/>
        </w:rPr>
        <w:t xml:space="preserve">  </w:t>
      </w:r>
      <w:r>
        <w:rPr>
          <w:rFonts w:hint="eastAsia" w:asciiTheme="minorEastAsia" w:hAnsiTheme="minorEastAsia" w:eastAsiaTheme="minorEastAsia" w:cstheme="minorEastAsia"/>
          <w:sz w:val="21"/>
          <w:szCs w:val="21"/>
          <w:highlight w:val="none"/>
          <w:lang w:val="en-US" w:eastAsia="zh-CN"/>
        </w:rPr>
        <w:t xml:space="preserve">          </w:t>
      </w:r>
      <w:r>
        <w:rPr>
          <w:rFonts w:hint="eastAsia" w:asciiTheme="minorEastAsia" w:hAnsiTheme="minorEastAsia" w:eastAsiaTheme="minorEastAsia" w:cstheme="minorEastAsia"/>
          <w:sz w:val="21"/>
          <w:szCs w:val="21"/>
          <w:highlight w:val="none"/>
        </w:rPr>
        <w:t>《机电产品包装通用技术条件》</w:t>
      </w:r>
    </w:p>
    <w:p>
      <w:pPr>
        <w:pStyle w:val="28"/>
        <w:keepNext w:val="0"/>
        <w:keepLines w:val="0"/>
        <w:pageBreakBefore w:val="0"/>
        <w:widowControl w:val="0"/>
        <w:numPr>
          <w:ilvl w:val="0"/>
          <w:numId w:val="0"/>
        </w:numPr>
        <w:tabs>
          <w:tab w:val="left" w:pos="426"/>
        </w:tabs>
        <w:suppressAutoHyphens w:val="0"/>
        <w:kinsoku/>
        <w:wordWrap/>
        <w:overflowPunct/>
        <w:topLinePunct w:val="0"/>
        <w:autoSpaceDE/>
        <w:autoSpaceDN/>
        <w:bidi w:val="0"/>
        <w:adjustRightInd/>
        <w:snapToGrid/>
        <w:spacing w:line="360" w:lineRule="auto"/>
        <w:ind w:leftChars="0"/>
        <w:textAlignment w:val="auto"/>
        <w:outlineLvl w:val="0"/>
        <w:rPr>
          <w:rFonts w:hint="eastAsia" w:asciiTheme="minorEastAsia" w:hAnsiTheme="minorEastAsia" w:eastAsiaTheme="minorEastAsia" w:cstheme="minorEastAsia"/>
          <w:sz w:val="21"/>
          <w:szCs w:val="21"/>
          <w:highlight w:val="none"/>
          <w:lang w:val="en-US" w:eastAsia="zh-CN"/>
        </w:rPr>
      </w:pPr>
      <w:bookmarkStart w:id="5" w:name="OLE_LINK3"/>
      <w:bookmarkStart w:id="6" w:name="_Toc23020"/>
      <w:bookmarkStart w:id="7" w:name="_Toc15603"/>
      <w:bookmarkStart w:id="8" w:name="_Toc26292"/>
      <w:r>
        <w:rPr>
          <w:rFonts w:hint="eastAsia" w:asciiTheme="minorEastAsia" w:hAnsiTheme="minorEastAsia" w:eastAsiaTheme="minorEastAsia" w:cstheme="minorEastAsia"/>
          <w:sz w:val="21"/>
          <w:szCs w:val="21"/>
          <w:highlight w:val="none"/>
          <w:lang w:val="en-US" w:eastAsia="en-US"/>
        </w:rPr>
        <w:t>GB/T 4208</w:t>
      </w:r>
      <w:r>
        <w:rPr>
          <w:rFonts w:hint="eastAsia" w:asciiTheme="minorEastAsia" w:hAnsiTheme="minorEastAsia" w:eastAsiaTheme="minorEastAsia" w:cstheme="minorEastAsia"/>
          <w:sz w:val="21"/>
          <w:szCs w:val="21"/>
          <w:highlight w:val="none"/>
          <w:lang w:val="en-US" w:eastAsia="zh-CN"/>
        </w:rPr>
        <w:t>-2017/XG1-2024</w:t>
      </w:r>
      <w:r>
        <w:rPr>
          <w:rFonts w:hint="eastAsia" w:asciiTheme="minorEastAsia" w:hAnsiTheme="minorEastAsia" w:eastAsiaTheme="minorEastAsia" w:cstheme="minorEastAsia"/>
          <w:sz w:val="21"/>
          <w:szCs w:val="21"/>
          <w:highlight w:val="none"/>
          <w:lang w:val="en-US" w:eastAsia="en-US"/>
        </w:rPr>
        <w:t xml:space="preserve">    《外壳防护等级》（IP代码）</w:t>
      </w:r>
      <w:r>
        <w:rPr>
          <w:rFonts w:hint="eastAsia" w:asciiTheme="minorEastAsia" w:hAnsiTheme="minorEastAsia" w:eastAsiaTheme="minorEastAsia" w:cstheme="minorEastAsia"/>
          <w:sz w:val="21"/>
          <w:szCs w:val="21"/>
          <w:highlight w:val="none"/>
          <w:lang w:val="en-US" w:eastAsia="zh-CN"/>
        </w:rPr>
        <w:t>/国家标准第1号修改单</w:t>
      </w:r>
    </w:p>
    <w:p>
      <w:pPr>
        <w:pStyle w:val="28"/>
        <w:keepNext w:val="0"/>
        <w:keepLines w:val="0"/>
        <w:pageBreakBefore w:val="0"/>
        <w:widowControl w:val="0"/>
        <w:numPr>
          <w:ilvl w:val="0"/>
          <w:numId w:val="0"/>
        </w:numPr>
        <w:tabs>
          <w:tab w:val="left" w:pos="426"/>
        </w:tabs>
        <w:suppressAutoHyphens w:val="0"/>
        <w:kinsoku/>
        <w:wordWrap/>
        <w:overflowPunct/>
        <w:topLinePunct w:val="0"/>
        <w:autoSpaceDE/>
        <w:autoSpaceDN/>
        <w:bidi w:val="0"/>
        <w:adjustRightInd/>
        <w:snapToGrid/>
        <w:spacing w:line="360" w:lineRule="auto"/>
        <w:ind w:leftChars="0"/>
        <w:textAlignment w:val="auto"/>
        <w:outlineLvl w:val="0"/>
        <w:rPr>
          <w:rFonts w:hint="default"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 xml:space="preserve">HG/T 20592-2009            </w:t>
      </w:r>
      <w:r>
        <w:rPr>
          <w:rFonts w:hint="eastAsia" w:asciiTheme="minorEastAsia" w:hAnsiTheme="minorEastAsia" w:eastAsiaTheme="minorEastAsia" w:cstheme="minorEastAsia"/>
          <w:sz w:val="21"/>
          <w:szCs w:val="21"/>
          <w:highlight w:val="none"/>
        </w:rPr>
        <w:t>《钢制管法兰，垫片，紧固件》</w:t>
      </w:r>
    </w:p>
    <w:p>
      <w:pPr>
        <w:pStyle w:val="4"/>
        <w:keepLines w:val="0"/>
        <w:pageBreakBefore w:val="0"/>
        <w:widowControl w:val="0"/>
        <w:numPr>
          <w:ilvl w:val="0"/>
          <w:numId w:val="0"/>
        </w:numPr>
        <w:kinsoku/>
        <w:wordWrap/>
        <w:overflowPunct/>
        <w:topLinePunct w:val="0"/>
        <w:autoSpaceDE/>
        <w:autoSpaceDN/>
        <w:bidi w:val="0"/>
        <w:snapToGrid/>
        <w:spacing w:line="420" w:lineRule="exact"/>
        <w:ind w:leftChars="0"/>
        <w:jc w:val="both"/>
        <w:textAlignment w:val="auto"/>
        <w:rPr>
          <w:rFonts w:hint="eastAsia" w:cs="Times New Roman"/>
          <w:b w:val="0"/>
          <w:bCs w:val="0"/>
          <w:color w:val="000000"/>
          <w:sz w:val="21"/>
          <w:szCs w:val="21"/>
          <w:lang w:val="en-US" w:eastAsia="zh-CN"/>
        </w:rPr>
      </w:pPr>
      <w:r>
        <w:rPr>
          <w:rFonts w:hint="eastAsia" w:cs="Times New Roman"/>
          <w:b/>
          <w:bCs/>
          <w:color w:val="000000"/>
          <w:sz w:val="21"/>
          <w:szCs w:val="21"/>
          <w:lang w:val="en-US" w:eastAsia="zh-CN"/>
        </w:rPr>
        <w:t>3.2 技术要求</w:t>
      </w:r>
    </w:p>
    <w:p>
      <w:pPr>
        <w:pStyle w:val="13"/>
        <w:numPr>
          <w:ilvl w:val="2"/>
          <w:numId w:val="4"/>
        </w:numPr>
        <w:rPr>
          <w:rFonts w:ascii="宋体" w:hAnsi="宋体"/>
          <w:color w:val="auto"/>
          <w:sz w:val="21"/>
          <w:szCs w:val="21"/>
        </w:rPr>
      </w:pPr>
      <w:r>
        <w:rPr>
          <w:rFonts w:hint="default" w:ascii="宋体" w:hAnsi="宋体" w:eastAsia="宋体" w:cs="Times New Roman"/>
          <w:color w:val="auto"/>
          <w:szCs w:val="21"/>
        </w:rPr>
        <w:t>★</w:t>
      </w:r>
      <w:r>
        <w:rPr>
          <w:rFonts w:hint="eastAsia" w:ascii="宋体" w:hAnsi="宋体" w:eastAsia="宋体" w:cs="宋体"/>
          <w:color w:val="auto"/>
          <w:sz w:val="21"/>
          <w:szCs w:val="21"/>
          <w:lang w:val="en-US" w:eastAsia="zh-CN"/>
        </w:rPr>
        <w:t>资格</w:t>
      </w:r>
      <w:r>
        <w:rPr>
          <w:rStyle w:val="30"/>
          <w:rFonts w:hint="default"/>
          <w:color w:val="auto"/>
          <w:sz w:val="21"/>
          <w:szCs w:val="21"/>
        </w:rPr>
        <w:t>要求：</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textAlignment w:val="auto"/>
        <w:rPr>
          <w:rStyle w:val="30"/>
          <w:rFonts w:hint="eastAsia" w:ascii="宋体" w:hAnsi="宋体" w:eastAsia="宋体" w:cs="Times New Roman"/>
          <w:b w:val="0"/>
          <w:bCs w:val="0"/>
          <w:i w:val="0"/>
          <w:iCs w:val="0"/>
          <w:sz w:val="21"/>
          <w:szCs w:val="21"/>
          <w:lang w:val="en-US" w:eastAsia="zh-CN" w:bidi="ar-SA"/>
        </w:rPr>
      </w:pPr>
      <w:r>
        <w:rPr>
          <w:rStyle w:val="30"/>
          <w:rFonts w:hint="eastAsia" w:ascii="宋体" w:hAnsi="宋体" w:eastAsia="宋体" w:cs="Times New Roman"/>
          <w:b w:val="0"/>
          <w:bCs w:val="0"/>
          <w:i w:val="0"/>
          <w:iCs w:val="0"/>
          <w:sz w:val="21"/>
          <w:szCs w:val="21"/>
          <w:lang w:val="en-US" w:eastAsia="zh-CN" w:bidi="ar-SA"/>
        </w:rPr>
        <w:t>投标人具有合法有效的企业法人营业执照、税务登记证及组织机构代码证或证照合一的营业执照，投标时需提供原件扫描件（原件备查）。投标人为事业单位的，应具有合法有效的事业单位法人证书，投标时需提供原件扫描件（原件备查）。投标人为分公司的，提供具有合法有效的营业执照和上级法人单位授权书（授权该分公司投标和签订合同），认可该分公司和上级法人单位的资质、资格和业绩，不认可同一上级法人单位的其它分公司的资质、资格和业绩，投标时需提供原件扫描件（原件备查）。分公司与上级法人单位只可一家参与投标，同时参与投标的，投标均无效。</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textAlignment w:val="auto"/>
        <w:rPr>
          <w:rStyle w:val="30"/>
          <w:rFonts w:hint="eastAsia" w:ascii="宋体" w:hAnsi="宋体" w:eastAsia="宋体" w:cs="Times New Roman"/>
          <w:b w:val="0"/>
          <w:bCs w:val="0"/>
          <w:i w:val="0"/>
          <w:iCs w:val="0"/>
          <w:sz w:val="21"/>
          <w:szCs w:val="21"/>
          <w:lang w:val="en-US" w:eastAsia="zh-CN" w:bidi="ar-SA"/>
        </w:rPr>
      </w:pPr>
      <w:bookmarkStart w:id="35" w:name="_GoBack"/>
      <w:r>
        <w:rPr>
          <w:rStyle w:val="30"/>
          <w:rFonts w:hint="eastAsia" w:ascii="宋体" w:hAnsi="宋体" w:eastAsia="宋体" w:cs="Times New Roman"/>
          <w:b w:val="0"/>
          <w:bCs w:val="0"/>
          <w:i w:val="0"/>
          <w:iCs w:val="0"/>
          <w:sz w:val="21"/>
          <w:szCs w:val="21"/>
          <w:lang w:val="en-US" w:eastAsia="zh-CN" w:bidi="ar-SA"/>
        </w:rPr>
        <w:t>投标人应为本次投标所投产品的制造商。本次招标不接受代理商</w:t>
      </w:r>
      <w:r>
        <w:rPr>
          <w:rStyle w:val="30"/>
          <w:rFonts w:hint="eastAsia" w:cs="Times New Roman"/>
          <w:b w:val="0"/>
          <w:bCs w:val="0"/>
          <w:i w:val="0"/>
          <w:iCs w:val="0"/>
          <w:sz w:val="21"/>
          <w:szCs w:val="21"/>
          <w:lang w:val="en-US" w:eastAsia="zh-CN" w:bidi="ar-SA"/>
        </w:rPr>
        <w:t>/贸易商</w:t>
      </w:r>
      <w:r>
        <w:rPr>
          <w:rStyle w:val="30"/>
          <w:rFonts w:hint="eastAsia" w:ascii="宋体" w:hAnsi="宋体" w:eastAsia="宋体" w:cs="Times New Roman"/>
          <w:b w:val="0"/>
          <w:bCs w:val="0"/>
          <w:i w:val="0"/>
          <w:iCs w:val="0"/>
          <w:sz w:val="21"/>
          <w:szCs w:val="21"/>
          <w:lang w:val="en-US" w:eastAsia="zh-CN" w:bidi="ar-SA"/>
        </w:rPr>
        <w:t>投标。</w:t>
      </w:r>
      <w:bookmarkEnd w:id="35"/>
      <w:r>
        <w:rPr>
          <w:rStyle w:val="30"/>
          <w:rFonts w:hint="eastAsia" w:ascii="宋体" w:hAnsi="宋体" w:eastAsia="宋体" w:cs="Times New Roman"/>
          <w:b w:val="0"/>
          <w:bCs w:val="0"/>
          <w:i w:val="0"/>
          <w:iCs w:val="0"/>
          <w:sz w:val="21"/>
          <w:szCs w:val="21"/>
          <w:lang w:val="en-US" w:eastAsia="zh-CN" w:bidi="ar-SA"/>
        </w:rPr>
        <w:t>制造商无直销模式，且投标人为制造商同一集团负责销售投标所投产品的全资子公司、控股子公司（投标人应提供制造商或其上级单位证明上述事项的证明文件），则视投标人为制造商。不能再将此货物同时授权给其他投标人参与投标，否则相关的所有投标将被拒绝;</w:t>
      </w:r>
    </w:p>
    <w:p>
      <w:pPr>
        <w:pStyle w:val="13"/>
        <w:numPr>
          <w:ilvl w:val="2"/>
          <w:numId w:val="4"/>
        </w:numPr>
        <w:rPr>
          <w:rFonts w:hint="eastAsia" w:ascii="宋体" w:hAnsi="宋体" w:eastAsia="宋体" w:cs="宋体"/>
          <w:b w:val="0"/>
          <w:bCs w:val="0"/>
          <w:color w:val="000000"/>
          <w:sz w:val="21"/>
          <w:szCs w:val="21"/>
          <w:lang w:val="en-US" w:eastAsia="zh-CN"/>
        </w:rPr>
      </w:pPr>
      <w:r>
        <w:rPr>
          <w:rFonts w:hint="default" w:ascii="宋体" w:hAnsi="宋体" w:eastAsia="宋体" w:cs="Times New Roman"/>
          <w:color w:val="auto"/>
          <w:szCs w:val="21"/>
        </w:rPr>
        <w:t>★</w:t>
      </w:r>
      <w:r>
        <w:rPr>
          <w:rFonts w:hint="eastAsia" w:ascii="宋体" w:hAnsi="宋体"/>
          <w:b w:val="0"/>
          <w:bCs w:val="0"/>
          <w:color w:val="000000"/>
          <w:sz w:val="21"/>
          <w:szCs w:val="21"/>
        </w:rPr>
        <w:t>业绩要求</w:t>
      </w:r>
    </w:p>
    <w:p>
      <w:pPr>
        <w:pStyle w:val="6"/>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cs="Times New Roman"/>
          <w:b w:val="0"/>
          <w:bCs w:val="0"/>
          <w:i w:val="0"/>
          <w:iCs w:val="0"/>
          <w:sz w:val="21"/>
          <w:szCs w:val="21"/>
          <w:lang w:val="en-US" w:eastAsia="zh-CN"/>
        </w:rPr>
      </w:pPr>
      <w:r>
        <w:rPr>
          <w:rStyle w:val="30"/>
          <w:rFonts w:hint="eastAsia" w:cs="Times New Roman"/>
          <w:b w:val="0"/>
          <w:bCs w:val="0"/>
          <w:i w:val="0"/>
          <w:iCs w:val="0"/>
          <w:sz w:val="21"/>
          <w:szCs w:val="21"/>
          <w:lang w:val="en-US" w:eastAsia="zh-CN"/>
        </w:rPr>
        <w:t xml:space="preserve">3.2.2.1  </w:t>
      </w:r>
      <w:r>
        <w:rPr>
          <w:rStyle w:val="30"/>
          <w:rFonts w:hint="default" w:ascii="宋体" w:hAnsi="宋体" w:eastAsia="宋体" w:cs="Times New Roman"/>
          <w:b w:val="0"/>
          <w:bCs w:val="0"/>
          <w:i w:val="0"/>
          <w:iCs w:val="0"/>
          <w:sz w:val="21"/>
          <w:szCs w:val="21"/>
        </w:rPr>
        <w:t>202</w:t>
      </w:r>
      <w:r>
        <w:rPr>
          <w:rStyle w:val="30"/>
          <w:rFonts w:hint="eastAsia" w:cs="Times New Roman"/>
          <w:b w:val="0"/>
          <w:bCs w:val="0"/>
          <w:i w:val="0"/>
          <w:iCs w:val="0"/>
          <w:sz w:val="21"/>
          <w:szCs w:val="21"/>
          <w:lang w:val="en-US" w:eastAsia="zh-CN"/>
        </w:rPr>
        <w:t>1</w:t>
      </w:r>
      <w:r>
        <w:rPr>
          <w:rStyle w:val="30"/>
          <w:rFonts w:hint="default" w:ascii="宋体" w:hAnsi="宋体" w:eastAsia="宋体" w:cs="Times New Roman"/>
          <w:b w:val="0"/>
          <w:bCs w:val="0"/>
          <w:i w:val="0"/>
          <w:iCs w:val="0"/>
          <w:sz w:val="21"/>
          <w:szCs w:val="21"/>
        </w:rPr>
        <w:t>年1月1日至投标截止日期（以合同签署时间/合同生效时间为准），投标人应具有至少</w:t>
      </w:r>
      <w:r>
        <w:rPr>
          <w:rStyle w:val="30"/>
          <w:rFonts w:hint="eastAsia" w:cs="Times New Roman"/>
          <w:b w:val="0"/>
          <w:bCs w:val="0"/>
          <w:i w:val="0"/>
          <w:iCs w:val="0"/>
          <w:sz w:val="21"/>
          <w:szCs w:val="21"/>
          <w:lang w:val="en-US" w:eastAsia="zh-CN"/>
        </w:rPr>
        <w:t>1</w:t>
      </w:r>
      <w:r>
        <w:rPr>
          <w:rStyle w:val="30"/>
          <w:rFonts w:hint="default" w:ascii="宋体" w:hAnsi="宋体" w:eastAsia="宋体" w:cs="Times New Roman"/>
          <w:b w:val="0"/>
          <w:bCs w:val="0"/>
          <w:i w:val="0"/>
          <w:iCs w:val="0"/>
          <w:sz w:val="21"/>
          <w:szCs w:val="21"/>
        </w:rPr>
        <w:t>个合同的</w:t>
      </w:r>
      <w:r>
        <w:rPr>
          <w:rStyle w:val="30"/>
          <w:rFonts w:hint="eastAsia" w:ascii="宋体" w:hAnsi="宋体" w:eastAsia="宋体" w:cs="Times New Roman"/>
          <w:b w:val="0"/>
          <w:bCs w:val="0"/>
          <w:i w:val="0"/>
          <w:iCs w:val="0"/>
          <w:color w:val="auto"/>
          <w:sz w:val="21"/>
          <w:szCs w:val="21"/>
          <w:lang w:val="en-US" w:eastAsia="zh-CN"/>
        </w:rPr>
        <w:t>电动调节阀</w:t>
      </w:r>
      <w:r>
        <w:rPr>
          <w:rStyle w:val="30"/>
          <w:rFonts w:hint="default" w:ascii="宋体" w:hAnsi="宋体" w:eastAsia="宋体" w:cs="Times New Roman"/>
          <w:b w:val="0"/>
          <w:bCs w:val="0"/>
          <w:i w:val="0"/>
          <w:iCs w:val="0"/>
          <w:color w:val="auto"/>
          <w:sz w:val="21"/>
          <w:szCs w:val="21"/>
          <w:lang w:val="en-US" w:eastAsia="zh-CN"/>
        </w:rPr>
        <w:t>的供货业绩</w:t>
      </w:r>
      <w:r>
        <w:rPr>
          <w:rFonts w:hint="eastAsia"/>
          <w:lang w:eastAsia="zh-CN"/>
        </w:rPr>
        <w:t>，</w:t>
      </w:r>
      <w:r>
        <w:rPr>
          <w:rFonts w:hint="eastAsia"/>
          <w:lang w:val="en-US" w:eastAsia="zh-CN"/>
        </w:rPr>
        <w:t>且满足</w:t>
      </w:r>
      <w:r>
        <w:rPr>
          <w:rStyle w:val="30"/>
          <w:rFonts w:hint="eastAsia" w:ascii="宋体" w:hAnsi="宋体" w:eastAsia="宋体" w:cs="Times New Roman"/>
          <w:b w:val="0"/>
          <w:bCs w:val="0"/>
          <w:i w:val="0"/>
          <w:iCs w:val="0"/>
          <w:color w:val="auto"/>
          <w:sz w:val="21"/>
          <w:szCs w:val="21"/>
          <w:lang w:val="en-US" w:eastAsia="zh-CN"/>
        </w:rPr>
        <w:t>阀门</w:t>
      </w:r>
      <w:r>
        <w:rPr>
          <w:rStyle w:val="30"/>
          <w:rFonts w:hint="eastAsia" w:cs="Times New Roman"/>
          <w:b w:val="0"/>
          <w:bCs w:val="0"/>
          <w:i w:val="0"/>
          <w:iCs w:val="0"/>
          <w:sz w:val="21"/>
          <w:szCs w:val="21"/>
          <w:lang w:val="en-US" w:eastAsia="zh-CN"/>
        </w:rPr>
        <w:t>公称通径不小于DN80的要求，</w:t>
      </w:r>
      <w:r>
        <w:rPr>
          <w:rStyle w:val="30"/>
          <w:rFonts w:hint="default" w:ascii="宋体" w:hAnsi="宋体" w:eastAsia="宋体" w:cs="Times New Roman"/>
          <w:b w:val="0"/>
          <w:bCs w:val="0"/>
          <w:i w:val="0"/>
          <w:iCs w:val="0"/>
          <w:sz w:val="21"/>
          <w:szCs w:val="21"/>
        </w:rPr>
        <w:t>并提交相关业绩证明文件。 </w:t>
      </w:r>
      <w:r>
        <w:rPr>
          <w:rStyle w:val="30"/>
          <w:rFonts w:hint="default" w:ascii="宋体" w:hAnsi="宋体" w:eastAsia="宋体" w:cs="Times New Roman"/>
          <w:b w:val="0"/>
          <w:bCs w:val="0"/>
          <w:i w:val="0"/>
          <w:iCs w:val="0"/>
          <w:sz w:val="21"/>
          <w:szCs w:val="21"/>
        </w:rPr>
        <w:br w:type="textWrapping"/>
      </w:r>
      <w:r>
        <w:rPr>
          <w:rStyle w:val="30"/>
          <w:rFonts w:hint="eastAsia" w:cs="Times New Roman"/>
          <w:b w:val="0"/>
          <w:bCs w:val="0"/>
          <w:i w:val="0"/>
          <w:iCs w:val="0"/>
          <w:sz w:val="21"/>
          <w:szCs w:val="21"/>
          <w:lang w:val="en-US" w:eastAsia="zh-CN"/>
        </w:rPr>
        <w:t xml:space="preserve">    3.2.2.2  投标人须按规定格式提交业绩表，并提交相关业绩证明文件。业绩证明文件包括：1）销售合同和2）用户签字或盖章的到货验收材料（到货验收单或调试验收报告或其他可以证明合同项下货物已经到货验收的有效证明材料）。投标人所提交的业绩证明文件必须至少体现以下内容：合同签署时间、合同签署页（国内贸易合同应有双方盖章，国际贸易合同应有双方签字或盖章）、货物名称、</w:t>
      </w:r>
      <w:r>
        <w:rPr>
          <w:rFonts w:hint="eastAsia"/>
          <w:lang w:val="en-US" w:eastAsia="zh-CN"/>
        </w:rPr>
        <w:t>且满足</w:t>
      </w:r>
      <w:r>
        <w:rPr>
          <w:rStyle w:val="30"/>
          <w:rFonts w:hint="eastAsia" w:ascii="宋体" w:hAnsi="宋体" w:eastAsia="宋体" w:cs="Times New Roman"/>
          <w:b w:val="0"/>
          <w:bCs w:val="0"/>
          <w:i w:val="0"/>
          <w:iCs w:val="0"/>
          <w:color w:val="auto"/>
          <w:sz w:val="21"/>
          <w:szCs w:val="21"/>
          <w:lang w:val="en-US" w:eastAsia="zh-CN"/>
        </w:rPr>
        <w:t>阀门</w:t>
      </w:r>
      <w:r>
        <w:rPr>
          <w:rStyle w:val="30"/>
          <w:rFonts w:hint="eastAsia" w:cs="Times New Roman"/>
          <w:b w:val="0"/>
          <w:bCs w:val="0"/>
          <w:i w:val="0"/>
          <w:iCs w:val="0"/>
          <w:sz w:val="21"/>
          <w:szCs w:val="21"/>
          <w:lang w:val="en-US" w:eastAsia="zh-CN"/>
        </w:rPr>
        <w:t>公称通径不小于DN80的要求、用户签字或盖章的到货验收材料。</w:t>
      </w:r>
    </w:p>
    <w:p>
      <w:pPr>
        <w:pStyle w:val="5"/>
        <w:keepNext w:val="0"/>
        <w:keepLines w:val="0"/>
        <w:pageBreakBefore w:val="0"/>
        <w:widowControl w:val="0"/>
        <w:kinsoku/>
        <w:wordWrap/>
        <w:overflowPunct/>
        <w:topLinePunct w:val="0"/>
        <w:autoSpaceDE/>
        <w:autoSpaceDN/>
        <w:bidi w:val="0"/>
        <w:adjustRightInd/>
        <w:snapToGrid/>
        <w:spacing w:line="360" w:lineRule="auto"/>
        <w:textAlignment w:val="auto"/>
        <w:rPr>
          <w:rStyle w:val="30"/>
          <w:rFonts w:hint="eastAsia" w:ascii="宋体" w:hAnsi="宋体" w:eastAsia="宋体" w:cs="Times New Roman"/>
          <w:b w:val="0"/>
          <w:bCs w:val="0"/>
          <w:i w:val="0"/>
          <w:iCs w:val="0"/>
          <w:sz w:val="21"/>
          <w:szCs w:val="21"/>
          <w:lang w:val="en-US" w:eastAsia="zh-CN"/>
        </w:rPr>
      </w:pPr>
      <w:r>
        <w:rPr>
          <w:rStyle w:val="30"/>
          <w:rFonts w:hint="eastAsia" w:ascii="宋体" w:hAnsi="宋体" w:eastAsia="宋体" w:cs="Times New Roman"/>
          <w:b w:val="0"/>
          <w:bCs w:val="0"/>
          <w:i w:val="0"/>
          <w:iCs w:val="0"/>
          <w:sz w:val="21"/>
          <w:szCs w:val="21"/>
          <w:lang w:val="en-US" w:eastAsia="zh-CN"/>
        </w:rPr>
        <w:t>若业绩合同为年度协议，除提供年度协议外，还应提供相应的已到货订单，订单内容或编号应与年度协议相关联。同一个年度协议下提供1个或以上的订单及与订单对应的到货验收材料均算为1个有效业绩。</w:t>
      </w:r>
    </w:p>
    <w:p>
      <w:pPr>
        <w:pStyle w:val="5"/>
        <w:keepNext w:val="0"/>
        <w:keepLines w:val="0"/>
        <w:pageBreakBefore w:val="0"/>
        <w:widowControl w:val="0"/>
        <w:kinsoku/>
        <w:wordWrap/>
        <w:overflowPunct/>
        <w:topLinePunct w:val="0"/>
        <w:autoSpaceDE/>
        <w:autoSpaceDN/>
        <w:bidi w:val="0"/>
        <w:adjustRightInd/>
        <w:snapToGrid/>
        <w:spacing w:line="360" w:lineRule="auto"/>
        <w:textAlignment w:val="auto"/>
        <w:rPr>
          <w:rStyle w:val="30"/>
          <w:rFonts w:hint="eastAsia" w:ascii="宋体" w:hAnsi="宋体" w:eastAsia="宋体" w:cs="Times New Roman"/>
          <w:b w:val="0"/>
          <w:bCs w:val="0"/>
          <w:i w:val="0"/>
          <w:iCs w:val="0"/>
          <w:sz w:val="21"/>
          <w:szCs w:val="21"/>
          <w:lang w:val="en-US" w:eastAsia="zh-CN"/>
        </w:rPr>
      </w:pPr>
      <w:r>
        <w:rPr>
          <w:rStyle w:val="30"/>
          <w:rFonts w:hint="eastAsia" w:ascii="宋体" w:hAnsi="宋体" w:eastAsia="宋体" w:cs="Times New Roman"/>
          <w:b w:val="0"/>
          <w:bCs w:val="0"/>
          <w:i w:val="0"/>
          <w:iCs w:val="0"/>
          <w:sz w:val="21"/>
          <w:szCs w:val="21"/>
          <w:lang w:val="en-US" w:eastAsia="zh-CN"/>
        </w:rPr>
        <w:t>未提交业绩证明文件，或通过所提供的业绩证明文件无法认定满足上述业绩要求的，均视为无效业绩。</w:t>
      </w:r>
    </w:p>
    <w:p>
      <w:pPr>
        <w:pStyle w:val="13"/>
        <w:numPr>
          <w:ilvl w:val="0"/>
          <w:numId w:val="0"/>
        </w:numPr>
        <w:ind w:leftChars="0"/>
        <w:rPr>
          <w:rStyle w:val="30"/>
          <w:rFonts w:hint="eastAsia" w:cs="Times New Roman"/>
          <w:b w:val="0"/>
          <w:bCs w:val="0"/>
          <w:i w:val="0"/>
          <w:iCs w:val="0"/>
          <w:sz w:val="21"/>
          <w:szCs w:val="21"/>
          <w:lang w:val="en-US" w:eastAsia="zh-CN"/>
        </w:rPr>
      </w:pPr>
      <w:r>
        <w:rPr>
          <w:rStyle w:val="30"/>
          <w:rFonts w:hint="eastAsia" w:cs="Times New Roman"/>
          <w:b w:val="0"/>
          <w:bCs w:val="0"/>
          <w:i w:val="0"/>
          <w:iCs w:val="0"/>
          <w:sz w:val="21"/>
          <w:szCs w:val="21"/>
          <w:lang w:val="en-US" w:eastAsia="zh-CN"/>
        </w:rPr>
        <w:t>3.3 电动调节阀参数要求</w:t>
      </w:r>
    </w:p>
    <w:tbl>
      <w:tblPr>
        <w:tblStyle w:val="17"/>
        <w:tblW w:w="1008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52"/>
        <w:gridCol w:w="1335"/>
        <w:gridCol w:w="1200"/>
        <w:gridCol w:w="1365"/>
        <w:gridCol w:w="1178"/>
        <w:gridCol w:w="1222"/>
        <w:gridCol w:w="1361"/>
        <w:gridCol w:w="10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87" w:type="dxa"/>
            <w:gridSpan w:val="2"/>
            <w:tcBorders>
              <w:top w:val="single" w:color="000000" w:sz="8"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位号</w:t>
            </w:r>
          </w:p>
        </w:tc>
        <w:tc>
          <w:tcPr>
            <w:tcW w:w="2565" w:type="dxa"/>
            <w:gridSpan w:val="2"/>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18"/>
                <w:szCs w:val="18"/>
                <w:u w:val="none"/>
              </w:rPr>
            </w:pPr>
            <w:r>
              <w:rPr>
                <w:rStyle w:val="37"/>
                <w:rFonts w:ascii="宋体" w:hAnsi="宋体" w:eastAsia="宋体" w:cs="宋体"/>
                <w:sz w:val="18"/>
                <w:szCs w:val="18"/>
                <w:lang w:val="en-US" w:eastAsia="zh-CN" w:bidi="ar"/>
              </w:rPr>
              <w:t>071FV-1</w:t>
            </w:r>
            <w:r>
              <w:rPr>
                <w:rStyle w:val="37"/>
                <w:rFonts w:hint="eastAsia" w:cs="宋体"/>
                <w:sz w:val="18"/>
                <w:szCs w:val="18"/>
                <w:lang w:val="en-US" w:eastAsia="zh-CN" w:bidi="ar"/>
              </w:rPr>
              <w:t>1</w:t>
            </w:r>
            <w:r>
              <w:rPr>
                <w:rStyle w:val="37"/>
                <w:rFonts w:ascii="宋体" w:hAnsi="宋体" w:eastAsia="宋体" w:cs="宋体"/>
                <w:sz w:val="18"/>
                <w:szCs w:val="18"/>
                <w:lang w:val="en-US" w:eastAsia="zh-CN" w:bidi="ar"/>
              </w:rPr>
              <w:t>A</w:t>
            </w:r>
            <w:r>
              <w:rPr>
                <w:rStyle w:val="37"/>
                <w:rFonts w:hint="eastAsia" w:ascii="宋体" w:hAnsi="宋体" w:eastAsia="宋体" w:cs="宋体"/>
                <w:sz w:val="18"/>
                <w:szCs w:val="18"/>
                <w:lang w:val="en-US" w:eastAsia="zh-CN" w:bidi="ar"/>
              </w:rPr>
              <w:t>～B/</w:t>
            </w:r>
            <w:r>
              <w:rPr>
                <w:rStyle w:val="37"/>
                <w:rFonts w:ascii="宋体" w:hAnsi="宋体" w:eastAsia="宋体" w:cs="宋体"/>
                <w:sz w:val="18"/>
                <w:szCs w:val="18"/>
                <w:lang w:val="en-US" w:eastAsia="zh-CN" w:bidi="ar"/>
              </w:rPr>
              <w:t>071FV-14A</w:t>
            </w:r>
            <w:r>
              <w:rPr>
                <w:rStyle w:val="37"/>
                <w:rFonts w:hint="eastAsia" w:ascii="宋体" w:hAnsi="宋体" w:eastAsia="宋体" w:cs="宋体"/>
                <w:sz w:val="18"/>
                <w:szCs w:val="18"/>
                <w:lang w:val="en-US" w:eastAsia="zh-CN" w:bidi="ar"/>
              </w:rPr>
              <w:t>～</w:t>
            </w:r>
            <w:r>
              <w:rPr>
                <w:rStyle w:val="37"/>
                <w:rFonts w:ascii="宋体" w:hAnsi="宋体" w:eastAsia="宋体" w:cs="宋体"/>
                <w:sz w:val="18"/>
                <w:szCs w:val="18"/>
                <w:lang w:val="en-US" w:eastAsia="zh-CN" w:bidi="ar"/>
              </w:rPr>
              <w:t>B</w:t>
            </w:r>
          </w:p>
        </w:tc>
        <w:tc>
          <w:tcPr>
            <w:tcW w:w="2400" w:type="dxa"/>
            <w:gridSpan w:val="2"/>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连接形式</w:t>
            </w:r>
          </w:p>
        </w:tc>
        <w:tc>
          <w:tcPr>
            <w:tcW w:w="2430"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法兰型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87" w:type="dxa"/>
            <w:gridSpan w:val="2"/>
            <w:vMerge w:val="restar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用途</w:t>
            </w:r>
          </w:p>
        </w:tc>
        <w:tc>
          <w:tcPr>
            <w:tcW w:w="256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36"/>
                <w:sz w:val="18"/>
                <w:szCs w:val="18"/>
                <w:lang w:val="en-US" w:eastAsia="zh-CN" w:bidi="ar"/>
              </w:rPr>
              <w:t>供水泵出口水量调节</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法兰标准及等级</w:t>
            </w:r>
          </w:p>
        </w:tc>
        <w:tc>
          <w:tcPr>
            <w:tcW w:w="2430"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18"/>
                <w:szCs w:val="18"/>
                <w:u w:val="none"/>
              </w:rPr>
            </w:pPr>
            <w:r>
              <w:rPr>
                <w:rStyle w:val="37"/>
                <w:rFonts w:ascii="宋体" w:hAnsi="宋体" w:eastAsia="宋体" w:cs="宋体"/>
                <w:sz w:val="18"/>
                <w:szCs w:val="18"/>
                <w:lang w:val="en-US" w:eastAsia="zh-CN" w:bidi="ar"/>
              </w:rPr>
              <w:t>HG/T</w:t>
            </w:r>
            <w:r>
              <w:rPr>
                <w:rStyle w:val="37"/>
                <w:rFonts w:hint="eastAsia" w:cs="宋体"/>
                <w:sz w:val="18"/>
                <w:szCs w:val="18"/>
                <w:lang w:val="en-US" w:eastAsia="zh-CN" w:bidi="ar"/>
              </w:rPr>
              <w:t xml:space="preserve"> </w:t>
            </w:r>
            <w:r>
              <w:rPr>
                <w:rStyle w:val="37"/>
                <w:rFonts w:ascii="宋体" w:hAnsi="宋体" w:eastAsia="宋体" w:cs="宋体"/>
                <w:sz w:val="18"/>
                <w:szCs w:val="18"/>
                <w:lang w:val="en-US" w:eastAsia="zh-CN" w:bidi="ar"/>
              </w:rPr>
              <w:t>20592-2009</w:t>
            </w:r>
            <w:r>
              <w:rPr>
                <w:rStyle w:val="37"/>
                <w:rFonts w:hint="eastAsia" w:cs="宋体"/>
                <w:sz w:val="18"/>
                <w:szCs w:val="18"/>
                <w:lang w:val="en-US" w:eastAsia="zh-CN" w:bidi="ar"/>
              </w:rPr>
              <w:t>，</w:t>
            </w:r>
            <w:r>
              <w:rPr>
                <w:rStyle w:val="37"/>
                <w:rFonts w:ascii="宋体" w:hAnsi="宋体" w:eastAsia="宋体" w:cs="宋体"/>
                <w:sz w:val="18"/>
                <w:szCs w:val="18"/>
                <w:lang w:val="en-US" w:eastAsia="zh-CN" w:bidi="ar"/>
              </w:rPr>
              <w:t>PN16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87" w:type="dxa"/>
            <w:gridSpan w:val="2"/>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25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法兰尺寸及密封面</w:t>
            </w:r>
          </w:p>
        </w:tc>
        <w:tc>
          <w:tcPr>
            <w:tcW w:w="2430"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18"/>
                <w:szCs w:val="18"/>
                <w:u w:val="none"/>
              </w:rPr>
            </w:pPr>
            <w:r>
              <w:rPr>
                <w:rStyle w:val="37"/>
                <w:rFonts w:ascii="宋体" w:hAnsi="宋体" w:eastAsia="宋体" w:cs="宋体"/>
                <w:sz w:val="18"/>
                <w:szCs w:val="18"/>
                <w:lang w:val="en-US" w:eastAsia="zh-CN" w:bidi="ar"/>
              </w:rPr>
              <w:t>DN80</w:t>
            </w:r>
            <w:r>
              <w:rPr>
                <w:rStyle w:val="37"/>
                <w:rFonts w:hint="eastAsia" w:ascii="宋体" w:hAnsi="宋体" w:eastAsia="宋体" w:cs="宋体"/>
                <w:sz w:val="18"/>
                <w:szCs w:val="18"/>
                <w:lang w:val="en-US" w:eastAsia="zh-CN" w:bidi="ar"/>
              </w:rPr>
              <w:t>，</w:t>
            </w:r>
            <w:r>
              <w:rPr>
                <w:rStyle w:val="37"/>
                <w:rFonts w:ascii="宋体" w:hAnsi="宋体" w:eastAsia="宋体" w:cs="宋体"/>
                <w:sz w:val="18"/>
                <w:szCs w:val="18"/>
                <w:lang w:val="en-US" w:eastAsia="zh-CN" w:bidi="ar"/>
              </w:rPr>
              <w:t>RF</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87"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7"/>
                <w:rFonts w:ascii="宋体" w:hAnsi="宋体" w:eastAsia="宋体" w:cs="宋体"/>
                <w:sz w:val="18"/>
                <w:szCs w:val="18"/>
                <w:lang w:val="en-US" w:eastAsia="zh-CN" w:bidi="ar"/>
              </w:rPr>
              <w:t>P&amp;ID</w:t>
            </w:r>
            <w:r>
              <w:rPr>
                <w:rStyle w:val="36"/>
                <w:sz w:val="18"/>
                <w:szCs w:val="18"/>
                <w:lang w:val="en-US" w:eastAsia="zh-CN" w:bidi="ar"/>
              </w:rPr>
              <w:t>号</w:t>
            </w: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Style w:val="37"/>
                <w:rFonts w:ascii="宋体" w:hAnsi="宋体" w:eastAsia="宋体" w:cs="宋体"/>
                <w:sz w:val="18"/>
                <w:szCs w:val="18"/>
                <w:lang w:val="en-US" w:eastAsia="zh-CN" w:bidi="ar"/>
              </w:rPr>
              <w:t>21S21-07101-MM052-1</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法兰材质</w:t>
            </w:r>
          </w:p>
        </w:tc>
        <w:tc>
          <w:tcPr>
            <w:tcW w:w="2430"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18"/>
                <w:szCs w:val="18"/>
                <w:u w:val="none"/>
              </w:rPr>
            </w:pPr>
            <w:r>
              <w:rPr>
                <w:rStyle w:val="37"/>
                <w:rFonts w:ascii="宋体" w:hAnsi="宋体" w:eastAsia="宋体" w:cs="宋体"/>
                <w:sz w:val="18"/>
                <w:szCs w:val="18"/>
                <w:lang w:val="en-US" w:eastAsia="zh-CN" w:bidi="ar"/>
              </w:rPr>
              <w:t>WCB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87"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管道号</w:t>
            </w: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Arial" w:hAnsi="Arial" w:cs="Arial"/>
                <w:i w:val="0"/>
                <w:iCs w:val="0"/>
                <w:color w:val="000000"/>
                <w:sz w:val="18"/>
                <w:szCs w:val="18"/>
                <w:u w:val="none"/>
              </w:rPr>
            </w:pP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18"/>
                <w:szCs w:val="18"/>
                <w:u w:val="none"/>
              </w:rPr>
            </w:pPr>
            <w:r>
              <w:rPr>
                <w:rStyle w:val="36"/>
                <w:sz w:val="18"/>
                <w:szCs w:val="18"/>
                <w:lang w:val="en-US" w:eastAsia="zh-CN" w:bidi="ar"/>
              </w:rPr>
              <w:t>计算</w:t>
            </w:r>
            <w:r>
              <w:rPr>
                <w:rStyle w:val="37"/>
                <w:rFonts w:ascii="宋体" w:hAnsi="宋体" w:eastAsia="宋体" w:cs="宋体"/>
                <w:sz w:val="18"/>
                <w:szCs w:val="18"/>
                <w:lang w:val="en-US" w:eastAsia="zh-CN" w:bidi="ar"/>
              </w:rPr>
              <w:t>Cv</w:t>
            </w:r>
          </w:p>
        </w:tc>
        <w:tc>
          <w:tcPr>
            <w:tcW w:w="2430"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18"/>
                <w:szCs w:val="18"/>
                <w:u w:val="none"/>
              </w:rPr>
            </w:pPr>
            <w:r>
              <w:rPr>
                <w:rStyle w:val="37"/>
                <w:rFonts w:ascii="宋体" w:hAnsi="宋体" w:eastAsia="宋体" w:cs="宋体"/>
                <w:sz w:val="18"/>
                <w:szCs w:val="18"/>
                <w:lang w:val="en-US" w:eastAsia="zh-CN" w:bidi="ar"/>
              </w:rPr>
              <w:t>62.4/31.2/0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352"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管道尺寸</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管道材质</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Style w:val="37"/>
                <w:rFonts w:ascii="宋体" w:hAnsi="宋体" w:eastAsia="宋体" w:cs="宋体"/>
                <w:sz w:val="18"/>
                <w:szCs w:val="18"/>
                <w:lang w:val="en-US" w:eastAsia="zh-CN" w:bidi="ar"/>
              </w:rPr>
              <w:t>DN80</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36"/>
                <w:sz w:val="18"/>
                <w:szCs w:val="18"/>
                <w:lang w:val="en-US" w:eastAsia="zh-CN" w:bidi="ar"/>
              </w:rPr>
              <w:t>20#</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18"/>
                <w:szCs w:val="18"/>
                <w:u w:val="none"/>
              </w:rPr>
            </w:pPr>
            <w:r>
              <w:rPr>
                <w:rStyle w:val="36"/>
                <w:sz w:val="18"/>
                <w:szCs w:val="18"/>
                <w:lang w:val="en-US" w:eastAsia="zh-CN" w:bidi="ar"/>
              </w:rPr>
              <w:t>选择</w:t>
            </w:r>
            <w:r>
              <w:rPr>
                <w:rStyle w:val="37"/>
                <w:rFonts w:ascii="宋体" w:hAnsi="宋体" w:eastAsia="宋体" w:cs="宋体"/>
                <w:sz w:val="18"/>
                <w:szCs w:val="18"/>
                <w:lang w:val="en-US" w:eastAsia="zh-CN" w:bidi="ar"/>
              </w:rPr>
              <w:t>Cv</w:t>
            </w:r>
          </w:p>
        </w:tc>
        <w:tc>
          <w:tcPr>
            <w:tcW w:w="2430"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 w:hRule="atLeast"/>
        </w:trPr>
        <w:tc>
          <w:tcPr>
            <w:tcW w:w="5252" w:type="dxa"/>
            <w:gridSpan w:val="4"/>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36"/>
                <w:sz w:val="18"/>
                <w:szCs w:val="18"/>
                <w:lang w:val="en-US" w:eastAsia="zh-CN" w:bidi="ar"/>
              </w:rPr>
              <w:t>操作条件</w:t>
            </w:r>
          </w:p>
        </w:tc>
        <w:tc>
          <w:tcPr>
            <w:tcW w:w="4830"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36"/>
                <w:sz w:val="18"/>
                <w:szCs w:val="18"/>
                <w:lang w:val="en-US" w:eastAsia="zh-CN" w:bidi="ar"/>
              </w:rPr>
              <w:t>电动执行机构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 w:hRule="atLeast"/>
        </w:trPr>
        <w:tc>
          <w:tcPr>
            <w:tcW w:w="2687"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工艺介质</w:t>
            </w: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36"/>
                <w:sz w:val="18"/>
                <w:szCs w:val="18"/>
                <w:lang w:val="en-US" w:eastAsia="zh-CN" w:bidi="ar"/>
              </w:rPr>
              <w:t>水</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型号</w:t>
            </w:r>
          </w:p>
        </w:tc>
        <w:tc>
          <w:tcPr>
            <w:tcW w:w="2430"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分体式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 w:hRule="atLeast"/>
        </w:trPr>
        <w:tc>
          <w:tcPr>
            <w:tcW w:w="2687"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介质状态</w:t>
            </w: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36"/>
                <w:sz w:val="18"/>
                <w:szCs w:val="18"/>
                <w:lang w:val="en-US" w:eastAsia="zh-CN" w:bidi="ar"/>
              </w:rPr>
              <w:t>液体</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形式</w:t>
            </w:r>
          </w:p>
        </w:tc>
        <w:tc>
          <w:tcPr>
            <w:tcW w:w="2430"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智能多回转执行机构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 w:hRule="atLeast"/>
        </w:trPr>
        <w:tc>
          <w:tcPr>
            <w:tcW w:w="1352"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操作温度℃</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设计温度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36"/>
                <w:sz w:val="18"/>
                <w:szCs w:val="18"/>
                <w:lang w:val="en-US" w:eastAsia="zh-CN" w:bidi="ar"/>
              </w:rPr>
              <w:t>常温</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Arial" w:hAnsi="Arial" w:cs="Arial"/>
                <w:i w:val="0"/>
                <w:iCs w:val="0"/>
                <w:color w:val="000000"/>
                <w:sz w:val="18"/>
                <w:szCs w:val="18"/>
                <w:u w:val="none"/>
              </w:rPr>
            </w:pP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作用形式</w:t>
            </w:r>
          </w:p>
        </w:tc>
        <w:tc>
          <w:tcPr>
            <w:tcW w:w="2430" w:type="dxa"/>
            <w:gridSpan w:val="2"/>
            <w:tcBorders>
              <w:top w:val="single" w:color="000000" w:sz="4" w:space="0"/>
              <w:left w:val="single" w:color="000000" w:sz="4" w:space="0"/>
              <w:bottom w:val="single" w:color="000000" w:sz="4" w:space="0"/>
              <w:right w:val="single" w:color="000000" w:sz="8" w:space="0"/>
            </w:tcBorders>
            <w:shd w:val="clear" w:color="auto" w:fill="auto"/>
            <w:vAlign w:val="top"/>
          </w:tcPr>
          <w:p>
            <w:pPr>
              <w:jc w:val="left"/>
              <w:rPr>
                <w:rFonts w:hint="default" w:ascii="Arial" w:hAnsi="Arial" w:cs="Arial"/>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87"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18"/>
                <w:szCs w:val="18"/>
                <w:u w:val="none"/>
              </w:rPr>
            </w:pPr>
            <w:r>
              <w:rPr>
                <w:rStyle w:val="36"/>
                <w:sz w:val="18"/>
                <w:szCs w:val="18"/>
                <w:lang w:val="en-US" w:eastAsia="zh-CN" w:bidi="ar"/>
              </w:rPr>
              <w:t xml:space="preserve">阀前压力 </w:t>
            </w:r>
            <w:r>
              <w:rPr>
                <w:rStyle w:val="37"/>
                <w:rFonts w:ascii="宋体" w:hAnsi="宋体" w:eastAsia="宋体" w:cs="宋体"/>
                <w:sz w:val="18"/>
                <w:szCs w:val="18"/>
                <w:lang w:val="en-US" w:eastAsia="zh-CN" w:bidi="ar"/>
              </w:rPr>
              <w:t>Mpa(G)</w:t>
            </w: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cs="Times New Roman"/>
                <w:i w:val="0"/>
                <w:iCs w:val="0"/>
                <w:color w:val="000000"/>
                <w:sz w:val="18"/>
                <w:szCs w:val="18"/>
                <w:u w:val="none"/>
                <w:lang w:val="en-US"/>
              </w:rPr>
            </w:pPr>
            <w:r>
              <w:rPr>
                <w:rFonts w:hint="eastAsia" w:ascii="Times New Roman" w:hAnsi="Times New Roman" w:eastAsia="宋体" w:cs="Times New Roman"/>
                <w:i w:val="0"/>
                <w:iCs w:val="0"/>
                <w:color w:val="000000"/>
                <w:kern w:val="0"/>
                <w:sz w:val="18"/>
                <w:szCs w:val="18"/>
                <w:u w:val="none"/>
                <w:lang w:val="en-US" w:eastAsia="zh-CN" w:bidi="ar"/>
              </w:rPr>
              <w:t>1.35</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输入信号</w:t>
            </w:r>
          </w:p>
        </w:tc>
        <w:tc>
          <w:tcPr>
            <w:tcW w:w="2430"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18"/>
                <w:szCs w:val="18"/>
                <w:u w:val="none"/>
              </w:rPr>
            </w:pPr>
            <w:r>
              <w:rPr>
                <w:rStyle w:val="37"/>
                <w:rFonts w:ascii="宋体" w:hAnsi="宋体" w:eastAsia="宋体" w:cs="宋体"/>
                <w:sz w:val="18"/>
                <w:szCs w:val="18"/>
                <w:lang w:val="en-US" w:eastAsia="zh-CN" w:bidi="ar"/>
              </w:rPr>
              <w:t>4</w:t>
            </w:r>
            <w:r>
              <w:rPr>
                <w:rStyle w:val="36"/>
                <w:sz w:val="18"/>
                <w:szCs w:val="18"/>
                <w:lang w:val="en-US" w:eastAsia="zh-CN" w:bidi="ar"/>
              </w:rPr>
              <w:t>～</w:t>
            </w:r>
            <w:r>
              <w:rPr>
                <w:rStyle w:val="37"/>
                <w:rFonts w:ascii="宋体" w:hAnsi="宋体" w:eastAsia="宋体" w:cs="宋体"/>
                <w:sz w:val="18"/>
                <w:szCs w:val="18"/>
                <w:lang w:val="en-US" w:eastAsia="zh-CN" w:bidi="ar"/>
              </w:rPr>
              <w:t>20mADC+HART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87"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18"/>
                <w:szCs w:val="18"/>
                <w:u w:val="none"/>
              </w:rPr>
            </w:pPr>
            <w:r>
              <w:rPr>
                <w:rStyle w:val="36"/>
                <w:sz w:val="18"/>
                <w:szCs w:val="18"/>
                <w:lang w:val="en-US" w:eastAsia="zh-CN" w:bidi="ar"/>
              </w:rPr>
              <w:t xml:space="preserve">阀后压力 </w:t>
            </w:r>
            <w:r>
              <w:rPr>
                <w:rStyle w:val="37"/>
                <w:rFonts w:ascii="宋体" w:hAnsi="宋体" w:eastAsia="宋体" w:cs="宋体"/>
                <w:sz w:val="18"/>
                <w:szCs w:val="18"/>
                <w:lang w:val="en-US" w:eastAsia="zh-CN" w:bidi="ar"/>
              </w:rPr>
              <w:t>Mpa(G)</w:t>
            </w: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0.45 </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输出扭矩 Nm</w:t>
            </w:r>
          </w:p>
        </w:tc>
        <w:tc>
          <w:tcPr>
            <w:tcW w:w="2430" w:type="dxa"/>
            <w:gridSpan w:val="2"/>
            <w:tcBorders>
              <w:top w:val="single" w:color="000000" w:sz="4" w:space="0"/>
              <w:left w:val="single" w:color="000000" w:sz="4" w:space="0"/>
              <w:bottom w:val="single" w:color="000000" w:sz="4" w:space="0"/>
              <w:right w:val="single" w:color="000000" w:sz="8" w:space="0"/>
            </w:tcBorders>
            <w:shd w:val="clear" w:color="auto" w:fill="auto"/>
            <w:vAlign w:val="top"/>
          </w:tcPr>
          <w:p>
            <w:pPr>
              <w:jc w:val="left"/>
              <w:rPr>
                <w:rFonts w:hint="default" w:ascii="Arial" w:hAnsi="Arial" w:cs="Arial"/>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87"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18"/>
                <w:szCs w:val="18"/>
                <w:u w:val="none"/>
              </w:rPr>
            </w:pPr>
            <w:r>
              <w:rPr>
                <w:rStyle w:val="36"/>
                <w:sz w:val="18"/>
                <w:szCs w:val="18"/>
                <w:lang w:val="en-US" w:eastAsia="zh-CN" w:bidi="ar"/>
              </w:rPr>
              <w:t xml:space="preserve">最大关闭压差 </w:t>
            </w:r>
            <w:r>
              <w:rPr>
                <w:rStyle w:val="37"/>
                <w:rFonts w:ascii="宋体" w:hAnsi="宋体" w:eastAsia="宋体" w:cs="宋体"/>
                <w:sz w:val="18"/>
                <w:szCs w:val="18"/>
                <w:lang w:val="en-US" w:eastAsia="zh-CN" w:bidi="ar"/>
              </w:rPr>
              <w:t>Mpa</w:t>
            </w: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1.6 </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动作时间 s</w:t>
            </w:r>
          </w:p>
        </w:tc>
        <w:tc>
          <w:tcPr>
            <w:tcW w:w="2430" w:type="dxa"/>
            <w:gridSpan w:val="2"/>
            <w:tcBorders>
              <w:top w:val="single" w:color="000000" w:sz="4" w:space="0"/>
              <w:left w:val="single" w:color="000000" w:sz="4" w:space="0"/>
              <w:bottom w:val="single" w:color="000000" w:sz="4" w:space="0"/>
              <w:right w:val="single" w:color="000000" w:sz="8" w:space="0"/>
            </w:tcBorders>
            <w:shd w:val="clear" w:color="auto" w:fill="auto"/>
            <w:vAlign w:val="top"/>
          </w:tcPr>
          <w:p>
            <w:pPr>
              <w:jc w:val="left"/>
              <w:rPr>
                <w:rFonts w:hint="default" w:ascii="Arial" w:hAnsi="Arial" w:cs="Arial"/>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87"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最大流量</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160 </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Style w:val="37"/>
                <w:rFonts w:ascii="宋体" w:hAnsi="宋体" w:eastAsia="宋体" w:cs="宋体"/>
                <w:sz w:val="18"/>
                <w:szCs w:val="18"/>
                <w:lang w:val="en-US" w:eastAsia="zh-CN" w:bidi="ar"/>
              </w:rPr>
              <w:t>m3/h</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相对行程 mm</w:t>
            </w:r>
          </w:p>
        </w:tc>
        <w:tc>
          <w:tcPr>
            <w:tcW w:w="2430" w:type="dxa"/>
            <w:gridSpan w:val="2"/>
            <w:tcBorders>
              <w:top w:val="single" w:color="000000" w:sz="4" w:space="0"/>
              <w:left w:val="single" w:color="000000" w:sz="4" w:space="0"/>
              <w:bottom w:val="single" w:color="000000" w:sz="4" w:space="0"/>
              <w:right w:val="single" w:color="000000" w:sz="8" w:space="0"/>
            </w:tcBorders>
            <w:shd w:val="clear" w:color="auto" w:fill="auto"/>
            <w:vAlign w:val="top"/>
          </w:tcPr>
          <w:p>
            <w:pPr>
              <w:jc w:val="left"/>
              <w:rPr>
                <w:rFonts w:hint="default" w:ascii="Arial" w:hAnsi="Arial" w:cs="Arial"/>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87"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正常流量</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80 </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Style w:val="37"/>
                <w:rFonts w:ascii="宋体" w:hAnsi="宋体" w:eastAsia="宋体" w:cs="宋体"/>
                <w:sz w:val="18"/>
                <w:szCs w:val="18"/>
                <w:lang w:val="en-US" w:eastAsia="zh-CN" w:bidi="ar"/>
              </w:rPr>
              <w:t>m3/h</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手轮</w:t>
            </w:r>
          </w:p>
        </w:tc>
        <w:tc>
          <w:tcPr>
            <w:tcW w:w="2430"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87"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最小流量</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 </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Style w:val="37"/>
                <w:rFonts w:ascii="宋体" w:hAnsi="宋体" w:eastAsia="宋体" w:cs="宋体"/>
                <w:sz w:val="18"/>
                <w:szCs w:val="18"/>
                <w:lang w:val="en-US" w:eastAsia="zh-CN" w:bidi="ar"/>
              </w:rPr>
              <w:t>m3/h</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供电电压</w:t>
            </w:r>
          </w:p>
        </w:tc>
        <w:tc>
          <w:tcPr>
            <w:tcW w:w="2430"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18"/>
                <w:szCs w:val="18"/>
                <w:u w:val="none"/>
              </w:rPr>
            </w:pPr>
            <w:r>
              <w:rPr>
                <w:rStyle w:val="37"/>
                <w:rFonts w:ascii="宋体" w:hAnsi="宋体" w:eastAsia="宋体" w:cs="宋体"/>
                <w:sz w:val="18"/>
                <w:szCs w:val="18"/>
                <w:lang w:val="en-US" w:eastAsia="zh-CN" w:bidi="ar"/>
              </w:rPr>
              <w:t>380VAC</w:t>
            </w:r>
            <w:r>
              <w:rPr>
                <w:rStyle w:val="37"/>
                <w:rFonts w:hint="eastAsia" w:ascii="宋体" w:hAnsi="宋体" w:eastAsia="宋体" w:cs="宋体"/>
                <w:sz w:val="18"/>
                <w:szCs w:val="18"/>
                <w:lang w:val="en-US" w:eastAsia="zh-CN" w:bidi="ar"/>
              </w:rPr>
              <w:t>，</w:t>
            </w:r>
            <w:r>
              <w:rPr>
                <w:rStyle w:val="37"/>
                <w:rFonts w:ascii="宋体" w:hAnsi="宋体" w:eastAsia="宋体" w:cs="宋体"/>
                <w:sz w:val="18"/>
                <w:szCs w:val="18"/>
                <w:lang w:val="en-US" w:eastAsia="zh-CN" w:bidi="ar"/>
              </w:rPr>
              <w:t>50HZ</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87"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18"/>
                <w:szCs w:val="18"/>
                <w:u w:val="none"/>
              </w:rPr>
            </w:pPr>
            <w:r>
              <w:rPr>
                <w:rStyle w:val="36"/>
                <w:sz w:val="18"/>
                <w:szCs w:val="18"/>
                <w:lang w:val="en-US" w:eastAsia="zh-CN" w:bidi="ar"/>
              </w:rPr>
              <w:t xml:space="preserve">操作密度 </w:t>
            </w:r>
            <w:r>
              <w:rPr>
                <w:rStyle w:val="37"/>
                <w:rFonts w:ascii="宋体" w:hAnsi="宋体" w:eastAsia="宋体" w:cs="宋体"/>
                <w:sz w:val="18"/>
                <w:szCs w:val="18"/>
                <w:lang w:val="en-US" w:eastAsia="zh-CN" w:bidi="ar"/>
              </w:rPr>
              <w:t>kg/m3(</w:t>
            </w:r>
            <w:r>
              <w:rPr>
                <w:rStyle w:val="36"/>
                <w:sz w:val="18"/>
                <w:szCs w:val="18"/>
                <w:lang w:val="en-US" w:eastAsia="zh-CN" w:bidi="ar"/>
              </w:rPr>
              <w:t>气体密度</w:t>
            </w:r>
            <w:r>
              <w:rPr>
                <w:rStyle w:val="37"/>
                <w:rFonts w:ascii="宋体" w:hAnsi="宋体" w:eastAsia="宋体" w:cs="宋体"/>
                <w:sz w:val="18"/>
                <w:szCs w:val="18"/>
                <w:lang w:val="en-US" w:eastAsia="zh-CN" w:bidi="ar"/>
              </w:rPr>
              <w:t>kg/Nm3)</w:t>
            </w: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1000 </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电气接口尺寸</w:t>
            </w:r>
          </w:p>
        </w:tc>
        <w:tc>
          <w:tcPr>
            <w:tcW w:w="2430"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18"/>
                <w:szCs w:val="18"/>
                <w:u w:val="none"/>
              </w:rPr>
            </w:pPr>
            <w:r>
              <w:rPr>
                <w:rStyle w:val="37"/>
                <w:rFonts w:ascii="宋体" w:hAnsi="宋体" w:eastAsia="宋体" w:cs="宋体"/>
                <w:sz w:val="18"/>
                <w:szCs w:val="18"/>
                <w:lang w:val="en-US" w:eastAsia="zh-CN" w:bidi="ar"/>
              </w:rPr>
              <w:t>M40+M32+M25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87"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18"/>
                <w:szCs w:val="18"/>
                <w:u w:val="none"/>
              </w:rPr>
            </w:pPr>
            <w:r>
              <w:rPr>
                <w:rStyle w:val="36"/>
                <w:sz w:val="18"/>
                <w:szCs w:val="18"/>
                <w:lang w:val="en-US" w:eastAsia="zh-CN" w:bidi="ar"/>
              </w:rPr>
              <w:t xml:space="preserve">动力粘度 </w:t>
            </w:r>
            <w:r>
              <w:rPr>
                <w:rStyle w:val="37"/>
                <w:rFonts w:ascii="宋体" w:hAnsi="宋体" w:eastAsia="宋体" w:cs="宋体"/>
                <w:sz w:val="18"/>
                <w:szCs w:val="18"/>
                <w:lang w:val="en-US" w:eastAsia="zh-CN" w:bidi="ar"/>
              </w:rPr>
              <w:t>mPa.S</w:t>
            </w: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Arial" w:hAnsi="Arial" w:cs="Arial"/>
                <w:i w:val="0"/>
                <w:iCs w:val="0"/>
                <w:color w:val="000000"/>
                <w:sz w:val="18"/>
                <w:szCs w:val="18"/>
                <w:u w:val="none"/>
              </w:rPr>
            </w:pP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死区范围</w:t>
            </w:r>
          </w:p>
        </w:tc>
        <w:tc>
          <w:tcPr>
            <w:tcW w:w="2430"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7"/>
                <w:rFonts w:ascii="宋体" w:hAnsi="宋体" w:eastAsia="宋体" w:cs="宋体"/>
                <w:sz w:val="18"/>
                <w:szCs w:val="18"/>
                <w:lang w:val="en-US" w:eastAsia="zh-CN" w:bidi="ar"/>
              </w:rPr>
              <w:t>(0.4</w:t>
            </w:r>
            <w:r>
              <w:rPr>
                <w:rStyle w:val="37"/>
                <w:rFonts w:hint="eastAsia" w:ascii="宋体" w:hAnsi="宋体" w:eastAsia="宋体" w:cs="宋体"/>
                <w:sz w:val="18"/>
                <w:szCs w:val="18"/>
                <w:lang w:val="en-US" w:eastAsia="zh-CN" w:bidi="ar"/>
              </w:rPr>
              <w:t>～</w:t>
            </w:r>
            <w:r>
              <w:rPr>
                <w:rStyle w:val="37"/>
                <w:rFonts w:ascii="宋体" w:hAnsi="宋体" w:eastAsia="宋体" w:cs="宋体"/>
                <w:sz w:val="18"/>
                <w:szCs w:val="18"/>
                <w:lang w:val="en-US" w:eastAsia="zh-CN" w:bidi="ar"/>
              </w:rPr>
              <w:t>1.2)</w:t>
            </w:r>
            <w:r>
              <w:rPr>
                <w:rStyle w:val="36"/>
                <w:sz w:val="18"/>
                <w:szCs w:val="18"/>
                <w:lang w:val="en-US" w:eastAsia="zh-CN" w:bidi="ar"/>
              </w:rPr>
              <w:t>％</w:t>
            </w:r>
            <w:r>
              <w:rPr>
                <w:rStyle w:val="37"/>
                <w:rFonts w:ascii="宋体" w:hAnsi="宋体" w:eastAsia="宋体" w:cs="宋体"/>
                <w:sz w:val="18"/>
                <w:szCs w:val="18"/>
                <w:lang w:val="en-US" w:eastAsia="zh-CN" w:bidi="ar"/>
              </w:rPr>
              <w:t>FS</w:t>
            </w:r>
            <w:r>
              <w:rPr>
                <w:rStyle w:val="36"/>
                <w:sz w:val="18"/>
                <w:szCs w:val="18"/>
                <w:lang w:val="en-US" w:eastAsia="zh-CN" w:bidi="ar"/>
              </w:rPr>
              <w:t>可调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87"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18"/>
                <w:szCs w:val="18"/>
                <w:u w:val="none"/>
              </w:rPr>
            </w:pPr>
            <w:r>
              <w:rPr>
                <w:rStyle w:val="36"/>
                <w:sz w:val="18"/>
                <w:szCs w:val="18"/>
                <w:lang w:val="en-US" w:eastAsia="zh-CN" w:bidi="ar"/>
              </w:rPr>
              <w:t xml:space="preserve">标准密度 </w:t>
            </w:r>
            <w:r>
              <w:rPr>
                <w:rStyle w:val="37"/>
                <w:rFonts w:ascii="宋体" w:hAnsi="宋体" w:eastAsia="宋体" w:cs="宋体"/>
                <w:sz w:val="18"/>
                <w:szCs w:val="18"/>
                <w:lang w:val="en-US" w:eastAsia="zh-CN" w:bidi="ar"/>
              </w:rPr>
              <w:t>kg/Nm3</w:t>
            </w: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Arial" w:hAnsi="Arial" w:cs="Arial"/>
                <w:i w:val="0"/>
                <w:iCs w:val="0"/>
                <w:color w:val="000000"/>
                <w:sz w:val="18"/>
                <w:szCs w:val="18"/>
                <w:u w:val="none"/>
              </w:rPr>
            </w:pP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基本误差</w:t>
            </w:r>
          </w:p>
        </w:tc>
        <w:tc>
          <w:tcPr>
            <w:tcW w:w="2430"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18"/>
                <w:szCs w:val="18"/>
                <w:u w:val="none"/>
              </w:rPr>
            </w:pPr>
            <w:r>
              <w:rPr>
                <w:rStyle w:val="37"/>
                <w:rFonts w:ascii="宋体" w:hAnsi="宋体" w:eastAsia="宋体" w:cs="宋体"/>
                <w:sz w:val="18"/>
                <w:szCs w:val="18"/>
                <w:lang w:val="en-US" w:eastAsia="zh-CN" w:bidi="ar"/>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87"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压缩系数</w:t>
            </w: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Arial" w:hAnsi="Arial" w:cs="Arial"/>
                <w:i w:val="0"/>
                <w:iCs w:val="0"/>
                <w:color w:val="000000"/>
                <w:sz w:val="18"/>
                <w:szCs w:val="18"/>
                <w:u w:val="none"/>
              </w:rPr>
            </w:pP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回差</w:t>
            </w:r>
          </w:p>
        </w:tc>
        <w:tc>
          <w:tcPr>
            <w:tcW w:w="2430"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18"/>
                <w:szCs w:val="18"/>
                <w:u w:val="none"/>
              </w:rPr>
            </w:pPr>
            <w:r>
              <w:rPr>
                <w:rStyle w:val="37"/>
                <w:rFonts w:ascii="宋体" w:hAnsi="宋体" w:eastAsia="宋体" w:cs="宋体"/>
                <w:sz w:val="18"/>
                <w:szCs w:val="18"/>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 w:hRule="atLeast"/>
        </w:trPr>
        <w:tc>
          <w:tcPr>
            <w:tcW w:w="2687"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汽化压力</w:t>
            </w: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Arial" w:hAnsi="Arial" w:cs="Arial"/>
                <w:i w:val="0"/>
                <w:iCs w:val="0"/>
                <w:color w:val="000000"/>
                <w:sz w:val="18"/>
                <w:szCs w:val="18"/>
                <w:u w:val="none"/>
              </w:rPr>
            </w:pP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信号故障阀位置</w:t>
            </w:r>
          </w:p>
        </w:tc>
        <w:tc>
          <w:tcPr>
            <w:tcW w:w="2430"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保位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 w:hRule="atLeast"/>
        </w:trPr>
        <w:tc>
          <w:tcPr>
            <w:tcW w:w="2687"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临界压力</w:t>
            </w: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Arial" w:hAnsi="Arial" w:cs="Arial"/>
                <w:i w:val="0"/>
                <w:iCs w:val="0"/>
                <w:color w:val="000000"/>
                <w:sz w:val="18"/>
                <w:szCs w:val="18"/>
                <w:u w:val="none"/>
              </w:rPr>
            </w:pP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电源故障阀位置</w:t>
            </w:r>
          </w:p>
        </w:tc>
        <w:tc>
          <w:tcPr>
            <w:tcW w:w="2430"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保位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87"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18"/>
                <w:szCs w:val="18"/>
                <w:u w:val="none"/>
              </w:rPr>
            </w:pPr>
            <w:r>
              <w:rPr>
                <w:rStyle w:val="36"/>
                <w:sz w:val="18"/>
                <w:szCs w:val="18"/>
                <w:lang w:val="en-US" w:eastAsia="zh-CN" w:bidi="ar"/>
              </w:rPr>
              <w:t xml:space="preserve">噪音等级 </w:t>
            </w:r>
            <w:r>
              <w:rPr>
                <w:rStyle w:val="37"/>
                <w:rFonts w:ascii="宋体" w:hAnsi="宋体" w:eastAsia="宋体" w:cs="宋体"/>
                <w:sz w:val="18"/>
                <w:szCs w:val="18"/>
                <w:lang w:val="en-US" w:eastAsia="zh-CN" w:bidi="ar"/>
              </w:rPr>
              <w:t>dBA</w:t>
            </w: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85 </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防护等级</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防爆等级</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18"/>
                <w:szCs w:val="18"/>
                <w:u w:val="none"/>
                <w:lang w:val="en-US"/>
              </w:rPr>
            </w:pPr>
            <w:r>
              <w:rPr>
                <w:rStyle w:val="37"/>
                <w:rFonts w:hint="eastAsia" w:cs="宋体"/>
                <w:sz w:val="18"/>
                <w:szCs w:val="18"/>
                <w:lang w:val="en-US" w:eastAsia="zh-CN" w:bidi="ar"/>
              </w:rPr>
              <w:t>不低于</w:t>
            </w:r>
            <w:r>
              <w:rPr>
                <w:rStyle w:val="37"/>
                <w:rFonts w:ascii="宋体" w:hAnsi="宋体" w:eastAsia="宋体" w:cs="宋体"/>
                <w:sz w:val="18"/>
                <w:szCs w:val="18"/>
                <w:lang w:val="en-US" w:eastAsia="zh-CN" w:bidi="ar"/>
              </w:rPr>
              <w:t>IP6</w:t>
            </w:r>
            <w:r>
              <w:rPr>
                <w:rStyle w:val="37"/>
                <w:rFonts w:hint="eastAsia" w:cs="宋体"/>
                <w:sz w:val="18"/>
                <w:szCs w:val="18"/>
                <w:lang w:val="en-US" w:eastAsia="zh-CN" w:bidi="ar"/>
              </w:rPr>
              <w:t>5</w:t>
            </w:r>
          </w:p>
        </w:tc>
        <w:tc>
          <w:tcPr>
            <w:tcW w:w="1069" w:type="dxa"/>
            <w:tcBorders>
              <w:top w:val="single" w:color="000000" w:sz="4" w:space="0"/>
              <w:left w:val="single" w:color="000000" w:sz="4" w:space="0"/>
              <w:bottom w:val="single" w:color="000000" w:sz="4" w:space="0"/>
              <w:right w:val="single" w:color="000000" w:sz="8" w:space="0"/>
            </w:tcBorders>
            <w:shd w:val="clear" w:color="auto" w:fill="auto"/>
            <w:vAlign w:val="top"/>
          </w:tcPr>
          <w:p>
            <w:pPr>
              <w:jc w:val="left"/>
              <w:rPr>
                <w:rFonts w:hint="default" w:ascii="Arial" w:hAnsi="Arial" w:eastAsia="宋体" w:cs="Arial"/>
                <w:i w:val="0"/>
                <w:iCs w:val="0"/>
                <w:color w:val="000000"/>
                <w:sz w:val="18"/>
                <w:szCs w:val="18"/>
                <w:u w:val="none"/>
                <w:lang w:val="en-US" w:eastAsia="zh-CN"/>
              </w:rPr>
            </w:pPr>
            <w:r>
              <w:rPr>
                <w:rFonts w:hint="eastAsia" w:ascii="Arial" w:hAnsi="Arial" w:cs="Arial"/>
                <w:i w:val="0"/>
                <w:iCs w:val="0"/>
                <w:color w:val="000000"/>
                <w:sz w:val="18"/>
                <w:szCs w:val="18"/>
                <w:u w:val="none"/>
                <w:lang w:val="en-US" w:eastAsia="zh-CN"/>
              </w:rPr>
              <w:t>非防爆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87"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电源故障时阀位置</w:t>
            </w: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Style w:val="37"/>
                <w:rFonts w:ascii="宋体" w:hAnsi="宋体" w:eastAsia="宋体" w:cs="宋体"/>
                <w:sz w:val="18"/>
                <w:szCs w:val="18"/>
                <w:lang w:val="en-US" w:eastAsia="zh-CN" w:bidi="ar"/>
              </w:rPr>
              <w:t>FL</w:t>
            </w:r>
          </w:p>
        </w:tc>
        <w:tc>
          <w:tcPr>
            <w:tcW w:w="4830"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36"/>
                <w:sz w:val="18"/>
                <w:szCs w:val="18"/>
                <w:lang w:val="en-US" w:eastAsia="zh-CN" w:bidi="ar"/>
              </w:rPr>
              <w:t>位置传感器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 w:hRule="atLeast"/>
        </w:trPr>
        <w:tc>
          <w:tcPr>
            <w:tcW w:w="2687"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防爆区域划分</w:t>
            </w: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Arial" w:hAnsi="Arial" w:cs="Arial"/>
                <w:i w:val="0"/>
                <w:iCs w:val="0"/>
                <w:color w:val="000000"/>
                <w:sz w:val="18"/>
                <w:szCs w:val="18"/>
                <w:u w:val="none"/>
              </w:rPr>
            </w:pP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型号</w:t>
            </w:r>
          </w:p>
        </w:tc>
        <w:tc>
          <w:tcPr>
            <w:tcW w:w="2430" w:type="dxa"/>
            <w:gridSpan w:val="2"/>
            <w:tcBorders>
              <w:top w:val="single" w:color="000000" w:sz="4" w:space="0"/>
              <w:left w:val="single" w:color="000000" w:sz="4" w:space="0"/>
              <w:bottom w:val="single" w:color="000000" w:sz="4" w:space="0"/>
              <w:right w:val="single" w:color="000000" w:sz="8" w:space="0"/>
            </w:tcBorders>
            <w:shd w:val="clear" w:color="auto" w:fill="auto"/>
            <w:vAlign w:val="top"/>
          </w:tcPr>
          <w:p>
            <w:pPr>
              <w:jc w:val="left"/>
              <w:rPr>
                <w:rFonts w:hint="default" w:ascii="Arial" w:hAnsi="Arial" w:cs="Arial"/>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 w:hRule="atLeast"/>
        </w:trPr>
        <w:tc>
          <w:tcPr>
            <w:tcW w:w="2687"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环境温度℃</w:t>
            </w: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Arial" w:hAnsi="Arial" w:cs="Arial"/>
                <w:i w:val="0"/>
                <w:iCs w:val="0"/>
                <w:color w:val="000000"/>
                <w:sz w:val="18"/>
                <w:szCs w:val="18"/>
                <w:u w:val="none"/>
              </w:rPr>
            </w:pP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形式</w:t>
            </w:r>
          </w:p>
        </w:tc>
        <w:tc>
          <w:tcPr>
            <w:tcW w:w="2430" w:type="dxa"/>
            <w:gridSpan w:val="2"/>
            <w:tcBorders>
              <w:top w:val="single" w:color="000000" w:sz="4" w:space="0"/>
              <w:left w:val="single" w:color="000000" w:sz="4" w:space="0"/>
              <w:bottom w:val="single" w:color="000000" w:sz="4" w:space="0"/>
              <w:right w:val="single" w:color="000000" w:sz="8" w:space="0"/>
            </w:tcBorders>
            <w:shd w:val="clear" w:color="auto" w:fill="auto"/>
            <w:vAlign w:val="top"/>
          </w:tcPr>
          <w:p>
            <w:pPr>
              <w:jc w:val="left"/>
              <w:rPr>
                <w:rFonts w:hint="default" w:ascii="Arial" w:hAnsi="Arial" w:cs="Arial"/>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 w:hRule="atLeast"/>
        </w:trPr>
        <w:tc>
          <w:tcPr>
            <w:tcW w:w="5252" w:type="dxa"/>
            <w:gridSpan w:val="4"/>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36"/>
                <w:sz w:val="18"/>
                <w:szCs w:val="18"/>
                <w:lang w:val="en-US" w:eastAsia="zh-CN" w:bidi="ar"/>
              </w:rPr>
              <w:t>控制阀规格</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供电电压</w:t>
            </w:r>
          </w:p>
        </w:tc>
        <w:tc>
          <w:tcPr>
            <w:tcW w:w="2430" w:type="dxa"/>
            <w:gridSpan w:val="2"/>
            <w:tcBorders>
              <w:top w:val="single" w:color="000000" w:sz="4" w:space="0"/>
              <w:left w:val="single" w:color="000000" w:sz="4" w:space="0"/>
              <w:bottom w:val="single" w:color="000000" w:sz="4" w:space="0"/>
              <w:right w:val="single" w:color="000000" w:sz="8" w:space="0"/>
            </w:tcBorders>
            <w:shd w:val="clear" w:color="auto" w:fill="auto"/>
            <w:vAlign w:val="top"/>
          </w:tcPr>
          <w:p>
            <w:pPr>
              <w:jc w:val="left"/>
              <w:rPr>
                <w:rFonts w:hint="default" w:ascii="Arial" w:hAnsi="Arial" w:cs="Arial"/>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87"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阀型号</w:t>
            </w: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Arial" w:hAnsi="Arial" w:cs="Arial"/>
                <w:i w:val="0"/>
                <w:iCs w:val="0"/>
                <w:color w:val="000000"/>
                <w:sz w:val="18"/>
                <w:szCs w:val="18"/>
                <w:u w:val="none"/>
              </w:rPr>
            </w:pP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输出信号</w:t>
            </w:r>
          </w:p>
        </w:tc>
        <w:tc>
          <w:tcPr>
            <w:tcW w:w="2430"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18"/>
                <w:szCs w:val="18"/>
                <w:u w:val="none"/>
              </w:rPr>
            </w:pPr>
            <w:r>
              <w:rPr>
                <w:rStyle w:val="37"/>
                <w:rFonts w:ascii="宋体" w:hAnsi="宋体" w:eastAsia="宋体" w:cs="宋体"/>
                <w:sz w:val="18"/>
                <w:szCs w:val="18"/>
                <w:lang w:val="en-US" w:eastAsia="zh-CN" w:bidi="ar"/>
              </w:rPr>
              <w:t>4</w:t>
            </w:r>
            <w:r>
              <w:rPr>
                <w:rStyle w:val="36"/>
                <w:sz w:val="18"/>
                <w:szCs w:val="18"/>
                <w:lang w:val="en-US" w:eastAsia="zh-CN" w:bidi="ar"/>
              </w:rPr>
              <w:t>～</w:t>
            </w:r>
            <w:r>
              <w:rPr>
                <w:rStyle w:val="37"/>
                <w:rFonts w:ascii="宋体" w:hAnsi="宋体" w:eastAsia="宋体" w:cs="宋体"/>
                <w:sz w:val="18"/>
                <w:szCs w:val="18"/>
                <w:lang w:val="en-US" w:eastAsia="zh-CN" w:bidi="ar"/>
              </w:rPr>
              <w:t>20mADC+HART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87"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阀形式</w:t>
            </w: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37"/>
                <w:rFonts w:ascii="宋体" w:hAnsi="宋体" w:eastAsia="宋体" w:cs="宋体"/>
                <w:sz w:val="18"/>
                <w:szCs w:val="18"/>
                <w:lang w:val="en-US" w:eastAsia="zh-CN" w:bidi="ar"/>
              </w:rPr>
              <w:t>V</w:t>
            </w:r>
            <w:r>
              <w:rPr>
                <w:rStyle w:val="36"/>
                <w:sz w:val="18"/>
                <w:szCs w:val="18"/>
                <w:lang w:val="en-US" w:eastAsia="zh-CN" w:bidi="ar"/>
              </w:rPr>
              <w:t>型球阀</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电气接口尺寸</w:t>
            </w:r>
          </w:p>
        </w:tc>
        <w:tc>
          <w:tcPr>
            <w:tcW w:w="2430"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18"/>
                <w:szCs w:val="18"/>
                <w:u w:val="none"/>
              </w:rPr>
            </w:pPr>
            <w:r>
              <w:rPr>
                <w:rStyle w:val="37"/>
                <w:rFonts w:ascii="宋体" w:hAnsi="宋体" w:eastAsia="宋体" w:cs="宋体"/>
                <w:sz w:val="18"/>
                <w:szCs w:val="18"/>
                <w:lang w:val="en-US" w:eastAsia="zh-CN" w:bidi="ar"/>
              </w:rPr>
              <w:t>1/2"NPT(F)</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87"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公称直径</w:t>
            </w:r>
            <w:r>
              <w:rPr>
                <w:rStyle w:val="37"/>
                <w:rFonts w:ascii="宋体" w:hAnsi="宋体" w:eastAsia="宋体" w:cs="宋体"/>
                <w:sz w:val="18"/>
                <w:szCs w:val="18"/>
                <w:lang w:val="en-US" w:eastAsia="zh-CN" w:bidi="ar"/>
              </w:rPr>
              <w:t>/</w:t>
            </w:r>
            <w:r>
              <w:rPr>
                <w:rStyle w:val="36"/>
                <w:sz w:val="18"/>
                <w:szCs w:val="18"/>
                <w:lang w:val="en-US" w:eastAsia="zh-CN" w:bidi="ar"/>
              </w:rPr>
              <w:t>阀座直径</w:t>
            </w: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Style w:val="37"/>
                <w:rFonts w:ascii="宋体" w:hAnsi="宋体" w:eastAsia="宋体" w:cs="宋体"/>
                <w:sz w:val="18"/>
                <w:szCs w:val="18"/>
                <w:lang w:val="en-US" w:eastAsia="zh-CN" w:bidi="ar"/>
              </w:rPr>
              <w:t>DN80</w:t>
            </w:r>
          </w:p>
        </w:tc>
        <w:tc>
          <w:tcPr>
            <w:tcW w:w="4830"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36"/>
                <w:sz w:val="18"/>
                <w:szCs w:val="18"/>
                <w:lang w:val="en-US" w:eastAsia="zh-CN" w:bidi="ar"/>
              </w:rPr>
              <w:t>附件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 w:hRule="atLeast"/>
        </w:trPr>
        <w:tc>
          <w:tcPr>
            <w:tcW w:w="2687"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流量特性</w:t>
            </w: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Style w:val="36"/>
                <w:sz w:val="18"/>
                <w:szCs w:val="18"/>
                <w:lang w:val="en-US" w:eastAsia="zh-CN" w:bidi="ar"/>
              </w:rPr>
              <w:t>近似等百分</w:t>
            </w:r>
            <w:r>
              <w:rPr>
                <w:rStyle w:val="36"/>
                <w:rFonts w:hint="eastAsia"/>
                <w:sz w:val="18"/>
                <w:szCs w:val="18"/>
                <w:lang w:val="en-US" w:eastAsia="zh-CN" w:bidi="ar"/>
              </w:rPr>
              <w:t>比</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限位开关</w:t>
            </w:r>
          </w:p>
        </w:tc>
        <w:tc>
          <w:tcPr>
            <w:tcW w:w="2430" w:type="dxa"/>
            <w:gridSpan w:val="2"/>
            <w:tcBorders>
              <w:top w:val="single" w:color="000000" w:sz="4" w:space="0"/>
              <w:left w:val="single" w:color="000000" w:sz="4" w:space="0"/>
              <w:bottom w:val="single" w:color="000000" w:sz="4" w:space="0"/>
              <w:right w:val="single" w:color="000000" w:sz="8" w:space="0"/>
            </w:tcBorders>
            <w:shd w:val="clear" w:color="auto" w:fill="auto"/>
            <w:vAlign w:val="top"/>
          </w:tcPr>
          <w:p>
            <w:pPr>
              <w:jc w:val="left"/>
              <w:rPr>
                <w:rFonts w:hint="default" w:ascii="Arial" w:hAnsi="Arial" w:cs="Arial"/>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87"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流开</w:t>
            </w:r>
            <w:r>
              <w:rPr>
                <w:rStyle w:val="37"/>
                <w:rFonts w:ascii="宋体" w:hAnsi="宋体" w:eastAsia="宋体" w:cs="宋体"/>
                <w:sz w:val="18"/>
                <w:szCs w:val="18"/>
                <w:lang w:val="en-US" w:eastAsia="zh-CN" w:bidi="ar"/>
              </w:rPr>
              <w:t>/</w:t>
            </w:r>
            <w:r>
              <w:rPr>
                <w:rStyle w:val="36"/>
                <w:sz w:val="18"/>
                <w:szCs w:val="18"/>
                <w:lang w:val="en-US" w:eastAsia="zh-CN" w:bidi="ar"/>
              </w:rPr>
              <w:t>流关</w:t>
            </w: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36"/>
                <w:sz w:val="18"/>
                <w:szCs w:val="18"/>
                <w:lang w:val="en-US" w:eastAsia="zh-CN" w:bidi="ar"/>
              </w:rPr>
              <w:t>流开</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扭矩开关</w:t>
            </w:r>
          </w:p>
        </w:tc>
        <w:tc>
          <w:tcPr>
            <w:tcW w:w="2430" w:type="dxa"/>
            <w:gridSpan w:val="2"/>
            <w:tcBorders>
              <w:top w:val="single" w:color="000000" w:sz="4" w:space="0"/>
              <w:left w:val="single" w:color="000000" w:sz="4" w:space="0"/>
              <w:bottom w:val="single" w:color="000000" w:sz="4" w:space="0"/>
              <w:right w:val="single" w:color="000000" w:sz="8" w:space="0"/>
            </w:tcBorders>
            <w:shd w:val="clear" w:color="auto" w:fill="auto"/>
            <w:vAlign w:val="top"/>
          </w:tcPr>
          <w:p>
            <w:pPr>
              <w:jc w:val="left"/>
              <w:rPr>
                <w:rFonts w:hint="default" w:ascii="Arial" w:hAnsi="Arial" w:cs="Arial"/>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87"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i w:val="0"/>
                <w:iCs w:val="0"/>
                <w:color w:val="000000"/>
                <w:sz w:val="18"/>
                <w:szCs w:val="18"/>
                <w:u w:val="none"/>
              </w:rPr>
            </w:pPr>
            <w:r>
              <w:rPr>
                <w:rStyle w:val="36"/>
                <w:sz w:val="18"/>
                <w:szCs w:val="18"/>
                <w:lang w:val="en-US" w:eastAsia="zh-CN" w:bidi="ar"/>
              </w:rPr>
              <w:t xml:space="preserve">最大允许压差 </w:t>
            </w:r>
            <w:r>
              <w:rPr>
                <w:rStyle w:val="37"/>
                <w:rFonts w:ascii="宋体" w:hAnsi="宋体" w:eastAsia="宋体" w:cs="宋体"/>
                <w:sz w:val="18"/>
                <w:szCs w:val="18"/>
                <w:lang w:val="en-US" w:eastAsia="zh-CN" w:bidi="ar"/>
              </w:rPr>
              <w:t>Mpa</w:t>
            </w: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Arial" w:hAnsi="Arial" w:cs="Arial"/>
                <w:i w:val="0"/>
                <w:iCs w:val="0"/>
                <w:color w:val="000000"/>
                <w:sz w:val="18"/>
                <w:szCs w:val="18"/>
                <w:u w:val="none"/>
              </w:rPr>
            </w:pP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热保护</w:t>
            </w:r>
          </w:p>
        </w:tc>
        <w:tc>
          <w:tcPr>
            <w:tcW w:w="2430" w:type="dxa"/>
            <w:gridSpan w:val="2"/>
            <w:tcBorders>
              <w:top w:val="single" w:color="000000" w:sz="4" w:space="0"/>
              <w:left w:val="single" w:color="000000" w:sz="4" w:space="0"/>
              <w:bottom w:val="single" w:color="000000" w:sz="4" w:space="0"/>
              <w:right w:val="single" w:color="000000" w:sz="8" w:space="0"/>
            </w:tcBorders>
            <w:shd w:val="clear" w:color="auto" w:fill="auto"/>
            <w:vAlign w:val="top"/>
          </w:tcPr>
          <w:p>
            <w:pPr>
              <w:jc w:val="left"/>
              <w:rPr>
                <w:rFonts w:hint="default" w:ascii="Arial" w:hAnsi="Arial" w:cs="Arial"/>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687"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泄露等级</w:t>
            </w: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Style w:val="37"/>
                <w:rFonts w:ascii="宋体" w:hAnsi="宋体" w:eastAsia="宋体" w:cs="宋体"/>
                <w:sz w:val="18"/>
                <w:szCs w:val="18"/>
                <w:lang w:val="en-US" w:eastAsia="zh-CN" w:bidi="ar"/>
              </w:rPr>
              <w:t>ANSI/FCI 70-2</w:t>
            </w:r>
            <w:r>
              <w:rPr>
                <w:rStyle w:val="37"/>
                <w:rFonts w:hint="eastAsia" w:ascii="宋体" w:hAnsi="宋体" w:eastAsia="宋体" w:cs="宋体"/>
                <w:sz w:val="18"/>
                <w:szCs w:val="18"/>
                <w:lang w:val="en-US" w:eastAsia="zh-CN" w:bidi="ar"/>
              </w:rPr>
              <w:t>：</w:t>
            </w:r>
            <w:r>
              <w:rPr>
                <w:rStyle w:val="37"/>
                <w:rFonts w:hint="eastAsia" w:ascii="宋体" w:hAnsi="宋体" w:eastAsia="宋体" w:cs="宋体"/>
                <w:color w:val="auto"/>
                <w:sz w:val="18"/>
                <w:szCs w:val="18"/>
                <w:lang w:val="en-US" w:eastAsia="zh-CN" w:bidi="ar"/>
              </w:rPr>
              <w:t>Ⅳ</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过载保护</w:t>
            </w:r>
          </w:p>
        </w:tc>
        <w:tc>
          <w:tcPr>
            <w:tcW w:w="2430" w:type="dxa"/>
            <w:gridSpan w:val="2"/>
            <w:tcBorders>
              <w:top w:val="single" w:color="000000" w:sz="4" w:space="0"/>
              <w:left w:val="single" w:color="000000" w:sz="4" w:space="0"/>
              <w:bottom w:val="single" w:color="000000" w:sz="4" w:space="0"/>
              <w:right w:val="single" w:color="000000" w:sz="8" w:space="0"/>
            </w:tcBorders>
            <w:shd w:val="clear" w:color="auto" w:fill="auto"/>
            <w:vAlign w:val="top"/>
          </w:tcPr>
          <w:p>
            <w:pPr>
              <w:jc w:val="left"/>
              <w:rPr>
                <w:rFonts w:hint="default" w:ascii="Arial" w:hAnsi="Arial" w:cs="Arial"/>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687"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阀体及上阀盖材质</w:t>
            </w: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Style w:val="37"/>
                <w:rFonts w:ascii="宋体" w:hAnsi="宋体" w:eastAsia="宋体" w:cs="宋体"/>
                <w:sz w:val="18"/>
                <w:szCs w:val="18"/>
                <w:lang w:val="en-US" w:eastAsia="zh-CN" w:bidi="ar"/>
              </w:rPr>
              <w:t>WCB</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制造厂</w:t>
            </w:r>
          </w:p>
        </w:tc>
        <w:tc>
          <w:tcPr>
            <w:tcW w:w="2430" w:type="dxa"/>
            <w:gridSpan w:val="2"/>
            <w:tcBorders>
              <w:top w:val="single" w:color="000000" w:sz="4" w:space="0"/>
              <w:left w:val="single" w:color="000000" w:sz="4" w:space="0"/>
              <w:bottom w:val="single" w:color="000000" w:sz="4" w:space="0"/>
              <w:right w:val="single" w:color="000000" w:sz="8" w:space="0"/>
            </w:tcBorders>
            <w:shd w:val="clear" w:color="auto" w:fill="auto"/>
            <w:vAlign w:val="top"/>
          </w:tcPr>
          <w:p>
            <w:pPr>
              <w:jc w:val="left"/>
              <w:rPr>
                <w:rFonts w:hint="default" w:ascii="Arial" w:hAnsi="Arial" w:cs="Arial"/>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687"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default" w:ascii="宋体" w:hAnsi="宋体" w:eastAsia="宋体" w:cs="Times New Roman"/>
                <w:color w:val="auto"/>
                <w:sz w:val="22"/>
                <w:szCs w:val="22"/>
              </w:rPr>
              <w:t>★</w:t>
            </w:r>
            <w:r>
              <w:rPr>
                <w:rStyle w:val="36"/>
                <w:sz w:val="18"/>
                <w:szCs w:val="18"/>
                <w:lang w:val="en-US" w:eastAsia="zh-CN" w:bidi="ar"/>
              </w:rPr>
              <w:t>阀芯</w:t>
            </w:r>
            <w:r>
              <w:rPr>
                <w:rStyle w:val="37"/>
                <w:rFonts w:ascii="宋体" w:hAnsi="宋体" w:eastAsia="宋体" w:cs="宋体"/>
                <w:sz w:val="18"/>
                <w:szCs w:val="18"/>
                <w:lang w:val="en-US" w:eastAsia="zh-CN" w:bidi="ar"/>
              </w:rPr>
              <w:t>/</w:t>
            </w:r>
            <w:r>
              <w:rPr>
                <w:rStyle w:val="36"/>
                <w:sz w:val="18"/>
                <w:szCs w:val="18"/>
                <w:lang w:val="en-US" w:eastAsia="zh-CN" w:bidi="ar"/>
              </w:rPr>
              <w:t>阀板形式</w:t>
            </w: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37"/>
                <w:rFonts w:ascii="宋体" w:hAnsi="宋体" w:eastAsia="宋体" w:cs="宋体"/>
                <w:sz w:val="18"/>
                <w:szCs w:val="18"/>
                <w:lang w:val="en-US" w:eastAsia="zh-CN" w:bidi="ar"/>
              </w:rPr>
              <w:t>V</w:t>
            </w:r>
            <w:r>
              <w:rPr>
                <w:rStyle w:val="36"/>
                <w:sz w:val="18"/>
                <w:szCs w:val="18"/>
                <w:lang w:val="en-US" w:eastAsia="zh-CN" w:bidi="ar"/>
              </w:rPr>
              <w:t>型球芯</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备注</w:t>
            </w:r>
          </w:p>
        </w:tc>
        <w:tc>
          <w:tcPr>
            <w:tcW w:w="2430"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带过矩、缺相及相序保护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687"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阀芯</w:t>
            </w:r>
            <w:r>
              <w:rPr>
                <w:rStyle w:val="37"/>
                <w:rFonts w:ascii="宋体" w:hAnsi="宋体" w:eastAsia="宋体" w:cs="宋体"/>
                <w:sz w:val="18"/>
                <w:szCs w:val="18"/>
                <w:lang w:val="en-US" w:eastAsia="zh-CN" w:bidi="ar"/>
              </w:rPr>
              <w:t>/</w:t>
            </w:r>
            <w:r>
              <w:rPr>
                <w:rStyle w:val="36"/>
                <w:sz w:val="18"/>
                <w:szCs w:val="18"/>
                <w:lang w:val="en-US" w:eastAsia="zh-CN" w:bidi="ar"/>
              </w:rPr>
              <w:t>阀板材质</w:t>
            </w: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Style w:val="37"/>
                <w:rFonts w:ascii="宋体" w:hAnsi="宋体" w:eastAsia="宋体" w:cs="宋体"/>
                <w:sz w:val="18"/>
                <w:szCs w:val="18"/>
                <w:lang w:val="en-US" w:eastAsia="zh-CN" w:bidi="ar"/>
              </w:rPr>
              <w:t>304S.S</w:t>
            </w:r>
          </w:p>
        </w:tc>
        <w:tc>
          <w:tcPr>
            <w:tcW w:w="4830"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36"/>
                <w:sz w:val="18"/>
                <w:szCs w:val="18"/>
                <w:lang w:val="en-US" w:eastAsia="zh-CN" w:bidi="ar"/>
              </w:rPr>
              <w:t>其它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687"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阀杆材质</w:t>
            </w: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Style w:val="37"/>
                <w:rFonts w:ascii="宋体" w:hAnsi="宋体" w:eastAsia="宋体" w:cs="宋体"/>
                <w:sz w:val="18"/>
                <w:szCs w:val="18"/>
                <w:lang w:val="en-US" w:eastAsia="zh-CN" w:bidi="ar"/>
              </w:rPr>
              <w:t>304S.S</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备注</w:t>
            </w:r>
          </w:p>
        </w:tc>
        <w:tc>
          <w:tcPr>
            <w:tcW w:w="2430" w:type="dxa"/>
            <w:gridSpan w:val="2"/>
            <w:tcBorders>
              <w:top w:val="single" w:color="000000" w:sz="4" w:space="0"/>
              <w:left w:val="single" w:color="000000" w:sz="4" w:space="0"/>
              <w:bottom w:val="single" w:color="000000" w:sz="4" w:space="0"/>
              <w:right w:val="single" w:color="000000" w:sz="8" w:space="0"/>
            </w:tcBorders>
            <w:shd w:val="clear" w:color="auto" w:fill="auto"/>
            <w:vAlign w:val="top"/>
          </w:tcPr>
          <w:p>
            <w:pPr>
              <w:jc w:val="left"/>
              <w:rPr>
                <w:rFonts w:hint="default" w:ascii="Arial" w:hAnsi="Arial" w:cs="Arial"/>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687"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default" w:ascii="宋体" w:hAnsi="宋体" w:eastAsia="宋体" w:cs="Times New Roman"/>
                <w:color w:val="auto"/>
                <w:sz w:val="22"/>
                <w:szCs w:val="22"/>
              </w:rPr>
              <w:t>★</w:t>
            </w:r>
            <w:r>
              <w:rPr>
                <w:rStyle w:val="36"/>
                <w:sz w:val="18"/>
                <w:szCs w:val="18"/>
                <w:lang w:val="en-US" w:eastAsia="zh-CN" w:bidi="ar"/>
              </w:rPr>
              <w:t>阀座材质</w:t>
            </w: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Style w:val="37"/>
                <w:rFonts w:ascii="宋体" w:hAnsi="宋体" w:eastAsia="宋体" w:cs="宋体"/>
                <w:sz w:val="18"/>
                <w:szCs w:val="18"/>
                <w:lang w:val="en-US" w:eastAsia="zh-CN" w:bidi="ar"/>
              </w:rPr>
              <w:t>316S</w:t>
            </w:r>
            <w:r>
              <w:rPr>
                <w:rStyle w:val="37"/>
                <w:rFonts w:hint="eastAsia" w:ascii="宋体" w:hAnsi="宋体" w:eastAsia="宋体" w:cs="宋体"/>
                <w:sz w:val="18"/>
                <w:szCs w:val="18"/>
                <w:lang w:val="en-US" w:eastAsia="zh-CN" w:bidi="ar"/>
              </w:rPr>
              <w:t>.</w:t>
            </w:r>
            <w:r>
              <w:rPr>
                <w:rStyle w:val="37"/>
                <w:rFonts w:ascii="宋体" w:hAnsi="宋体" w:eastAsia="宋体" w:cs="宋体"/>
                <w:sz w:val="18"/>
                <w:szCs w:val="18"/>
                <w:lang w:val="en-US" w:eastAsia="zh-CN" w:bidi="ar"/>
              </w:rPr>
              <w:t>S+PTFE</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数量</w:t>
            </w:r>
          </w:p>
        </w:tc>
        <w:tc>
          <w:tcPr>
            <w:tcW w:w="2430"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rFonts w:hint="eastAsia"/>
                <w:sz w:val="18"/>
                <w:szCs w:val="18"/>
                <w:lang w:val="en-US" w:eastAsia="zh-CN" w:bidi="ar"/>
              </w:rPr>
              <w:t>4</w:t>
            </w:r>
            <w:r>
              <w:rPr>
                <w:rStyle w:val="36"/>
                <w:sz w:val="18"/>
                <w:szCs w:val="18"/>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2687"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上阀盖形式</w:t>
            </w: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36"/>
                <w:sz w:val="18"/>
                <w:szCs w:val="18"/>
                <w:lang w:val="en-US" w:eastAsia="zh-CN" w:bidi="ar"/>
              </w:rPr>
              <w:t>标准型</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Arial" w:hAnsi="Arial" w:cs="Arial"/>
                <w:i w:val="0"/>
                <w:iCs w:val="0"/>
                <w:color w:val="000000"/>
                <w:sz w:val="18"/>
                <w:szCs w:val="18"/>
                <w:u w:val="none"/>
              </w:rPr>
            </w:pPr>
          </w:p>
        </w:tc>
        <w:tc>
          <w:tcPr>
            <w:tcW w:w="2430" w:type="dxa"/>
            <w:gridSpan w:val="2"/>
            <w:tcBorders>
              <w:top w:val="single" w:color="000000" w:sz="4" w:space="0"/>
              <w:left w:val="single" w:color="000000" w:sz="4" w:space="0"/>
              <w:bottom w:val="single" w:color="000000" w:sz="4" w:space="0"/>
              <w:right w:val="single" w:color="000000" w:sz="8" w:space="0"/>
            </w:tcBorders>
            <w:shd w:val="clear" w:color="auto" w:fill="auto"/>
            <w:vAlign w:val="top"/>
          </w:tcPr>
          <w:p>
            <w:pPr>
              <w:jc w:val="left"/>
              <w:rPr>
                <w:rFonts w:hint="default" w:ascii="Arial" w:hAnsi="Arial" w:cs="Arial"/>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687"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垫片材质</w:t>
            </w: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Style w:val="37"/>
                <w:rFonts w:ascii="宋体" w:hAnsi="宋体" w:eastAsia="宋体" w:cs="宋体"/>
                <w:sz w:val="18"/>
                <w:szCs w:val="18"/>
                <w:lang w:val="en-US" w:eastAsia="zh-CN" w:bidi="ar"/>
              </w:rPr>
              <w:t>MFR</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Arial" w:hAnsi="Arial" w:cs="Arial"/>
                <w:i w:val="0"/>
                <w:iCs w:val="0"/>
                <w:color w:val="000000"/>
                <w:sz w:val="18"/>
                <w:szCs w:val="18"/>
                <w:u w:val="none"/>
              </w:rPr>
            </w:pPr>
          </w:p>
        </w:tc>
        <w:tc>
          <w:tcPr>
            <w:tcW w:w="2430" w:type="dxa"/>
            <w:gridSpan w:val="2"/>
            <w:tcBorders>
              <w:top w:val="single" w:color="000000" w:sz="4" w:space="0"/>
              <w:left w:val="single" w:color="000000" w:sz="4" w:space="0"/>
              <w:bottom w:val="single" w:color="000000" w:sz="4" w:space="0"/>
              <w:right w:val="single" w:color="000000" w:sz="8" w:space="0"/>
            </w:tcBorders>
            <w:shd w:val="clear" w:color="auto" w:fill="auto"/>
            <w:vAlign w:val="top"/>
          </w:tcPr>
          <w:p>
            <w:pPr>
              <w:jc w:val="left"/>
              <w:rPr>
                <w:rFonts w:hint="default" w:ascii="Arial" w:hAnsi="Arial" w:cs="Arial"/>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687"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6"/>
                <w:sz w:val="18"/>
                <w:szCs w:val="18"/>
                <w:lang w:val="en-US" w:eastAsia="zh-CN" w:bidi="ar"/>
              </w:rPr>
              <w:t>填料材质</w:t>
            </w: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18"/>
                <w:szCs w:val="18"/>
                <w:u w:val="none"/>
              </w:rPr>
            </w:pPr>
            <w:r>
              <w:rPr>
                <w:rStyle w:val="37"/>
                <w:rFonts w:ascii="宋体" w:hAnsi="宋体" w:eastAsia="宋体" w:cs="宋体"/>
                <w:sz w:val="18"/>
                <w:szCs w:val="18"/>
                <w:lang w:val="en-US" w:eastAsia="zh-CN" w:bidi="ar"/>
              </w:rPr>
              <w:t>PTFE</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Arial" w:hAnsi="Arial" w:cs="Arial"/>
                <w:i w:val="0"/>
                <w:iCs w:val="0"/>
                <w:color w:val="000000"/>
                <w:sz w:val="18"/>
                <w:szCs w:val="18"/>
                <w:u w:val="none"/>
              </w:rPr>
            </w:pPr>
          </w:p>
        </w:tc>
        <w:tc>
          <w:tcPr>
            <w:tcW w:w="2430" w:type="dxa"/>
            <w:gridSpan w:val="2"/>
            <w:tcBorders>
              <w:top w:val="single" w:color="000000" w:sz="4" w:space="0"/>
              <w:left w:val="single" w:color="000000" w:sz="4" w:space="0"/>
              <w:bottom w:val="single" w:color="000000" w:sz="4" w:space="0"/>
              <w:right w:val="single" w:color="000000" w:sz="8" w:space="0"/>
            </w:tcBorders>
            <w:shd w:val="clear" w:color="auto" w:fill="auto"/>
            <w:vAlign w:val="top"/>
          </w:tcPr>
          <w:p>
            <w:pPr>
              <w:jc w:val="left"/>
              <w:rPr>
                <w:rFonts w:hint="default" w:ascii="Arial" w:hAnsi="Arial" w:cs="Arial"/>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2687"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18"/>
                <w:szCs w:val="18"/>
                <w:u w:val="none"/>
                <w:lang w:val="en-US"/>
              </w:rPr>
            </w:pPr>
            <w:r>
              <w:rPr>
                <w:rFonts w:hint="default" w:ascii="宋体" w:hAnsi="宋体" w:eastAsia="宋体" w:cs="Times New Roman"/>
                <w:color w:val="auto"/>
                <w:sz w:val="22"/>
                <w:szCs w:val="22"/>
              </w:rPr>
              <w:t>★</w:t>
            </w:r>
            <w:r>
              <w:rPr>
                <w:rStyle w:val="36"/>
                <w:sz w:val="18"/>
                <w:szCs w:val="18"/>
                <w:lang w:val="en-US" w:eastAsia="zh-CN" w:bidi="ar"/>
              </w:rPr>
              <w:t>密封面形式</w:t>
            </w: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36"/>
                <w:rFonts w:hint="eastAsia"/>
                <w:color w:val="auto"/>
                <w:sz w:val="18"/>
                <w:szCs w:val="18"/>
                <w:lang w:val="en-US" w:eastAsia="zh-CN" w:bidi="ar"/>
              </w:rPr>
              <w:t>硬</w:t>
            </w:r>
            <w:r>
              <w:rPr>
                <w:rStyle w:val="36"/>
                <w:color w:val="auto"/>
                <w:sz w:val="18"/>
                <w:szCs w:val="18"/>
                <w:lang w:val="en-US" w:eastAsia="zh-CN" w:bidi="ar"/>
              </w:rPr>
              <w:t>密封</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Arial" w:hAnsi="Arial" w:cs="Arial"/>
                <w:i w:val="0"/>
                <w:iCs w:val="0"/>
                <w:color w:val="000000"/>
                <w:sz w:val="18"/>
                <w:szCs w:val="18"/>
                <w:u w:val="none"/>
              </w:rPr>
            </w:pPr>
          </w:p>
        </w:tc>
        <w:tc>
          <w:tcPr>
            <w:tcW w:w="2430" w:type="dxa"/>
            <w:gridSpan w:val="2"/>
            <w:tcBorders>
              <w:top w:val="single" w:color="000000" w:sz="4" w:space="0"/>
              <w:left w:val="single" w:color="000000" w:sz="4" w:space="0"/>
              <w:bottom w:val="single" w:color="000000" w:sz="4" w:space="0"/>
              <w:right w:val="single" w:color="000000" w:sz="8" w:space="0"/>
            </w:tcBorders>
            <w:shd w:val="clear" w:color="auto" w:fill="auto"/>
            <w:vAlign w:val="top"/>
          </w:tcPr>
          <w:p>
            <w:pPr>
              <w:jc w:val="left"/>
              <w:rPr>
                <w:rFonts w:hint="default" w:ascii="Arial" w:hAnsi="Arial" w:cs="Arial"/>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2687"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lang w:val="en-US" w:eastAsia="zh-CN"/>
              </w:rPr>
            </w:pPr>
            <w:r>
              <w:rPr>
                <w:rStyle w:val="36"/>
                <w:sz w:val="18"/>
                <w:szCs w:val="18"/>
                <w:lang w:val="en-US" w:eastAsia="zh-CN" w:bidi="ar"/>
              </w:rPr>
              <w:t>密封圈材质</w:t>
            </w: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default" w:ascii="Arial" w:hAnsi="Arial" w:eastAsia="宋体" w:cs="Arial"/>
                <w:i w:val="0"/>
                <w:iCs w:val="0"/>
                <w:color w:val="000000"/>
                <w:sz w:val="18"/>
                <w:szCs w:val="18"/>
                <w:u w:val="none"/>
                <w:lang w:val="en-US" w:eastAsia="zh-CN"/>
              </w:rPr>
            </w:pP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default" w:ascii="Arial" w:hAnsi="Arial" w:cs="Arial"/>
                <w:i w:val="0"/>
                <w:iCs w:val="0"/>
                <w:color w:val="000000"/>
                <w:sz w:val="18"/>
                <w:szCs w:val="18"/>
                <w:u w:val="none"/>
              </w:rPr>
            </w:pPr>
          </w:p>
        </w:tc>
        <w:tc>
          <w:tcPr>
            <w:tcW w:w="2430" w:type="dxa"/>
            <w:gridSpan w:val="2"/>
            <w:tcBorders>
              <w:top w:val="single" w:color="000000" w:sz="4" w:space="0"/>
              <w:left w:val="single" w:color="000000" w:sz="4" w:space="0"/>
              <w:bottom w:val="single" w:color="000000" w:sz="4" w:space="0"/>
              <w:right w:val="single" w:color="000000" w:sz="8" w:space="0"/>
            </w:tcBorders>
            <w:shd w:val="clear" w:color="auto" w:fill="auto"/>
            <w:vAlign w:val="top"/>
          </w:tcPr>
          <w:p>
            <w:pPr>
              <w:jc w:val="left"/>
              <w:rPr>
                <w:rFonts w:hint="default" w:ascii="Arial" w:hAnsi="Arial" w:cs="Arial"/>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0082" w:type="dxa"/>
            <w:gridSpan w:val="8"/>
            <w:tcBorders>
              <w:top w:val="single" w:color="000000" w:sz="4"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default"/>
                <w:lang w:val="en-US" w:eastAsia="zh-CN"/>
              </w:rPr>
            </w:pPr>
            <w:r>
              <w:rPr>
                <w:lang w:val="en-US" w:eastAsia="zh-CN"/>
              </w:rPr>
              <w:t>说明：  1、数据表中初步计算的CV值和口径仅供参考，最终口径及CV值由厂家计算后确定。</w:t>
            </w:r>
            <w:r>
              <w:rPr>
                <w:lang w:val="en-US" w:eastAsia="zh-CN"/>
              </w:rPr>
              <w:br w:type="textWrapping"/>
            </w:r>
            <w:r>
              <w:rPr>
                <w:lang w:val="en-US" w:eastAsia="zh-CN"/>
              </w:rPr>
              <w:t xml:space="preserve">      </w:t>
            </w:r>
            <w:r>
              <w:rPr>
                <w:rFonts w:hint="eastAsia"/>
                <w:lang w:val="en-US" w:eastAsia="zh-CN"/>
              </w:rPr>
              <w:t xml:space="preserve"> </w:t>
            </w:r>
            <w:r>
              <w:rPr>
                <w:lang w:val="en-US" w:eastAsia="zh-CN"/>
              </w:rPr>
              <w:t xml:space="preserve"> 2、由厂家核对阀门材质，保证此工况下正常使用不被腐蚀。</w:t>
            </w:r>
          </w:p>
          <w:p>
            <w:pPr>
              <w:pStyle w:val="2"/>
              <w:numPr>
                <w:ilvl w:val="0"/>
                <w:numId w:val="5"/>
              </w:numPr>
              <w:ind w:left="890" w:leftChars="0" w:firstLine="0" w:firstLineChars="0"/>
              <w:rPr>
                <w:rFonts w:hint="default" w:ascii="宋体" w:hAnsi="宋体" w:eastAsia="宋体" w:cs="宋体"/>
                <w:sz w:val="22"/>
                <w:szCs w:val="22"/>
                <w:lang w:val="en-US" w:eastAsia="zh-CN" w:bidi="ar-SA"/>
              </w:rPr>
            </w:pPr>
            <w:r>
              <w:rPr>
                <w:rFonts w:hint="eastAsia" w:ascii="宋体" w:hAnsi="宋体" w:eastAsia="宋体" w:cs="宋体"/>
                <w:sz w:val="22"/>
                <w:szCs w:val="22"/>
                <w:lang w:val="en-US" w:eastAsia="zh-CN" w:bidi="ar-SA"/>
              </w:rPr>
              <w:t>带分体电缆20m。</w:t>
            </w:r>
          </w:p>
        </w:tc>
      </w:tr>
    </w:tbl>
    <w:p>
      <w:pPr>
        <w:pStyle w:val="13"/>
        <w:numPr>
          <w:ilvl w:val="0"/>
          <w:numId w:val="0"/>
        </w:numPr>
        <w:ind w:leftChars="0"/>
        <w:rPr>
          <w:rStyle w:val="30"/>
          <w:rFonts w:hint="default" w:cs="Times New Roman"/>
          <w:b w:val="0"/>
          <w:bCs w:val="0"/>
          <w:i w:val="0"/>
          <w:iCs w:val="0"/>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b w:val="0"/>
          <w:bCs w:val="0"/>
          <w:kern w:val="0"/>
          <w:sz w:val="22"/>
          <w:szCs w:val="22"/>
          <w:lang w:val="en-US" w:eastAsia="zh-CN" w:bidi="ar-SA"/>
        </w:rPr>
      </w:pPr>
      <w:r>
        <w:rPr>
          <w:rFonts w:hint="eastAsia" w:cs="宋体"/>
          <w:b w:val="0"/>
          <w:bCs w:val="0"/>
          <w:kern w:val="0"/>
          <w:sz w:val="22"/>
          <w:szCs w:val="22"/>
          <w:lang w:val="en-US" w:eastAsia="zh-CN" w:bidi="ar-SA"/>
        </w:rPr>
        <w:t>3.4</w:t>
      </w:r>
      <w:r>
        <w:rPr>
          <w:rFonts w:hint="eastAsia" w:ascii="宋体" w:hAnsi="宋体" w:eastAsia="宋体" w:cs="宋体"/>
          <w:b w:val="0"/>
          <w:bCs w:val="0"/>
          <w:kern w:val="0"/>
          <w:sz w:val="22"/>
          <w:szCs w:val="22"/>
          <w:lang w:val="en-US" w:eastAsia="zh-CN" w:bidi="ar-SA"/>
        </w:rPr>
        <w:t xml:space="preserve"> 推荐品牌</w:t>
      </w:r>
    </w:p>
    <w:p>
      <w:pPr>
        <w:pStyle w:val="22"/>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Chars="0" w:firstLine="440" w:firstLineChars="200"/>
        <w:textAlignment w:val="auto"/>
        <w:rPr>
          <w:rFonts w:hint="default" w:asciiTheme="minorEastAsia" w:hAnsiTheme="minorEastAsia" w:eastAsiaTheme="minorEastAsia" w:cstheme="minorEastAsia"/>
          <w:color w:val="auto"/>
          <w:kern w:val="0"/>
          <w:sz w:val="21"/>
          <w:szCs w:val="21"/>
          <w:lang w:val="en-US" w:eastAsia="zh-CN" w:bidi="ar-SA"/>
        </w:rPr>
      </w:pPr>
      <w:r>
        <w:rPr>
          <w:rFonts w:hint="eastAsia" w:ascii="宋体" w:hAnsi="宋体" w:eastAsia="宋体" w:cs="宋体"/>
          <w:kern w:val="0"/>
          <w:sz w:val="22"/>
          <w:szCs w:val="22"/>
          <w:lang w:val="en-US" w:eastAsia="zh-CN" w:bidi="ar-SA"/>
        </w:rPr>
        <w:t>结合现场工况以及</w:t>
      </w:r>
      <w:r>
        <w:rPr>
          <w:rFonts w:hint="eastAsia" w:hAnsi="宋体" w:cs="宋体"/>
          <w:kern w:val="0"/>
          <w:sz w:val="22"/>
          <w:szCs w:val="22"/>
          <w:lang w:val="en-US" w:eastAsia="zh-CN" w:bidi="ar-SA"/>
        </w:rPr>
        <w:t>阀门</w:t>
      </w:r>
      <w:r>
        <w:rPr>
          <w:rFonts w:hint="eastAsia" w:ascii="宋体" w:hAnsi="宋体" w:eastAsia="宋体" w:cs="宋体"/>
          <w:kern w:val="0"/>
          <w:sz w:val="22"/>
          <w:szCs w:val="22"/>
          <w:lang w:val="en-US" w:eastAsia="zh-CN" w:bidi="ar-SA"/>
        </w:rPr>
        <w:t>使用情况，推荐</w:t>
      </w:r>
      <w:r>
        <w:rPr>
          <w:rFonts w:hint="eastAsia" w:hAnsi="宋体" w:cs="宋体"/>
          <w:kern w:val="0"/>
          <w:sz w:val="22"/>
          <w:szCs w:val="22"/>
          <w:lang w:val="en-US" w:eastAsia="zh-CN" w:bidi="ar-SA"/>
        </w:rPr>
        <w:t>阀门和</w:t>
      </w:r>
      <w:r>
        <w:rPr>
          <w:rFonts w:hint="eastAsia" w:asciiTheme="minorEastAsia" w:hAnsiTheme="minorEastAsia" w:eastAsiaTheme="minorEastAsia" w:cstheme="minorEastAsia"/>
          <w:color w:val="auto"/>
          <w:kern w:val="0"/>
          <w:sz w:val="21"/>
          <w:szCs w:val="21"/>
          <w:lang w:val="en-US" w:eastAsia="zh-CN" w:bidi="ar-SA"/>
        </w:rPr>
        <w:t>电动执行器</w:t>
      </w:r>
      <w:r>
        <w:rPr>
          <w:rFonts w:hint="eastAsia" w:ascii="宋体" w:hAnsi="宋体" w:eastAsia="宋体" w:cs="宋体"/>
          <w:kern w:val="0"/>
          <w:sz w:val="22"/>
          <w:szCs w:val="22"/>
          <w:lang w:val="en-US" w:eastAsia="zh-CN" w:bidi="ar-SA"/>
        </w:rPr>
        <w:t>选用</w:t>
      </w:r>
      <w:r>
        <w:rPr>
          <w:rFonts w:hint="eastAsia" w:hAnsi="宋体" w:cs="宋体"/>
          <w:kern w:val="0"/>
          <w:sz w:val="22"/>
          <w:szCs w:val="22"/>
          <w:lang w:val="en-US" w:eastAsia="zh-CN" w:bidi="ar-SA"/>
        </w:rPr>
        <w:t>国内知名品牌</w:t>
      </w:r>
      <w:r>
        <w:rPr>
          <w:rFonts w:hint="eastAsia" w:asciiTheme="minorEastAsia" w:hAnsiTheme="minorEastAsia" w:eastAsiaTheme="minorEastAsia" w:cstheme="minorEastAsia"/>
          <w:color w:val="auto"/>
          <w:kern w:val="0"/>
          <w:sz w:val="21"/>
          <w:szCs w:val="21"/>
          <w:lang w:val="en-US" w:eastAsia="zh-CN" w:bidi="ar-SA"/>
        </w:rPr>
        <w:t>。</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40" w:firstLineChars="200"/>
        <w:jc w:val="left"/>
        <w:textAlignment w:val="auto"/>
        <w:rPr>
          <w:rFonts w:hint="default" w:ascii="宋体" w:hAnsi="宋体" w:eastAsia="宋体" w:cs="宋体"/>
          <w:kern w:val="0"/>
          <w:sz w:val="22"/>
          <w:szCs w:val="22"/>
          <w:lang w:val="en-US" w:eastAsia="zh-CN" w:bidi="ar-SA"/>
        </w:rPr>
      </w:pPr>
      <w:r>
        <w:rPr>
          <w:rFonts w:hint="eastAsia" w:ascii="宋体" w:hAnsi="宋体" w:eastAsia="宋体" w:cs="宋体"/>
          <w:kern w:val="0"/>
          <w:sz w:val="22"/>
          <w:szCs w:val="22"/>
          <w:lang w:val="en-US" w:eastAsia="zh-CN" w:bidi="ar-SA"/>
        </w:rPr>
        <w:t>注：若投标人使用非</w:t>
      </w:r>
      <w:r>
        <w:rPr>
          <w:rFonts w:hint="eastAsia" w:cs="宋体"/>
          <w:kern w:val="0"/>
          <w:sz w:val="22"/>
          <w:szCs w:val="22"/>
          <w:lang w:val="en-US" w:eastAsia="zh-CN" w:bidi="ar-SA"/>
        </w:rPr>
        <w:t>国内知名</w:t>
      </w:r>
      <w:r>
        <w:rPr>
          <w:rFonts w:hint="eastAsia" w:ascii="宋体" w:hAnsi="宋体" w:eastAsia="宋体" w:cs="宋体"/>
          <w:kern w:val="0"/>
          <w:sz w:val="22"/>
          <w:szCs w:val="22"/>
          <w:lang w:val="en-US" w:eastAsia="zh-CN" w:bidi="ar-SA"/>
        </w:rPr>
        <w:t>品牌系列的产品参与投标，需明确说明投标产品品牌系列，并提供证明该品牌系列等同或优于</w:t>
      </w:r>
      <w:r>
        <w:rPr>
          <w:rFonts w:hint="eastAsia" w:cs="宋体"/>
          <w:kern w:val="0"/>
          <w:sz w:val="22"/>
          <w:szCs w:val="22"/>
          <w:lang w:val="en-US" w:eastAsia="zh-CN" w:bidi="ar-SA"/>
        </w:rPr>
        <w:t>国内知名</w:t>
      </w:r>
      <w:r>
        <w:rPr>
          <w:rFonts w:hint="eastAsia" w:ascii="宋体" w:hAnsi="宋体" w:eastAsia="宋体" w:cs="宋体"/>
          <w:kern w:val="0"/>
          <w:sz w:val="22"/>
          <w:szCs w:val="22"/>
          <w:lang w:val="en-US" w:eastAsia="zh-CN" w:bidi="ar-SA"/>
        </w:rPr>
        <w:t>品牌系列的支持性文件（包括但不限于国家认证的第三方权威机构出具的验证报告），</w:t>
      </w:r>
      <w:r>
        <w:rPr>
          <w:rFonts w:hint="eastAsia" w:ascii="宋体" w:hAnsi="宋体" w:eastAsia="宋体" w:cs="宋体"/>
          <w:color w:val="auto"/>
          <w:kern w:val="0"/>
          <w:sz w:val="22"/>
          <w:szCs w:val="22"/>
          <w:lang w:val="en-US" w:eastAsia="zh-CN" w:bidi="ar-SA"/>
        </w:rPr>
        <w:t>并按</w:t>
      </w:r>
      <w:r>
        <w:rPr>
          <w:rFonts w:hint="eastAsia" w:cs="宋体"/>
          <w:color w:val="auto"/>
          <w:kern w:val="0"/>
          <w:sz w:val="22"/>
          <w:szCs w:val="22"/>
          <w:lang w:val="en-US" w:eastAsia="zh-CN" w:bidi="ar-SA"/>
        </w:rPr>
        <w:t>3.2.2</w:t>
      </w:r>
      <w:r>
        <w:rPr>
          <w:rFonts w:hint="eastAsia" w:ascii="宋体" w:hAnsi="宋体" w:eastAsia="宋体" w:cs="宋体"/>
          <w:color w:val="auto"/>
          <w:kern w:val="0"/>
          <w:sz w:val="22"/>
          <w:szCs w:val="22"/>
          <w:lang w:val="en-US" w:eastAsia="zh-CN" w:bidi="ar-SA"/>
        </w:rPr>
        <w:t>要求提供业绩证明，</w:t>
      </w:r>
      <w:r>
        <w:rPr>
          <w:rFonts w:hint="eastAsia" w:cs="宋体"/>
          <w:color w:val="auto"/>
          <w:kern w:val="0"/>
          <w:sz w:val="22"/>
          <w:szCs w:val="22"/>
          <w:lang w:val="en-US" w:eastAsia="zh-CN" w:bidi="ar-SA"/>
        </w:rPr>
        <w:t>由评标委员会评定，</w:t>
      </w:r>
      <w:r>
        <w:rPr>
          <w:rFonts w:hint="eastAsia" w:ascii="宋体" w:hAnsi="宋体" w:eastAsia="宋体" w:cs="宋体"/>
          <w:color w:val="auto"/>
          <w:kern w:val="0"/>
          <w:sz w:val="22"/>
          <w:szCs w:val="22"/>
          <w:lang w:val="en-US" w:eastAsia="zh-CN" w:bidi="ar-SA"/>
        </w:rPr>
        <w:t>否则将导致投标被拒。</w:t>
      </w:r>
    </w:p>
    <w:p>
      <w:pPr>
        <w:pStyle w:val="28"/>
        <w:keepNext w:val="0"/>
        <w:keepLines w:val="0"/>
        <w:pageBreakBefore w:val="0"/>
        <w:numPr>
          <w:ilvl w:val="0"/>
          <w:numId w:val="0"/>
        </w:numPr>
        <w:tabs>
          <w:tab w:val="left" w:pos="426"/>
        </w:tabs>
        <w:suppressAutoHyphens w:val="0"/>
        <w:kinsoku/>
        <w:wordWrap/>
        <w:overflowPunct/>
        <w:topLinePunct w:val="0"/>
        <w:bidi w:val="0"/>
        <w:snapToGrid/>
        <w:spacing w:line="400" w:lineRule="exact"/>
        <w:ind w:leftChars="0"/>
        <w:textAlignment w:val="auto"/>
        <w:outlineLvl w:val="0"/>
        <w:rPr>
          <w:rFonts w:hint="eastAsia" w:ascii="宋体" w:hAnsi="宋体"/>
          <w:b/>
          <w:bCs/>
          <w:color w:val="000000"/>
          <w:sz w:val="21"/>
          <w:szCs w:val="21"/>
          <w:lang w:val="en-US" w:eastAsia="zh-CN"/>
        </w:rPr>
      </w:pPr>
      <w:r>
        <w:rPr>
          <w:rFonts w:hint="eastAsia" w:ascii="宋体" w:hAnsi="宋体"/>
          <w:b/>
          <w:bCs/>
          <w:color w:val="000000"/>
          <w:sz w:val="21"/>
          <w:szCs w:val="21"/>
          <w:lang w:val="en-US" w:eastAsia="zh-CN"/>
        </w:rPr>
        <mc:AlternateContent>
          <mc:Choice Requires="wps">
            <w:drawing>
              <wp:anchor distT="0" distB="0" distL="114300" distR="114300" simplePos="0" relativeHeight="251659264" behindDoc="0" locked="0" layoutInCell="1" allowOverlap="1">
                <wp:simplePos x="0" y="0"/>
                <wp:positionH relativeFrom="column">
                  <wp:posOffset>1828800</wp:posOffset>
                </wp:positionH>
                <wp:positionV relativeFrom="paragraph">
                  <wp:posOffset>297180</wp:posOffset>
                </wp:positionV>
                <wp:extent cx="635"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44pt;margin-top:23.4pt;height:0pt;width:0.05pt;z-index:251659264;mso-width-relative:page;mso-height-relative:page;" filled="f" stroked="t" coordsize="21600,21600" o:gfxdata="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FFHAnnVAAAACQEAAA8AAAAAAAAAAQAgAAAAIgAAAGRycy9kb3ducmV2LnhtbFBLAQIUABQAAAAI&#10;AIdO4kB4327X8AEAAOADAAAOAAAAAAAAAAEAIAAAACQBAABkcnMvZTJvRG9jLnhtbFBLBQYAAAAA&#10;BgAGAFkBAACGBQAAAAA=&#10;">
                <v:fill on="f" focussize="0,0"/>
                <v:stroke color="#000000" joinstyle="round"/>
                <v:imagedata o:title=""/>
                <o:lock v:ext="edit" aspectratio="f"/>
              </v:line>
            </w:pict>
          </mc:Fallback>
        </mc:AlternateContent>
      </w:r>
      <w:r>
        <w:rPr>
          <w:rFonts w:hint="eastAsia" w:ascii="宋体" w:hAnsi="宋体"/>
          <w:b/>
          <w:bCs/>
          <w:color w:val="000000"/>
          <w:sz w:val="21"/>
          <w:szCs w:val="21"/>
          <w:lang w:val="en-US" w:eastAsia="zh-CN"/>
        </w:rPr>
        <w:t>4.供货范围及要求</w:t>
      </w:r>
    </w:p>
    <w:p>
      <w:pPr>
        <w:pStyle w:val="22"/>
        <w:keepNext w:val="0"/>
        <w:keepLines w:val="0"/>
        <w:pageBreakBefore w:val="0"/>
        <w:kinsoku/>
        <w:wordWrap/>
        <w:overflowPunct/>
        <w:topLinePunct w:val="0"/>
        <w:bidi w:val="0"/>
        <w:snapToGrid/>
        <w:spacing w:line="400" w:lineRule="exact"/>
        <w:textAlignment w:val="auto"/>
        <w:rPr>
          <w:rFonts w:hint="eastAsia" w:ascii="宋体" w:hAnsi="宋体"/>
          <w:b/>
          <w:bCs/>
          <w:color w:val="000000"/>
          <w:sz w:val="21"/>
          <w:szCs w:val="21"/>
        </w:rPr>
      </w:pPr>
      <w:r>
        <w:rPr>
          <w:rFonts w:hint="eastAsia" w:hAnsi="宋体" w:cs="宋体"/>
          <w:color w:val="000000"/>
          <w:kern w:val="2"/>
          <w:sz w:val="21"/>
          <w:szCs w:val="21"/>
          <w:lang w:val="en-US" w:eastAsia="zh-CN" w:bidi="ar"/>
        </w:rPr>
        <w:t>4</w:t>
      </w:r>
      <w:r>
        <w:rPr>
          <w:rFonts w:hint="eastAsia" w:ascii="宋体" w:hAnsi="宋体" w:eastAsia="宋体" w:cs="宋体"/>
          <w:color w:val="000000"/>
          <w:kern w:val="2"/>
          <w:sz w:val="21"/>
          <w:szCs w:val="21"/>
          <w:lang w:val="en-US" w:eastAsia="zh-CN" w:bidi="ar"/>
        </w:rPr>
        <w:t>.1供货范围</w:t>
      </w:r>
    </w:p>
    <w:tbl>
      <w:tblPr>
        <w:tblStyle w:val="18"/>
        <w:tblpPr w:leftFromText="180" w:rightFromText="180" w:vertAnchor="text" w:horzAnchor="page" w:tblpX="1153" w:tblpY="154"/>
        <w:tblOverlap w:val="never"/>
        <w:tblW w:w="95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1267"/>
        <w:gridCol w:w="4100"/>
        <w:gridCol w:w="1150"/>
        <w:gridCol w:w="816"/>
        <w:gridCol w:w="15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717" w:type="dxa"/>
          </w:tcPr>
          <w:p>
            <w:pPr>
              <w:pStyle w:val="11"/>
              <w:keepNext w:val="0"/>
              <w:keepLines w:val="0"/>
              <w:pageBreakBefore w:val="0"/>
              <w:widowControl w:val="0"/>
              <w:numPr>
                <w:ilvl w:val="0"/>
                <w:numId w:val="0"/>
              </w:numPr>
              <w:kinsoku/>
              <w:wordWrap/>
              <w:overflowPunct/>
              <w:topLinePunct w:val="0"/>
              <w:bidi w:val="0"/>
              <w:snapToGrid/>
              <w:spacing w:line="360" w:lineRule="auto"/>
              <w:ind w:left="0"/>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序号</w:t>
            </w:r>
          </w:p>
        </w:tc>
        <w:tc>
          <w:tcPr>
            <w:tcW w:w="1267" w:type="dxa"/>
          </w:tcPr>
          <w:p>
            <w:pPr>
              <w:pStyle w:val="11"/>
              <w:keepNext w:val="0"/>
              <w:keepLines w:val="0"/>
              <w:pageBreakBefore w:val="0"/>
              <w:widowControl w:val="0"/>
              <w:numPr>
                <w:ilvl w:val="0"/>
                <w:numId w:val="0"/>
              </w:numPr>
              <w:kinsoku/>
              <w:wordWrap/>
              <w:overflowPunct/>
              <w:topLinePunct w:val="0"/>
              <w:bidi w:val="0"/>
              <w:snapToGrid/>
              <w:spacing w:line="360" w:lineRule="auto"/>
              <w:ind w:left="0"/>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名称</w:t>
            </w:r>
          </w:p>
        </w:tc>
        <w:tc>
          <w:tcPr>
            <w:tcW w:w="4100" w:type="dxa"/>
          </w:tcPr>
          <w:p>
            <w:pPr>
              <w:pStyle w:val="11"/>
              <w:keepNext w:val="0"/>
              <w:keepLines w:val="0"/>
              <w:pageBreakBefore w:val="0"/>
              <w:widowControl w:val="0"/>
              <w:numPr>
                <w:ilvl w:val="0"/>
                <w:numId w:val="0"/>
              </w:numPr>
              <w:kinsoku/>
              <w:wordWrap/>
              <w:overflowPunct/>
              <w:topLinePunct w:val="0"/>
              <w:bidi w:val="0"/>
              <w:snapToGrid/>
              <w:spacing w:line="360" w:lineRule="auto"/>
              <w:ind w:left="0"/>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口径</w:t>
            </w:r>
          </w:p>
        </w:tc>
        <w:tc>
          <w:tcPr>
            <w:tcW w:w="1150" w:type="dxa"/>
          </w:tcPr>
          <w:p>
            <w:pPr>
              <w:pStyle w:val="11"/>
              <w:keepNext w:val="0"/>
              <w:keepLines w:val="0"/>
              <w:pageBreakBefore w:val="0"/>
              <w:widowControl w:val="0"/>
              <w:numPr>
                <w:ilvl w:val="0"/>
                <w:numId w:val="0"/>
              </w:numPr>
              <w:kinsoku/>
              <w:wordWrap/>
              <w:overflowPunct/>
              <w:topLinePunct w:val="0"/>
              <w:bidi w:val="0"/>
              <w:snapToGrid/>
              <w:spacing w:line="360" w:lineRule="auto"/>
              <w:ind w:left="0"/>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故障位置</w:t>
            </w:r>
          </w:p>
        </w:tc>
        <w:tc>
          <w:tcPr>
            <w:tcW w:w="816" w:type="dxa"/>
          </w:tcPr>
          <w:p>
            <w:pPr>
              <w:pStyle w:val="11"/>
              <w:keepNext w:val="0"/>
              <w:keepLines w:val="0"/>
              <w:pageBreakBefore w:val="0"/>
              <w:widowControl w:val="0"/>
              <w:numPr>
                <w:ilvl w:val="0"/>
                <w:numId w:val="0"/>
              </w:numPr>
              <w:kinsoku/>
              <w:wordWrap/>
              <w:overflowPunct/>
              <w:topLinePunct w:val="0"/>
              <w:bidi w:val="0"/>
              <w:snapToGrid/>
              <w:spacing w:line="360" w:lineRule="auto"/>
              <w:ind w:left="0"/>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数量</w:t>
            </w:r>
          </w:p>
        </w:tc>
        <w:tc>
          <w:tcPr>
            <w:tcW w:w="1534" w:type="dxa"/>
          </w:tcPr>
          <w:p>
            <w:pPr>
              <w:pStyle w:val="11"/>
              <w:keepNext w:val="0"/>
              <w:keepLines w:val="0"/>
              <w:pageBreakBefore w:val="0"/>
              <w:widowControl w:val="0"/>
              <w:numPr>
                <w:ilvl w:val="0"/>
                <w:numId w:val="0"/>
              </w:numPr>
              <w:kinsoku/>
              <w:wordWrap/>
              <w:overflowPunct/>
              <w:topLinePunct w:val="0"/>
              <w:bidi w:val="0"/>
              <w:snapToGrid/>
              <w:spacing w:line="360" w:lineRule="auto"/>
              <w:ind w:left="0"/>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主要技术参数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717" w:type="dxa"/>
            <w:vAlign w:val="center"/>
          </w:tcPr>
          <w:p>
            <w:pPr>
              <w:pStyle w:val="11"/>
              <w:keepNext w:val="0"/>
              <w:keepLines w:val="0"/>
              <w:pageBreakBefore w:val="0"/>
              <w:widowControl w:val="0"/>
              <w:numPr>
                <w:ilvl w:val="0"/>
                <w:numId w:val="0"/>
              </w:numPr>
              <w:kinsoku/>
              <w:wordWrap/>
              <w:overflowPunct/>
              <w:topLinePunct w:val="0"/>
              <w:bidi w:val="0"/>
              <w:snapToGrid/>
              <w:spacing w:line="360" w:lineRule="auto"/>
              <w:ind w:left="0"/>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1267" w:type="dxa"/>
            <w:vAlign w:val="center"/>
          </w:tcPr>
          <w:p>
            <w:pPr>
              <w:pStyle w:val="11"/>
              <w:keepNext w:val="0"/>
              <w:keepLines w:val="0"/>
              <w:pageBreakBefore w:val="0"/>
              <w:widowControl w:val="0"/>
              <w:numPr>
                <w:ilvl w:val="0"/>
                <w:numId w:val="0"/>
              </w:numPr>
              <w:kinsoku/>
              <w:wordWrap/>
              <w:overflowPunct/>
              <w:topLinePunct w:val="0"/>
              <w:bidi w:val="0"/>
              <w:snapToGrid/>
              <w:spacing w:line="360" w:lineRule="auto"/>
              <w:ind w:left="0"/>
              <w:jc w:val="both"/>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bidi="ar-SA"/>
              </w:rPr>
              <w:t>电动调节阀</w:t>
            </w:r>
          </w:p>
        </w:tc>
        <w:tc>
          <w:tcPr>
            <w:tcW w:w="4100" w:type="dxa"/>
            <w:vAlign w:val="center"/>
          </w:tcPr>
          <w:p>
            <w:pPr>
              <w:pStyle w:val="11"/>
              <w:keepNext w:val="0"/>
              <w:keepLines w:val="0"/>
              <w:pageBreakBefore w:val="0"/>
              <w:widowControl w:val="0"/>
              <w:numPr>
                <w:ilvl w:val="0"/>
                <w:numId w:val="0"/>
              </w:numPr>
              <w:kinsoku/>
              <w:wordWrap/>
              <w:overflowPunct/>
              <w:topLinePunct w:val="0"/>
              <w:bidi w:val="0"/>
              <w:snapToGrid/>
              <w:spacing w:line="360" w:lineRule="auto"/>
              <w:ind w:left="0"/>
              <w:jc w:val="both"/>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DN80RF\PN16\</w:t>
            </w:r>
            <w:r>
              <w:rPr>
                <w:rFonts w:hint="default" w:ascii="Times New Roman" w:hAnsi="Times New Roman" w:eastAsia="宋体" w:cs="Times New Roman"/>
                <w:color w:val="000000"/>
                <w:kern w:val="0"/>
                <w:sz w:val="19"/>
                <w:szCs w:val="19"/>
                <w:lang w:val="en-US" w:eastAsia="zh-CN" w:bidi="ar"/>
              </w:rPr>
              <w:t>316S.S+PTFE</w:t>
            </w:r>
            <w:r>
              <w:rPr>
                <w:rFonts w:hint="eastAsia" w:asciiTheme="minorEastAsia" w:hAnsiTheme="minorEastAsia" w:eastAsiaTheme="minorEastAsia" w:cstheme="minorEastAsia"/>
                <w:sz w:val="21"/>
                <w:szCs w:val="21"/>
                <w:vertAlign w:val="baseline"/>
                <w:lang w:val="en-US" w:eastAsia="zh-CN"/>
              </w:rPr>
              <w:t>\304S.S\硬密封</w:t>
            </w:r>
          </w:p>
        </w:tc>
        <w:tc>
          <w:tcPr>
            <w:tcW w:w="1150" w:type="dxa"/>
            <w:vAlign w:val="center"/>
          </w:tcPr>
          <w:p>
            <w:pPr>
              <w:pStyle w:val="11"/>
              <w:keepNext w:val="0"/>
              <w:keepLines w:val="0"/>
              <w:pageBreakBefore w:val="0"/>
              <w:widowControl w:val="0"/>
              <w:numPr>
                <w:ilvl w:val="0"/>
                <w:numId w:val="0"/>
              </w:numPr>
              <w:kinsoku/>
              <w:wordWrap/>
              <w:overflowPunct/>
              <w:topLinePunct w:val="0"/>
              <w:bidi w:val="0"/>
              <w:snapToGrid/>
              <w:spacing w:line="360" w:lineRule="auto"/>
              <w:ind w:left="0"/>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color w:val="auto"/>
                <w:kern w:val="0"/>
                <w:sz w:val="21"/>
                <w:szCs w:val="21"/>
                <w:lang w:val="en-US" w:eastAsia="zh-CN" w:bidi="ar-SA"/>
              </w:rPr>
              <w:t>FL</w:t>
            </w:r>
          </w:p>
        </w:tc>
        <w:tc>
          <w:tcPr>
            <w:tcW w:w="816" w:type="dxa"/>
            <w:vAlign w:val="center"/>
          </w:tcPr>
          <w:p>
            <w:pPr>
              <w:pStyle w:val="11"/>
              <w:keepNext w:val="0"/>
              <w:keepLines w:val="0"/>
              <w:pageBreakBefore w:val="0"/>
              <w:widowControl w:val="0"/>
              <w:numPr>
                <w:ilvl w:val="0"/>
                <w:numId w:val="0"/>
              </w:numPr>
              <w:kinsoku/>
              <w:wordWrap/>
              <w:overflowPunct/>
              <w:topLinePunct w:val="0"/>
              <w:bidi w:val="0"/>
              <w:snapToGrid/>
              <w:spacing w:line="360" w:lineRule="auto"/>
              <w:ind w:left="0"/>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4台</w:t>
            </w:r>
          </w:p>
        </w:tc>
        <w:tc>
          <w:tcPr>
            <w:tcW w:w="1534" w:type="dxa"/>
            <w:vAlign w:val="center"/>
          </w:tcPr>
          <w:p>
            <w:pPr>
              <w:pStyle w:val="11"/>
              <w:keepNext w:val="0"/>
              <w:keepLines w:val="0"/>
              <w:pageBreakBefore w:val="0"/>
              <w:widowControl w:val="0"/>
              <w:numPr>
                <w:ilvl w:val="0"/>
                <w:numId w:val="0"/>
              </w:numPr>
              <w:kinsoku/>
              <w:wordWrap/>
              <w:overflowPunct/>
              <w:topLinePunct w:val="0"/>
              <w:bidi w:val="0"/>
              <w:snapToGrid/>
              <w:spacing w:line="360" w:lineRule="auto"/>
              <w:ind w:left="0"/>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见3.3</w:t>
            </w:r>
          </w:p>
        </w:tc>
      </w:tr>
    </w:tbl>
    <w:p>
      <w:pPr>
        <w:pStyle w:val="22"/>
        <w:keepNext w:val="0"/>
        <w:keepLines w:val="0"/>
        <w:pageBreakBefore w:val="0"/>
        <w:widowControl w:val="0"/>
        <w:kinsoku/>
        <w:wordWrap/>
        <w:overflowPunct/>
        <w:topLinePunct w:val="0"/>
        <w:bidi w:val="0"/>
        <w:snapToGrid/>
        <w:spacing w:line="360" w:lineRule="auto"/>
        <w:ind w:left="0"/>
        <w:textAlignment w:val="auto"/>
        <w:rPr>
          <w:rFonts w:hint="eastAsia" w:asciiTheme="minorEastAsia" w:hAnsiTheme="minorEastAsia" w:eastAsiaTheme="minorEastAsia" w:cstheme="minorEastAsia"/>
          <w:color w:val="000000"/>
          <w:kern w:val="2"/>
          <w:sz w:val="21"/>
          <w:szCs w:val="21"/>
          <w:lang w:val="en-US" w:eastAsia="zh-CN" w:bidi="ar"/>
        </w:rPr>
      </w:pPr>
      <w:r>
        <w:rPr>
          <w:rFonts w:hint="eastAsia" w:asciiTheme="minorEastAsia" w:hAnsiTheme="minorEastAsia" w:eastAsiaTheme="minorEastAsia" w:cstheme="minorEastAsia"/>
          <w:color w:val="000000"/>
          <w:kern w:val="2"/>
          <w:sz w:val="21"/>
          <w:szCs w:val="21"/>
          <w:lang w:val="en-US" w:eastAsia="zh-CN" w:bidi="ar"/>
        </w:rPr>
        <w:t>4.2 供货要求</w:t>
      </w:r>
    </w:p>
    <w:p>
      <w:pPr>
        <w:pStyle w:val="22"/>
        <w:keepNext w:val="0"/>
        <w:keepLines w:val="0"/>
        <w:pageBreakBefore w:val="0"/>
        <w:widowControl w:val="0"/>
        <w:kinsoku/>
        <w:wordWrap/>
        <w:overflowPunct/>
        <w:topLinePunct w:val="0"/>
        <w:bidi w:val="0"/>
        <w:snapToGrid/>
        <w:spacing w:line="360" w:lineRule="auto"/>
        <w:ind w:left="0"/>
        <w:textAlignment w:val="auto"/>
        <w:rPr>
          <w:rFonts w:hint="eastAsia" w:asciiTheme="minorEastAsia" w:hAnsiTheme="minorEastAsia" w:eastAsiaTheme="minorEastAsia" w:cstheme="minorEastAsia"/>
          <w:b w:val="0"/>
          <w:bCs/>
          <w:sz w:val="21"/>
          <w:szCs w:val="21"/>
          <w:highlight w:val="none"/>
        </w:rPr>
      </w:pPr>
      <w:r>
        <w:rPr>
          <w:rFonts w:hint="eastAsia" w:asciiTheme="minorEastAsia" w:hAnsiTheme="minorEastAsia" w:eastAsiaTheme="minorEastAsia" w:cstheme="minorEastAsia"/>
          <w:color w:val="000000"/>
          <w:kern w:val="2"/>
          <w:sz w:val="21"/>
          <w:szCs w:val="21"/>
          <w:lang w:val="en-US" w:eastAsia="zh-CN" w:bidi="ar"/>
        </w:rPr>
        <w:t>4.2.1 交货地点：</w:t>
      </w:r>
      <w:r>
        <w:rPr>
          <w:rFonts w:hint="eastAsia" w:asciiTheme="minorEastAsia" w:hAnsiTheme="minorEastAsia" w:eastAsiaTheme="minorEastAsia" w:cstheme="minorEastAsia"/>
          <w:b w:val="0"/>
          <w:bCs/>
          <w:sz w:val="21"/>
          <w:szCs w:val="21"/>
          <w:highlight w:val="none"/>
        </w:rPr>
        <w:t>湖北大峪口化工有限责任公司</w:t>
      </w:r>
      <w:bookmarkStart w:id="9" w:name="_Toc13499"/>
      <w:r>
        <w:rPr>
          <w:rFonts w:hint="eastAsia" w:ascii="Arial" w:hAnsi="Arial" w:cs="Times New Roman"/>
          <w:b w:val="0"/>
          <w:bCs/>
          <w:sz w:val="21"/>
          <w:szCs w:val="21"/>
          <w:highlight w:val="none"/>
          <w:lang w:val="en-US" w:eastAsia="zh-CN"/>
        </w:rPr>
        <w:t>大峪口磷矿160万吨/年地采项目组工业场地</w:t>
      </w:r>
    </w:p>
    <w:p>
      <w:pPr>
        <w:pStyle w:val="22"/>
        <w:keepNext w:val="0"/>
        <w:keepLines w:val="0"/>
        <w:pageBreakBefore w:val="0"/>
        <w:widowControl w:val="0"/>
        <w:kinsoku/>
        <w:wordWrap/>
        <w:overflowPunct/>
        <w:topLinePunct w:val="0"/>
        <w:bidi w:val="0"/>
        <w:snapToGrid/>
        <w:spacing w:line="360" w:lineRule="auto"/>
        <w:ind w:left="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2"/>
          <w:sz w:val="21"/>
          <w:szCs w:val="21"/>
          <w:lang w:val="en-US" w:eastAsia="zh-CN" w:bidi="ar"/>
        </w:rPr>
        <w:t>4.2.2 包装要求：</w:t>
      </w:r>
      <w:r>
        <w:rPr>
          <w:rFonts w:hint="eastAsia" w:asciiTheme="minorEastAsia" w:hAnsiTheme="minorEastAsia" w:eastAsiaTheme="minorEastAsia" w:cstheme="minorEastAsia"/>
          <w:sz w:val="21"/>
          <w:szCs w:val="21"/>
        </w:rPr>
        <w:t>采用原厂标准包装或符合行业标准的坚固包装，具备防水、防潮、防震、防碰撞功能，内部设备及配件应固定良好，避免运输途中损坏</w:t>
      </w:r>
      <w:r>
        <w:rPr>
          <w:rFonts w:hint="eastAsia" w:asciiTheme="minorEastAsia" w:hAnsiTheme="minorEastAsia" w:eastAsiaTheme="minorEastAsia" w:cstheme="minorEastAsia"/>
          <w:sz w:val="21"/>
          <w:szCs w:val="21"/>
          <w:lang w:eastAsia="zh-CN"/>
        </w:rPr>
        <w:t>。由于包装不当所引起的损失，由投标方承担。</w:t>
      </w:r>
      <w:r>
        <w:rPr>
          <w:rFonts w:hint="eastAsia" w:asciiTheme="minorEastAsia" w:hAnsiTheme="minorEastAsia" w:eastAsiaTheme="minorEastAsia" w:cstheme="minorEastAsia"/>
          <w:sz w:val="21"/>
          <w:szCs w:val="21"/>
        </w:rPr>
        <w:t>包装外部应标注清晰设备名称、型号、数量、生产厂家等信息，便于识别与验收。</w:t>
      </w:r>
      <w:bookmarkEnd w:id="9"/>
    </w:p>
    <w:p>
      <w:pPr>
        <w:pStyle w:val="28"/>
        <w:keepNext w:val="0"/>
        <w:keepLines w:val="0"/>
        <w:pageBreakBefore w:val="0"/>
        <w:widowControl w:val="0"/>
        <w:numPr>
          <w:ilvl w:val="0"/>
          <w:numId w:val="0"/>
        </w:numPr>
        <w:tabs>
          <w:tab w:val="left" w:pos="426"/>
        </w:tabs>
        <w:suppressAutoHyphens w:val="0"/>
        <w:kinsoku/>
        <w:wordWrap/>
        <w:overflowPunct/>
        <w:topLinePunct w:val="0"/>
        <w:autoSpaceDE/>
        <w:autoSpaceDN/>
        <w:bidi w:val="0"/>
        <w:adjustRightInd/>
        <w:snapToGrid/>
        <w:spacing w:line="360" w:lineRule="auto"/>
        <w:ind w:leftChars="0"/>
        <w:textAlignment w:val="auto"/>
        <w:outlineLvl w:val="0"/>
        <w:rPr>
          <w:rFonts w:hint="eastAsia" w:asciiTheme="minorEastAsia" w:hAnsiTheme="minorEastAsia" w:eastAsiaTheme="minorEastAsia" w:cstheme="minorEastAsia"/>
          <w:b w:val="0"/>
          <w:bCs w:val="0"/>
          <w:color w:val="000000"/>
          <w:kern w:val="0"/>
          <w:sz w:val="21"/>
          <w:szCs w:val="21"/>
          <w:lang w:val="en-US" w:eastAsia="en-US" w:bidi="ar-SA"/>
        </w:rPr>
      </w:pPr>
      <w:r>
        <w:rPr>
          <w:rFonts w:hint="eastAsia" w:asciiTheme="minorEastAsia" w:hAnsiTheme="minorEastAsia" w:eastAsiaTheme="minorEastAsia" w:cstheme="minorEastAsia"/>
          <w:sz w:val="21"/>
          <w:szCs w:val="21"/>
          <w:lang w:val="en-US" w:eastAsia="zh-CN"/>
        </w:rPr>
        <w:t xml:space="preserve">4.2.3 </w:t>
      </w:r>
      <w:r>
        <w:rPr>
          <w:rFonts w:hint="eastAsia" w:asciiTheme="minorEastAsia" w:hAnsiTheme="minorEastAsia" w:eastAsiaTheme="minorEastAsia" w:cstheme="minorEastAsia"/>
          <w:b w:val="0"/>
          <w:bCs w:val="0"/>
          <w:color w:val="000000"/>
          <w:kern w:val="0"/>
          <w:sz w:val="21"/>
          <w:szCs w:val="21"/>
          <w:lang w:val="en-US" w:eastAsia="zh-CN" w:bidi="ar-SA"/>
        </w:rPr>
        <w:t>电动调节阀</w:t>
      </w:r>
      <w:r>
        <w:rPr>
          <w:rFonts w:hint="eastAsia" w:asciiTheme="minorEastAsia" w:hAnsiTheme="minorEastAsia" w:eastAsiaTheme="minorEastAsia" w:cstheme="minorEastAsia"/>
          <w:color w:val="auto"/>
          <w:kern w:val="0"/>
          <w:sz w:val="21"/>
          <w:szCs w:val="21"/>
          <w:lang w:val="en-US" w:eastAsia="zh-CN" w:bidi="ar-SA"/>
        </w:rPr>
        <w:t>（含阀体、电动执行器）</w:t>
      </w:r>
      <w:r>
        <w:rPr>
          <w:rFonts w:hint="eastAsia" w:asciiTheme="minorEastAsia" w:hAnsiTheme="minorEastAsia" w:eastAsiaTheme="minorEastAsia" w:cstheme="minorEastAsia"/>
          <w:b w:val="0"/>
          <w:bCs w:val="0"/>
          <w:color w:val="000000"/>
          <w:kern w:val="0"/>
          <w:sz w:val="21"/>
          <w:szCs w:val="21"/>
          <w:lang w:val="en-US" w:eastAsia="en-US" w:bidi="ar-SA"/>
        </w:rPr>
        <w:t>在出厂前必须进行整体检验、测试、调试合格，以确保设备的完好性、可靠性，</w:t>
      </w:r>
      <w:r>
        <w:rPr>
          <w:rFonts w:hint="eastAsia" w:asciiTheme="minorEastAsia" w:hAnsiTheme="minorEastAsia" w:eastAsiaTheme="minorEastAsia" w:cstheme="minorEastAsia"/>
          <w:b w:val="0"/>
          <w:bCs w:val="0"/>
          <w:color w:val="000000"/>
          <w:kern w:val="0"/>
          <w:sz w:val="21"/>
          <w:szCs w:val="21"/>
          <w:lang w:val="en-US" w:eastAsia="zh-CN" w:bidi="ar-SA"/>
        </w:rPr>
        <w:t>供货时</w:t>
      </w:r>
      <w:r>
        <w:rPr>
          <w:rFonts w:hint="eastAsia" w:asciiTheme="minorEastAsia" w:hAnsiTheme="minorEastAsia" w:eastAsiaTheme="minorEastAsia" w:cstheme="minorEastAsia"/>
          <w:b w:val="0"/>
          <w:bCs w:val="0"/>
          <w:color w:val="000000"/>
          <w:kern w:val="0"/>
          <w:sz w:val="21"/>
          <w:szCs w:val="21"/>
          <w:lang w:val="en-US" w:eastAsia="en-US" w:bidi="ar-SA"/>
        </w:rPr>
        <w:t>出具测试检验调试报告和产品合格证。</w:t>
      </w:r>
    </w:p>
    <w:p>
      <w:pPr>
        <w:pStyle w:val="22"/>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Chars="0"/>
        <w:textAlignment w:val="auto"/>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 xml:space="preserve">4.2.4 </w:t>
      </w:r>
      <w:r>
        <w:rPr>
          <w:rFonts w:hint="eastAsia" w:asciiTheme="minorEastAsia" w:hAnsiTheme="minorEastAsia" w:eastAsiaTheme="minorEastAsia" w:cstheme="minorEastAsia"/>
          <w:b w:val="0"/>
          <w:bCs w:val="0"/>
          <w:color w:val="000000"/>
          <w:kern w:val="0"/>
          <w:sz w:val="21"/>
          <w:szCs w:val="21"/>
          <w:lang w:val="en-US" w:eastAsia="zh-CN" w:bidi="ar-SA"/>
        </w:rPr>
        <w:t>电动调节阀</w:t>
      </w:r>
      <w:r>
        <w:rPr>
          <w:rFonts w:hint="eastAsia" w:asciiTheme="minorEastAsia" w:hAnsiTheme="minorEastAsia" w:eastAsiaTheme="minorEastAsia" w:cstheme="minorEastAsia"/>
          <w:kern w:val="0"/>
          <w:sz w:val="21"/>
          <w:szCs w:val="21"/>
          <w:lang w:val="en-US" w:eastAsia="zh-CN" w:bidi="ar-SA"/>
        </w:rPr>
        <w:t>产品应能在设备使用环境中正常、稳定、长期运行。</w:t>
      </w:r>
    </w:p>
    <w:p>
      <w:pPr>
        <w:pStyle w:val="28"/>
        <w:keepNext w:val="0"/>
        <w:keepLines w:val="0"/>
        <w:pageBreakBefore w:val="0"/>
        <w:widowControl w:val="0"/>
        <w:numPr>
          <w:ilvl w:val="0"/>
          <w:numId w:val="0"/>
        </w:numPr>
        <w:tabs>
          <w:tab w:val="left" w:pos="426"/>
        </w:tabs>
        <w:suppressAutoHyphens w:val="0"/>
        <w:kinsoku/>
        <w:wordWrap/>
        <w:overflowPunct/>
        <w:topLinePunct w:val="0"/>
        <w:autoSpaceDE/>
        <w:autoSpaceDN/>
        <w:bidi w:val="0"/>
        <w:adjustRightInd/>
        <w:snapToGrid/>
        <w:spacing w:beforeAutospacing="0" w:afterAutospacing="0" w:line="360" w:lineRule="auto"/>
        <w:ind w:left="0" w:leftChars="0"/>
        <w:textAlignment w:val="auto"/>
        <w:outlineLvl w:val="0"/>
        <w:rPr>
          <w:rFonts w:hint="eastAsia" w:asciiTheme="minorEastAsia" w:hAnsiTheme="minorEastAsia" w:eastAsiaTheme="minorEastAsia" w:cstheme="minorEastAsia"/>
          <w:kern w:val="0"/>
          <w:sz w:val="21"/>
          <w:szCs w:val="21"/>
          <w:lang w:val="en-US" w:eastAsia="zh-CN" w:bidi="ar-SA"/>
        </w:rPr>
      </w:pPr>
      <w:bookmarkStart w:id="10" w:name="_Toc17230"/>
      <w:r>
        <w:rPr>
          <w:rFonts w:hint="eastAsia" w:asciiTheme="minorEastAsia" w:hAnsiTheme="minorEastAsia" w:eastAsiaTheme="minorEastAsia" w:cstheme="minorEastAsia"/>
          <w:kern w:val="0"/>
          <w:sz w:val="21"/>
          <w:szCs w:val="21"/>
          <w:lang w:val="en-US" w:eastAsia="zh-CN" w:bidi="ar-SA"/>
        </w:rPr>
        <w:t>4.2.5</w:t>
      </w:r>
      <w:r>
        <w:rPr>
          <w:rFonts w:hint="eastAsia" w:asciiTheme="minorEastAsia" w:hAnsiTheme="minorEastAsia" w:eastAsiaTheme="minorEastAsia" w:cstheme="minorEastAsia"/>
          <w:sz w:val="21"/>
          <w:szCs w:val="21"/>
        </w:rPr>
        <w:t>投标方应对所供范围内的设备、附件负有全责，即包括分包（或外购）的产品。设备是全新、未使用过、完整的产品，所提供产品需符合或者更优于技术文件规定的质量、规格和性能要求，是长期有现场实践经验研发的产品，耐用，易于操作。</w:t>
      </w:r>
      <w:bookmarkEnd w:id="10"/>
    </w:p>
    <w:p>
      <w:pPr>
        <w:pStyle w:val="28"/>
        <w:keepNext w:val="0"/>
        <w:keepLines w:val="0"/>
        <w:pageBreakBefore w:val="0"/>
        <w:widowControl w:val="0"/>
        <w:numPr>
          <w:ilvl w:val="0"/>
          <w:numId w:val="0"/>
        </w:numPr>
        <w:tabs>
          <w:tab w:val="left" w:pos="426"/>
        </w:tabs>
        <w:suppressAutoHyphens w:val="0"/>
        <w:kinsoku/>
        <w:wordWrap/>
        <w:overflowPunct/>
        <w:topLinePunct w:val="0"/>
        <w:autoSpaceDE/>
        <w:autoSpaceDN/>
        <w:bidi w:val="0"/>
        <w:adjustRightInd/>
        <w:snapToGrid/>
        <w:spacing w:beforeAutospacing="0" w:afterAutospacing="0" w:line="360" w:lineRule="auto"/>
        <w:ind w:left="0" w:leftChars="0"/>
        <w:textAlignment w:val="auto"/>
        <w:outlineLvl w:val="0"/>
        <w:rPr>
          <w:rFonts w:hint="eastAsia" w:asciiTheme="minorEastAsia" w:hAnsiTheme="minorEastAsia" w:eastAsiaTheme="minorEastAsia" w:cstheme="minorEastAsia"/>
          <w:kern w:val="0"/>
          <w:sz w:val="21"/>
          <w:szCs w:val="21"/>
          <w:lang w:val="en-US" w:eastAsia="zh-CN" w:bidi="ar-SA"/>
        </w:rPr>
      </w:pPr>
      <w:bookmarkStart w:id="11" w:name="_Toc9321"/>
      <w:r>
        <w:rPr>
          <w:rFonts w:hint="eastAsia" w:asciiTheme="minorEastAsia" w:hAnsiTheme="minorEastAsia" w:eastAsiaTheme="minorEastAsia" w:cstheme="minorEastAsia"/>
          <w:kern w:val="0"/>
          <w:sz w:val="21"/>
          <w:szCs w:val="21"/>
          <w:lang w:val="en-US" w:eastAsia="zh-CN" w:bidi="ar-SA"/>
        </w:rPr>
        <w:t>4.2.6</w:t>
      </w:r>
      <w:r>
        <w:rPr>
          <w:rFonts w:hint="eastAsia" w:asciiTheme="minorEastAsia" w:hAnsiTheme="minorEastAsia" w:eastAsiaTheme="minorEastAsia" w:cstheme="minorEastAsia"/>
          <w:sz w:val="21"/>
          <w:szCs w:val="21"/>
        </w:rPr>
        <w:t>因设备、附件等的设计选型，制造质量问题造成设备无法正常运行，</w:t>
      </w:r>
      <w:r>
        <w:rPr>
          <w:rFonts w:hint="eastAsia" w:asciiTheme="minorEastAsia" w:hAnsiTheme="minorEastAsia" w:eastAsiaTheme="minorEastAsia" w:cstheme="minorEastAsia"/>
          <w:sz w:val="21"/>
          <w:szCs w:val="21"/>
          <w:lang w:eastAsia="zh-CN"/>
        </w:rPr>
        <w:t>投标方</w:t>
      </w:r>
      <w:r>
        <w:rPr>
          <w:rFonts w:hint="eastAsia" w:asciiTheme="minorEastAsia" w:hAnsiTheme="minorEastAsia" w:eastAsiaTheme="minorEastAsia" w:cstheme="minorEastAsia"/>
          <w:sz w:val="21"/>
          <w:szCs w:val="21"/>
        </w:rPr>
        <w:t>必须为此负全部直接责任。</w:t>
      </w:r>
      <w:bookmarkEnd w:id="11"/>
    </w:p>
    <w:p>
      <w:pPr>
        <w:pStyle w:val="28"/>
        <w:keepNext w:val="0"/>
        <w:keepLines w:val="0"/>
        <w:pageBreakBefore w:val="0"/>
        <w:widowControl w:val="0"/>
        <w:numPr>
          <w:ilvl w:val="0"/>
          <w:numId w:val="0"/>
        </w:numPr>
        <w:tabs>
          <w:tab w:val="left" w:pos="426"/>
        </w:tabs>
        <w:suppressAutoHyphens w:val="0"/>
        <w:kinsoku/>
        <w:wordWrap/>
        <w:overflowPunct/>
        <w:topLinePunct w:val="0"/>
        <w:bidi w:val="0"/>
        <w:snapToGrid/>
        <w:spacing w:line="360" w:lineRule="auto"/>
        <w:ind w:left="0" w:leftChars="0"/>
        <w:textAlignment w:val="auto"/>
        <w:outlineLvl w:val="0"/>
        <w:rPr>
          <w:rFonts w:hint="eastAsia" w:asciiTheme="minorEastAsia" w:hAnsiTheme="minorEastAsia" w:eastAsiaTheme="minorEastAsia" w:cstheme="minorEastAsia"/>
          <w:kern w:val="0"/>
          <w:sz w:val="21"/>
          <w:szCs w:val="21"/>
          <w:lang w:val="en-US" w:eastAsia="zh-CN" w:bidi="ar-SA"/>
        </w:rPr>
      </w:pPr>
      <w:bookmarkStart w:id="12" w:name="_Toc13895"/>
      <w:r>
        <w:rPr>
          <w:rFonts w:hint="eastAsia" w:asciiTheme="minorEastAsia" w:hAnsiTheme="minorEastAsia" w:eastAsiaTheme="minorEastAsia" w:cstheme="minorEastAsia"/>
          <w:kern w:val="0"/>
          <w:sz w:val="21"/>
          <w:szCs w:val="21"/>
          <w:lang w:val="en-US" w:eastAsia="zh-CN" w:bidi="ar-SA"/>
        </w:rPr>
        <w:t>4.2.7首次安装，要求产品厂家技术人员无偿提供现场技术支持。</w:t>
      </w:r>
      <w:bookmarkEnd w:id="12"/>
    </w:p>
    <w:p>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 xml:space="preserve">4.2.8 </w:t>
      </w:r>
      <w:r>
        <w:rPr>
          <w:rFonts w:hint="eastAsia" w:asciiTheme="minorEastAsia" w:hAnsiTheme="minorEastAsia" w:eastAsiaTheme="minorEastAsia" w:cstheme="minorEastAsia"/>
          <w:sz w:val="21"/>
          <w:szCs w:val="21"/>
        </w:rPr>
        <w:t>在供货时产品须带有铭牌，铭牌采用304不锈钢，并永久牢固地固定在外壳上，包括但不限于制造厂名称、位号、口径、压力等级、材质、型号、制造日期、设备的生产序列号等内容，每个仪表应有永久的流向标识</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电动</w:t>
      </w:r>
      <w:r>
        <w:rPr>
          <w:rFonts w:hint="eastAsia" w:asciiTheme="minorEastAsia" w:hAnsiTheme="minorEastAsia" w:eastAsiaTheme="minorEastAsia" w:cstheme="minorEastAsia"/>
          <w:sz w:val="21"/>
          <w:szCs w:val="21"/>
        </w:rPr>
        <w:t>阀电气接口均配电缆夹紧密封接头。</w:t>
      </w:r>
    </w:p>
    <w:p>
      <w:pPr>
        <w:pStyle w:val="28"/>
        <w:keepNext w:val="0"/>
        <w:keepLines w:val="0"/>
        <w:pageBreakBefore w:val="0"/>
        <w:widowControl w:val="0"/>
        <w:numPr>
          <w:ilvl w:val="0"/>
          <w:numId w:val="0"/>
        </w:numPr>
        <w:tabs>
          <w:tab w:val="left" w:pos="426"/>
        </w:tabs>
        <w:suppressAutoHyphens w:val="0"/>
        <w:kinsoku/>
        <w:wordWrap/>
        <w:overflowPunct/>
        <w:topLinePunct w:val="0"/>
        <w:bidi w:val="0"/>
        <w:snapToGrid/>
        <w:spacing w:line="360" w:lineRule="auto"/>
        <w:ind w:left="0" w:leftChars="0"/>
        <w:textAlignment w:val="auto"/>
        <w:outlineLvl w:val="0"/>
        <w:rPr>
          <w:rFonts w:hint="eastAsia" w:cs="宋体"/>
          <w:sz w:val="22"/>
          <w:szCs w:val="22"/>
          <w:lang w:val="en-US" w:eastAsia="zh-CN" w:bidi="ar-SA"/>
        </w:rPr>
      </w:pPr>
      <w:bookmarkStart w:id="13" w:name="_Toc7120"/>
      <w:r>
        <w:rPr>
          <w:rFonts w:hint="eastAsia" w:asciiTheme="minorEastAsia" w:hAnsiTheme="minorEastAsia" w:eastAsiaTheme="minorEastAsia" w:cstheme="minorEastAsia"/>
          <w:kern w:val="0"/>
          <w:sz w:val="21"/>
          <w:szCs w:val="21"/>
          <w:lang w:val="en-US" w:eastAsia="zh-CN" w:bidi="ar-SA"/>
        </w:rPr>
        <w:t>4.2.9</w:t>
      </w:r>
      <w:r>
        <w:rPr>
          <w:rFonts w:hint="eastAsia" w:ascii="宋体" w:hAnsi="宋体" w:cs="宋体"/>
          <w:kern w:val="0"/>
          <w:sz w:val="22"/>
          <w:szCs w:val="22"/>
          <w:lang w:val="en-US" w:eastAsia="zh-CN" w:bidi="ar-SA"/>
        </w:rPr>
        <w:t>★</w:t>
      </w:r>
      <w:r>
        <w:rPr>
          <w:rFonts w:hint="eastAsia" w:asciiTheme="minorEastAsia" w:hAnsiTheme="minorEastAsia" w:eastAsiaTheme="minorEastAsia" w:cstheme="minorEastAsia"/>
          <w:color w:val="auto"/>
          <w:kern w:val="0"/>
          <w:sz w:val="21"/>
          <w:szCs w:val="21"/>
          <w:lang w:val="en-US" w:eastAsia="zh-CN" w:bidi="ar-SA"/>
        </w:rPr>
        <w:t>电动执行器带过矩、缺相及相序(逆相)保护等功能，电动执行器的力矩能够满足阀门的关断能力，投标时提供</w:t>
      </w:r>
      <w:r>
        <w:rPr>
          <w:rFonts w:hint="eastAsia" w:cs="宋体"/>
          <w:sz w:val="22"/>
          <w:szCs w:val="22"/>
          <w:lang w:val="en-US" w:eastAsia="zh-CN" w:bidi="ar-SA"/>
        </w:rPr>
        <w:t>电动执行器详细技术参数及图纸。</w:t>
      </w:r>
      <w:bookmarkEnd w:id="13"/>
    </w:p>
    <w:p>
      <w:pPr>
        <w:pStyle w:val="28"/>
        <w:keepNext w:val="0"/>
        <w:keepLines w:val="0"/>
        <w:pageBreakBefore w:val="0"/>
        <w:widowControl w:val="0"/>
        <w:numPr>
          <w:ilvl w:val="0"/>
          <w:numId w:val="0"/>
        </w:numPr>
        <w:tabs>
          <w:tab w:val="left" w:pos="426"/>
        </w:tabs>
        <w:suppressAutoHyphens w:val="0"/>
        <w:kinsoku/>
        <w:wordWrap/>
        <w:overflowPunct/>
        <w:topLinePunct w:val="0"/>
        <w:bidi w:val="0"/>
        <w:snapToGrid/>
        <w:spacing w:line="360" w:lineRule="auto"/>
        <w:ind w:left="0" w:leftChars="0"/>
        <w:textAlignment w:val="auto"/>
        <w:outlineLvl w:val="0"/>
        <w:rPr>
          <w:rFonts w:hint="default" w:asciiTheme="minorEastAsia" w:hAnsiTheme="minorEastAsia" w:eastAsiaTheme="minorEastAsia" w:cstheme="minorEastAsia"/>
          <w:color w:val="auto"/>
          <w:kern w:val="0"/>
          <w:sz w:val="21"/>
          <w:szCs w:val="21"/>
          <w:lang w:val="en-US" w:eastAsia="zh-CN" w:bidi="ar-SA"/>
        </w:rPr>
      </w:pPr>
      <w:r>
        <w:rPr>
          <w:rFonts w:hint="eastAsia" w:asciiTheme="minorEastAsia" w:hAnsiTheme="minorEastAsia" w:eastAsiaTheme="minorEastAsia" w:cstheme="minorEastAsia"/>
          <w:color w:val="auto"/>
          <w:kern w:val="0"/>
          <w:sz w:val="21"/>
          <w:szCs w:val="21"/>
          <w:lang w:val="en-US" w:eastAsia="zh-CN" w:bidi="ar-SA"/>
        </w:rPr>
        <w:t>4.2.10 电动调节阀具有远程/现场双控制功能。</w:t>
      </w:r>
    </w:p>
    <w:p>
      <w:pPr>
        <w:pStyle w:val="28"/>
        <w:keepNext w:val="0"/>
        <w:keepLines w:val="0"/>
        <w:pageBreakBefore w:val="0"/>
        <w:widowControl w:val="0"/>
        <w:numPr>
          <w:ilvl w:val="0"/>
          <w:numId w:val="0"/>
        </w:numPr>
        <w:tabs>
          <w:tab w:val="left" w:pos="426"/>
        </w:tabs>
        <w:suppressAutoHyphens w:val="0"/>
        <w:kinsoku/>
        <w:wordWrap/>
        <w:overflowPunct/>
        <w:topLinePunct w:val="0"/>
        <w:bidi w:val="0"/>
        <w:snapToGrid/>
        <w:spacing w:line="360" w:lineRule="auto"/>
        <w:ind w:left="0" w:leftChars="0"/>
        <w:textAlignment w:val="auto"/>
        <w:outlineLvl w:val="0"/>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color w:val="auto"/>
          <w:kern w:val="0"/>
          <w:sz w:val="21"/>
          <w:szCs w:val="21"/>
          <w:lang w:val="en-US" w:eastAsia="zh-CN" w:bidi="ar-SA"/>
        </w:rPr>
        <w:t xml:space="preserve">4.2.10 </w:t>
      </w:r>
      <w:r>
        <w:rPr>
          <w:rFonts w:hint="eastAsia" w:asciiTheme="minorEastAsia" w:hAnsiTheme="minorEastAsia" w:eastAsiaTheme="minorEastAsia" w:cstheme="minorEastAsia"/>
          <w:kern w:val="0"/>
          <w:sz w:val="21"/>
          <w:szCs w:val="21"/>
          <w:lang w:val="en-US" w:eastAsia="zh-CN" w:bidi="ar-SA"/>
        </w:rPr>
        <w:t>每套电动阀门提供纸质版和电子版产品说明书、使用说明书及调试手册等（中英文）。</w:t>
      </w:r>
    </w:p>
    <w:p>
      <w:pPr>
        <w:pStyle w:val="28"/>
        <w:keepNext w:val="0"/>
        <w:keepLines w:val="0"/>
        <w:pageBreakBefore w:val="0"/>
        <w:widowControl w:val="0"/>
        <w:numPr>
          <w:ilvl w:val="0"/>
          <w:numId w:val="0"/>
        </w:numPr>
        <w:tabs>
          <w:tab w:val="left" w:pos="426"/>
        </w:tabs>
        <w:suppressAutoHyphens w:val="0"/>
        <w:kinsoku/>
        <w:wordWrap/>
        <w:overflowPunct/>
        <w:topLinePunct w:val="0"/>
        <w:bidi w:val="0"/>
        <w:snapToGrid/>
        <w:spacing w:line="360" w:lineRule="auto"/>
        <w:ind w:left="0" w:leftChars="0"/>
        <w:textAlignment w:val="auto"/>
        <w:outlineLvl w:val="0"/>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color w:val="auto"/>
          <w:kern w:val="0"/>
          <w:sz w:val="21"/>
          <w:szCs w:val="21"/>
          <w:lang w:val="en-US" w:eastAsia="zh-CN" w:bidi="ar-SA"/>
        </w:rPr>
        <w:t xml:space="preserve">4.2.11 </w:t>
      </w:r>
      <w:r>
        <w:rPr>
          <w:rFonts w:hint="eastAsia" w:ascii="宋体" w:hAnsi="宋体" w:cs="宋体"/>
          <w:kern w:val="0"/>
          <w:sz w:val="22"/>
          <w:szCs w:val="22"/>
          <w:lang w:val="en-US" w:eastAsia="zh-CN" w:bidi="ar-SA"/>
        </w:rPr>
        <w:t>★提供安装所需配对相应材质和数量的垫片、法兰、螺栓。</w:t>
      </w:r>
    </w:p>
    <w:p>
      <w:pPr>
        <w:pStyle w:val="28"/>
        <w:keepNext w:val="0"/>
        <w:keepLines w:val="0"/>
        <w:pageBreakBefore w:val="0"/>
        <w:widowControl w:val="0"/>
        <w:numPr>
          <w:ilvl w:val="0"/>
          <w:numId w:val="0"/>
        </w:numPr>
        <w:tabs>
          <w:tab w:val="left" w:pos="426"/>
        </w:tabs>
        <w:suppressAutoHyphens w:val="0"/>
        <w:kinsoku/>
        <w:wordWrap/>
        <w:overflowPunct/>
        <w:topLinePunct w:val="0"/>
        <w:bidi w:val="0"/>
        <w:snapToGrid/>
        <w:spacing w:line="360" w:lineRule="auto"/>
        <w:ind w:left="0" w:leftChars="0"/>
        <w:textAlignment w:val="auto"/>
        <w:outlineLvl w:val="1"/>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4.3 拒收</w:t>
      </w:r>
    </w:p>
    <w:p>
      <w:pPr>
        <w:pStyle w:val="28"/>
        <w:keepNext w:val="0"/>
        <w:keepLines w:val="0"/>
        <w:pageBreakBefore w:val="0"/>
        <w:widowControl w:val="0"/>
        <w:numPr>
          <w:ilvl w:val="0"/>
          <w:numId w:val="0"/>
        </w:numPr>
        <w:tabs>
          <w:tab w:val="left" w:pos="426"/>
        </w:tabs>
        <w:suppressAutoHyphens w:val="0"/>
        <w:kinsoku/>
        <w:wordWrap/>
        <w:overflowPunct/>
        <w:topLinePunct w:val="0"/>
        <w:bidi w:val="0"/>
        <w:snapToGrid/>
        <w:spacing w:line="360" w:lineRule="auto"/>
        <w:ind w:left="0" w:leftChars="0"/>
        <w:textAlignment w:val="auto"/>
        <w:outlineLvl w:val="1"/>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4.3.1设备及配件外观有明显损坏、变形、腐蚀等缺陷，影响设备性能与正常使用的，予以拒收，投标方需承担免费更换或修复责任，确保交付设备完好无损。</w:t>
      </w:r>
    </w:p>
    <w:p>
      <w:pPr>
        <w:pStyle w:val="28"/>
        <w:keepNext w:val="0"/>
        <w:keepLines w:val="0"/>
        <w:pageBreakBefore w:val="0"/>
        <w:widowControl w:val="0"/>
        <w:numPr>
          <w:ilvl w:val="0"/>
          <w:numId w:val="0"/>
        </w:numPr>
        <w:tabs>
          <w:tab w:val="left" w:pos="426"/>
        </w:tabs>
        <w:suppressAutoHyphens w:val="0"/>
        <w:kinsoku/>
        <w:wordWrap/>
        <w:overflowPunct/>
        <w:topLinePunct w:val="0"/>
        <w:bidi w:val="0"/>
        <w:snapToGrid/>
        <w:spacing w:line="360" w:lineRule="auto"/>
        <w:ind w:left="0" w:leftChars="0"/>
        <w:textAlignment w:val="auto"/>
        <w:outlineLvl w:val="1"/>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4.3.2设备规格、技术参数与合同要求不符，经检验无法满足项目需求的，予以拒绝，投标方应按合同要求重新提供符合标准的设备，并承担因此造成的延误损失。</w:t>
      </w:r>
    </w:p>
    <w:p>
      <w:pPr>
        <w:pStyle w:val="28"/>
        <w:keepNext w:val="0"/>
        <w:keepLines w:val="0"/>
        <w:pageBreakBefore w:val="0"/>
        <w:widowControl w:val="0"/>
        <w:numPr>
          <w:ilvl w:val="0"/>
          <w:numId w:val="0"/>
        </w:numPr>
        <w:tabs>
          <w:tab w:val="left" w:pos="426"/>
        </w:tabs>
        <w:suppressAutoHyphens w:val="0"/>
        <w:kinsoku/>
        <w:wordWrap/>
        <w:overflowPunct/>
        <w:topLinePunct w:val="0"/>
        <w:bidi w:val="0"/>
        <w:snapToGrid/>
        <w:spacing w:line="360" w:lineRule="auto"/>
        <w:ind w:left="0" w:leftChars="0"/>
        <w:textAlignment w:val="auto"/>
        <w:outlineLvl w:val="1"/>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4.3.3设备随机资料（如说明书、合格证、保修卡等）不齐全或不符合要求的，予以拒收，投标方需补充完整资料后重新交付验收。</w:t>
      </w:r>
    </w:p>
    <w:bookmarkEnd w:id="5"/>
    <w:bookmarkEnd w:id="6"/>
    <w:bookmarkEnd w:id="7"/>
    <w:bookmarkEnd w:id="8"/>
    <w:p>
      <w:pPr>
        <w:pStyle w:val="28"/>
        <w:keepNext w:val="0"/>
        <w:keepLines w:val="0"/>
        <w:pageBreakBefore w:val="0"/>
        <w:widowControl w:val="0"/>
        <w:numPr>
          <w:ilvl w:val="0"/>
          <w:numId w:val="0"/>
        </w:numPr>
        <w:tabs>
          <w:tab w:val="left" w:pos="426"/>
        </w:tabs>
        <w:suppressAutoHyphens w:val="0"/>
        <w:kinsoku/>
        <w:wordWrap/>
        <w:overflowPunct/>
        <w:topLinePunct w:val="0"/>
        <w:bidi w:val="0"/>
        <w:snapToGrid/>
        <w:spacing w:line="360" w:lineRule="auto"/>
        <w:ind w:left="0" w:leftChars="0"/>
        <w:textAlignment w:val="auto"/>
        <w:outlineLvl w:val="0"/>
        <w:rPr>
          <w:rFonts w:hint="eastAsia" w:asciiTheme="minorEastAsia" w:hAnsiTheme="minorEastAsia" w:eastAsiaTheme="minorEastAsia" w:cstheme="minorEastAsia"/>
          <w:b/>
          <w:bCs/>
          <w:color w:val="000000"/>
          <w:sz w:val="21"/>
          <w:szCs w:val="21"/>
          <w:lang w:val="en-US" w:eastAsia="zh-CN"/>
        </w:rPr>
      </w:pPr>
      <w:bookmarkStart w:id="14" w:name="_Toc14073"/>
      <w:bookmarkStart w:id="15" w:name="_Toc8295"/>
      <w:bookmarkStart w:id="16" w:name="_Toc4203"/>
      <w:r>
        <w:rPr>
          <w:rFonts w:hint="eastAsia" w:asciiTheme="minorEastAsia" w:hAnsiTheme="minorEastAsia" w:eastAsiaTheme="minorEastAsia" w:cstheme="minorEastAsia"/>
          <w:b/>
          <w:bCs/>
          <w:color w:val="000000"/>
          <w:sz w:val="21"/>
          <w:szCs w:val="21"/>
          <w:lang w:val="en-US" w:eastAsia="zh-CN"/>
        </w:rPr>
        <w:t>5.交货期</w:t>
      </w:r>
      <w:bookmarkEnd w:id="14"/>
      <w:bookmarkEnd w:id="15"/>
    </w:p>
    <w:bookmarkEnd w:id="16"/>
    <w:p>
      <w:pPr>
        <w:pStyle w:val="28"/>
        <w:keepNext w:val="0"/>
        <w:keepLines w:val="0"/>
        <w:pageBreakBefore w:val="0"/>
        <w:numPr>
          <w:ilvl w:val="0"/>
          <w:numId w:val="0"/>
        </w:numPr>
        <w:tabs>
          <w:tab w:val="left" w:pos="426"/>
        </w:tabs>
        <w:suppressAutoHyphens w:val="0"/>
        <w:kinsoku/>
        <w:wordWrap/>
        <w:overflowPunct/>
        <w:topLinePunct w:val="0"/>
        <w:autoSpaceDE/>
        <w:autoSpaceDN/>
        <w:bidi w:val="0"/>
        <w:adjustRightInd/>
        <w:snapToGrid/>
        <w:spacing w:line="360" w:lineRule="auto"/>
        <w:ind w:left="0" w:leftChars="0" w:firstLine="421"/>
        <w:jc w:val="left"/>
        <w:textAlignment w:val="auto"/>
        <w:outlineLvl w:val="0"/>
        <w:rPr>
          <w:rFonts w:hint="eastAsia" w:ascii="宋体" w:hAnsi="宋体" w:eastAsia="宋体" w:cs="宋体"/>
          <w:color w:val="auto"/>
          <w:kern w:val="2"/>
          <w:sz w:val="21"/>
          <w:szCs w:val="21"/>
          <w:highlight w:val="none"/>
          <w:lang w:val="en-US" w:eastAsia="zh-CN" w:bidi="ar-SA"/>
        </w:rPr>
      </w:pPr>
      <w:bookmarkStart w:id="17" w:name="_Toc32623"/>
      <w:bookmarkStart w:id="18" w:name="_Toc32035"/>
      <w:bookmarkStart w:id="19" w:name="_Toc17032"/>
      <w:r>
        <w:rPr>
          <w:rFonts w:hint="eastAsia" w:ascii="宋体" w:hAnsi="宋体" w:eastAsia="宋体" w:cs="宋体"/>
          <w:color w:val="auto"/>
          <w:kern w:val="2"/>
          <w:sz w:val="21"/>
          <w:szCs w:val="21"/>
          <w:highlight w:val="none"/>
          <w:lang w:val="en-US" w:eastAsia="zh-CN" w:bidi="ar-SA"/>
        </w:rPr>
        <w:t>签订合同后</w:t>
      </w:r>
      <w:r>
        <w:rPr>
          <w:rFonts w:hint="eastAsia" w:ascii="宋体" w:hAnsi="宋体" w:cs="宋体"/>
          <w:color w:val="auto"/>
          <w:kern w:val="2"/>
          <w:sz w:val="21"/>
          <w:szCs w:val="21"/>
          <w:highlight w:val="none"/>
          <w:lang w:val="en-US" w:eastAsia="zh-CN" w:bidi="ar-SA"/>
        </w:rPr>
        <w:t>45</w:t>
      </w:r>
      <w:r>
        <w:rPr>
          <w:rFonts w:hint="eastAsia" w:ascii="宋体" w:hAnsi="宋体" w:eastAsia="宋体" w:cs="宋体"/>
          <w:color w:val="auto"/>
          <w:kern w:val="2"/>
          <w:sz w:val="21"/>
          <w:szCs w:val="21"/>
          <w:highlight w:val="none"/>
          <w:lang w:val="en-US" w:eastAsia="zh-CN" w:bidi="ar-SA"/>
        </w:rPr>
        <w:t>天内送货</w:t>
      </w:r>
      <w:r>
        <w:rPr>
          <w:rFonts w:hint="eastAsia" w:ascii="宋体" w:hAnsi="宋体" w:cs="宋体"/>
          <w:color w:val="auto"/>
          <w:kern w:val="2"/>
          <w:sz w:val="21"/>
          <w:szCs w:val="21"/>
          <w:highlight w:val="none"/>
          <w:lang w:val="en-US" w:eastAsia="zh-CN" w:bidi="ar-SA"/>
        </w:rPr>
        <w:t>到</w:t>
      </w:r>
      <w:r>
        <w:rPr>
          <w:rFonts w:hint="eastAsia" w:ascii="宋体" w:hAnsi="宋体" w:eastAsia="宋体" w:cs="宋体"/>
          <w:color w:val="auto"/>
          <w:kern w:val="2"/>
          <w:sz w:val="21"/>
          <w:szCs w:val="21"/>
          <w:highlight w:val="none"/>
          <w:lang w:val="en-US" w:eastAsia="zh-CN" w:bidi="ar-SA"/>
        </w:rPr>
        <w:t>招标人</w:t>
      </w:r>
      <w:r>
        <w:rPr>
          <w:rFonts w:hint="eastAsia" w:ascii="宋体" w:hAnsi="宋体" w:cs="宋体"/>
          <w:color w:val="auto"/>
          <w:kern w:val="2"/>
          <w:sz w:val="21"/>
          <w:szCs w:val="21"/>
          <w:highlight w:val="none"/>
          <w:lang w:val="en-US" w:eastAsia="zh-CN" w:bidi="ar-SA"/>
        </w:rPr>
        <w:t>指定地点：湖北大峪口化工有限责任公司工业场地。</w:t>
      </w:r>
    </w:p>
    <w:p>
      <w:pPr>
        <w:pStyle w:val="28"/>
        <w:keepNext w:val="0"/>
        <w:keepLines w:val="0"/>
        <w:pageBreakBefore w:val="0"/>
        <w:widowControl w:val="0"/>
        <w:numPr>
          <w:ilvl w:val="0"/>
          <w:numId w:val="0"/>
        </w:numPr>
        <w:tabs>
          <w:tab w:val="left" w:pos="426"/>
        </w:tabs>
        <w:suppressAutoHyphens w:val="0"/>
        <w:kinsoku/>
        <w:wordWrap/>
        <w:overflowPunct/>
        <w:topLinePunct w:val="0"/>
        <w:bidi w:val="0"/>
        <w:snapToGrid/>
        <w:spacing w:line="360" w:lineRule="auto"/>
        <w:ind w:left="0" w:leftChars="0"/>
        <w:textAlignment w:val="auto"/>
        <w:outlineLvl w:val="0"/>
        <w:rPr>
          <w:rFonts w:hint="eastAsia" w:asciiTheme="minorEastAsia" w:hAnsiTheme="minorEastAsia" w:eastAsiaTheme="minorEastAsia" w:cstheme="minorEastAsia"/>
          <w:b/>
          <w:bCs/>
          <w:color w:val="000000"/>
          <w:sz w:val="21"/>
          <w:szCs w:val="21"/>
          <w:lang w:val="en-US" w:eastAsia="zh-CN"/>
        </w:rPr>
      </w:pPr>
      <w:r>
        <w:rPr>
          <w:rFonts w:hint="eastAsia" w:asciiTheme="minorEastAsia" w:hAnsiTheme="minorEastAsia" w:eastAsiaTheme="minorEastAsia" w:cstheme="minorEastAsia"/>
          <w:b/>
          <w:bCs/>
          <w:color w:val="000000"/>
          <w:sz w:val="21"/>
          <w:szCs w:val="21"/>
          <w:lang w:val="en-US" w:eastAsia="zh-CN"/>
        </w:rPr>
        <w:t>6.检验和试验</w:t>
      </w:r>
      <w:bookmarkEnd w:id="17"/>
      <w:bookmarkEnd w:id="18"/>
    </w:p>
    <w:bookmarkEnd w:id="19"/>
    <w:p>
      <w:pPr>
        <w:pStyle w:val="28"/>
        <w:keepNext w:val="0"/>
        <w:keepLines w:val="0"/>
        <w:pageBreakBefore w:val="0"/>
        <w:widowControl/>
        <w:numPr>
          <w:ilvl w:val="0"/>
          <w:numId w:val="0"/>
        </w:numPr>
        <w:tabs>
          <w:tab w:val="left" w:pos="426"/>
        </w:tabs>
        <w:suppressAutoHyphens w:val="0"/>
        <w:kinsoku/>
        <w:wordWrap/>
        <w:overflowPunct/>
        <w:topLinePunct w:val="0"/>
        <w:autoSpaceDE/>
        <w:autoSpaceDN/>
        <w:bidi w:val="0"/>
        <w:adjustRightInd/>
        <w:snapToGrid/>
        <w:spacing w:line="360" w:lineRule="auto"/>
        <w:ind w:leftChars="0" w:firstLine="420" w:firstLineChars="200"/>
        <w:textAlignment w:val="auto"/>
        <w:outlineLvl w:val="0"/>
        <w:rPr>
          <w:rFonts w:hint="default" w:ascii="宋体" w:hAnsi="宋体" w:cs="Times New Roman"/>
          <w:sz w:val="21"/>
          <w:szCs w:val="21"/>
          <w:highlight w:val="none"/>
          <w:lang w:val="en-US" w:eastAsia="zh-CN"/>
        </w:rPr>
      </w:pPr>
      <w:bookmarkStart w:id="20" w:name="_Toc381169831"/>
      <w:bookmarkStart w:id="21" w:name="_Toc380139610"/>
      <w:bookmarkStart w:id="22" w:name="_Toc21679"/>
      <w:bookmarkStart w:id="23" w:name="_Toc11797"/>
      <w:bookmarkStart w:id="24" w:name="_Toc27877"/>
      <w:bookmarkStart w:id="25" w:name="_Toc381706233"/>
      <w:bookmarkStart w:id="26" w:name="_Toc381706860"/>
      <w:bookmarkStart w:id="27" w:name="_Toc18857"/>
      <w:bookmarkStart w:id="28" w:name="_Toc354"/>
      <w:bookmarkStart w:id="29" w:name="_Toc381706332"/>
      <w:bookmarkStart w:id="30" w:name="_Toc381169840"/>
      <w:r>
        <w:rPr>
          <w:rFonts w:hint="eastAsia" w:ascii="宋体" w:hAnsi="宋体" w:cs="Times New Roman"/>
          <w:sz w:val="21"/>
          <w:szCs w:val="21"/>
          <w:highlight w:val="none"/>
          <w:lang w:val="en-US" w:eastAsia="zh-CN"/>
        </w:rPr>
        <w:t>按“4.2条款”要求进行验收，符合合同要求即完成验收。</w:t>
      </w:r>
    </w:p>
    <w:p>
      <w:pPr>
        <w:pStyle w:val="28"/>
        <w:keepNext w:val="0"/>
        <w:keepLines w:val="0"/>
        <w:pageBreakBefore w:val="0"/>
        <w:widowControl/>
        <w:numPr>
          <w:ilvl w:val="0"/>
          <w:numId w:val="0"/>
        </w:numPr>
        <w:tabs>
          <w:tab w:val="left" w:pos="426"/>
        </w:tabs>
        <w:suppressAutoHyphens w:val="0"/>
        <w:kinsoku/>
        <w:wordWrap/>
        <w:overflowPunct/>
        <w:topLinePunct w:val="0"/>
        <w:autoSpaceDE/>
        <w:autoSpaceDN/>
        <w:bidi w:val="0"/>
        <w:adjustRightInd/>
        <w:snapToGrid/>
        <w:spacing w:line="360" w:lineRule="auto"/>
        <w:ind w:left="0" w:leftChars="0"/>
        <w:jc w:val="left"/>
        <w:textAlignment w:val="auto"/>
        <w:outlineLvl w:val="9"/>
        <w:rPr>
          <w:rFonts w:hint="eastAsia" w:ascii="宋体" w:hAnsi="宋体" w:eastAsia="宋体" w:cs="宋体"/>
          <w:b/>
          <w:bCs w:val="0"/>
          <w:caps/>
          <w:color w:val="auto"/>
          <w:sz w:val="21"/>
          <w:szCs w:val="21"/>
          <w:lang w:val="en-US" w:eastAsia="zh-CN"/>
        </w:rPr>
      </w:pPr>
      <w:r>
        <w:rPr>
          <w:rFonts w:hint="eastAsia" w:ascii="宋体" w:hAnsi="宋体" w:cs="宋体"/>
          <w:b/>
          <w:bCs/>
          <w:color w:val="000000"/>
          <w:sz w:val="21"/>
          <w:szCs w:val="21"/>
          <w:lang w:val="en-US" w:eastAsia="zh-CN"/>
        </w:rPr>
        <w:t>7.</w:t>
      </w:r>
      <w:bookmarkEnd w:id="20"/>
      <w:bookmarkEnd w:id="21"/>
      <w:bookmarkEnd w:id="22"/>
      <w:r>
        <w:rPr>
          <w:rFonts w:hint="eastAsia" w:ascii="宋体" w:hAnsi="宋体" w:eastAsia="宋体" w:cs="宋体"/>
          <w:b/>
          <w:bCs w:val="0"/>
          <w:caps/>
          <w:color w:val="auto"/>
          <w:sz w:val="21"/>
          <w:szCs w:val="21"/>
          <w:lang w:val="en-US" w:eastAsia="zh-CN"/>
        </w:rPr>
        <w:t>质保条款</w:t>
      </w:r>
    </w:p>
    <w:bookmarkEnd w:id="23"/>
    <w:p>
      <w:pPr>
        <w:pStyle w:val="28"/>
        <w:keepNext w:val="0"/>
        <w:keepLines w:val="0"/>
        <w:pageBreakBefore w:val="0"/>
        <w:widowControl/>
        <w:numPr>
          <w:ilvl w:val="0"/>
          <w:numId w:val="0"/>
        </w:numPr>
        <w:tabs>
          <w:tab w:val="left" w:pos="426"/>
        </w:tabs>
        <w:suppressAutoHyphens w:val="0"/>
        <w:kinsoku/>
        <w:wordWrap/>
        <w:overflowPunct/>
        <w:topLinePunct w:val="0"/>
        <w:autoSpaceDE/>
        <w:autoSpaceDN/>
        <w:bidi w:val="0"/>
        <w:adjustRightInd/>
        <w:snapToGrid/>
        <w:spacing w:line="360" w:lineRule="auto"/>
        <w:ind w:left="0" w:leftChars="0" w:firstLine="420" w:firstLineChars="200"/>
        <w:jc w:val="left"/>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质保期为投标人交付该批货物并经验收合格后18个月或者全部货物安装调试结束并投入运行后12 个月，以先到者为准。在产品质保期内制造质量问题由投标方负责修理或更换。</w:t>
      </w:r>
    </w:p>
    <w:p>
      <w:pPr>
        <w:pStyle w:val="28"/>
        <w:numPr>
          <w:ilvl w:val="0"/>
          <w:numId w:val="0"/>
        </w:numPr>
        <w:tabs>
          <w:tab w:val="left" w:pos="426"/>
        </w:tabs>
        <w:suppressAutoHyphens w:val="0"/>
        <w:spacing w:line="360" w:lineRule="auto"/>
        <w:ind w:leftChars="0"/>
        <w:outlineLvl w:val="0"/>
        <w:rPr>
          <w:sz w:val="21"/>
          <w:szCs w:val="21"/>
        </w:rPr>
      </w:pPr>
      <w:bookmarkStart w:id="31" w:name="_Toc2038"/>
      <w:bookmarkStart w:id="32" w:name="_Toc12086"/>
      <w:r>
        <w:rPr>
          <w:rFonts w:hint="eastAsia" w:ascii="宋体" w:hAnsi="宋体"/>
          <w:b/>
          <w:bCs/>
          <w:color w:val="000000"/>
          <w:sz w:val="21"/>
          <w:szCs w:val="21"/>
          <w:lang w:val="en-US" w:eastAsia="zh-CN"/>
        </w:rPr>
        <w:t>8.</w:t>
      </w:r>
      <w:r>
        <w:rPr>
          <w:rFonts w:hint="eastAsia" w:ascii="宋体" w:hAnsi="宋体"/>
          <w:b/>
          <w:bCs/>
          <w:color w:val="000000"/>
          <w:sz w:val="21"/>
          <w:szCs w:val="21"/>
        </w:rPr>
        <w:t>技术投标文件要求</w:t>
      </w:r>
      <w:bookmarkEnd w:id="31"/>
      <w:bookmarkEnd w:id="32"/>
    </w:p>
    <w:p>
      <w:pPr>
        <w:numPr>
          <w:ilvl w:val="0"/>
          <w:numId w:val="6"/>
        </w:numPr>
        <w:spacing w:line="360" w:lineRule="auto"/>
        <w:rPr>
          <w:b w:val="0"/>
          <w:bCs w:val="0"/>
          <w:color w:val="auto"/>
          <w:szCs w:val="21"/>
        </w:rPr>
      </w:pPr>
      <w:r>
        <w:rPr>
          <w:rFonts w:hint="eastAsia"/>
          <w:b w:val="0"/>
          <w:bCs w:val="0"/>
          <w:color w:val="auto"/>
          <w:szCs w:val="21"/>
        </w:rPr>
        <w:t>公司简介</w:t>
      </w:r>
    </w:p>
    <w:p>
      <w:pPr>
        <w:numPr>
          <w:ilvl w:val="0"/>
          <w:numId w:val="6"/>
        </w:numPr>
        <w:spacing w:line="360" w:lineRule="auto"/>
        <w:rPr>
          <w:b w:val="0"/>
          <w:bCs w:val="0"/>
          <w:color w:val="auto"/>
          <w:szCs w:val="21"/>
        </w:rPr>
      </w:pPr>
      <w:r>
        <w:rPr>
          <w:rFonts w:hint="eastAsia"/>
          <w:b w:val="0"/>
          <w:bCs w:val="0"/>
          <w:color w:val="auto"/>
          <w:szCs w:val="21"/>
        </w:rPr>
        <w:t>公司、</w:t>
      </w:r>
      <w:r>
        <w:rPr>
          <w:b w:val="0"/>
          <w:bCs w:val="0"/>
          <w:color w:val="auto"/>
          <w:szCs w:val="21"/>
        </w:rPr>
        <w:t>人员</w:t>
      </w:r>
      <w:r>
        <w:rPr>
          <w:rFonts w:hint="eastAsia"/>
          <w:b w:val="0"/>
          <w:bCs w:val="0"/>
          <w:color w:val="auto"/>
          <w:szCs w:val="21"/>
        </w:rPr>
        <w:t>资质及取证情况，包括但不限于：</w:t>
      </w:r>
      <w:r>
        <w:rPr>
          <w:b w:val="0"/>
          <w:bCs w:val="0"/>
          <w:color w:val="auto"/>
          <w:szCs w:val="21"/>
        </w:rPr>
        <w:t>提供有效的安全生产许可证、</w:t>
      </w:r>
      <w:r>
        <w:rPr>
          <w:rFonts w:hint="eastAsia"/>
          <w:b w:val="0"/>
          <w:bCs w:val="0"/>
          <w:color w:val="auto"/>
          <w:szCs w:val="21"/>
        </w:rPr>
        <w:t>资质及等级证、</w:t>
      </w:r>
      <w:r>
        <w:rPr>
          <w:b w:val="0"/>
          <w:bCs w:val="0"/>
          <w:color w:val="auto"/>
          <w:szCs w:val="21"/>
        </w:rPr>
        <w:t>ISO1400环境管理体系认证、ISO9001质量管理体系认证和GB/T28001职业健康安全管理体系认证</w:t>
      </w:r>
      <w:r>
        <w:rPr>
          <w:rFonts w:hint="eastAsia"/>
          <w:b w:val="0"/>
          <w:bCs w:val="0"/>
          <w:color w:val="auto"/>
          <w:szCs w:val="21"/>
        </w:rPr>
        <w:t>。</w:t>
      </w:r>
    </w:p>
    <w:p>
      <w:pPr>
        <w:numPr>
          <w:ilvl w:val="0"/>
          <w:numId w:val="6"/>
        </w:numPr>
        <w:spacing w:line="360" w:lineRule="auto"/>
        <w:rPr>
          <w:b w:val="0"/>
          <w:bCs w:val="0"/>
          <w:color w:val="auto"/>
          <w:szCs w:val="21"/>
        </w:rPr>
      </w:pPr>
      <w:r>
        <w:rPr>
          <w:rFonts w:hint="eastAsia"/>
          <w:b w:val="0"/>
          <w:bCs w:val="0"/>
          <w:color w:val="auto"/>
          <w:szCs w:val="21"/>
        </w:rPr>
        <w:t>近</w:t>
      </w:r>
      <w:r>
        <w:rPr>
          <w:rFonts w:hint="eastAsia"/>
          <w:b w:val="0"/>
          <w:bCs w:val="0"/>
          <w:color w:val="auto"/>
          <w:szCs w:val="21"/>
          <w:lang w:val="en-US" w:eastAsia="zh-CN"/>
        </w:rPr>
        <w:t>5</w:t>
      </w:r>
      <w:r>
        <w:rPr>
          <w:rFonts w:hint="eastAsia"/>
          <w:b w:val="0"/>
          <w:bCs w:val="0"/>
          <w:color w:val="auto"/>
          <w:szCs w:val="21"/>
        </w:rPr>
        <w:t>年内同类或类似设备制造业绩。</w:t>
      </w:r>
    </w:p>
    <w:p>
      <w:pPr>
        <w:numPr>
          <w:ilvl w:val="0"/>
          <w:numId w:val="6"/>
        </w:numPr>
        <w:spacing w:line="360" w:lineRule="auto"/>
        <w:rPr>
          <w:b w:val="0"/>
          <w:bCs w:val="0"/>
          <w:color w:val="auto"/>
          <w:szCs w:val="21"/>
        </w:rPr>
      </w:pPr>
      <w:r>
        <w:rPr>
          <w:rFonts w:hint="eastAsia"/>
          <w:b w:val="0"/>
          <w:bCs w:val="0"/>
          <w:color w:val="auto"/>
          <w:szCs w:val="21"/>
        </w:rPr>
        <w:t>所使用的标准规范。</w:t>
      </w:r>
    </w:p>
    <w:p>
      <w:pPr>
        <w:numPr>
          <w:ilvl w:val="0"/>
          <w:numId w:val="6"/>
        </w:numPr>
        <w:spacing w:line="360" w:lineRule="auto"/>
        <w:rPr>
          <w:rFonts w:hint="eastAsia"/>
          <w:b w:val="0"/>
          <w:bCs w:val="0"/>
          <w:color w:val="auto"/>
          <w:szCs w:val="21"/>
        </w:rPr>
      </w:pPr>
      <w:r>
        <w:rPr>
          <w:rFonts w:hint="eastAsia"/>
          <w:b w:val="0"/>
          <w:bCs w:val="0"/>
          <w:color w:val="auto"/>
          <w:szCs w:val="21"/>
        </w:rPr>
        <w:t>供货范围及</w:t>
      </w:r>
      <w:r>
        <w:rPr>
          <w:b w:val="0"/>
          <w:bCs w:val="0"/>
          <w:color w:val="auto"/>
          <w:szCs w:val="21"/>
        </w:rPr>
        <w:t>交货期</w:t>
      </w:r>
      <w:r>
        <w:rPr>
          <w:rFonts w:hint="eastAsia"/>
          <w:b w:val="0"/>
          <w:bCs w:val="0"/>
          <w:color w:val="auto"/>
          <w:szCs w:val="21"/>
        </w:rPr>
        <w:t>。</w:t>
      </w:r>
    </w:p>
    <w:p>
      <w:pPr>
        <w:numPr>
          <w:ilvl w:val="0"/>
          <w:numId w:val="6"/>
        </w:numPr>
        <w:spacing w:line="360" w:lineRule="auto"/>
        <w:rPr>
          <w:b w:val="0"/>
          <w:bCs w:val="0"/>
          <w:color w:val="auto"/>
          <w:szCs w:val="21"/>
        </w:rPr>
      </w:pPr>
      <w:r>
        <w:rPr>
          <w:rFonts w:hint="eastAsia"/>
          <w:b w:val="0"/>
          <w:bCs w:val="0"/>
          <w:color w:val="auto"/>
          <w:szCs w:val="21"/>
        </w:rPr>
        <w:t>详细的进度控制计划表及进度保证措施。</w:t>
      </w:r>
    </w:p>
    <w:p>
      <w:pPr>
        <w:numPr>
          <w:ilvl w:val="0"/>
          <w:numId w:val="6"/>
        </w:numPr>
        <w:spacing w:line="360" w:lineRule="auto"/>
        <w:rPr>
          <w:b w:val="0"/>
          <w:bCs w:val="0"/>
          <w:color w:val="auto"/>
          <w:szCs w:val="21"/>
        </w:rPr>
      </w:pPr>
      <w:r>
        <w:rPr>
          <w:rFonts w:hint="eastAsia"/>
          <w:b w:val="0"/>
          <w:bCs w:val="0"/>
          <w:color w:val="auto"/>
          <w:szCs w:val="21"/>
        </w:rPr>
        <w:t>质量保证措施。</w:t>
      </w:r>
    </w:p>
    <w:p>
      <w:pPr>
        <w:numPr>
          <w:ilvl w:val="0"/>
          <w:numId w:val="6"/>
        </w:numPr>
        <w:spacing w:line="360" w:lineRule="auto"/>
        <w:rPr>
          <w:b w:val="0"/>
          <w:bCs w:val="0"/>
          <w:color w:val="auto"/>
          <w:szCs w:val="21"/>
        </w:rPr>
      </w:pPr>
      <w:r>
        <w:rPr>
          <w:rFonts w:hint="eastAsia"/>
          <w:b w:val="0"/>
          <w:bCs w:val="0"/>
          <w:color w:val="auto"/>
          <w:szCs w:val="21"/>
        </w:rPr>
        <w:t>服务及质量承诺。</w:t>
      </w:r>
    </w:p>
    <w:p>
      <w:pPr>
        <w:numPr>
          <w:ilvl w:val="0"/>
          <w:numId w:val="6"/>
        </w:numPr>
        <w:spacing w:line="360" w:lineRule="auto"/>
        <w:rPr>
          <w:rFonts w:hint="eastAsia"/>
          <w:b w:val="0"/>
          <w:bCs w:val="0"/>
          <w:color w:val="auto"/>
          <w:szCs w:val="21"/>
        </w:rPr>
      </w:pPr>
      <w:r>
        <w:rPr>
          <w:rFonts w:hint="eastAsia"/>
          <w:b w:val="0"/>
          <w:bCs w:val="0"/>
          <w:color w:val="auto"/>
          <w:szCs w:val="21"/>
        </w:rPr>
        <w:t>技术偏离等。（</w:t>
      </w:r>
      <w:r>
        <w:rPr>
          <w:b w:val="0"/>
          <w:bCs w:val="0"/>
          <w:color w:val="auto"/>
          <w:szCs w:val="21"/>
        </w:rPr>
        <w:t>附件</w:t>
      </w:r>
      <w:r>
        <w:rPr>
          <w:rFonts w:hint="eastAsia"/>
          <w:b w:val="0"/>
          <w:bCs w:val="0"/>
          <w:color w:val="auto"/>
          <w:szCs w:val="21"/>
          <w:lang w:val="en-US" w:eastAsia="zh-CN"/>
        </w:rPr>
        <w:t>1</w:t>
      </w:r>
      <w:r>
        <w:rPr>
          <w:rFonts w:hint="eastAsia"/>
          <w:b w:val="0"/>
          <w:bCs w:val="0"/>
          <w:color w:val="auto"/>
          <w:szCs w:val="21"/>
        </w:rPr>
        <w:t>）</w:t>
      </w:r>
    </w:p>
    <w:p>
      <w:pPr>
        <w:pStyle w:val="28"/>
        <w:numPr>
          <w:ilvl w:val="0"/>
          <w:numId w:val="0"/>
        </w:numPr>
        <w:tabs>
          <w:tab w:val="left" w:pos="426"/>
        </w:tabs>
        <w:suppressAutoHyphens w:val="0"/>
        <w:spacing w:line="360" w:lineRule="auto"/>
        <w:ind w:leftChars="0"/>
        <w:outlineLvl w:val="0"/>
        <w:rPr>
          <w:rFonts w:hint="eastAsia" w:ascii="宋体" w:hAnsi="宋体"/>
          <w:sz w:val="21"/>
          <w:szCs w:val="21"/>
          <w:lang w:val="zh-CN"/>
        </w:rPr>
      </w:pPr>
      <w:bookmarkStart w:id="33" w:name="_Toc16624"/>
      <w:bookmarkStart w:id="34" w:name="_Toc7747"/>
      <w:r>
        <w:rPr>
          <w:rFonts w:hint="eastAsia" w:ascii="宋体" w:hAnsi="宋体"/>
          <w:b/>
          <w:bCs/>
          <w:color w:val="000000"/>
          <w:sz w:val="21"/>
          <w:szCs w:val="21"/>
          <w:lang w:val="en-US" w:eastAsia="zh-CN"/>
        </w:rPr>
        <w:t>9.</w:t>
      </w:r>
      <w:r>
        <w:rPr>
          <w:rFonts w:hint="eastAsia" w:ascii="宋体" w:hAnsi="宋体"/>
          <w:b/>
          <w:bCs/>
          <w:color w:val="000000"/>
          <w:sz w:val="21"/>
          <w:szCs w:val="21"/>
          <w:lang w:eastAsia="zh-CN"/>
        </w:rPr>
        <w:t>投标方</w:t>
      </w:r>
      <w:r>
        <w:rPr>
          <w:rFonts w:hint="eastAsia" w:ascii="宋体" w:hAnsi="宋体"/>
          <w:b/>
          <w:bCs/>
          <w:color w:val="000000"/>
          <w:sz w:val="21"/>
          <w:szCs w:val="21"/>
        </w:rPr>
        <w:t>应提供的设备出厂资料</w:t>
      </w:r>
      <w:bookmarkEnd w:id="33"/>
      <w:bookmarkEnd w:id="34"/>
    </w:p>
    <w:p>
      <w:pPr>
        <w:spacing w:line="360" w:lineRule="auto"/>
        <w:rPr>
          <w:rFonts w:ascii="宋体" w:hAnsi="宋体"/>
          <w:szCs w:val="21"/>
        </w:rPr>
      </w:pPr>
      <w:r>
        <w:rPr>
          <w:rFonts w:hint="eastAsia" w:ascii="宋体" w:hAnsi="宋体"/>
          <w:szCs w:val="21"/>
        </w:rPr>
        <w:t>设备制造完毕后随箱</w:t>
      </w:r>
      <w:r>
        <w:rPr>
          <w:rFonts w:ascii="宋体" w:hAnsi="宋体"/>
          <w:szCs w:val="21"/>
        </w:rPr>
        <w:t>提供</w:t>
      </w:r>
      <w:r>
        <w:rPr>
          <w:rFonts w:hint="eastAsia" w:ascii="宋体" w:hAnsi="宋体"/>
          <w:szCs w:val="21"/>
        </w:rPr>
        <w:t>设备出厂</w:t>
      </w:r>
      <w:r>
        <w:rPr>
          <w:rFonts w:ascii="宋体" w:hAnsi="宋体"/>
          <w:szCs w:val="21"/>
        </w:rPr>
        <w:t>资料</w:t>
      </w:r>
      <w:r>
        <w:rPr>
          <w:rFonts w:hint="eastAsia" w:ascii="宋体" w:hAnsi="宋体"/>
          <w:szCs w:val="21"/>
        </w:rPr>
        <w:t>，</w:t>
      </w:r>
      <w:r>
        <w:rPr>
          <w:rFonts w:hint="eastAsia"/>
          <w:szCs w:val="21"/>
          <w:lang w:val="en-US" w:eastAsia="zh-CN"/>
        </w:rPr>
        <w:t>每台阀门</w:t>
      </w:r>
      <w:r>
        <w:rPr>
          <w:rFonts w:hint="eastAsia" w:ascii="宋体" w:hAnsi="宋体"/>
          <w:szCs w:val="21"/>
        </w:rPr>
        <w:t>纸版</w:t>
      </w:r>
      <w:r>
        <w:rPr>
          <w:rFonts w:hint="eastAsia"/>
          <w:szCs w:val="21"/>
          <w:lang w:val="en-US" w:eastAsia="zh-CN"/>
        </w:rPr>
        <w:t>6</w:t>
      </w:r>
      <w:r>
        <w:rPr>
          <w:rFonts w:hint="eastAsia" w:ascii="宋体" w:hAnsi="宋体"/>
          <w:szCs w:val="21"/>
        </w:rPr>
        <w:t>份</w:t>
      </w:r>
      <w:r>
        <w:rPr>
          <w:rFonts w:ascii="宋体" w:hAnsi="宋体"/>
          <w:szCs w:val="21"/>
        </w:rPr>
        <w:t>，电子版</w:t>
      </w:r>
      <w:r>
        <w:rPr>
          <w:rFonts w:hint="eastAsia" w:ascii="宋体" w:hAnsi="宋体"/>
          <w:szCs w:val="21"/>
        </w:rPr>
        <w:t>1份</w:t>
      </w:r>
      <w:r>
        <w:rPr>
          <w:rFonts w:ascii="宋体" w:hAnsi="宋体"/>
          <w:szCs w:val="21"/>
        </w:rPr>
        <w:t>。</w:t>
      </w:r>
    </w:p>
    <w:p>
      <w:pPr>
        <w:pStyle w:val="29"/>
        <w:keepNext/>
        <w:keepLines w:val="0"/>
        <w:pageBreakBefore w:val="0"/>
        <w:widowControl w:val="0"/>
        <w:kinsoku/>
        <w:wordWrap/>
        <w:overflowPunct/>
        <w:topLinePunct w:val="0"/>
        <w:bidi w:val="0"/>
        <w:snapToGrid/>
        <w:ind w:left="0"/>
        <w:textAlignment w:val="auto"/>
        <w:rPr>
          <w:rFonts w:hint="eastAsia" w:asciiTheme="minorEastAsia" w:hAnsiTheme="minorEastAsia" w:eastAsiaTheme="minorEastAsia" w:cstheme="minorEastAsia"/>
          <w:sz w:val="21"/>
          <w:szCs w:val="21"/>
        </w:rPr>
      </w:pPr>
    </w:p>
    <w:p>
      <w:pPr>
        <w:pStyle w:val="29"/>
        <w:keepNext/>
        <w:keepLines w:val="0"/>
        <w:pageBreakBefore w:val="0"/>
        <w:widowControl w:val="0"/>
        <w:kinsoku/>
        <w:wordWrap/>
        <w:overflowPunct/>
        <w:topLinePunct w:val="0"/>
        <w:bidi w:val="0"/>
        <w:snapToGrid/>
        <w:ind w:left="0"/>
        <w:textAlignment w:val="auto"/>
        <w:rPr>
          <w:rFonts w:hint="eastAsia" w:asciiTheme="minorEastAsia" w:hAnsiTheme="minorEastAsia" w:eastAsiaTheme="minorEastAsia" w:cstheme="minorEastAsia"/>
          <w:sz w:val="21"/>
          <w:szCs w:val="21"/>
        </w:rPr>
      </w:pPr>
    </w:p>
    <w:p>
      <w:pPr>
        <w:pStyle w:val="29"/>
        <w:keepNext/>
        <w:keepLines w:val="0"/>
        <w:pageBreakBefore w:val="0"/>
        <w:widowControl w:val="0"/>
        <w:kinsoku/>
        <w:wordWrap/>
        <w:overflowPunct/>
        <w:topLinePunct w:val="0"/>
        <w:bidi w:val="0"/>
        <w:snapToGrid/>
        <w:ind w:left="0"/>
        <w:textAlignment w:val="auto"/>
        <w:rPr>
          <w:rFonts w:hint="eastAsia" w:asciiTheme="minorEastAsia" w:hAnsiTheme="minorEastAsia" w:eastAsiaTheme="minorEastAsia" w:cstheme="minorEastAsia"/>
          <w:sz w:val="21"/>
          <w:szCs w:val="21"/>
        </w:rPr>
      </w:pPr>
    </w:p>
    <w:p>
      <w:pPr>
        <w:pStyle w:val="29"/>
        <w:keepNext/>
        <w:keepLines w:val="0"/>
        <w:pageBreakBefore w:val="0"/>
        <w:widowControl w:val="0"/>
        <w:kinsoku/>
        <w:wordWrap/>
        <w:overflowPunct/>
        <w:topLinePunct w:val="0"/>
        <w:bidi w:val="0"/>
        <w:snapToGrid/>
        <w:ind w:left="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附件</w:t>
      </w: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技术偏离表</w:t>
      </w:r>
      <w:bookmarkEnd w:id="24"/>
      <w:bookmarkEnd w:id="25"/>
      <w:bookmarkEnd w:id="26"/>
      <w:bookmarkEnd w:id="27"/>
      <w:bookmarkEnd w:id="28"/>
      <w:bookmarkEnd w:id="29"/>
      <w:bookmarkEnd w:id="30"/>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5"/>
        <w:gridCol w:w="1118"/>
        <w:gridCol w:w="3135"/>
        <w:gridCol w:w="1007"/>
        <w:gridCol w:w="39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 w:hRule="atLeast"/>
        </w:trPr>
        <w:tc>
          <w:tcPr>
            <w:tcW w:w="394" w:type="pct"/>
            <w:vMerge w:val="restart"/>
            <w:noWrap w:val="0"/>
            <w:vAlign w:val="center"/>
          </w:tcPr>
          <w:p>
            <w:pPr>
              <w:keepNext/>
              <w:keepLines w:val="0"/>
              <w:pageBreakBefore w:val="0"/>
              <w:widowControl w:val="0"/>
              <w:kinsoku/>
              <w:wordWrap/>
              <w:overflowPunct/>
              <w:topLinePunct w:val="0"/>
              <w:bidi w:val="0"/>
              <w:snapToGrid/>
              <w:spacing w:line="480" w:lineRule="exact"/>
              <w:ind w:left="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序号</w:t>
            </w:r>
          </w:p>
        </w:tc>
        <w:tc>
          <w:tcPr>
            <w:tcW w:w="2134" w:type="pct"/>
            <w:gridSpan w:val="2"/>
            <w:noWrap w:val="0"/>
            <w:vAlign w:val="center"/>
          </w:tcPr>
          <w:p>
            <w:pPr>
              <w:keepNext/>
              <w:keepLines w:val="0"/>
              <w:pageBreakBefore w:val="0"/>
              <w:widowControl w:val="0"/>
              <w:kinsoku/>
              <w:wordWrap/>
              <w:overflowPunct/>
              <w:topLinePunct w:val="0"/>
              <w:bidi w:val="0"/>
              <w:snapToGrid/>
              <w:spacing w:line="480" w:lineRule="exact"/>
              <w:ind w:left="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技术文件</w:t>
            </w:r>
          </w:p>
        </w:tc>
        <w:tc>
          <w:tcPr>
            <w:tcW w:w="2470" w:type="pct"/>
            <w:gridSpan w:val="2"/>
            <w:noWrap w:val="0"/>
            <w:vAlign w:val="center"/>
          </w:tcPr>
          <w:p>
            <w:pPr>
              <w:keepNext/>
              <w:keepLines w:val="0"/>
              <w:pageBreakBefore w:val="0"/>
              <w:widowControl w:val="0"/>
              <w:kinsoku/>
              <w:wordWrap/>
              <w:overflowPunct/>
              <w:topLinePunct w:val="0"/>
              <w:bidi w:val="0"/>
              <w:snapToGrid/>
              <w:spacing w:line="480" w:lineRule="exact"/>
              <w:ind w:left="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94" w:type="pct"/>
            <w:vMerge w:val="continue"/>
            <w:noWrap w:val="0"/>
            <w:vAlign w:val="center"/>
          </w:tcPr>
          <w:p>
            <w:pPr>
              <w:keepNext/>
              <w:keepLines w:val="0"/>
              <w:pageBreakBefore w:val="0"/>
              <w:widowControl w:val="0"/>
              <w:kinsoku/>
              <w:wordWrap/>
              <w:overflowPunct/>
              <w:topLinePunct w:val="0"/>
              <w:bidi w:val="0"/>
              <w:snapToGrid/>
              <w:spacing w:line="480" w:lineRule="exact"/>
              <w:ind w:left="0"/>
              <w:jc w:val="center"/>
              <w:textAlignment w:val="auto"/>
              <w:rPr>
                <w:rFonts w:hint="eastAsia" w:asciiTheme="minorEastAsia" w:hAnsiTheme="minorEastAsia" w:eastAsiaTheme="minorEastAsia" w:cstheme="minorEastAsia"/>
                <w:sz w:val="21"/>
                <w:szCs w:val="21"/>
              </w:rPr>
            </w:pPr>
          </w:p>
        </w:tc>
        <w:tc>
          <w:tcPr>
            <w:tcW w:w="561" w:type="pct"/>
            <w:noWrap w:val="0"/>
            <w:vAlign w:val="center"/>
          </w:tcPr>
          <w:p>
            <w:pPr>
              <w:keepNext/>
              <w:keepLines w:val="0"/>
              <w:pageBreakBefore w:val="0"/>
              <w:widowControl w:val="0"/>
              <w:kinsoku/>
              <w:wordWrap/>
              <w:overflowPunct/>
              <w:topLinePunct w:val="0"/>
              <w:bidi w:val="0"/>
              <w:snapToGrid/>
              <w:spacing w:line="480" w:lineRule="exact"/>
              <w:ind w:left="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条目</w:t>
            </w:r>
          </w:p>
        </w:tc>
        <w:tc>
          <w:tcPr>
            <w:tcW w:w="1573" w:type="pct"/>
            <w:noWrap w:val="0"/>
            <w:vAlign w:val="center"/>
          </w:tcPr>
          <w:p>
            <w:pPr>
              <w:keepNext/>
              <w:keepLines w:val="0"/>
              <w:pageBreakBefore w:val="0"/>
              <w:widowControl w:val="0"/>
              <w:kinsoku/>
              <w:wordWrap/>
              <w:overflowPunct/>
              <w:topLinePunct w:val="0"/>
              <w:bidi w:val="0"/>
              <w:snapToGrid/>
              <w:spacing w:line="480" w:lineRule="exact"/>
              <w:ind w:left="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简要内容</w:t>
            </w:r>
          </w:p>
        </w:tc>
        <w:tc>
          <w:tcPr>
            <w:tcW w:w="505" w:type="pct"/>
            <w:noWrap w:val="0"/>
            <w:vAlign w:val="center"/>
          </w:tcPr>
          <w:p>
            <w:pPr>
              <w:keepNext/>
              <w:keepLines w:val="0"/>
              <w:pageBreakBefore w:val="0"/>
              <w:widowControl w:val="0"/>
              <w:kinsoku/>
              <w:wordWrap/>
              <w:overflowPunct/>
              <w:topLinePunct w:val="0"/>
              <w:bidi w:val="0"/>
              <w:snapToGrid/>
              <w:spacing w:line="480" w:lineRule="exact"/>
              <w:ind w:left="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条目</w:t>
            </w:r>
          </w:p>
        </w:tc>
        <w:tc>
          <w:tcPr>
            <w:tcW w:w="1965" w:type="pct"/>
            <w:noWrap w:val="0"/>
            <w:vAlign w:val="center"/>
          </w:tcPr>
          <w:p>
            <w:pPr>
              <w:keepNext/>
              <w:keepLines w:val="0"/>
              <w:pageBreakBefore w:val="0"/>
              <w:widowControl w:val="0"/>
              <w:kinsoku/>
              <w:wordWrap/>
              <w:overflowPunct/>
              <w:topLinePunct w:val="0"/>
              <w:bidi w:val="0"/>
              <w:snapToGrid/>
              <w:spacing w:line="480" w:lineRule="exact"/>
              <w:ind w:left="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简要内容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5" w:hRule="atLeast"/>
        </w:trPr>
        <w:tc>
          <w:tcPr>
            <w:tcW w:w="394" w:type="pct"/>
            <w:noWrap w:val="0"/>
            <w:vAlign w:val="center"/>
          </w:tcPr>
          <w:p>
            <w:pPr>
              <w:keepNext/>
              <w:keepLines w:val="0"/>
              <w:pageBreakBefore w:val="0"/>
              <w:widowControl w:val="0"/>
              <w:kinsoku/>
              <w:wordWrap/>
              <w:overflowPunct/>
              <w:topLinePunct w:val="0"/>
              <w:bidi w:val="0"/>
              <w:snapToGrid/>
              <w:spacing w:line="480" w:lineRule="exact"/>
              <w:ind w:left="0"/>
              <w:jc w:val="center"/>
              <w:textAlignment w:val="auto"/>
              <w:rPr>
                <w:rFonts w:hint="eastAsia" w:asciiTheme="minorEastAsia" w:hAnsiTheme="minorEastAsia" w:eastAsiaTheme="minorEastAsia" w:cstheme="minorEastAsia"/>
                <w:sz w:val="21"/>
                <w:szCs w:val="21"/>
              </w:rPr>
            </w:pPr>
          </w:p>
        </w:tc>
        <w:tc>
          <w:tcPr>
            <w:tcW w:w="561" w:type="pct"/>
            <w:noWrap w:val="0"/>
            <w:vAlign w:val="center"/>
          </w:tcPr>
          <w:p>
            <w:pPr>
              <w:keepNext/>
              <w:keepLines w:val="0"/>
              <w:pageBreakBefore w:val="0"/>
              <w:widowControl w:val="0"/>
              <w:kinsoku/>
              <w:wordWrap/>
              <w:overflowPunct/>
              <w:topLinePunct w:val="0"/>
              <w:bidi w:val="0"/>
              <w:snapToGrid/>
              <w:spacing w:line="480" w:lineRule="exact"/>
              <w:ind w:left="0"/>
              <w:jc w:val="center"/>
              <w:textAlignment w:val="auto"/>
              <w:rPr>
                <w:rFonts w:hint="eastAsia" w:asciiTheme="minorEastAsia" w:hAnsiTheme="minorEastAsia" w:eastAsiaTheme="minorEastAsia" w:cstheme="minorEastAsia"/>
                <w:sz w:val="21"/>
                <w:szCs w:val="21"/>
              </w:rPr>
            </w:pPr>
          </w:p>
        </w:tc>
        <w:tc>
          <w:tcPr>
            <w:tcW w:w="1573" w:type="pct"/>
            <w:noWrap w:val="0"/>
            <w:vAlign w:val="center"/>
          </w:tcPr>
          <w:p>
            <w:pPr>
              <w:keepNext/>
              <w:keepLines w:val="0"/>
              <w:pageBreakBefore w:val="0"/>
              <w:widowControl w:val="0"/>
              <w:kinsoku/>
              <w:wordWrap/>
              <w:overflowPunct/>
              <w:topLinePunct w:val="0"/>
              <w:bidi w:val="0"/>
              <w:snapToGrid/>
              <w:spacing w:line="480" w:lineRule="exact"/>
              <w:ind w:left="0"/>
              <w:jc w:val="center"/>
              <w:textAlignment w:val="auto"/>
              <w:rPr>
                <w:rFonts w:hint="eastAsia" w:asciiTheme="minorEastAsia" w:hAnsiTheme="minorEastAsia" w:eastAsiaTheme="minorEastAsia" w:cstheme="minorEastAsia"/>
                <w:sz w:val="21"/>
                <w:szCs w:val="21"/>
              </w:rPr>
            </w:pPr>
          </w:p>
        </w:tc>
        <w:tc>
          <w:tcPr>
            <w:tcW w:w="505" w:type="pct"/>
            <w:noWrap w:val="0"/>
            <w:vAlign w:val="center"/>
          </w:tcPr>
          <w:p>
            <w:pPr>
              <w:keepNext/>
              <w:keepLines w:val="0"/>
              <w:pageBreakBefore w:val="0"/>
              <w:widowControl w:val="0"/>
              <w:kinsoku/>
              <w:wordWrap/>
              <w:overflowPunct/>
              <w:topLinePunct w:val="0"/>
              <w:bidi w:val="0"/>
              <w:snapToGrid/>
              <w:spacing w:line="480" w:lineRule="exact"/>
              <w:ind w:left="0"/>
              <w:jc w:val="center"/>
              <w:textAlignment w:val="auto"/>
              <w:rPr>
                <w:rFonts w:hint="eastAsia" w:asciiTheme="minorEastAsia" w:hAnsiTheme="minorEastAsia" w:eastAsiaTheme="minorEastAsia" w:cstheme="minorEastAsia"/>
                <w:sz w:val="21"/>
                <w:szCs w:val="21"/>
              </w:rPr>
            </w:pPr>
          </w:p>
        </w:tc>
        <w:tc>
          <w:tcPr>
            <w:tcW w:w="1965" w:type="pct"/>
            <w:noWrap w:val="0"/>
            <w:vAlign w:val="center"/>
          </w:tcPr>
          <w:p>
            <w:pPr>
              <w:keepNext/>
              <w:keepLines w:val="0"/>
              <w:pageBreakBefore w:val="0"/>
              <w:widowControl w:val="0"/>
              <w:kinsoku/>
              <w:wordWrap/>
              <w:overflowPunct/>
              <w:topLinePunct w:val="0"/>
              <w:bidi w:val="0"/>
              <w:snapToGrid/>
              <w:spacing w:line="480" w:lineRule="exact"/>
              <w:ind w:left="0"/>
              <w:jc w:val="center"/>
              <w:textAlignment w:val="auto"/>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94" w:type="pct"/>
            <w:noWrap w:val="0"/>
            <w:vAlign w:val="top"/>
          </w:tcPr>
          <w:p>
            <w:pPr>
              <w:keepNext/>
              <w:keepLines w:val="0"/>
              <w:pageBreakBefore w:val="0"/>
              <w:widowControl w:val="0"/>
              <w:kinsoku/>
              <w:wordWrap/>
              <w:overflowPunct/>
              <w:topLinePunct w:val="0"/>
              <w:bidi w:val="0"/>
              <w:snapToGrid/>
              <w:spacing w:line="480" w:lineRule="exact"/>
              <w:ind w:left="0"/>
              <w:textAlignment w:val="auto"/>
              <w:rPr>
                <w:rFonts w:hint="eastAsia" w:asciiTheme="minorEastAsia" w:hAnsiTheme="minorEastAsia" w:eastAsiaTheme="minorEastAsia" w:cstheme="minorEastAsia"/>
                <w:sz w:val="21"/>
                <w:szCs w:val="21"/>
              </w:rPr>
            </w:pPr>
          </w:p>
        </w:tc>
        <w:tc>
          <w:tcPr>
            <w:tcW w:w="561" w:type="pct"/>
            <w:noWrap w:val="0"/>
            <w:vAlign w:val="top"/>
          </w:tcPr>
          <w:p>
            <w:pPr>
              <w:keepNext/>
              <w:keepLines w:val="0"/>
              <w:pageBreakBefore w:val="0"/>
              <w:widowControl w:val="0"/>
              <w:kinsoku/>
              <w:wordWrap/>
              <w:overflowPunct/>
              <w:topLinePunct w:val="0"/>
              <w:bidi w:val="0"/>
              <w:snapToGrid/>
              <w:spacing w:line="480" w:lineRule="exact"/>
              <w:ind w:left="0"/>
              <w:textAlignment w:val="auto"/>
              <w:rPr>
                <w:rFonts w:hint="eastAsia" w:asciiTheme="minorEastAsia" w:hAnsiTheme="minorEastAsia" w:eastAsiaTheme="minorEastAsia" w:cstheme="minorEastAsia"/>
                <w:sz w:val="21"/>
                <w:szCs w:val="21"/>
              </w:rPr>
            </w:pPr>
          </w:p>
        </w:tc>
        <w:tc>
          <w:tcPr>
            <w:tcW w:w="1573" w:type="pct"/>
            <w:noWrap w:val="0"/>
            <w:vAlign w:val="top"/>
          </w:tcPr>
          <w:p>
            <w:pPr>
              <w:keepNext/>
              <w:keepLines w:val="0"/>
              <w:pageBreakBefore w:val="0"/>
              <w:widowControl w:val="0"/>
              <w:kinsoku/>
              <w:wordWrap/>
              <w:overflowPunct/>
              <w:topLinePunct w:val="0"/>
              <w:bidi w:val="0"/>
              <w:snapToGrid/>
              <w:spacing w:line="480" w:lineRule="exact"/>
              <w:ind w:left="0"/>
              <w:textAlignment w:val="auto"/>
              <w:rPr>
                <w:rFonts w:hint="eastAsia" w:asciiTheme="minorEastAsia" w:hAnsiTheme="minorEastAsia" w:eastAsiaTheme="minorEastAsia" w:cstheme="minorEastAsia"/>
                <w:sz w:val="21"/>
                <w:szCs w:val="21"/>
              </w:rPr>
            </w:pPr>
          </w:p>
        </w:tc>
        <w:tc>
          <w:tcPr>
            <w:tcW w:w="505" w:type="pct"/>
            <w:noWrap w:val="0"/>
            <w:vAlign w:val="top"/>
          </w:tcPr>
          <w:p>
            <w:pPr>
              <w:keepNext/>
              <w:keepLines w:val="0"/>
              <w:pageBreakBefore w:val="0"/>
              <w:widowControl w:val="0"/>
              <w:kinsoku/>
              <w:wordWrap/>
              <w:overflowPunct/>
              <w:topLinePunct w:val="0"/>
              <w:bidi w:val="0"/>
              <w:snapToGrid/>
              <w:spacing w:line="480" w:lineRule="exact"/>
              <w:ind w:left="0"/>
              <w:textAlignment w:val="auto"/>
              <w:rPr>
                <w:rFonts w:hint="eastAsia" w:asciiTheme="minorEastAsia" w:hAnsiTheme="minorEastAsia" w:eastAsiaTheme="minorEastAsia" w:cstheme="minorEastAsia"/>
                <w:sz w:val="21"/>
                <w:szCs w:val="21"/>
              </w:rPr>
            </w:pPr>
          </w:p>
        </w:tc>
        <w:tc>
          <w:tcPr>
            <w:tcW w:w="1965" w:type="pct"/>
            <w:noWrap w:val="0"/>
            <w:vAlign w:val="top"/>
          </w:tcPr>
          <w:p>
            <w:pPr>
              <w:keepNext/>
              <w:keepLines w:val="0"/>
              <w:pageBreakBefore w:val="0"/>
              <w:widowControl w:val="0"/>
              <w:kinsoku/>
              <w:wordWrap/>
              <w:overflowPunct/>
              <w:topLinePunct w:val="0"/>
              <w:bidi w:val="0"/>
              <w:snapToGrid/>
              <w:spacing w:line="480" w:lineRule="exact"/>
              <w:ind w:left="0"/>
              <w:textAlignment w:val="auto"/>
              <w:rPr>
                <w:rFonts w:hint="eastAsia" w:asciiTheme="minorEastAsia" w:hAnsiTheme="minorEastAsia" w:eastAsiaTheme="minorEastAsia" w:cstheme="minorEastAsia"/>
                <w:sz w:val="21"/>
                <w:szCs w:val="21"/>
              </w:rPr>
            </w:pPr>
          </w:p>
        </w:tc>
      </w:tr>
    </w:tbl>
    <w:p>
      <w:pPr>
        <w:pStyle w:val="11"/>
        <w:keepNext/>
        <w:keepLines w:val="0"/>
        <w:pageBreakBefore w:val="0"/>
        <w:widowControl w:val="0"/>
        <w:kinsoku/>
        <w:wordWrap/>
        <w:overflowPunct/>
        <w:topLinePunct w:val="0"/>
        <w:bidi w:val="0"/>
        <w:snapToGrid/>
        <w:textAlignment w:val="auto"/>
        <w:rPr>
          <w:rFonts w:hint="eastAsia" w:asciiTheme="minorEastAsia" w:hAnsiTheme="minorEastAsia" w:eastAsiaTheme="minorEastAsia" w:cstheme="minorEastAsia"/>
          <w:lang w:val="en-US" w:eastAsia="zh-CN"/>
        </w:rPr>
      </w:pPr>
    </w:p>
    <w:sectPr>
      <w:headerReference r:id="rId4" w:type="default"/>
      <w:footerReference r:id="rId5" w:type="default"/>
      <w:pgSz w:w="11906" w:h="16838"/>
      <w:pgMar w:top="1440" w:right="1080" w:bottom="1440" w:left="1080" w:header="851" w:footer="964"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8904D9"/>
    <w:multiLevelType w:val="singleLevel"/>
    <w:tmpl w:val="928904D9"/>
    <w:lvl w:ilvl="0" w:tentative="0">
      <w:start w:val="2"/>
      <w:numFmt w:val="decimal"/>
      <w:suff w:val="space"/>
      <w:lvlText w:val="%1."/>
      <w:lvlJc w:val="left"/>
    </w:lvl>
  </w:abstractNum>
  <w:abstractNum w:abstractNumId="1">
    <w:nsid w:val="174F7852"/>
    <w:multiLevelType w:val="multilevel"/>
    <w:tmpl w:val="174F7852"/>
    <w:lvl w:ilvl="0" w:tentative="0">
      <w:start w:val="1"/>
      <w:numFmt w:val="decimal"/>
      <w:lvlText w:val="8.%1"/>
      <w:lvlJc w:val="left"/>
      <w:pPr>
        <w:ind w:left="420" w:hanging="420"/>
      </w:pPr>
      <w:rPr>
        <w:rFonts w:hint="eastAsia" w:ascii="宋体" w:hAnsi="宋体" w:eastAsia="宋体"/>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19F3057"/>
    <w:multiLevelType w:val="singleLevel"/>
    <w:tmpl w:val="219F3057"/>
    <w:lvl w:ilvl="0" w:tentative="0">
      <w:start w:val="3"/>
      <w:numFmt w:val="decimal"/>
      <w:lvlText w:val="%1."/>
      <w:lvlJc w:val="left"/>
      <w:pPr>
        <w:tabs>
          <w:tab w:val="left" w:pos="312"/>
        </w:tabs>
      </w:pPr>
    </w:lvl>
  </w:abstractNum>
  <w:abstractNum w:abstractNumId="3">
    <w:nsid w:val="39D31C39"/>
    <w:multiLevelType w:val="multilevel"/>
    <w:tmpl w:val="39D31C39"/>
    <w:lvl w:ilvl="0" w:tentative="0">
      <w:start w:val="1"/>
      <w:numFmt w:val="decimal"/>
      <w:lvlText w:val="1.%1"/>
      <w:lvlJc w:val="left"/>
      <w:pPr>
        <w:ind w:left="420" w:hanging="420"/>
      </w:pPr>
      <w:rPr>
        <w:rFonts w:hint="eastAsia"/>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9E97FEC"/>
    <w:multiLevelType w:val="singleLevel"/>
    <w:tmpl w:val="39E97FEC"/>
    <w:lvl w:ilvl="0" w:tentative="0">
      <w:start w:val="3"/>
      <w:numFmt w:val="decimal"/>
      <w:suff w:val="nothing"/>
      <w:lvlText w:val="%1、"/>
      <w:lvlJc w:val="left"/>
      <w:pPr>
        <w:ind w:left="890" w:leftChars="0" w:firstLine="0" w:firstLineChars="0"/>
      </w:pPr>
    </w:lvl>
  </w:abstractNum>
  <w:abstractNum w:abstractNumId="5">
    <w:nsid w:val="4E0D1E73"/>
    <w:multiLevelType w:val="multilevel"/>
    <w:tmpl w:val="4E0D1E73"/>
    <w:lvl w:ilvl="0" w:tentative="0">
      <w:start w:val="1"/>
      <w:numFmt w:val="decimal"/>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lvlText w:val="3.2.%3"/>
      <w:lvlJc w:val="left"/>
      <w:pPr>
        <w:ind w:left="0" w:firstLine="0"/>
      </w:pPr>
      <w:rPr>
        <w:rFonts w:hint="default" w:ascii="宋体" w:hAnsi="宋体" w:eastAsia="宋体" w:cs="宋体"/>
        <w:sz w:val="21"/>
        <w:szCs w:val="21"/>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3"/>
  </w:num>
  <w:num w:numId="2">
    <w:abstractNumId w:val="0"/>
  </w:num>
  <w:num w:numId="3">
    <w:abstractNumId w:val="2"/>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8F9"/>
    <w:rsid w:val="000019F6"/>
    <w:rsid w:val="0001432E"/>
    <w:rsid w:val="000173D0"/>
    <w:rsid w:val="0003001F"/>
    <w:rsid w:val="000F3AEB"/>
    <w:rsid w:val="00262542"/>
    <w:rsid w:val="002B4609"/>
    <w:rsid w:val="00331CEA"/>
    <w:rsid w:val="004E4348"/>
    <w:rsid w:val="00531164"/>
    <w:rsid w:val="00593386"/>
    <w:rsid w:val="005B722C"/>
    <w:rsid w:val="00677D0A"/>
    <w:rsid w:val="00681104"/>
    <w:rsid w:val="008139D0"/>
    <w:rsid w:val="00893B8C"/>
    <w:rsid w:val="008B0435"/>
    <w:rsid w:val="00905544"/>
    <w:rsid w:val="00926F24"/>
    <w:rsid w:val="00955DCE"/>
    <w:rsid w:val="00986B35"/>
    <w:rsid w:val="009A7EE6"/>
    <w:rsid w:val="00A13462"/>
    <w:rsid w:val="00A64CE1"/>
    <w:rsid w:val="00A964E1"/>
    <w:rsid w:val="00B8521A"/>
    <w:rsid w:val="00C12BC6"/>
    <w:rsid w:val="00C91BE4"/>
    <w:rsid w:val="00CC6B4D"/>
    <w:rsid w:val="00D36E7F"/>
    <w:rsid w:val="00E0651D"/>
    <w:rsid w:val="00E12F48"/>
    <w:rsid w:val="00E95244"/>
    <w:rsid w:val="00E978F9"/>
    <w:rsid w:val="00F032DE"/>
    <w:rsid w:val="00F11ABE"/>
    <w:rsid w:val="00FC7A9F"/>
    <w:rsid w:val="011646D7"/>
    <w:rsid w:val="014B5D6C"/>
    <w:rsid w:val="01907368"/>
    <w:rsid w:val="027B592F"/>
    <w:rsid w:val="027F0769"/>
    <w:rsid w:val="02A464C9"/>
    <w:rsid w:val="02C37C16"/>
    <w:rsid w:val="02E80106"/>
    <w:rsid w:val="03435D32"/>
    <w:rsid w:val="034C72DC"/>
    <w:rsid w:val="037B03D7"/>
    <w:rsid w:val="03E50FF2"/>
    <w:rsid w:val="043162AA"/>
    <w:rsid w:val="044A2100"/>
    <w:rsid w:val="04800E71"/>
    <w:rsid w:val="05527430"/>
    <w:rsid w:val="059E3A76"/>
    <w:rsid w:val="05C532F8"/>
    <w:rsid w:val="065A5A5E"/>
    <w:rsid w:val="069B6DA6"/>
    <w:rsid w:val="06AD0181"/>
    <w:rsid w:val="070244AD"/>
    <w:rsid w:val="07647CAF"/>
    <w:rsid w:val="079009BD"/>
    <w:rsid w:val="08083C83"/>
    <w:rsid w:val="081811E8"/>
    <w:rsid w:val="08573559"/>
    <w:rsid w:val="08783AFC"/>
    <w:rsid w:val="08880772"/>
    <w:rsid w:val="08CA14F5"/>
    <w:rsid w:val="08CF6F01"/>
    <w:rsid w:val="08EA770C"/>
    <w:rsid w:val="08F1036D"/>
    <w:rsid w:val="09452F4C"/>
    <w:rsid w:val="096957D7"/>
    <w:rsid w:val="096D0288"/>
    <w:rsid w:val="09F23489"/>
    <w:rsid w:val="09F83A72"/>
    <w:rsid w:val="0A3864D3"/>
    <w:rsid w:val="0A4B065C"/>
    <w:rsid w:val="0AF50AD1"/>
    <w:rsid w:val="0AFC1A95"/>
    <w:rsid w:val="0B215702"/>
    <w:rsid w:val="0B43328D"/>
    <w:rsid w:val="0B78105E"/>
    <w:rsid w:val="0BED58C1"/>
    <w:rsid w:val="0D09189C"/>
    <w:rsid w:val="0D344BB7"/>
    <w:rsid w:val="0DC50B82"/>
    <w:rsid w:val="0DF623D8"/>
    <w:rsid w:val="0E727D8A"/>
    <w:rsid w:val="0E8F15F0"/>
    <w:rsid w:val="0F227C6D"/>
    <w:rsid w:val="0F2D61CB"/>
    <w:rsid w:val="0F776802"/>
    <w:rsid w:val="0F8751F8"/>
    <w:rsid w:val="0FFE3777"/>
    <w:rsid w:val="10A04854"/>
    <w:rsid w:val="110C050D"/>
    <w:rsid w:val="11816382"/>
    <w:rsid w:val="11AC2E1E"/>
    <w:rsid w:val="11DD352A"/>
    <w:rsid w:val="12555415"/>
    <w:rsid w:val="125829F8"/>
    <w:rsid w:val="12852725"/>
    <w:rsid w:val="12F52C31"/>
    <w:rsid w:val="131A74E6"/>
    <w:rsid w:val="134B7CB5"/>
    <w:rsid w:val="139D02FD"/>
    <w:rsid w:val="13BA5D6B"/>
    <w:rsid w:val="13BC126E"/>
    <w:rsid w:val="140212F1"/>
    <w:rsid w:val="14B4370F"/>
    <w:rsid w:val="15043ADB"/>
    <w:rsid w:val="153C1EA1"/>
    <w:rsid w:val="15917DA5"/>
    <w:rsid w:val="15963E4E"/>
    <w:rsid w:val="15AB651B"/>
    <w:rsid w:val="15E275F7"/>
    <w:rsid w:val="161240D4"/>
    <w:rsid w:val="16B169EA"/>
    <w:rsid w:val="16C55C1F"/>
    <w:rsid w:val="17050D64"/>
    <w:rsid w:val="172D4722"/>
    <w:rsid w:val="174344E9"/>
    <w:rsid w:val="17496EDF"/>
    <w:rsid w:val="174E2E1B"/>
    <w:rsid w:val="17AD6F65"/>
    <w:rsid w:val="17ED57D0"/>
    <w:rsid w:val="181F7266"/>
    <w:rsid w:val="18397DC7"/>
    <w:rsid w:val="18504D21"/>
    <w:rsid w:val="18CD697F"/>
    <w:rsid w:val="19084C8D"/>
    <w:rsid w:val="19301E0B"/>
    <w:rsid w:val="19C03817"/>
    <w:rsid w:val="1A626F8D"/>
    <w:rsid w:val="1A82760A"/>
    <w:rsid w:val="1AB52760"/>
    <w:rsid w:val="1B295629"/>
    <w:rsid w:val="1B9969DF"/>
    <w:rsid w:val="1C12398A"/>
    <w:rsid w:val="1D6C6151"/>
    <w:rsid w:val="1DD51824"/>
    <w:rsid w:val="1DE5415D"/>
    <w:rsid w:val="1DFD6B99"/>
    <w:rsid w:val="1E17406B"/>
    <w:rsid w:val="1F01726E"/>
    <w:rsid w:val="1F041330"/>
    <w:rsid w:val="1F4B48B0"/>
    <w:rsid w:val="1F5C56BA"/>
    <w:rsid w:val="2023401C"/>
    <w:rsid w:val="206A6747"/>
    <w:rsid w:val="2103103F"/>
    <w:rsid w:val="211D7276"/>
    <w:rsid w:val="21801DEB"/>
    <w:rsid w:val="21DB5201"/>
    <w:rsid w:val="2268270E"/>
    <w:rsid w:val="22A85A46"/>
    <w:rsid w:val="22E32D4A"/>
    <w:rsid w:val="230E236D"/>
    <w:rsid w:val="233E046D"/>
    <w:rsid w:val="236E789B"/>
    <w:rsid w:val="23A76643"/>
    <w:rsid w:val="23B45558"/>
    <w:rsid w:val="2454357E"/>
    <w:rsid w:val="247554F0"/>
    <w:rsid w:val="249241AA"/>
    <w:rsid w:val="24B26BED"/>
    <w:rsid w:val="24D37C77"/>
    <w:rsid w:val="25675F6C"/>
    <w:rsid w:val="2584776B"/>
    <w:rsid w:val="272F2D1A"/>
    <w:rsid w:val="27962E81"/>
    <w:rsid w:val="27B97642"/>
    <w:rsid w:val="28425D08"/>
    <w:rsid w:val="287123BB"/>
    <w:rsid w:val="28791DA9"/>
    <w:rsid w:val="28C97878"/>
    <w:rsid w:val="28CB21A2"/>
    <w:rsid w:val="297D4D9D"/>
    <w:rsid w:val="29AC5B2F"/>
    <w:rsid w:val="2A707A61"/>
    <w:rsid w:val="2AE470E0"/>
    <w:rsid w:val="2B0E422E"/>
    <w:rsid w:val="2B1A395F"/>
    <w:rsid w:val="2B43519F"/>
    <w:rsid w:val="2B6846DE"/>
    <w:rsid w:val="2B8973FB"/>
    <w:rsid w:val="2BA14AA2"/>
    <w:rsid w:val="2BD14E26"/>
    <w:rsid w:val="2C1176AF"/>
    <w:rsid w:val="2C34585E"/>
    <w:rsid w:val="2CE3452A"/>
    <w:rsid w:val="2D0E6C43"/>
    <w:rsid w:val="2D1B36F8"/>
    <w:rsid w:val="2D71643F"/>
    <w:rsid w:val="2DD931B4"/>
    <w:rsid w:val="2E03680A"/>
    <w:rsid w:val="2E580BCA"/>
    <w:rsid w:val="2E660AA3"/>
    <w:rsid w:val="2E882D4B"/>
    <w:rsid w:val="2EAA1DBA"/>
    <w:rsid w:val="2F3E2D0F"/>
    <w:rsid w:val="2FC727FC"/>
    <w:rsid w:val="2FDF3958"/>
    <w:rsid w:val="2FEC0131"/>
    <w:rsid w:val="3014642C"/>
    <w:rsid w:val="302428C3"/>
    <w:rsid w:val="303C1AEE"/>
    <w:rsid w:val="308A3965"/>
    <w:rsid w:val="30A61108"/>
    <w:rsid w:val="31381C28"/>
    <w:rsid w:val="31475729"/>
    <w:rsid w:val="315873B1"/>
    <w:rsid w:val="329604AA"/>
    <w:rsid w:val="32F20BA1"/>
    <w:rsid w:val="335E4AE2"/>
    <w:rsid w:val="33995EB7"/>
    <w:rsid w:val="342C2EA8"/>
    <w:rsid w:val="34306C82"/>
    <w:rsid w:val="343F0843"/>
    <w:rsid w:val="345A0EA7"/>
    <w:rsid w:val="34C903F6"/>
    <w:rsid w:val="34DE2CCB"/>
    <w:rsid w:val="34E8490A"/>
    <w:rsid w:val="35067E71"/>
    <w:rsid w:val="350D0027"/>
    <w:rsid w:val="35D8189E"/>
    <w:rsid w:val="35DF614E"/>
    <w:rsid w:val="372E3EE8"/>
    <w:rsid w:val="37A17CD3"/>
    <w:rsid w:val="37AA482F"/>
    <w:rsid w:val="37C24970"/>
    <w:rsid w:val="37E302F5"/>
    <w:rsid w:val="38234CA6"/>
    <w:rsid w:val="382F0AB9"/>
    <w:rsid w:val="38C5203D"/>
    <w:rsid w:val="39022E99"/>
    <w:rsid w:val="391005C3"/>
    <w:rsid w:val="394E6D8C"/>
    <w:rsid w:val="3A48160C"/>
    <w:rsid w:val="3AC33145"/>
    <w:rsid w:val="3B9155EE"/>
    <w:rsid w:val="3BD6175A"/>
    <w:rsid w:val="3C0B1153"/>
    <w:rsid w:val="3C1934F8"/>
    <w:rsid w:val="3C1A012A"/>
    <w:rsid w:val="3C4C2C95"/>
    <w:rsid w:val="3D207F7C"/>
    <w:rsid w:val="3D737A0A"/>
    <w:rsid w:val="3E271EB8"/>
    <w:rsid w:val="3E4D6DC5"/>
    <w:rsid w:val="3E5364DE"/>
    <w:rsid w:val="3E546D05"/>
    <w:rsid w:val="3E9363C6"/>
    <w:rsid w:val="3F803698"/>
    <w:rsid w:val="3FCF3A3E"/>
    <w:rsid w:val="40383B92"/>
    <w:rsid w:val="408A3579"/>
    <w:rsid w:val="40B81309"/>
    <w:rsid w:val="40F97454"/>
    <w:rsid w:val="416C6751"/>
    <w:rsid w:val="41741B70"/>
    <w:rsid w:val="41B84987"/>
    <w:rsid w:val="41C11C6F"/>
    <w:rsid w:val="41E7409E"/>
    <w:rsid w:val="42073927"/>
    <w:rsid w:val="425B3495"/>
    <w:rsid w:val="42683507"/>
    <w:rsid w:val="42850C80"/>
    <w:rsid w:val="42B80D39"/>
    <w:rsid w:val="43617566"/>
    <w:rsid w:val="43D6242C"/>
    <w:rsid w:val="43FA1C2B"/>
    <w:rsid w:val="443F6696"/>
    <w:rsid w:val="447560C6"/>
    <w:rsid w:val="44E00B54"/>
    <w:rsid w:val="454B2480"/>
    <w:rsid w:val="468730A8"/>
    <w:rsid w:val="46F85F1D"/>
    <w:rsid w:val="471E20BC"/>
    <w:rsid w:val="47235B17"/>
    <w:rsid w:val="47716535"/>
    <w:rsid w:val="47F77FC3"/>
    <w:rsid w:val="498D0ADB"/>
    <w:rsid w:val="4A0E7BFA"/>
    <w:rsid w:val="4A2F6E80"/>
    <w:rsid w:val="4A50569D"/>
    <w:rsid w:val="4A5B288E"/>
    <w:rsid w:val="4A5D5786"/>
    <w:rsid w:val="4ABF7813"/>
    <w:rsid w:val="4AC636C0"/>
    <w:rsid w:val="4B7324F9"/>
    <w:rsid w:val="4C4D2D4A"/>
    <w:rsid w:val="4C537145"/>
    <w:rsid w:val="4C79769B"/>
    <w:rsid w:val="4DBE5CAD"/>
    <w:rsid w:val="4DC27402"/>
    <w:rsid w:val="4DFA5AB5"/>
    <w:rsid w:val="4ED77CCD"/>
    <w:rsid w:val="4EDD26B7"/>
    <w:rsid w:val="4EFF5776"/>
    <w:rsid w:val="4F225F73"/>
    <w:rsid w:val="4FEB4D54"/>
    <w:rsid w:val="502F7EB6"/>
    <w:rsid w:val="50320216"/>
    <w:rsid w:val="50385F60"/>
    <w:rsid w:val="50B30973"/>
    <w:rsid w:val="50C17C04"/>
    <w:rsid w:val="51A714AC"/>
    <w:rsid w:val="520B69A6"/>
    <w:rsid w:val="53B54F99"/>
    <w:rsid w:val="54922ECD"/>
    <w:rsid w:val="54B61E08"/>
    <w:rsid w:val="54E01FFA"/>
    <w:rsid w:val="553C0848"/>
    <w:rsid w:val="55D631BF"/>
    <w:rsid w:val="55DC23CA"/>
    <w:rsid w:val="56266A55"/>
    <w:rsid w:val="56F52014"/>
    <w:rsid w:val="57397928"/>
    <w:rsid w:val="573E7948"/>
    <w:rsid w:val="57796194"/>
    <w:rsid w:val="579B705F"/>
    <w:rsid w:val="57A83AC5"/>
    <w:rsid w:val="58156E7B"/>
    <w:rsid w:val="583A1FD5"/>
    <w:rsid w:val="585F164E"/>
    <w:rsid w:val="58A37EEE"/>
    <w:rsid w:val="58CA759D"/>
    <w:rsid w:val="59514715"/>
    <w:rsid w:val="59C83A10"/>
    <w:rsid w:val="5A7E49AD"/>
    <w:rsid w:val="5B5E5745"/>
    <w:rsid w:val="5B93080E"/>
    <w:rsid w:val="5BB804A1"/>
    <w:rsid w:val="5C004C38"/>
    <w:rsid w:val="5C34494A"/>
    <w:rsid w:val="5C7D4D19"/>
    <w:rsid w:val="5CD84061"/>
    <w:rsid w:val="5D36184F"/>
    <w:rsid w:val="5D3662F1"/>
    <w:rsid w:val="5D820C77"/>
    <w:rsid w:val="5DAC78BD"/>
    <w:rsid w:val="5DEC23C3"/>
    <w:rsid w:val="5E866476"/>
    <w:rsid w:val="5E970C2B"/>
    <w:rsid w:val="5F312F3C"/>
    <w:rsid w:val="5F47407A"/>
    <w:rsid w:val="5F6F6638"/>
    <w:rsid w:val="5FF829C6"/>
    <w:rsid w:val="604B4F01"/>
    <w:rsid w:val="615C6CDD"/>
    <w:rsid w:val="619A682E"/>
    <w:rsid w:val="62151281"/>
    <w:rsid w:val="623D16B1"/>
    <w:rsid w:val="6240283F"/>
    <w:rsid w:val="62546A21"/>
    <w:rsid w:val="62857AB0"/>
    <w:rsid w:val="62A67072"/>
    <w:rsid w:val="62D27BAF"/>
    <w:rsid w:val="638D434D"/>
    <w:rsid w:val="63CE7752"/>
    <w:rsid w:val="63DB0061"/>
    <w:rsid w:val="63F06D02"/>
    <w:rsid w:val="64AE7B90"/>
    <w:rsid w:val="64B32400"/>
    <w:rsid w:val="65857BCA"/>
    <w:rsid w:val="65DD0AAC"/>
    <w:rsid w:val="666351EC"/>
    <w:rsid w:val="683B6187"/>
    <w:rsid w:val="68A129DD"/>
    <w:rsid w:val="68D26659"/>
    <w:rsid w:val="68DB569A"/>
    <w:rsid w:val="69401815"/>
    <w:rsid w:val="6946445B"/>
    <w:rsid w:val="69764D5D"/>
    <w:rsid w:val="699C0552"/>
    <w:rsid w:val="6A331528"/>
    <w:rsid w:val="6A3A2FA6"/>
    <w:rsid w:val="6A3F026B"/>
    <w:rsid w:val="6A4D5C40"/>
    <w:rsid w:val="6A5C26FE"/>
    <w:rsid w:val="6A9661EC"/>
    <w:rsid w:val="6AA24E75"/>
    <w:rsid w:val="6AD43AD2"/>
    <w:rsid w:val="6AED777A"/>
    <w:rsid w:val="6B395B05"/>
    <w:rsid w:val="6BB2529E"/>
    <w:rsid w:val="6C807011"/>
    <w:rsid w:val="6C9A59BC"/>
    <w:rsid w:val="6CA2084A"/>
    <w:rsid w:val="6CB01A62"/>
    <w:rsid w:val="6CB43F84"/>
    <w:rsid w:val="6CBC5B71"/>
    <w:rsid w:val="6D342338"/>
    <w:rsid w:val="6D3715F0"/>
    <w:rsid w:val="6DC97C74"/>
    <w:rsid w:val="6DCE4AAE"/>
    <w:rsid w:val="6E462A1B"/>
    <w:rsid w:val="6E64785C"/>
    <w:rsid w:val="6EFE4E26"/>
    <w:rsid w:val="6FAB57FF"/>
    <w:rsid w:val="6FE65903"/>
    <w:rsid w:val="70481945"/>
    <w:rsid w:val="708F0FD7"/>
    <w:rsid w:val="70991167"/>
    <w:rsid w:val="71660A98"/>
    <w:rsid w:val="71D85554"/>
    <w:rsid w:val="720C6738"/>
    <w:rsid w:val="723A1D75"/>
    <w:rsid w:val="72CF7EB2"/>
    <w:rsid w:val="73456985"/>
    <w:rsid w:val="736928CA"/>
    <w:rsid w:val="73A2564A"/>
    <w:rsid w:val="73E80A83"/>
    <w:rsid w:val="741D0B1B"/>
    <w:rsid w:val="74374E36"/>
    <w:rsid w:val="749E09B4"/>
    <w:rsid w:val="74D3353D"/>
    <w:rsid w:val="74F26A6B"/>
    <w:rsid w:val="7554086D"/>
    <w:rsid w:val="76075978"/>
    <w:rsid w:val="76365DFD"/>
    <w:rsid w:val="76517CAC"/>
    <w:rsid w:val="76AA4297"/>
    <w:rsid w:val="77740D08"/>
    <w:rsid w:val="7810371E"/>
    <w:rsid w:val="781E05C8"/>
    <w:rsid w:val="78AF7700"/>
    <w:rsid w:val="78BA58C3"/>
    <w:rsid w:val="78F53783"/>
    <w:rsid w:val="79304BD3"/>
    <w:rsid w:val="79464C25"/>
    <w:rsid w:val="795135CA"/>
    <w:rsid w:val="7A65798A"/>
    <w:rsid w:val="7AC82E68"/>
    <w:rsid w:val="7B0A1BF1"/>
    <w:rsid w:val="7B3904FE"/>
    <w:rsid w:val="7B6D64EC"/>
    <w:rsid w:val="7BAB391D"/>
    <w:rsid w:val="7BB77052"/>
    <w:rsid w:val="7BD56462"/>
    <w:rsid w:val="7BF96AA7"/>
    <w:rsid w:val="7C8B5CEC"/>
    <w:rsid w:val="7CA96BF7"/>
    <w:rsid w:val="7CBD172B"/>
    <w:rsid w:val="7CF12D42"/>
    <w:rsid w:val="7D07341D"/>
    <w:rsid w:val="7D473515"/>
    <w:rsid w:val="7D506F64"/>
    <w:rsid w:val="7D823971"/>
    <w:rsid w:val="7DC00DDD"/>
    <w:rsid w:val="7DF82636"/>
    <w:rsid w:val="7E187626"/>
    <w:rsid w:val="7E58219B"/>
    <w:rsid w:val="7EA47533"/>
    <w:rsid w:val="7F1C1F84"/>
    <w:rsid w:val="7F6D431C"/>
    <w:rsid w:val="7F8A6FBB"/>
    <w:rsid w:val="7F930498"/>
    <w:rsid w:val="7FF72EE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宋体" w:hAnsi="宋体" w:eastAsia="宋体" w:cs="宋体"/>
      <w:sz w:val="22"/>
      <w:szCs w:val="22"/>
      <w:lang w:val="en-US" w:eastAsia="en-US" w:bidi="ar-SA"/>
    </w:rPr>
  </w:style>
  <w:style w:type="paragraph" w:styleId="4">
    <w:name w:val="heading 2"/>
    <w:basedOn w:val="1"/>
    <w:next w:val="5"/>
    <w:qFormat/>
    <w:uiPriority w:val="0"/>
    <w:pPr>
      <w:keepNext/>
      <w:tabs>
        <w:tab w:val="left" w:pos="600"/>
      </w:tabs>
      <w:adjustRightInd w:val="0"/>
      <w:spacing w:line="360" w:lineRule="auto"/>
      <w:jc w:val="center"/>
      <w:outlineLvl w:val="1"/>
    </w:pPr>
    <w:rPr>
      <w:rFonts w:hint="eastAsia" w:ascii="宋体"/>
      <w:kern w:val="0"/>
      <w:sz w:val="28"/>
      <w:szCs w:val="20"/>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640" w:firstLineChars="200"/>
    </w:pPr>
  </w:style>
  <w:style w:type="paragraph" w:styleId="3">
    <w:name w:val="Body Text"/>
    <w:basedOn w:val="1"/>
    <w:next w:val="1"/>
    <w:qFormat/>
    <w:uiPriority w:val="1"/>
    <w:rPr>
      <w:sz w:val="21"/>
      <w:szCs w:val="21"/>
    </w:rPr>
  </w:style>
  <w:style w:type="paragraph" w:styleId="5">
    <w:name w:val="Normal Indent"/>
    <w:basedOn w:val="1"/>
    <w:qFormat/>
    <w:uiPriority w:val="0"/>
    <w:pPr>
      <w:ind w:firstLine="420" w:firstLineChars="200"/>
      <w:jc w:val="both"/>
    </w:pPr>
    <w:rPr>
      <w:rFonts w:asciiTheme="minorHAnsi" w:hAnsiTheme="minorHAnsi" w:eastAsiaTheme="minorEastAsia" w:cstheme="minorBidi"/>
      <w:kern w:val="2"/>
      <w:sz w:val="21"/>
      <w:szCs w:val="24"/>
      <w:lang w:eastAsia="zh-CN"/>
    </w:rPr>
  </w:style>
  <w:style w:type="paragraph" w:styleId="6">
    <w:name w:val="annotation text"/>
    <w:basedOn w:val="1"/>
    <w:qFormat/>
    <w:uiPriority w:val="0"/>
    <w:pPr>
      <w:jc w:val="left"/>
    </w:pPr>
  </w:style>
  <w:style w:type="paragraph" w:styleId="7">
    <w:name w:val="Body Text Indent"/>
    <w:basedOn w:val="1"/>
    <w:qFormat/>
    <w:uiPriority w:val="0"/>
    <w:pPr>
      <w:spacing w:line="360" w:lineRule="auto"/>
      <w:ind w:firstLine="480" w:firstLineChars="200"/>
    </w:pPr>
    <w:rPr>
      <w:sz w:val="24"/>
    </w:rPr>
  </w:style>
  <w:style w:type="paragraph" w:styleId="8">
    <w:name w:val="Body Text Indent 2"/>
    <w:basedOn w:val="1"/>
    <w:unhideWhenUsed/>
    <w:qFormat/>
    <w:uiPriority w:val="0"/>
    <w:pPr>
      <w:spacing w:after="120" w:line="480" w:lineRule="auto"/>
      <w:ind w:left="420" w:leftChars="200"/>
    </w:pPr>
    <w:rPr>
      <w:kern w:val="0"/>
      <w:sz w:val="20"/>
    </w:rPr>
  </w:style>
  <w:style w:type="paragraph" w:styleId="9">
    <w:name w:val="footer"/>
    <w:basedOn w:val="1"/>
    <w:link w:val="25"/>
    <w:qFormat/>
    <w:uiPriority w:val="0"/>
    <w:pPr>
      <w:tabs>
        <w:tab w:val="center" w:pos="4153"/>
        <w:tab w:val="right" w:pos="8306"/>
      </w:tabs>
      <w:snapToGrid w:val="0"/>
    </w:pPr>
    <w:rPr>
      <w:sz w:val="18"/>
      <w:szCs w:val="18"/>
    </w:rPr>
  </w:style>
  <w:style w:type="paragraph" w:styleId="10">
    <w:name w:val="header"/>
    <w:basedOn w:val="1"/>
    <w:link w:val="24"/>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pPr>
      <w:tabs>
        <w:tab w:val="left" w:pos="630"/>
        <w:tab w:val="right" w:leader="dot" w:pos="8494"/>
      </w:tabs>
      <w:spacing w:line="360" w:lineRule="auto"/>
    </w:pPr>
  </w:style>
  <w:style w:type="paragraph" w:styleId="12">
    <w:name w:val="List"/>
    <w:basedOn w:val="1"/>
    <w:unhideWhenUsed/>
    <w:qFormat/>
    <w:uiPriority w:val="0"/>
    <w:pPr>
      <w:spacing w:beforeLines="0" w:afterLines="0"/>
      <w:ind w:left="200" w:hanging="200" w:hangingChars="200"/>
    </w:pPr>
    <w:rPr>
      <w:rFonts w:hint="eastAsia" w:ascii="宋体" w:hAnsi="宋体" w:eastAsia="宋体" w:cs="宋体"/>
      <w:sz w:val="21"/>
      <w:szCs w:val="21"/>
    </w:rPr>
  </w:style>
  <w:style w:type="paragraph" w:styleId="13">
    <w:name w:val="Body Text 2"/>
    <w:basedOn w:val="1"/>
    <w:qFormat/>
    <w:uiPriority w:val="0"/>
    <w:pPr>
      <w:spacing w:line="360" w:lineRule="auto"/>
    </w:pPr>
    <w:rPr>
      <w:sz w:val="28"/>
    </w:rPr>
  </w:style>
  <w:style w:type="paragraph" w:styleId="14">
    <w:name w:val="Normal (Web)"/>
    <w:basedOn w:val="1"/>
    <w:qFormat/>
    <w:uiPriority w:val="0"/>
    <w:pPr>
      <w:widowControl/>
      <w:spacing w:before="100" w:beforeAutospacing="1" w:after="100" w:afterAutospacing="1"/>
      <w:jc w:val="left"/>
    </w:pPr>
    <w:rPr>
      <w:kern w:val="0"/>
      <w:sz w:val="24"/>
      <w:szCs w:val="24"/>
    </w:rPr>
  </w:style>
  <w:style w:type="paragraph" w:styleId="15">
    <w:name w:val="Body Text First Indent 2"/>
    <w:basedOn w:val="7"/>
    <w:next w:val="16"/>
    <w:unhideWhenUsed/>
    <w:qFormat/>
    <w:uiPriority w:val="0"/>
    <w:pPr>
      <w:spacing w:beforeLines="0" w:afterLines="0"/>
      <w:ind w:firstLine="420"/>
    </w:pPr>
    <w:rPr>
      <w:rFonts w:hint="eastAsia"/>
      <w:sz w:val="21"/>
      <w:szCs w:val="24"/>
    </w:rPr>
  </w:style>
  <w:style w:type="paragraph" w:customStyle="1" w:styleId="16">
    <w:name w:val="表格文字"/>
    <w:basedOn w:val="12"/>
    <w:next w:val="1"/>
    <w:unhideWhenUsed/>
    <w:qFormat/>
    <w:uiPriority w:val="0"/>
    <w:pPr>
      <w:spacing w:beforeLines="0" w:afterLines="0"/>
      <w:ind w:firstLine="0" w:firstLineChars="0"/>
      <w:jc w:val="center"/>
    </w:pPr>
    <w:rPr>
      <w:rFonts w:hint="eastAsia"/>
      <w:sz w:val="21"/>
      <w:szCs w:val="20"/>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basedOn w:val="19"/>
    <w:qFormat/>
    <w:uiPriority w:val="0"/>
  </w:style>
  <w:style w:type="character" w:styleId="21">
    <w:name w:val="Emphasis"/>
    <w:basedOn w:val="19"/>
    <w:qFormat/>
    <w:uiPriority w:val="0"/>
    <w:rPr>
      <w:i/>
    </w:rPr>
  </w:style>
  <w:style w:type="paragraph" w:customStyle="1" w:styleId="22">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23">
    <w:name w:val="fontstyle0"/>
    <w:basedOn w:val="19"/>
    <w:qFormat/>
    <w:uiPriority w:val="0"/>
  </w:style>
  <w:style w:type="character" w:customStyle="1" w:styleId="24">
    <w:name w:val="页眉 Char"/>
    <w:basedOn w:val="19"/>
    <w:link w:val="10"/>
    <w:qFormat/>
    <w:uiPriority w:val="0"/>
    <w:rPr>
      <w:rFonts w:ascii="宋体" w:hAnsi="宋体" w:eastAsia="宋体" w:cs="宋体"/>
      <w:sz w:val="18"/>
      <w:szCs w:val="18"/>
      <w:lang w:eastAsia="en-US"/>
    </w:rPr>
  </w:style>
  <w:style w:type="character" w:customStyle="1" w:styleId="25">
    <w:name w:val="页脚 Char"/>
    <w:basedOn w:val="19"/>
    <w:link w:val="9"/>
    <w:qFormat/>
    <w:uiPriority w:val="0"/>
    <w:rPr>
      <w:rFonts w:ascii="宋体" w:hAnsi="宋体" w:eastAsia="宋体" w:cs="宋体"/>
      <w:sz w:val="18"/>
      <w:szCs w:val="18"/>
      <w:lang w:eastAsia="en-US"/>
    </w:rPr>
  </w:style>
  <w:style w:type="paragraph" w:styleId="26">
    <w:name w:val="List Paragraph"/>
    <w:basedOn w:val="1"/>
    <w:qFormat/>
    <w:uiPriority w:val="99"/>
    <w:pPr>
      <w:ind w:firstLine="420" w:firstLineChars="200"/>
    </w:pPr>
  </w:style>
  <w:style w:type="paragraph" w:customStyle="1" w:styleId="27">
    <w:name w:val="Char Char Char"/>
    <w:basedOn w:val="1"/>
    <w:qFormat/>
    <w:uiPriority w:val="0"/>
    <w:pPr>
      <w:widowControl/>
      <w:spacing w:after="160" w:line="240" w:lineRule="exact"/>
    </w:pPr>
    <w:rPr>
      <w:rFonts w:ascii="Verdana" w:hAnsi="Verdana" w:cs="Times New Roman"/>
      <w:w w:val="200"/>
      <w:sz w:val="20"/>
      <w:szCs w:val="20"/>
    </w:rPr>
  </w:style>
  <w:style w:type="paragraph" w:customStyle="1" w:styleId="28">
    <w:name w:val="toa"/>
    <w:basedOn w:val="1"/>
    <w:qFormat/>
    <w:uiPriority w:val="0"/>
    <w:pPr>
      <w:widowControl/>
      <w:tabs>
        <w:tab w:val="left" w:pos="9000"/>
        <w:tab w:val="right" w:pos="9360"/>
      </w:tabs>
      <w:suppressAutoHyphens/>
      <w:jc w:val="left"/>
    </w:pPr>
    <w:rPr>
      <w:rFonts w:ascii="Arial" w:hAnsi="Arial"/>
      <w:kern w:val="0"/>
      <w:sz w:val="24"/>
      <w:szCs w:val="20"/>
    </w:rPr>
  </w:style>
  <w:style w:type="paragraph" w:customStyle="1" w:styleId="29">
    <w:name w:val="样式1"/>
    <w:basedOn w:val="28"/>
    <w:qFormat/>
    <w:uiPriority w:val="0"/>
    <w:pPr>
      <w:tabs>
        <w:tab w:val="left" w:pos="426"/>
      </w:tabs>
      <w:suppressAutoHyphens w:val="0"/>
      <w:spacing w:line="360" w:lineRule="auto"/>
      <w:outlineLvl w:val="0"/>
    </w:pPr>
    <w:rPr>
      <w:rFonts w:ascii="宋体" w:hAnsi="宋体"/>
      <w:b/>
      <w:bCs/>
      <w:color w:val="000000"/>
      <w:sz w:val="21"/>
      <w:szCs w:val="21"/>
    </w:rPr>
  </w:style>
  <w:style w:type="character" w:customStyle="1" w:styleId="30">
    <w:name w:val="fontstyle01"/>
    <w:qFormat/>
    <w:uiPriority w:val="0"/>
    <w:rPr>
      <w:rFonts w:hint="eastAsia" w:ascii="宋体" w:hAnsi="宋体" w:eastAsia="宋体"/>
      <w:color w:val="000000"/>
      <w:sz w:val="24"/>
      <w:szCs w:val="24"/>
    </w:rPr>
  </w:style>
  <w:style w:type="character" w:customStyle="1" w:styleId="31">
    <w:name w:val="font71"/>
    <w:basedOn w:val="19"/>
    <w:qFormat/>
    <w:uiPriority w:val="0"/>
    <w:rPr>
      <w:rFonts w:ascii="黑体" w:hAnsi="宋体" w:eastAsia="黑体" w:cs="黑体"/>
      <w:b/>
      <w:bCs/>
      <w:color w:val="000000"/>
      <w:sz w:val="18"/>
      <w:szCs w:val="18"/>
      <w:u w:val="none"/>
    </w:rPr>
  </w:style>
  <w:style w:type="character" w:customStyle="1" w:styleId="32">
    <w:name w:val="font61"/>
    <w:basedOn w:val="19"/>
    <w:qFormat/>
    <w:uiPriority w:val="0"/>
    <w:rPr>
      <w:rFonts w:ascii="黑体" w:hAnsi="宋体" w:eastAsia="黑体" w:cs="黑体"/>
      <w:b/>
      <w:bCs/>
      <w:i/>
      <w:iCs/>
      <w:color w:val="000000"/>
      <w:sz w:val="10"/>
      <w:szCs w:val="10"/>
      <w:u w:val="none"/>
    </w:rPr>
  </w:style>
  <w:style w:type="character" w:customStyle="1" w:styleId="33">
    <w:name w:val="font81"/>
    <w:basedOn w:val="19"/>
    <w:qFormat/>
    <w:uiPriority w:val="0"/>
    <w:rPr>
      <w:rFonts w:ascii="黑体" w:hAnsi="宋体" w:eastAsia="黑体" w:cs="黑体"/>
      <w:color w:val="000000"/>
      <w:sz w:val="10"/>
      <w:szCs w:val="10"/>
      <w:u w:val="none"/>
    </w:rPr>
  </w:style>
  <w:style w:type="character" w:customStyle="1" w:styleId="34">
    <w:name w:val="font91"/>
    <w:basedOn w:val="19"/>
    <w:qFormat/>
    <w:uiPriority w:val="0"/>
    <w:rPr>
      <w:rFonts w:ascii="宋体" w:hAnsi="宋体" w:eastAsia="宋体" w:cs="宋体"/>
      <w:color w:val="000000"/>
      <w:sz w:val="10"/>
      <w:szCs w:val="10"/>
      <w:u w:val="none"/>
    </w:rPr>
  </w:style>
  <w:style w:type="character" w:customStyle="1" w:styleId="35">
    <w:name w:val="font101"/>
    <w:basedOn w:val="19"/>
    <w:qFormat/>
    <w:uiPriority w:val="0"/>
    <w:rPr>
      <w:rFonts w:hint="default" w:ascii="Times New Roman" w:hAnsi="Times New Roman" w:cs="Times New Roman"/>
      <w:color w:val="000000"/>
      <w:sz w:val="10"/>
      <w:szCs w:val="10"/>
      <w:u w:val="none"/>
    </w:rPr>
  </w:style>
  <w:style w:type="character" w:customStyle="1" w:styleId="36">
    <w:name w:val="font111"/>
    <w:basedOn w:val="19"/>
    <w:qFormat/>
    <w:uiPriority w:val="0"/>
    <w:rPr>
      <w:rFonts w:ascii="宋体" w:hAnsi="宋体" w:eastAsia="宋体" w:cs="宋体"/>
      <w:color w:val="000000"/>
      <w:sz w:val="18"/>
      <w:szCs w:val="18"/>
      <w:u w:val="none"/>
    </w:rPr>
  </w:style>
  <w:style w:type="character" w:customStyle="1" w:styleId="37">
    <w:name w:val="font122"/>
    <w:basedOn w:val="19"/>
    <w:qFormat/>
    <w:uiPriority w:val="0"/>
    <w:rPr>
      <w:rFonts w:hint="default" w:ascii="Times New Roman" w:hAnsi="Times New Roman" w:cs="Times New Roman"/>
      <w:color w:val="000000"/>
      <w:sz w:val="18"/>
      <w:szCs w:val="18"/>
      <w:u w:val="none"/>
    </w:rPr>
  </w:style>
  <w:style w:type="character" w:customStyle="1" w:styleId="38">
    <w:name w:val="font131"/>
    <w:basedOn w:val="19"/>
    <w:qFormat/>
    <w:uiPriority w:val="0"/>
    <w:rPr>
      <w:rFonts w:ascii="宋体" w:hAnsi="宋体" w:eastAsia="宋体" w:cs="宋体"/>
      <w:color w:val="000000"/>
      <w:sz w:val="36"/>
      <w:szCs w:val="36"/>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sential">
      <a:fillStyleLst>
        <a:solidFill>
          <a:schemeClr val="phClr"/>
        </a:solidFill>
        <a:gradFill rotWithShape="1">
          <a:gsLst>
            <a:gs pos="0">
              <a:schemeClr val="phClr">
                <a:tint val="60000"/>
                <a:satMod val="250000"/>
              </a:schemeClr>
            </a:gs>
            <a:gs pos="35000">
              <a:schemeClr val="phClr">
                <a:tint val="47000"/>
                <a:satMod val="275000"/>
              </a:schemeClr>
            </a:gs>
            <a:gs pos="100000">
              <a:schemeClr val="phClr">
                <a:tint val="25000"/>
                <a:satMod val="300000"/>
              </a:schemeClr>
            </a:gs>
          </a:gsLst>
          <a:lin ang="16200000" scaled="1"/>
        </a:gradFill>
        <a:solidFill>
          <a:schemeClr val="phClr">
            <a:satMod val="110000"/>
          </a:schemeClr>
        </a:solidFill>
      </a:fillStyleLst>
      <a:lnStyleLst>
        <a:ln w="12700" cap="flat" cmpd="sng" algn="ctr">
          <a:solidFill>
            <a:schemeClr val="phClr">
              <a:shade val="95000"/>
              <a:satMod val="105000"/>
            </a:schemeClr>
          </a:solidFill>
          <a:prstDash val="solid"/>
        </a:ln>
        <a:ln w="28575" cap="flat" cmpd="sng" algn="ctr">
          <a:solidFill>
            <a:schemeClr val="phClr"/>
          </a:solidFill>
          <a:prstDash val="solid"/>
        </a:ln>
        <a:ln w="41275" cap="flat" cmpd="sng" algn="ctr">
          <a:solidFill>
            <a:schemeClr val="phClr"/>
          </a:solidFill>
          <a:prstDash val="solid"/>
        </a:ln>
      </a:lnStyleLst>
      <a:effectStyleLst>
        <a:effectStyle>
          <a:effectLst/>
        </a:effectStyle>
        <a:effectStyle>
          <a:effectLst>
            <a:outerShdw blurRad="39999" dist="23000" algn="bl" rotWithShape="0">
              <a:srgbClr val="000000">
                <a:alpha val="40000"/>
              </a:srgbClr>
            </a:outerShdw>
          </a:effectLst>
        </a:effectStyle>
        <a:effectStyle>
          <a:effectLst>
            <a:outerShdw blurRad="38100" dist="19050" algn="bl" rotWithShape="0">
              <a:srgbClr val="000000">
                <a:alpha val="60000"/>
              </a:srgbClr>
            </a:outerShdw>
          </a:effectLst>
          <a:scene3d>
            <a:camera prst="orthographicFront">
              <a:rot lat="0" lon="0" rev="0"/>
            </a:camera>
            <a:lightRig rig="balanced" dir="l"/>
          </a:scene3d>
          <a:sp3d prstMaterial="plastic">
            <a:bevelT w="38100" h="31750"/>
          </a:sp3d>
        </a:effectStyle>
      </a:effectStyleLst>
      <a:bgFillStyleLst>
        <a:noFill/>
        <a:noFill/>
        <a:no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142</Words>
  <Characters>168</Characters>
  <Lines>49</Lines>
  <Paragraphs>13</Paragraphs>
  <TotalTime>5</TotalTime>
  <ScaleCrop>false</ScaleCrop>
  <LinksUpToDate>false</LinksUpToDate>
  <CharactersWithSpaces>192</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2022-01-02T04:17:00Z</dcterms:created>
  <dc:creator>Administrator</dc:creator>
  <cp:lastModifiedBy>徐远江</cp:lastModifiedBy>
  <cp:lastPrinted>2026-04-09T02:41:00Z</cp:lastPrinted>
  <dcterms:modified xsi:type="dcterms:W3CDTF">2026-04-21T06:39:22Z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558E44CDCC864DCD90398F34B8CE119D</vt:lpwstr>
  </property>
  <property fmtid="{D5CDD505-2E9C-101B-9397-08002B2CF9AE}" pid="4" name="KSOTemplateDocerSaveRecord">
    <vt:lpwstr>eyJoZGlkIjoiNGM3YTc2YTI5YmI5Mzc5ZWMzMmQzMjQyZWMxNTYzZTYiLCJ1c2VySWQiOiIyNjU1NDQ2NjQifQ==</vt:lpwstr>
  </property>
</Properties>
</file>