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insoku/>
        <w:wordWrap/>
        <w:overflowPunct/>
        <w:topLinePunct w:val="0"/>
        <w:autoSpaceDE w:val="0"/>
        <w:autoSpaceDN w:val="0"/>
        <w:bidi w:val="0"/>
        <w:spacing w:before="120" w:after="120" w:line="360" w:lineRule="auto"/>
        <w:ind w:right="-20"/>
        <w:jc w:val="center"/>
        <w:rPr>
          <w:rFonts w:hint="eastAsia" w:asciiTheme="minorEastAsia" w:hAnsiTheme="minorEastAsia" w:eastAsiaTheme="minorEastAsia" w:cstheme="minorEastAsia"/>
          <w:b/>
          <w:spacing w:val="2"/>
          <w:w w:val="99"/>
          <w:kern w:val="0"/>
          <w:sz w:val="24"/>
          <w:szCs w:val="24"/>
        </w:rPr>
      </w:pPr>
    </w:p>
    <w:p>
      <w:pPr>
        <w:kinsoku/>
        <w:wordWrap/>
        <w:overflowPunct/>
        <w:topLinePunct w:val="0"/>
        <w:autoSpaceDE w:val="0"/>
        <w:autoSpaceDN w:val="0"/>
        <w:bidi w:val="0"/>
        <w:spacing w:before="120" w:after="120" w:line="360" w:lineRule="auto"/>
        <w:ind w:right="-20"/>
        <w:jc w:val="center"/>
        <w:rPr>
          <w:rFonts w:hint="eastAsia" w:asciiTheme="minorEastAsia" w:hAnsiTheme="minorEastAsia" w:eastAsiaTheme="minorEastAsia" w:cstheme="minorEastAsia"/>
          <w:b/>
          <w:spacing w:val="2"/>
          <w:w w:val="99"/>
          <w:kern w:val="0"/>
          <w:sz w:val="24"/>
          <w:szCs w:val="24"/>
        </w:rPr>
      </w:pPr>
    </w:p>
    <w:p>
      <w:pPr>
        <w:pStyle w:val="2"/>
        <w:rPr>
          <w:rFonts w:hint="eastAsia" w:asciiTheme="minorEastAsia" w:hAnsiTheme="minorEastAsia" w:eastAsiaTheme="minorEastAsia" w:cstheme="minorEastAsia"/>
          <w:b/>
          <w:spacing w:val="2"/>
          <w:w w:val="99"/>
          <w:kern w:val="0"/>
          <w:sz w:val="24"/>
          <w:szCs w:val="24"/>
        </w:rPr>
      </w:pPr>
    </w:p>
    <w:p>
      <w:pPr>
        <w:pStyle w:val="2"/>
        <w:rPr>
          <w:rFonts w:hint="eastAsia" w:asciiTheme="minorEastAsia" w:hAnsiTheme="minorEastAsia" w:eastAsiaTheme="minorEastAsia" w:cstheme="minorEastAsia"/>
          <w:b/>
          <w:spacing w:val="2"/>
          <w:w w:val="99"/>
          <w:kern w:val="0"/>
          <w:sz w:val="24"/>
          <w:szCs w:val="24"/>
        </w:rPr>
      </w:pPr>
    </w:p>
    <w:p>
      <w:pPr>
        <w:kinsoku/>
        <w:wordWrap/>
        <w:overflowPunct/>
        <w:topLinePunct w:val="0"/>
        <w:autoSpaceDE w:val="0"/>
        <w:autoSpaceDN w:val="0"/>
        <w:bidi w:val="0"/>
        <w:spacing w:before="120" w:after="120" w:line="360" w:lineRule="auto"/>
        <w:ind w:right="-20"/>
        <w:jc w:val="center"/>
        <w:rPr>
          <w:rFonts w:cs="Arial Unicode MS" w:asciiTheme="minorEastAsia" w:hAnsiTheme="minorEastAsia"/>
          <w:b/>
          <w:spacing w:val="2"/>
          <w:w w:val="99"/>
          <w:sz w:val="52"/>
          <w:szCs w:val="52"/>
          <w:lang w:eastAsia="zh-CN"/>
        </w:rPr>
      </w:pPr>
      <w:r>
        <w:rPr>
          <w:rFonts w:cs="Arial Unicode MS" w:asciiTheme="minorEastAsia" w:hAnsiTheme="minorEastAsia"/>
          <w:b/>
          <w:spacing w:val="2"/>
          <w:w w:val="99"/>
          <w:sz w:val="52"/>
          <w:szCs w:val="52"/>
          <w:lang w:eastAsia="zh-CN"/>
        </w:rPr>
        <w:drawing>
          <wp:inline distT="0" distB="0" distL="0" distR="0">
            <wp:extent cx="1799590" cy="1619885"/>
            <wp:effectExtent l="0" t="0" r="10160" b="18415"/>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00000" cy="1620000"/>
                    </a:xfrm>
                    <a:prstGeom prst="rect">
                      <a:avLst/>
                    </a:prstGeom>
                  </pic:spPr>
                </pic:pic>
              </a:graphicData>
            </a:graphic>
          </wp:inline>
        </w:drawing>
      </w:r>
    </w:p>
    <w:p>
      <w:pPr>
        <w:pStyle w:val="2"/>
        <w:rPr>
          <w:rFonts w:cs="Arial Unicode MS" w:asciiTheme="minorEastAsia" w:hAnsiTheme="minorEastAsia"/>
          <w:b/>
          <w:spacing w:val="2"/>
          <w:w w:val="99"/>
          <w:sz w:val="52"/>
          <w:szCs w:val="52"/>
          <w:lang w:eastAsia="zh-CN"/>
        </w:rPr>
      </w:pPr>
    </w:p>
    <w:p>
      <w:pPr>
        <w:pStyle w:val="2"/>
        <w:rPr>
          <w:rFonts w:hint="eastAsia" w:cs="Arial Unicode MS" w:asciiTheme="minorEastAsia" w:hAnsiTheme="minorEastAsia"/>
          <w:b/>
          <w:spacing w:val="2"/>
          <w:w w:val="99"/>
          <w:sz w:val="52"/>
          <w:szCs w:val="52"/>
          <w:lang w:eastAsia="zh-CN"/>
        </w:rPr>
      </w:pPr>
    </w:p>
    <w:p>
      <w:pPr>
        <w:kinsoku/>
        <w:wordWrap/>
        <w:overflowPunct/>
        <w:topLinePunct w:val="0"/>
        <w:autoSpaceDE w:val="0"/>
        <w:autoSpaceDN w:val="0"/>
        <w:bidi w:val="0"/>
        <w:spacing w:before="120" w:after="120" w:line="360" w:lineRule="auto"/>
        <w:ind w:right="-20"/>
        <w:rPr>
          <w:rFonts w:hint="eastAsia" w:asciiTheme="minorEastAsia" w:hAnsiTheme="minorEastAsia" w:eastAsiaTheme="minorEastAsia" w:cstheme="minorEastAsia"/>
          <w:b/>
          <w:spacing w:val="2"/>
          <w:w w:val="99"/>
          <w:kern w:val="0"/>
          <w:sz w:val="24"/>
          <w:szCs w:val="24"/>
        </w:rPr>
      </w:pPr>
    </w:p>
    <w:p>
      <w:pPr>
        <w:jc w:val="center"/>
        <w:rPr>
          <w:rFonts w:hint="eastAsia" w:ascii="微软雅黑" w:hAnsi="微软雅黑" w:eastAsia="微软雅黑" w:cs="Arial Unicode MS"/>
          <w:b/>
          <w:color w:val="000000"/>
          <w:spacing w:val="2"/>
          <w:w w:val="99"/>
          <w:kern w:val="0"/>
          <w:sz w:val="52"/>
          <w:szCs w:val="52"/>
          <w:lang w:eastAsia="zh-CN"/>
        </w:rPr>
      </w:pPr>
      <w:r>
        <w:rPr>
          <w:rFonts w:hint="eastAsia" w:ascii="微软雅黑" w:hAnsi="微软雅黑" w:eastAsia="微软雅黑" w:cs="Arial Unicode MS"/>
          <w:b/>
          <w:color w:val="000000"/>
          <w:spacing w:val="2"/>
          <w:w w:val="99"/>
          <w:kern w:val="0"/>
          <w:sz w:val="52"/>
          <w:szCs w:val="52"/>
          <w:lang w:eastAsia="zh-CN"/>
        </w:rPr>
        <w:t>中海油能源发展股份有限公司</w:t>
      </w:r>
    </w:p>
    <w:p>
      <w:pPr>
        <w:pStyle w:val="2"/>
        <w:jc w:val="center"/>
        <w:rPr>
          <w:rFonts w:hint="default" w:ascii="微软雅黑" w:hAnsi="微软雅黑" w:eastAsia="微软雅黑" w:cs="Arial Unicode MS"/>
          <w:b/>
          <w:color w:val="000000"/>
          <w:spacing w:val="2"/>
          <w:w w:val="99"/>
          <w:kern w:val="0"/>
          <w:sz w:val="52"/>
          <w:szCs w:val="52"/>
          <w:lang w:val="en-US" w:eastAsia="zh-CN" w:bidi="ar-SA"/>
        </w:rPr>
      </w:pPr>
      <w:r>
        <w:rPr>
          <w:rFonts w:hint="eastAsia" w:ascii="微软雅黑" w:hAnsi="微软雅黑" w:eastAsia="微软雅黑" w:cs="Arial Unicode MS"/>
          <w:b/>
          <w:color w:val="000000"/>
          <w:spacing w:val="2"/>
          <w:w w:val="99"/>
          <w:kern w:val="0"/>
          <w:sz w:val="52"/>
          <w:szCs w:val="52"/>
          <w:lang w:val="en-US" w:eastAsia="zh-CN"/>
        </w:rPr>
        <w:t>采购商务建议书</w:t>
      </w:r>
    </w:p>
    <w:p>
      <w:pPr>
        <w:pStyle w:val="2"/>
        <w:jc w:val="center"/>
        <w:rPr>
          <w:rFonts w:hint="eastAsia" w:ascii="微软雅黑" w:hAnsi="微软雅黑" w:eastAsia="微软雅黑" w:cs="Arial Unicode MS"/>
          <w:b/>
          <w:color w:val="000000"/>
          <w:spacing w:val="2"/>
          <w:w w:val="99"/>
          <w:kern w:val="0"/>
          <w:sz w:val="52"/>
          <w:szCs w:val="52"/>
          <w:lang w:val="en-US" w:eastAsia="zh-CN" w:bidi="ar-SA"/>
        </w:rPr>
      </w:pPr>
    </w:p>
    <w:p>
      <w:pPr>
        <w:pStyle w:val="2"/>
        <w:jc w:val="center"/>
        <w:rPr>
          <w:rFonts w:hint="eastAsia" w:ascii="微软雅黑" w:hAnsi="微软雅黑" w:eastAsia="微软雅黑" w:cs="Arial Unicode MS"/>
          <w:b/>
          <w:color w:val="000000"/>
          <w:spacing w:val="2"/>
          <w:w w:val="99"/>
          <w:kern w:val="0"/>
          <w:sz w:val="52"/>
          <w:szCs w:val="52"/>
          <w:lang w:val="en-US" w:eastAsia="zh-CN" w:bidi="ar-SA"/>
        </w:rPr>
      </w:pPr>
    </w:p>
    <w:p>
      <w:pPr>
        <w:pStyle w:val="2"/>
        <w:jc w:val="center"/>
        <w:rPr>
          <w:rFonts w:hint="eastAsia" w:ascii="微软雅黑" w:hAnsi="微软雅黑" w:eastAsia="微软雅黑" w:cs="Arial Unicode MS"/>
          <w:b/>
          <w:color w:val="000000"/>
          <w:spacing w:val="2"/>
          <w:w w:val="99"/>
          <w:kern w:val="0"/>
          <w:sz w:val="52"/>
          <w:szCs w:val="52"/>
          <w:lang w:val="en-US" w:eastAsia="zh-CN" w:bidi="ar-SA"/>
        </w:rPr>
      </w:pPr>
    </w:p>
    <w:p>
      <w:pPr>
        <w:pStyle w:val="2"/>
        <w:jc w:val="center"/>
        <w:rPr>
          <w:rFonts w:hint="eastAsia" w:ascii="微软雅黑" w:hAnsi="微软雅黑" w:eastAsia="微软雅黑" w:cs="Arial Unicode MS"/>
          <w:b/>
          <w:color w:val="000000"/>
          <w:spacing w:val="2"/>
          <w:w w:val="99"/>
          <w:kern w:val="0"/>
          <w:sz w:val="52"/>
          <w:szCs w:val="52"/>
          <w:lang w:val="en-US" w:eastAsia="zh-CN" w:bidi="ar-SA"/>
        </w:rPr>
      </w:pPr>
    </w:p>
    <w:p>
      <w:pPr>
        <w:pStyle w:val="2"/>
        <w:jc w:val="left"/>
        <w:rPr>
          <w:rFonts w:hint="eastAsia" w:ascii="宋体" w:hAnsi="宋体" w:eastAsia="宋体" w:cs="宋体"/>
          <w:b w:val="0"/>
          <w:bCs/>
          <w:color w:val="000000"/>
          <w:spacing w:val="2"/>
          <w:w w:val="99"/>
          <w:kern w:val="0"/>
          <w:sz w:val="21"/>
          <w:szCs w:val="21"/>
          <w:lang w:val="en-US" w:eastAsia="zh-CN" w:bidi="ar-SA"/>
        </w:rPr>
      </w:pPr>
    </w:p>
    <w:p>
      <w:pPr>
        <w:pStyle w:val="2"/>
        <w:jc w:val="left"/>
        <w:rPr>
          <w:rFonts w:hint="eastAsia" w:ascii="宋体" w:hAnsi="宋体" w:eastAsia="宋体" w:cs="宋体"/>
          <w:b w:val="0"/>
          <w:bCs/>
          <w:color w:val="000000"/>
          <w:spacing w:val="2"/>
          <w:w w:val="99"/>
          <w:kern w:val="0"/>
          <w:sz w:val="21"/>
          <w:szCs w:val="21"/>
          <w:lang w:val="en-US" w:eastAsia="zh-CN" w:bidi="ar-SA"/>
        </w:rPr>
      </w:pPr>
    </w:p>
    <w:p>
      <w:pPr>
        <w:pStyle w:val="2"/>
        <w:jc w:val="center"/>
        <w:rPr>
          <w:rFonts w:hint="eastAsia" w:ascii="黑体" w:hAnsi="黑体" w:eastAsia="黑体" w:cstheme="majorBidi"/>
          <w:color w:val="auto"/>
          <w:kern w:val="0"/>
          <w:sz w:val="32"/>
          <w:szCs w:val="32"/>
          <w:highlight w:val="none"/>
          <w:lang w:val="zh-CN" w:eastAsia="zh-CN" w:bidi="ar-SA"/>
        </w:rPr>
      </w:pPr>
    </w:p>
    <w:p>
      <w:pPr>
        <w:bidi w:val="0"/>
        <w:jc w:val="left"/>
        <w:rPr>
          <w:rFonts w:hint="default"/>
          <w:lang w:val="en-US" w:eastAsia="zh-CN"/>
        </w:rPr>
      </w:pPr>
    </w:p>
    <w:p>
      <w:pPr>
        <w:pStyle w:val="2"/>
        <w:rPr>
          <w:rFonts w:hint="default"/>
          <w:lang w:val="en-US" w:eastAsia="zh-CN"/>
        </w:rPr>
      </w:pPr>
    </w:p>
    <w:p>
      <w:pPr>
        <w:pStyle w:val="2"/>
        <w:widowControl w:val="0"/>
        <w:numPr>
          <w:ilvl w:val="0"/>
          <w:numId w:val="0"/>
        </w:numPr>
        <w:snapToGrid w:val="0"/>
        <w:spacing w:line="360" w:lineRule="auto"/>
        <w:jc w:val="both"/>
        <w:rPr>
          <w:rFonts w:hint="eastAsia" w:ascii="微软雅黑" w:hAnsi="微软雅黑" w:eastAsia="微软雅黑"/>
          <w:b/>
          <w:bCs/>
          <w:color w:val="auto"/>
          <w:sz w:val="32"/>
          <w:szCs w:val="32"/>
          <w:highlight w:val="none"/>
          <w:lang w:val="en-US" w:eastAsia="zh-CN"/>
        </w:rPr>
      </w:pPr>
      <w:r>
        <w:rPr>
          <w:rFonts w:hint="eastAsia" w:ascii="微软雅黑" w:hAnsi="微软雅黑" w:eastAsia="微软雅黑"/>
          <w:b/>
          <w:bCs/>
          <w:color w:val="auto"/>
          <w:sz w:val="32"/>
          <w:szCs w:val="32"/>
          <w:highlight w:val="none"/>
          <w:lang w:val="en-US" w:eastAsia="zh-CN"/>
        </w:rPr>
        <w:t>商务标准应用概述</w:t>
      </w:r>
    </w:p>
    <w:p>
      <w:pPr>
        <w:pStyle w:val="2"/>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本项目无相关标准。</w:t>
      </w:r>
    </w:p>
    <w:p>
      <w:pPr>
        <w:pStyle w:val="2"/>
        <w:keepNext w:val="0"/>
        <w:keepLines w:val="0"/>
        <w:pageBreakBefore w:val="0"/>
        <w:numPr>
          <w:ilvl w:val="0"/>
          <w:numId w:val="0"/>
        </w:numPr>
        <w:kinsoku/>
        <w:wordWrap/>
        <w:overflowPunct/>
        <w:topLinePunct w:val="0"/>
        <w:autoSpaceDE/>
        <w:autoSpaceDN/>
        <w:bidi w:val="0"/>
        <w:adjustRightInd/>
        <w:snapToGrid w:val="0"/>
        <w:spacing w:beforeAutospacing="0" w:afterAutospacing="0" w:line="360" w:lineRule="auto"/>
        <w:ind w:firstLine="480" w:firstLineChars="200"/>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注：商务要求中纳入采购评议条款项需进行标记，其中关键条款使用★标记，一般条款使用■标记，其他条款无需标记。</w:t>
      </w:r>
    </w:p>
    <w:p>
      <w:pPr>
        <w:keepNext w:val="0"/>
        <w:keepLines w:val="0"/>
        <w:pageBreakBefore w:val="0"/>
        <w:kinsoku/>
        <w:wordWrap/>
        <w:overflowPunct/>
        <w:topLinePunct w:val="0"/>
        <w:autoSpaceDE/>
        <w:autoSpaceDN/>
        <w:bidi w:val="0"/>
        <w:adjustRightInd/>
        <w:snapToGrid w:val="0"/>
        <w:spacing w:beforeAutospacing="0" w:afterAutospacing="0" w:line="360" w:lineRule="auto"/>
        <w:ind w:firstLine="480" w:firstLineChars="200"/>
        <w:jc w:val="both"/>
        <w:outlineLvl w:val="0"/>
        <w:rPr>
          <w:rFonts w:hint="default" w:ascii="宋体" w:hAnsi="宋体" w:eastAsia="宋体" w:cs="宋体"/>
          <w:b w:val="0"/>
          <w:bCs w:val="0"/>
          <w:color w:val="auto"/>
          <w:kern w:val="44"/>
          <w:sz w:val="24"/>
          <w:szCs w:val="24"/>
          <w:highlight w:val="none"/>
          <w:lang w:val="en-US" w:eastAsia="zh-CN"/>
        </w:rPr>
      </w:pPr>
      <w:r>
        <w:rPr>
          <w:rFonts w:hint="eastAsia" w:ascii="宋体" w:hAnsi="宋体" w:eastAsia="宋体" w:cs="宋体"/>
          <w:b w:val="0"/>
          <w:bCs w:val="0"/>
          <w:color w:val="auto"/>
          <w:kern w:val="44"/>
          <w:sz w:val="24"/>
          <w:szCs w:val="24"/>
          <w:highlight w:val="none"/>
          <w:lang w:val="en-US" w:eastAsia="zh-CN"/>
        </w:rPr>
        <w:t>评审标准如下：</w:t>
      </w:r>
    </w:p>
    <w:tbl>
      <w:tblPr>
        <w:tblStyle w:val="7"/>
        <w:tblW w:w="957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02"/>
        <w:gridCol w:w="2337"/>
        <w:gridCol w:w="60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3539"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lang w:val="en-US"/>
              </w:rPr>
            </w:pPr>
            <w:r>
              <w:rPr>
                <w:rFonts w:hint="eastAsia" w:ascii="宋体" w:hAnsi="宋体" w:eastAsia="宋体" w:cs="宋体"/>
                <w:b w:val="0"/>
                <w:bCs w:val="0"/>
                <w:i w:val="0"/>
                <w:iCs w:val="0"/>
                <w:color w:val="000000"/>
                <w:kern w:val="0"/>
                <w:sz w:val="24"/>
                <w:szCs w:val="24"/>
                <w:u w:val="none"/>
                <w:lang w:val="en-US" w:eastAsia="zh-CN" w:bidi="ar"/>
              </w:rPr>
              <w:t>评审因素</w:t>
            </w:r>
          </w:p>
        </w:tc>
        <w:tc>
          <w:tcPr>
            <w:tcW w:w="6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评审标准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202" w:type="dxa"/>
            <w:vMerge w:val="restart"/>
            <w:tcBorders>
              <w:top w:val="single" w:color="auto" w:sz="4" w:space="0"/>
              <w:left w:val="single" w:color="auto"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商务</w:t>
            </w:r>
          </w:p>
          <w:p>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评审项</w:t>
            </w:r>
          </w:p>
        </w:tc>
        <w:tc>
          <w:tcPr>
            <w:tcW w:w="2337" w:type="dxa"/>
            <w:tcBorders>
              <w:top w:val="single" w:color="auto" w:sz="4" w:space="0"/>
              <w:left w:val="single" w:color="000000" w:sz="4" w:space="0"/>
              <w:bottom w:val="single" w:color="000000" w:sz="4" w:space="0"/>
              <w:right w:val="single" w:color="auto"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color w:val="auto"/>
                <w:kern w:val="44"/>
                <w:sz w:val="24"/>
                <w:szCs w:val="24"/>
                <w:highlight w:val="none"/>
                <w:lang w:val="en-US" w:eastAsia="zh-CN"/>
              </w:rPr>
              <w:t>商务资质要求</w:t>
            </w:r>
          </w:p>
        </w:tc>
        <w:tc>
          <w:tcPr>
            <w:tcW w:w="6032" w:type="dxa"/>
            <w:tcBorders>
              <w:top w:val="single" w:color="000000" w:sz="4" w:space="0"/>
              <w:left w:val="single" w:color="auto"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i w:val="0"/>
                <w:iCs w:val="0"/>
                <w:color w:val="000000"/>
                <w:sz w:val="24"/>
                <w:szCs w:val="24"/>
                <w:u w:val="none"/>
                <w:lang w:val="en-US"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202" w:type="dxa"/>
            <w:vMerge w:val="continue"/>
            <w:tcBorders>
              <w:left w:val="single" w:color="auto"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p>
        </w:tc>
        <w:tc>
          <w:tcPr>
            <w:tcW w:w="2337" w:type="dxa"/>
            <w:tcBorders>
              <w:top w:val="single" w:color="000000" w:sz="4" w:space="0"/>
              <w:left w:val="single" w:color="000000" w:sz="4" w:space="0"/>
              <w:bottom w:val="single" w:color="000000" w:sz="4" w:space="0"/>
              <w:right w:val="single" w:color="auto"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kern w:val="44"/>
                <w:sz w:val="24"/>
                <w:szCs w:val="24"/>
                <w:highlight w:val="none"/>
                <w:lang w:val="en-US" w:eastAsia="zh-CN"/>
              </w:rPr>
              <w:t>资格条件要求</w:t>
            </w:r>
          </w:p>
        </w:tc>
        <w:tc>
          <w:tcPr>
            <w:tcW w:w="6032" w:type="dxa"/>
            <w:tcBorders>
              <w:top w:val="single" w:color="000000" w:sz="4" w:space="0"/>
              <w:left w:val="single" w:color="auto" w:sz="4" w:space="0"/>
              <w:bottom w:val="single" w:color="000000" w:sz="4" w:space="0"/>
              <w:right w:val="single" w:color="000000" w:sz="4" w:space="0"/>
            </w:tcBorders>
            <w:shd w:val="clear" w:color="auto" w:fill="auto"/>
            <w:vAlign w:val="center"/>
          </w:tcPr>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line="360" w:lineRule="auto"/>
              <w:ind w:left="0" w:firstLine="0"/>
              <w:textAlignment w:val="auto"/>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kern w:val="0"/>
                <w:sz w:val="24"/>
                <w:szCs w:val="24"/>
                <w:lang w:val="en-US" w:eastAsia="zh-CN" w:bidi="ar-SA"/>
              </w:rPr>
              <w:t>1）营业执照：应答人具有合法有效的企业法人营业执照、税务登记证及组织机构代码证 或证照合一的营业执照，投标时需提供原件扫描件（原件备查）。应答人为事业单位的，应具有合法有效的事业单位法人证书，投标时需提供原件扫描件（原件备查）。应答人为分公司的，应具有合法有效的营业执照和上级法人单位授权书，分公司与上级法人单位只可一家参与投标，同时参与投标的，投标均无效；2）法定代表人（单位负责人）身份证明；3）法定代表人授权委托书（如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202" w:type="dxa"/>
            <w:vMerge w:val="continue"/>
            <w:tcBorders>
              <w:left w:val="single" w:color="auto"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p>
        </w:tc>
        <w:tc>
          <w:tcPr>
            <w:tcW w:w="2337" w:type="dxa"/>
            <w:tcBorders>
              <w:top w:val="single" w:color="000000" w:sz="4" w:space="0"/>
              <w:left w:val="single" w:color="000000" w:sz="4" w:space="0"/>
              <w:bottom w:val="single" w:color="000000" w:sz="4" w:space="0"/>
              <w:right w:val="single" w:color="auto"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color w:val="auto"/>
                <w:kern w:val="44"/>
                <w:sz w:val="24"/>
                <w:szCs w:val="24"/>
                <w:highlight w:val="none"/>
                <w:lang w:val="en-US" w:eastAsia="zh-CN"/>
              </w:rPr>
              <w:t>业绩条件要求</w:t>
            </w:r>
          </w:p>
        </w:tc>
        <w:tc>
          <w:tcPr>
            <w:tcW w:w="6032" w:type="dxa"/>
            <w:tcBorders>
              <w:top w:val="single" w:color="000000" w:sz="4" w:space="0"/>
              <w:left w:val="single" w:color="auto"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202" w:type="dxa"/>
            <w:vMerge w:val="continue"/>
            <w:tcBorders>
              <w:left w:val="single" w:color="auto"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p>
        </w:tc>
        <w:tc>
          <w:tcPr>
            <w:tcW w:w="2337" w:type="dxa"/>
            <w:tcBorders>
              <w:top w:val="single" w:color="000000" w:sz="4" w:space="0"/>
              <w:left w:val="single" w:color="000000" w:sz="4" w:space="0"/>
              <w:bottom w:val="single" w:color="000000" w:sz="4" w:space="0"/>
              <w:right w:val="single" w:color="auto" w:sz="4" w:space="0"/>
            </w:tcBorders>
            <w:shd w:val="clear" w:color="auto" w:fill="FFFFFF"/>
            <w:vAlign w:val="center"/>
          </w:tcPr>
          <w:p>
            <w:pPr>
              <w:jc w:val="left"/>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color w:val="auto"/>
                <w:kern w:val="44"/>
                <w:sz w:val="24"/>
                <w:szCs w:val="24"/>
                <w:highlight w:val="none"/>
                <w:lang w:val="en-US" w:eastAsia="zh-CN"/>
              </w:rPr>
              <w:t>财务条件要求</w:t>
            </w:r>
          </w:p>
        </w:tc>
        <w:tc>
          <w:tcPr>
            <w:tcW w:w="6032" w:type="dxa"/>
            <w:tcBorders>
              <w:top w:val="single" w:color="000000" w:sz="4" w:space="0"/>
              <w:left w:val="single" w:color="auto"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i w:val="0"/>
                <w:iCs w:val="0"/>
                <w:color w:val="000000"/>
                <w:sz w:val="24"/>
                <w:szCs w:val="24"/>
                <w:u w:val="none"/>
                <w:lang w:val="en-US"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202" w:type="dxa"/>
            <w:vMerge w:val="continue"/>
            <w:tcBorders>
              <w:left w:val="single" w:color="auto"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p>
        </w:tc>
        <w:tc>
          <w:tcPr>
            <w:tcW w:w="2337" w:type="dxa"/>
            <w:tcBorders>
              <w:top w:val="single" w:color="000000" w:sz="4" w:space="0"/>
              <w:left w:val="single" w:color="000000" w:sz="4" w:space="0"/>
              <w:bottom w:val="single" w:color="000000" w:sz="4" w:space="0"/>
              <w:right w:val="single" w:color="auto" w:sz="4" w:space="0"/>
            </w:tcBorders>
            <w:shd w:val="clear" w:color="auto" w:fill="FFFFFF"/>
            <w:vAlign w:val="center"/>
          </w:tcPr>
          <w:p>
            <w:pPr>
              <w:spacing w:line="360" w:lineRule="auto"/>
              <w:jc w:val="left"/>
              <w:rPr>
                <w:rFonts w:hint="eastAsia" w:ascii="宋体" w:hAnsi="宋体" w:eastAsia="宋体" w:cs="宋体"/>
                <w:b w:val="0"/>
                <w:bCs w:val="0"/>
                <w:color w:val="auto"/>
                <w:kern w:val="44"/>
                <w:sz w:val="24"/>
                <w:szCs w:val="24"/>
                <w:highlight w:val="none"/>
                <w:lang w:val="en-US" w:eastAsia="zh-CN"/>
              </w:rPr>
            </w:pPr>
            <w:r>
              <w:rPr>
                <w:rFonts w:hint="eastAsia" w:ascii="宋体" w:hAnsi="宋体" w:eastAsia="宋体" w:cs="宋体"/>
                <w:sz w:val="24"/>
                <w:szCs w:val="24"/>
              </w:rPr>
              <w:t>★</w:t>
            </w:r>
            <w:r>
              <w:rPr>
                <w:rFonts w:hint="eastAsia" w:ascii="宋体" w:hAnsi="宋体" w:eastAsia="宋体" w:cs="宋体"/>
                <w:b w:val="0"/>
                <w:bCs w:val="0"/>
                <w:color w:val="auto"/>
                <w:sz w:val="24"/>
                <w:szCs w:val="24"/>
                <w:lang w:val="en-US" w:eastAsia="zh-CN"/>
              </w:rPr>
              <w:t>制造商、代理商、贸易商要求</w:t>
            </w:r>
            <w:r>
              <w:rPr>
                <w:rFonts w:hint="eastAsia" w:ascii="宋体" w:hAnsi="宋体" w:eastAsia="宋体" w:cs="宋体"/>
                <w:b w:val="0"/>
                <w:bCs w:val="0"/>
                <w:color w:val="FF0000"/>
                <w:sz w:val="24"/>
                <w:szCs w:val="24"/>
                <w:lang w:val="en-US" w:eastAsia="zh-CN"/>
              </w:rPr>
              <w:t>（本次采购允许贸易商、代理商和制造商参与）</w:t>
            </w:r>
          </w:p>
        </w:tc>
        <w:tc>
          <w:tcPr>
            <w:tcW w:w="6032" w:type="dxa"/>
            <w:tcBorders>
              <w:top w:val="single" w:color="000000" w:sz="4" w:space="0"/>
              <w:left w:val="single" w:color="auto" w:sz="4" w:space="0"/>
              <w:bottom w:val="single" w:color="000000" w:sz="4" w:space="0"/>
              <w:right w:val="single" w:color="000000" w:sz="4" w:space="0"/>
            </w:tcBorders>
            <w:shd w:val="clear" w:color="auto" w:fill="auto"/>
            <w:vAlign w:val="center"/>
          </w:tcPr>
          <w:p>
            <w:pPr>
              <w:pStyle w:val="12"/>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kern w:val="0"/>
                <w:sz w:val="24"/>
                <w:szCs w:val="24"/>
                <w:lang w:val="en-US" w:eastAsia="zh-CN" w:bidi="ar-SA"/>
              </w:rPr>
            </w:pPr>
            <w:r>
              <w:rPr>
                <w:rFonts w:hint="eastAsia" w:ascii="宋体" w:hAnsi="宋体" w:eastAsia="宋体" w:cs="宋体"/>
                <w:b/>
                <w:bCs/>
                <w:kern w:val="0"/>
                <w:sz w:val="24"/>
                <w:szCs w:val="24"/>
                <w:lang w:val="en-US" w:eastAsia="zh-CN" w:bidi="ar-SA"/>
              </w:rPr>
              <w:t>贸易商需满足：</w:t>
            </w:r>
            <w:r>
              <w:rPr>
                <w:rFonts w:hint="eastAsia" w:ascii="宋体" w:hAnsi="宋体" w:eastAsia="宋体" w:cs="宋体"/>
                <w:b w:val="0"/>
                <w:bCs w:val="0"/>
                <w:kern w:val="0"/>
                <w:sz w:val="24"/>
                <w:szCs w:val="24"/>
                <w:lang w:val="en-US" w:eastAsia="zh-CN" w:bidi="ar-SA"/>
              </w:rPr>
              <w:t>；1）自有社保人数≥5人，须提供近三月社保证明；2）不得将中国海油作为唯一服务客户，承诺中国海油非其唯一服务客户并提供支持性材料（海油外业绩，具体包括：1）合同扫描件；2）合同所对应的结算发票；3）发票所对应的国家税务总局全国增值税发票查验平台的发票查验截图）；</w:t>
            </w:r>
          </w:p>
          <w:p>
            <w:pPr>
              <w:pStyle w:val="12"/>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kern w:val="0"/>
                <w:sz w:val="24"/>
                <w:szCs w:val="24"/>
                <w:lang w:val="en-US" w:eastAsia="zh-CN" w:bidi="ar-SA"/>
              </w:rPr>
            </w:pPr>
            <w:r>
              <w:rPr>
                <w:rFonts w:hint="eastAsia" w:ascii="宋体" w:hAnsi="宋体" w:eastAsia="宋体" w:cs="宋体"/>
                <w:b/>
                <w:bCs/>
                <w:kern w:val="0"/>
                <w:sz w:val="24"/>
                <w:szCs w:val="24"/>
                <w:lang w:val="en-US" w:eastAsia="zh-CN" w:bidi="ar-SA"/>
              </w:rPr>
              <w:t>代理商需满足</w:t>
            </w:r>
            <w:r>
              <w:rPr>
                <w:rFonts w:hint="eastAsia" w:ascii="宋体" w:hAnsi="宋体" w:eastAsia="宋体" w:cs="宋体"/>
                <w:b w:val="0"/>
                <w:bCs w:val="0"/>
                <w:kern w:val="0"/>
                <w:sz w:val="24"/>
                <w:szCs w:val="24"/>
                <w:lang w:val="en-US" w:eastAsia="zh-CN" w:bidi="ar-SA"/>
              </w:rPr>
              <w:t>：1）自有社保人数≥5人，须提供近三月社保证明；2</w:t>
            </w:r>
            <w:bookmarkStart w:id="0" w:name="_GoBack"/>
            <w:bookmarkEnd w:id="0"/>
            <w:r>
              <w:rPr>
                <w:rFonts w:hint="eastAsia" w:ascii="宋体" w:hAnsi="宋体" w:eastAsia="宋体" w:cs="宋体"/>
                <w:b w:val="0"/>
                <w:bCs w:val="0"/>
                <w:kern w:val="0"/>
                <w:sz w:val="24"/>
                <w:szCs w:val="24"/>
                <w:lang w:val="en-US" w:eastAsia="zh-CN" w:bidi="ar-SA"/>
              </w:rPr>
              <w:t>）不得将中国海油作为唯一服务客户，承诺中国海油非其唯一服务客户并提供支持性材料（海油外业绩，具体包括：1）合同扫描件；2）合同所对应的结算发票；3）发票所对应的国家税务总局全国增值税发票查验平台的发票查验截图）；4）具有有效代理证书，且满足资质要求，且不能为项目代理；</w:t>
            </w:r>
          </w:p>
          <w:p>
            <w:pPr>
              <w:pStyle w:val="12"/>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bCs/>
                <w:kern w:val="0"/>
                <w:sz w:val="24"/>
                <w:szCs w:val="24"/>
                <w:lang w:val="en-US" w:eastAsia="zh-CN" w:bidi="ar-SA"/>
              </w:rPr>
              <w:t>制造商需满足：</w:t>
            </w:r>
            <w:r>
              <w:rPr>
                <w:rFonts w:hint="eastAsia" w:ascii="宋体" w:hAnsi="宋体" w:eastAsia="宋体" w:cs="宋体"/>
                <w:b w:val="0"/>
                <w:bCs w:val="0"/>
                <w:kern w:val="0"/>
                <w:sz w:val="24"/>
                <w:szCs w:val="24"/>
                <w:lang w:val="en-US" w:eastAsia="zh-CN" w:bidi="ar-SA"/>
              </w:rPr>
              <w:t>1）供应商可参照附件要求提供《制造商承诺书》，提供证明材料，保证提供证明材料真实有效;（</w:t>
            </w:r>
            <w:r>
              <w:rPr>
                <w:rFonts w:hint="eastAsia" w:ascii="宋体" w:hAnsi="宋体" w:eastAsia="宋体" w:cs="宋体"/>
                <w:b w:val="0"/>
                <w:bCs w:val="0"/>
                <w:color w:val="FF0000"/>
                <w:kern w:val="0"/>
                <w:sz w:val="24"/>
                <w:szCs w:val="24"/>
                <w:lang w:val="en-US" w:eastAsia="zh-CN" w:bidi="ar-SA"/>
              </w:rPr>
              <w:t>务必明确选择类型，并提供制造商承诺书及支持文件</w:t>
            </w:r>
            <w:r>
              <w:rPr>
                <w:rFonts w:hint="eastAsia" w:ascii="宋体" w:hAnsi="宋体" w:eastAsia="宋体" w:cs="宋体"/>
                <w:b w:val="0"/>
                <w:bCs w:val="0"/>
                <w:kern w:val="0"/>
                <w:sz w:val="24"/>
                <w:szCs w:val="24"/>
                <w:lang w:val="en-US" w:eastAsia="zh-CN" w:bidi="ar-SA"/>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202" w:type="dxa"/>
            <w:vMerge w:val="continue"/>
            <w:tcBorders>
              <w:left w:val="single" w:color="auto"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p>
        </w:tc>
        <w:tc>
          <w:tcPr>
            <w:tcW w:w="2337" w:type="dxa"/>
            <w:tcBorders>
              <w:top w:val="single" w:color="000000" w:sz="4" w:space="0"/>
              <w:left w:val="single" w:color="000000" w:sz="4" w:space="0"/>
              <w:bottom w:val="single" w:color="000000" w:sz="4" w:space="0"/>
              <w:right w:val="single" w:color="auto" w:sz="4" w:space="0"/>
            </w:tcBorders>
            <w:shd w:val="clear" w:color="auto" w:fill="FFFFFF"/>
            <w:vAlign w:val="center"/>
          </w:tcPr>
          <w:p>
            <w:pPr>
              <w:jc w:val="left"/>
              <w:rPr>
                <w:rFonts w:hint="eastAsia" w:ascii="宋体" w:hAnsi="宋体" w:eastAsia="宋体" w:cs="宋体"/>
                <w:b w:val="0"/>
                <w:bCs w:val="0"/>
                <w:color w:val="auto"/>
                <w:kern w:val="44"/>
                <w:sz w:val="24"/>
                <w:szCs w:val="24"/>
                <w:highlight w:val="none"/>
                <w:lang w:val="en-US" w:eastAsia="zh-CN"/>
              </w:rPr>
            </w:pPr>
            <w:r>
              <w:rPr>
                <w:rFonts w:hint="eastAsia" w:ascii="宋体" w:hAnsi="宋体" w:eastAsia="宋体" w:cs="宋体"/>
                <w:b w:val="0"/>
                <w:bCs w:val="0"/>
                <w:kern w:val="0"/>
                <w:sz w:val="24"/>
                <w:szCs w:val="24"/>
                <w:lang w:val="en-US" w:eastAsia="zh-CN" w:bidi="ar-SA"/>
              </w:rPr>
              <w:t>付款方式要求</w:t>
            </w:r>
          </w:p>
        </w:tc>
        <w:tc>
          <w:tcPr>
            <w:tcW w:w="6032" w:type="dxa"/>
            <w:tcBorders>
              <w:top w:val="single" w:color="000000" w:sz="4" w:space="0"/>
              <w:left w:val="single" w:color="auto" w:sz="4" w:space="0"/>
              <w:bottom w:val="single" w:color="000000" w:sz="4" w:space="0"/>
              <w:right w:val="single" w:color="000000" w:sz="4" w:space="0"/>
            </w:tcBorders>
            <w:shd w:val="clear" w:color="auto" w:fill="auto"/>
            <w:vAlign w:val="center"/>
          </w:tcPr>
          <w:p>
            <w:pPr>
              <w:spacing w:line="360" w:lineRule="auto"/>
              <w:rPr>
                <w:rFonts w:hint="eastAsia" w:ascii="宋体" w:hAnsi="宋体" w:eastAsia="宋体" w:cs="宋体"/>
                <w:b w:val="0"/>
                <w:bCs w:val="0"/>
                <w:kern w:val="0"/>
                <w:sz w:val="24"/>
                <w:szCs w:val="24"/>
                <w:lang w:val="en-US" w:eastAsia="zh-CN" w:bidi="ar-SA"/>
              </w:rPr>
            </w:pPr>
            <w:r>
              <w:rPr>
                <w:rFonts w:hint="eastAsia" w:ascii="宋体" w:hAnsi="宋体" w:eastAsia="宋体" w:cs="宋体"/>
                <w:b w:val="0"/>
                <w:bCs w:val="0"/>
                <w:kern w:val="0"/>
                <w:sz w:val="24"/>
                <w:szCs w:val="24"/>
                <w:lang w:val="en-US" w:eastAsia="zh-CN" w:bidi="ar-SA"/>
              </w:rPr>
              <w:t>货到验收合格后、收到发票及所有验收材料之日起60天付银行电汇或银行承兑（如付款到期日为非银行工作日，则付款到期日顺延至下一个银行工作日）。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202" w:type="dxa"/>
            <w:vMerge w:val="continue"/>
            <w:tcBorders>
              <w:left w:val="single" w:color="auto"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p>
        </w:tc>
        <w:tc>
          <w:tcPr>
            <w:tcW w:w="2337" w:type="dxa"/>
            <w:tcBorders>
              <w:top w:val="single" w:color="000000" w:sz="4" w:space="0"/>
              <w:left w:val="single" w:color="000000" w:sz="4" w:space="0"/>
              <w:bottom w:val="single" w:color="000000" w:sz="4" w:space="0"/>
              <w:right w:val="single" w:color="auto" w:sz="4" w:space="0"/>
            </w:tcBorders>
            <w:shd w:val="clear" w:color="auto" w:fill="FFFFFF"/>
            <w:vAlign w:val="center"/>
          </w:tcPr>
          <w:p>
            <w:pPr>
              <w:jc w:val="left"/>
              <w:rPr>
                <w:rFonts w:hint="eastAsia" w:ascii="宋体" w:hAnsi="宋体" w:eastAsia="宋体" w:cs="宋体"/>
                <w:b w:val="0"/>
                <w:bCs w:val="0"/>
                <w:kern w:val="0"/>
                <w:sz w:val="24"/>
                <w:szCs w:val="24"/>
                <w:lang w:val="en-US" w:eastAsia="zh-CN" w:bidi="ar-SA"/>
              </w:rPr>
            </w:pPr>
            <w:r>
              <w:rPr>
                <w:rFonts w:hint="eastAsia" w:ascii="宋体" w:hAnsi="宋体" w:eastAsia="宋体" w:cs="宋体"/>
                <w:sz w:val="24"/>
                <w:szCs w:val="24"/>
              </w:rPr>
              <w:t>★</w:t>
            </w:r>
            <w:r>
              <w:rPr>
                <w:rFonts w:hint="eastAsia" w:ascii="宋体" w:hAnsi="宋体" w:eastAsia="宋体" w:cs="宋体"/>
                <w:b w:val="0"/>
                <w:bCs w:val="0"/>
                <w:kern w:val="0"/>
                <w:sz w:val="24"/>
                <w:szCs w:val="24"/>
                <w:lang w:val="en-US" w:eastAsia="zh-CN" w:bidi="ar-SA"/>
              </w:rPr>
              <w:t>其他特殊要求</w:t>
            </w:r>
          </w:p>
        </w:tc>
        <w:tc>
          <w:tcPr>
            <w:tcW w:w="6032" w:type="dxa"/>
            <w:tcBorders>
              <w:top w:val="single" w:color="000000" w:sz="4" w:space="0"/>
              <w:left w:val="single" w:color="auto" w:sz="4" w:space="0"/>
              <w:bottom w:val="single" w:color="000000" w:sz="4" w:space="0"/>
              <w:right w:val="single" w:color="000000" w:sz="4" w:space="0"/>
            </w:tcBorders>
            <w:shd w:val="clear" w:color="auto" w:fill="auto"/>
            <w:vAlign w:val="center"/>
          </w:tcPr>
          <w:p>
            <w:pPr>
              <w:spacing w:line="360" w:lineRule="auto"/>
              <w:rPr>
                <w:rFonts w:hint="eastAsia" w:ascii="宋体" w:hAnsi="宋体" w:eastAsia="宋体" w:cs="宋体"/>
                <w:b w:val="0"/>
                <w:bCs w:val="0"/>
                <w:kern w:val="0"/>
                <w:sz w:val="24"/>
                <w:szCs w:val="24"/>
                <w:lang w:val="en-US" w:eastAsia="zh-CN" w:bidi="ar-SA"/>
              </w:rPr>
            </w:pPr>
            <w:r>
              <w:rPr>
                <w:rFonts w:hint="eastAsia" w:ascii="宋体" w:hAnsi="宋体" w:eastAsia="宋体" w:cs="宋体"/>
                <w:b w:val="0"/>
                <w:bCs w:val="0"/>
                <w:kern w:val="0"/>
                <w:sz w:val="24"/>
                <w:szCs w:val="24"/>
                <w:lang w:val="en-US" w:eastAsia="zh-CN" w:bidi="ar-SA"/>
              </w:rPr>
              <w:t>签订固定单价年度费率合同，合同有效期内，买方以签署采购订单形式一次或分批向卖方购买本合同约定范围内的货物。同时增加调价机制：当相关产品或原料价格上浮超出10％（含10％），卖方可提供相关证明材料，经买方认可后，允许卖方提出合同全部价格或部分价格终止执行书面申请，进行协议终止、变更或暂留，且不对卖方进行履约异常处罚。在提出合同终止申请后一个月内，卖方应继续按照原合同价格保障买方需求供应。买方将重新启动项目采购工作。在协议执行过程中，当相关产品价格出现下浮，买方有权与卖方就合同价格进行谈判，由买方执行方与卖方谈判、协商，确定当期订单价格，订单按流程由买方执行方权限领导完成审批；如经谈判协商后，买方执行方与卖方就当期订单价格无法达成一致，买方有权另行采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202" w:type="dxa"/>
            <w:vMerge w:val="continue"/>
            <w:tcBorders>
              <w:left w:val="single" w:color="auto" w:sz="4" w:space="0"/>
              <w:bottom w:val="single" w:color="auto"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p>
        </w:tc>
        <w:tc>
          <w:tcPr>
            <w:tcW w:w="2337" w:type="dxa"/>
            <w:tcBorders>
              <w:top w:val="single" w:color="000000" w:sz="4" w:space="0"/>
              <w:left w:val="single" w:color="000000" w:sz="4" w:space="0"/>
              <w:bottom w:val="single" w:color="auto" w:sz="4" w:space="0"/>
              <w:right w:val="single" w:color="auto" w:sz="4" w:space="0"/>
            </w:tcBorders>
            <w:shd w:val="clear" w:color="auto" w:fill="FFFFFF"/>
            <w:vAlign w:val="center"/>
          </w:tcPr>
          <w:p>
            <w:pPr>
              <w:jc w:val="left"/>
              <w:rPr>
                <w:rFonts w:hint="eastAsia" w:ascii="宋体" w:hAnsi="宋体" w:eastAsia="宋体" w:cs="宋体"/>
                <w:sz w:val="24"/>
                <w:szCs w:val="24"/>
              </w:rPr>
            </w:pP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kern w:val="0"/>
                <w:sz w:val="24"/>
                <w:szCs w:val="24"/>
                <w:lang w:val="en-US" w:eastAsia="zh-CN" w:bidi="ar-SA"/>
              </w:rPr>
              <w:t>质量保证</w:t>
            </w:r>
          </w:p>
        </w:tc>
        <w:tc>
          <w:tcPr>
            <w:tcW w:w="6032" w:type="dxa"/>
            <w:tcBorders>
              <w:top w:val="single" w:color="000000" w:sz="4" w:space="0"/>
              <w:left w:val="single" w:color="auto" w:sz="4" w:space="0"/>
              <w:bottom w:val="single" w:color="000000" w:sz="4" w:space="0"/>
              <w:right w:val="single" w:color="000000" w:sz="4" w:space="0"/>
            </w:tcBorders>
            <w:shd w:val="clear" w:color="auto" w:fill="auto"/>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eastAsia" w:ascii="宋体" w:hAnsi="宋体" w:eastAsia="宋体" w:cs="宋体"/>
                <w:b w:val="0"/>
                <w:bCs w:val="0"/>
                <w:kern w:val="0"/>
                <w:sz w:val="24"/>
                <w:szCs w:val="24"/>
                <w:lang w:val="en-US" w:eastAsia="zh-CN" w:bidi="ar-SA"/>
              </w:rPr>
            </w:pPr>
            <w:r>
              <w:rPr>
                <w:rFonts w:hint="eastAsia" w:ascii="宋体" w:hAnsi="宋体" w:eastAsia="宋体" w:cs="宋体"/>
                <w:b w:val="0"/>
                <w:bCs w:val="0"/>
                <w:color w:val="auto"/>
                <w:kern w:val="0"/>
                <w:sz w:val="24"/>
                <w:szCs w:val="24"/>
                <w:highlight w:val="none"/>
                <w:lang w:val="en-US" w:eastAsia="zh-CN" w:bidi="ar-SA"/>
              </w:rPr>
              <w:t>1）</w:t>
            </w:r>
            <w:r>
              <w:rPr>
                <w:rFonts w:hint="eastAsia" w:asciiTheme="minorEastAsia" w:hAnsiTheme="minorEastAsia" w:cstheme="minorBidi"/>
                <w:color w:val="auto"/>
                <w:sz w:val="24"/>
                <w:szCs w:val="24"/>
                <w:highlight w:val="none"/>
                <w:lang w:val="en-US" w:eastAsia="zh-CN" w:bidi="ar-SA"/>
              </w:rPr>
              <w:t>完成合同正式签订后必须在一周内（7天内）</w:t>
            </w:r>
            <w:r>
              <w:rPr>
                <w:rFonts w:hint="eastAsia" w:asciiTheme="minorEastAsia" w:hAnsiTheme="minorEastAsia" w:eastAsiaTheme="minorEastAsia" w:cstheme="minorBidi"/>
                <w:color w:val="auto"/>
                <w:sz w:val="24"/>
                <w:szCs w:val="24"/>
                <w:highlight w:val="none"/>
                <w:lang w:val="en-US" w:eastAsia="zh-CN" w:bidi="ar-SA"/>
              </w:rPr>
              <w:t>提供20kg样品</w:t>
            </w:r>
            <w:r>
              <w:rPr>
                <w:rFonts w:hint="eastAsia" w:asciiTheme="minorEastAsia" w:hAnsiTheme="minorEastAsia" w:cstheme="minorBidi"/>
                <w:color w:val="auto"/>
                <w:sz w:val="24"/>
                <w:szCs w:val="24"/>
                <w:highlight w:val="none"/>
                <w:lang w:val="en-US" w:eastAsia="zh-CN" w:bidi="ar-SA"/>
              </w:rPr>
              <w:t>及</w:t>
            </w:r>
            <w:r>
              <w:rPr>
                <w:rFonts w:hint="eastAsia" w:asciiTheme="minorEastAsia" w:hAnsiTheme="minorEastAsia" w:eastAsiaTheme="minorEastAsia" w:cstheme="minorBidi"/>
                <w:color w:val="auto"/>
                <w:sz w:val="24"/>
                <w:szCs w:val="24"/>
                <w:highlight w:val="none"/>
                <w:lang w:val="en-US" w:eastAsia="zh-CN" w:bidi="ar-SA"/>
              </w:rPr>
              <w:t>满足技术要求参数的检验报告或合格证</w:t>
            </w:r>
            <w:r>
              <w:rPr>
                <w:rFonts w:hint="eastAsia" w:asciiTheme="minorEastAsia" w:hAnsiTheme="minorEastAsia" w:cstheme="minorBidi"/>
                <w:color w:val="auto"/>
                <w:sz w:val="24"/>
                <w:szCs w:val="24"/>
                <w:highlight w:val="none"/>
                <w:lang w:val="en-US" w:eastAsia="zh-CN" w:bidi="ar-SA"/>
              </w:rPr>
              <w:t>.</w:t>
            </w:r>
            <w:r>
              <w:rPr>
                <w:rFonts w:hint="eastAsia" w:ascii="宋体" w:eastAsia="宋体" w:cs="宋体"/>
                <w:b w:val="0"/>
                <w:bCs w:val="0"/>
                <w:color w:val="auto"/>
                <w:kern w:val="0"/>
                <w:sz w:val="24"/>
                <w:szCs w:val="24"/>
                <w:highlight w:val="none"/>
                <w:lang w:val="en-US" w:eastAsia="zh-CN" w:bidi="ar-SA"/>
              </w:rPr>
              <w:t>我司根据本技术要求书指标进行验证，所有指标验证通过方可批量供货；如有不合格项视为验证不合格，不合格报告以</w:t>
            </w:r>
            <w:r>
              <w:rPr>
                <w:rFonts w:hint="eastAsia" w:ascii="宋体" w:cs="宋体"/>
                <w:b w:val="0"/>
                <w:bCs w:val="0"/>
                <w:color w:val="auto"/>
                <w:kern w:val="0"/>
                <w:sz w:val="24"/>
                <w:szCs w:val="24"/>
                <w:highlight w:val="none"/>
                <w:lang w:val="en-US" w:eastAsia="zh-CN" w:bidi="ar-SA"/>
              </w:rPr>
              <w:t>买</w:t>
            </w:r>
            <w:r>
              <w:rPr>
                <w:rFonts w:hint="eastAsia" w:ascii="宋体" w:eastAsia="宋体" w:cs="宋体"/>
                <w:b w:val="0"/>
                <w:bCs w:val="0"/>
                <w:color w:val="auto"/>
                <w:kern w:val="0"/>
                <w:sz w:val="24"/>
                <w:szCs w:val="24"/>
                <w:highlight w:val="none"/>
                <w:lang w:val="en-US" w:eastAsia="zh-CN" w:bidi="ar-SA"/>
              </w:rPr>
              <w:t>方出具的报告为准</w:t>
            </w:r>
            <w:r>
              <w:rPr>
                <w:rFonts w:hint="eastAsia" w:ascii="宋体" w:cs="宋体"/>
                <w:b w:val="0"/>
                <w:bCs w:val="0"/>
                <w:color w:val="auto"/>
                <w:kern w:val="0"/>
                <w:sz w:val="24"/>
                <w:szCs w:val="24"/>
                <w:highlight w:val="none"/>
                <w:lang w:val="en-US" w:eastAsia="zh-CN" w:bidi="ar-SA"/>
              </w:rPr>
              <w:t>；如卖方对试验报告结果存在异议，可以申请重新试验（无需再次提供样品），并共同见证。</w:t>
            </w:r>
            <w:r>
              <w:rPr>
                <w:rFonts w:hint="eastAsia" w:ascii="宋体" w:hAnsi="宋体" w:eastAsia="宋体" w:cs="宋体"/>
                <w:b w:val="0"/>
                <w:bCs w:val="0"/>
                <w:color w:val="auto"/>
                <w:kern w:val="0"/>
                <w:sz w:val="24"/>
                <w:szCs w:val="24"/>
                <w:highlight w:val="none"/>
                <w:lang w:val="en-US" w:eastAsia="zh-CN" w:bidi="ar-SA"/>
              </w:rPr>
              <w:t>2）到货验收不合格，无条件退换货；3）订单下达后72小时内交货，卖方如不能按期履行订单，根据合同条款和供应商履约异常处罚方式的相应条款处理；</w:t>
            </w:r>
          </w:p>
        </w:tc>
      </w:tr>
    </w:tbl>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widowControl w:val="0"/>
        <w:numPr>
          <w:ilvl w:val="0"/>
          <w:numId w:val="0"/>
        </w:numPr>
        <w:snapToGrid w:val="0"/>
        <w:spacing w:line="480" w:lineRule="auto"/>
        <w:jc w:val="center"/>
        <w:rPr>
          <w:rFonts w:hint="eastAsia" w:ascii="宋体" w:hAnsi="宋体" w:eastAsia="宋体" w:cs="宋体"/>
          <w:b w:val="0"/>
          <w:bCs w:val="0"/>
          <w:color w:val="auto"/>
          <w:kern w:val="44"/>
          <w:sz w:val="24"/>
          <w:szCs w:val="24"/>
          <w:highlight w:val="none"/>
          <w:lang w:val="en-US" w:eastAsia="zh-CN" w:bidi="ar-SA"/>
        </w:rPr>
      </w:pPr>
      <w:r>
        <w:rPr>
          <w:rFonts w:hint="eastAsia" w:ascii="宋体" w:hAnsi="宋体" w:eastAsia="宋体" w:cs="宋体"/>
          <w:b w:val="0"/>
          <w:bCs w:val="0"/>
          <w:color w:val="auto"/>
          <w:kern w:val="44"/>
          <w:sz w:val="24"/>
          <w:szCs w:val="24"/>
          <w:highlight w:val="none"/>
          <w:lang w:val="en-US" w:eastAsia="zh-CN" w:bidi="ar-SA"/>
        </w:rPr>
        <w:t xml:space="preserve">                                             编制人：</w:t>
      </w:r>
    </w:p>
    <w:p>
      <w:pPr>
        <w:pStyle w:val="2"/>
        <w:widowControl w:val="0"/>
        <w:numPr>
          <w:ilvl w:val="0"/>
          <w:numId w:val="0"/>
        </w:numPr>
        <w:snapToGrid w:val="0"/>
        <w:spacing w:line="480" w:lineRule="auto"/>
        <w:jc w:val="center"/>
        <w:rPr>
          <w:rFonts w:hint="default"/>
          <w:lang w:val="en-US" w:eastAsia="zh-CN"/>
        </w:rPr>
      </w:pPr>
      <w:r>
        <w:rPr>
          <w:rFonts w:hint="eastAsia" w:ascii="宋体" w:hAnsi="宋体" w:eastAsia="宋体" w:cs="宋体"/>
          <w:b w:val="0"/>
          <w:bCs w:val="0"/>
          <w:color w:val="auto"/>
          <w:kern w:val="44"/>
          <w:sz w:val="24"/>
          <w:szCs w:val="24"/>
          <w:highlight w:val="none"/>
          <w:lang w:val="en-US" w:eastAsia="zh-CN" w:bidi="ar-SA"/>
        </w:rPr>
        <w:t xml:space="preserve">                                             审核人：</w:t>
      </w:r>
    </w:p>
    <w:p>
      <w:pPr>
        <w:pStyle w:val="2"/>
        <w:rPr>
          <w:rFonts w:hint="default"/>
          <w:lang w:val="en-US" w:eastAsia="zh-CN"/>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Arial Unicode MS">
    <w:altName w:val="宋体"/>
    <w:panose1 w:val="020B0604020202020204"/>
    <w:charset w:val="86"/>
    <w:family w:val="swiss"/>
    <w:pitch w:val="default"/>
    <w:sig w:usb0="00000000" w:usb1="00000000" w:usb2="0000003F" w:usb3="00000000" w:csb0="003F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t xml:space="preserve">第 </w:t>
                          </w:r>
                          <w:r>
                            <w:fldChar w:fldCharType="begin"/>
                          </w:r>
                          <w:r>
                            <w:instrText xml:space="preserve"> PAGE  \* MERGEFORMAT </w:instrText>
                          </w:r>
                          <w:r>
                            <w:fldChar w:fldCharType="separate"/>
                          </w:r>
                          <w:r>
                            <w:t>3</w:t>
                          </w:r>
                          <w:r>
                            <w:fldChar w:fldCharType="end"/>
                          </w:r>
                          <w:r>
                            <w:t xml:space="preserve"> 页 共 </w:t>
                          </w:r>
                          <w:r>
                            <w:rPr>
                              <w:rFonts w:hint="eastAsia"/>
                              <w:lang w:val="en-US" w:eastAsia="zh-CN"/>
                            </w:rPr>
                            <w:t>2</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pPr>
                    <w:r>
                      <w:t xml:space="preserve">第 </w:t>
                    </w:r>
                    <w:r>
                      <w:fldChar w:fldCharType="begin"/>
                    </w:r>
                    <w:r>
                      <w:instrText xml:space="preserve"> PAGE  \* MERGEFORMAT </w:instrText>
                    </w:r>
                    <w:r>
                      <w:fldChar w:fldCharType="separate"/>
                    </w:r>
                    <w:r>
                      <w:t>3</w:t>
                    </w:r>
                    <w:r>
                      <w:fldChar w:fldCharType="end"/>
                    </w:r>
                    <w:r>
                      <w:t xml:space="preserve"> 页 共 </w:t>
                    </w:r>
                    <w:r>
                      <w:rPr>
                        <w:rFonts w:hint="eastAsia"/>
                        <w:lang w:val="en-US" w:eastAsia="zh-CN"/>
                      </w:rPr>
                      <w:t>2</w:t>
                    </w:r>
                    <w:r>
                      <w:t>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1A2985"/>
    <w:rsid w:val="024B0627"/>
    <w:rsid w:val="025B1C2C"/>
    <w:rsid w:val="02BA64F9"/>
    <w:rsid w:val="02C85BF0"/>
    <w:rsid w:val="0D1F773F"/>
    <w:rsid w:val="0DA44D0D"/>
    <w:rsid w:val="12B4034D"/>
    <w:rsid w:val="13B0325D"/>
    <w:rsid w:val="15262A88"/>
    <w:rsid w:val="1AFA092E"/>
    <w:rsid w:val="231D0753"/>
    <w:rsid w:val="23D073EA"/>
    <w:rsid w:val="24945554"/>
    <w:rsid w:val="24E707BB"/>
    <w:rsid w:val="26851990"/>
    <w:rsid w:val="29087430"/>
    <w:rsid w:val="29A11FDA"/>
    <w:rsid w:val="2C8B2C3C"/>
    <w:rsid w:val="2D531483"/>
    <w:rsid w:val="2F4B7E26"/>
    <w:rsid w:val="31182667"/>
    <w:rsid w:val="319B536A"/>
    <w:rsid w:val="35952E66"/>
    <w:rsid w:val="391A2985"/>
    <w:rsid w:val="396160F0"/>
    <w:rsid w:val="41242FA8"/>
    <w:rsid w:val="451574E7"/>
    <w:rsid w:val="48090FDD"/>
    <w:rsid w:val="48570EBF"/>
    <w:rsid w:val="4B3C3F80"/>
    <w:rsid w:val="4D7F64BE"/>
    <w:rsid w:val="571C1D42"/>
    <w:rsid w:val="58575C9C"/>
    <w:rsid w:val="5883486E"/>
    <w:rsid w:val="5B78387C"/>
    <w:rsid w:val="5D1742B2"/>
    <w:rsid w:val="5EEC0249"/>
    <w:rsid w:val="60277104"/>
    <w:rsid w:val="64133FF2"/>
    <w:rsid w:val="6827036C"/>
    <w:rsid w:val="6AFE00A0"/>
    <w:rsid w:val="6DEC5024"/>
    <w:rsid w:val="777B4C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Theme="minorHAnsi" w:hAnsiTheme="minorHAnsi" w:eastAsiaTheme="minorEastAsia" w:cstheme="minorBidi"/>
      <w:kern w:val="0"/>
      <w:sz w:val="22"/>
      <w:szCs w:val="22"/>
      <w:lang w:val="en-US" w:eastAsia="en-US" w:bidi="ar-SA"/>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pPr>
    <w:rPr>
      <w:sz w:val="18"/>
      <w:szCs w:val="18"/>
    </w:rPr>
  </w:style>
  <w:style w:type="paragraph" w:styleId="4">
    <w:name w:val="annotation text"/>
    <w:basedOn w:val="1"/>
    <w:semiHidden/>
    <w:unhideWhenUsed/>
    <w:qFormat/>
    <w:uiPriority w:val="99"/>
    <w:pPr>
      <w:jc w:val="left"/>
    </w:pPr>
  </w:style>
  <w:style w:type="paragraph" w:styleId="5">
    <w:name w:val="Body Text"/>
    <w:basedOn w:val="1"/>
    <w:next w:val="1"/>
    <w:qFormat/>
    <w:uiPriority w:val="1"/>
    <w:pPr>
      <w:ind w:firstLine="200" w:firstLineChars="200"/>
      <w:jc w:val="both"/>
    </w:pPr>
    <w:rPr>
      <w:rFonts w:ascii="Microsoft YaHei UI" w:hAnsi="Microsoft YaHei UI" w:eastAsia="Microsoft YaHei UI"/>
      <w:sz w:val="21"/>
      <w:szCs w:val="21"/>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9">
    <w:name w:val="WPSOffice手动目录 1"/>
    <w:qFormat/>
    <w:uiPriority w:val="0"/>
    <w:rPr>
      <w:rFonts w:asciiTheme="minorHAnsi" w:hAnsiTheme="minorHAnsi" w:eastAsiaTheme="minorEastAsia" w:cstheme="minorBidi"/>
      <w:lang w:val="en-US" w:eastAsia="zh-CN" w:bidi="ar-SA"/>
    </w:rPr>
  </w:style>
  <w:style w:type="paragraph" w:customStyle="1" w:styleId="10">
    <w:name w:val="前言、引言标题"/>
    <w:next w:val="11"/>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1">
    <w:name w:val="段"/>
    <w:qFormat/>
    <w:uiPriority w:val="0"/>
    <w:pPr>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12">
    <w:name w:val="Table Paragraph"/>
    <w:basedOn w:val="1"/>
    <w:qFormat/>
    <w:uiPriority w:val="0"/>
    <w:pPr>
      <w:jc w:val="left"/>
    </w:pPr>
    <w:rPr>
      <w:kern w:val="0"/>
      <w:sz w:val="22"/>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2024-04-23T01:38:00Z</dcterms:created>
  <dc:creator>辛俊</dc:creator>
  <cp:lastModifiedBy>王晓刚</cp:lastModifiedBy>
  <cp:lastPrinted>2024-05-15T05:41:00Z</cp:lastPrinted>
  <dcterms:modified xsi:type="dcterms:W3CDTF">2026-06-29T07:03:47Z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CB738248FACF4F65AFBC994E7F86E5C9</vt:lpwstr>
  </property>
</Properties>
</file>