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highlight w:val="none"/>
        </w:rPr>
      </w:pPr>
      <w:r>
        <w:rPr>
          <w:rFonts w:hint="eastAsia" w:ascii="宋体" w:hAnsi="宋体" w:eastAsia="宋体" w:cs="宋体"/>
          <w:bCs/>
          <w:kern w:val="44"/>
          <w:sz w:val="44"/>
          <w:szCs w:val="44"/>
          <w:highlight w:val="none"/>
        </w:rPr>
        <w:t>采办计划公告</w:t>
      </w:r>
    </w:p>
    <w:p>
      <w:pPr>
        <w:spacing w:line="560" w:lineRule="exact"/>
        <w:rPr>
          <w:rFonts w:ascii="Times New Roman" w:hAnsi="Times New Roman" w:eastAsia="等线" w:cs="Times New Roman"/>
          <w:sz w:val="32"/>
          <w:highlight w:val="none"/>
        </w:rPr>
      </w:pP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为便于供应商及时了解项目采办信息，现将</w:t>
      </w:r>
      <w:r>
        <w:rPr>
          <w:rFonts w:ascii="Times New Roman" w:hAnsi="Times New Roman" w:eastAsia="仿宋_GB2312" w:cs="Times New Roman"/>
          <w:sz w:val="32"/>
          <w:szCs w:val="32"/>
          <w:highlight w:val="none"/>
          <w:u w:val="single"/>
        </w:rPr>
        <w:t>（</w:t>
      </w:r>
      <w:r>
        <w:rPr>
          <w:rFonts w:hint="eastAsia" w:ascii="Times New Roman" w:hAnsi="Times New Roman" w:eastAsia="仿宋_GB2312" w:cs="Times New Roman"/>
          <w:sz w:val="32"/>
          <w:szCs w:val="32"/>
          <w:highlight w:val="none"/>
          <w:u w:val="single"/>
          <w:lang w:eastAsia="zh-CN"/>
        </w:rPr>
        <w:t>装备公司卡塔尔RUYA海底管道基线检测项目电池运输服务专有协议</w:t>
      </w:r>
      <w:r>
        <w:rPr>
          <w:rFonts w:ascii="Times New Roman" w:hAnsi="Times New Roman" w:eastAsia="仿宋_GB2312" w:cs="Times New Roman"/>
          <w:sz w:val="32"/>
          <w:szCs w:val="32"/>
          <w:highlight w:val="none"/>
          <w:u w:val="single"/>
        </w:rPr>
        <w:t>）</w:t>
      </w:r>
      <w:r>
        <w:rPr>
          <w:rFonts w:ascii="Times New Roman" w:hAnsi="Times New Roman" w:eastAsia="仿宋_GB2312" w:cs="Times New Roman"/>
          <w:sz w:val="32"/>
          <w:szCs w:val="32"/>
          <w:highlight w:val="none"/>
        </w:rPr>
        <w:t>的采办计划公开如下：</w:t>
      </w:r>
    </w:p>
    <w:tbl>
      <w:tblPr>
        <w:tblStyle w:val="19"/>
        <w:tblW w:w="968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559"/>
        <w:gridCol w:w="1661"/>
        <w:gridCol w:w="1777"/>
        <w:gridCol w:w="3264"/>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序号</w:t>
            </w:r>
          </w:p>
        </w:tc>
        <w:tc>
          <w:tcPr>
            <w:tcW w:w="1559" w:type="dxa"/>
            <w:vAlign w:val="center"/>
          </w:tcPr>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采办包</w:t>
            </w:r>
          </w:p>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名称</w:t>
            </w:r>
          </w:p>
        </w:tc>
        <w:tc>
          <w:tcPr>
            <w:tcW w:w="1661" w:type="dxa"/>
            <w:vAlign w:val="center"/>
          </w:tcPr>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采购范围与主要技术指标</w:t>
            </w:r>
          </w:p>
        </w:tc>
        <w:tc>
          <w:tcPr>
            <w:tcW w:w="1777" w:type="dxa"/>
            <w:vAlign w:val="center"/>
          </w:tcPr>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预计发标时间</w:t>
            </w:r>
          </w:p>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（填写到月）</w:t>
            </w:r>
          </w:p>
        </w:tc>
        <w:tc>
          <w:tcPr>
            <w:tcW w:w="3264" w:type="dxa"/>
            <w:vAlign w:val="center"/>
          </w:tcPr>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供应商资质基本要求</w:t>
            </w:r>
          </w:p>
        </w:tc>
        <w:tc>
          <w:tcPr>
            <w:tcW w:w="855" w:type="dxa"/>
            <w:vAlign w:val="center"/>
          </w:tcPr>
          <w:p>
            <w:pPr>
              <w:jc w:val="center"/>
              <w:rPr>
                <w:rFonts w:ascii="Times New Roman" w:hAnsi="Times New Roman" w:eastAsia="仿宋" w:cs="Times New Roman"/>
                <w:kern w:val="0"/>
                <w:sz w:val="24"/>
                <w:szCs w:val="24"/>
                <w:highlight w:val="none"/>
              </w:rPr>
            </w:pPr>
            <w:r>
              <w:rPr>
                <w:rFonts w:ascii="Times New Roman" w:hAnsi="Times New Roman" w:eastAsia="仿宋" w:cs="Times New Roman"/>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568" w:type="dxa"/>
            <w:vAlign w:val="center"/>
          </w:tcPr>
          <w:p>
            <w:pPr>
              <w:ind w:firstLine="0" w:firstLineChars="0"/>
              <w:rPr>
                <w:rFonts w:hint="eastAsia" w:ascii="Times New Roman" w:hAnsi="Times New Roman" w:eastAsia="仿宋" w:cs="Times New Roman"/>
                <w:kern w:val="0"/>
                <w:sz w:val="24"/>
                <w:szCs w:val="24"/>
                <w:highlight w:val="none"/>
                <w:lang w:val="en-US" w:eastAsia="zh-CN"/>
              </w:rPr>
            </w:pPr>
            <w:r>
              <w:rPr>
                <w:rFonts w:hint="eastAsia" w:ascii="Times New Roman" w:hAnsi="Times New Roman" w:eastAsia="仿宋" w:cs="Times New Roman"/>
                <w:kern w:val="0"/>
                <w:sz w:val="24"/>
                <w:szCs w:val="24"/>
                <w:highlight w:val="none"/>
                <w:lang w:val="en-US" w:eastAsia="zh-CN"/>
              </w:rPr>
              <w:t>1</w:t>
            </w:r>
          </w:p>
        </w:tc>
        <w:tc>
          <w:tcPr>
            <w:tcW w:w="1559" w:type="dxa"/>
            <w:vAlign w:val="center"/>
          </w:tcPr>
          <w:p>
            <w:pPr>
              <w:rPr>
                <w:rFonts w:ascii="Times New Roman" w:hAnsi="Times New Roman" w:eastAsia="仿宋" w:cs="Times New Roman"/>
                <w:kern w:val="0"/>
                <w:sz w:val="24"/>
                <w:szCs w:val="24"/>
                <w:highlight w:val="none"/>
                <w:u w:val="single"/>
              </w:rPr>
            </w:pPr>
            <w:r>
              <w:rPr>
                <w:rFonts w:hint="eastAsia" w:ascii="Times New Roman" w:hAnsi="Times New Roman" w:eastAsia="仿宋" w:cs="Times New Roman"/>
                <w:kern w:val="0"/>
                <w:sz w:val="24"/>
                <w:szCs w:val="24"/>
                <w:highlight w:val="none"/>
                <w:u w:val="single"/>
                <w:lang w:val="en-US" w:eastAsia="zh-CN"/>
              </w:rPr>
              <w:t>（装备公司卡塔尔RUYA海底管道基线检测项目电池运输服务专有协议）</w:t>
            </w:r>
          </w:p>
        </w:tc>
        <w:tc>
          <w:tcPr>
            <w:tcW w:w="1661" w:type="dxa"/>
            <w:vAlign w:val="center"/>
          </w:tcPr>
          <w:p>
            <w:pPr>
              <w:rPr>
                <w:rFonts w:ascii="Times New Roman" w:hAnsi="Times New Roman" w:eastAsia="仿宋" w:cs="Times New Roman"/>
                <w:kern w:val="0"/>
                <w:sz w:val="24"/>
                <w:szCs w:val="24"/>
                <w:highlight w:val="none"/>
                <w:u w:val="single"/>
              </w:rPr>
            </w:pPr>
            <w:r>
              <w:rPr>
                <w:rFonts w:ascii="Times New Roman" w:hAnsi="Times New Roman" w:eastAsia="仿宋" w:cs="Times New Roman"/>
                <w:kern w:val="0"/>
                <w:sz w:val="24"/>
                <w:szCs w:val="24"/>
                <w:highlight w:val="none"/>
                <w:u w:val="single"/>
              </w:rPr>
              <w:t>（</w:t>
            </w:r>
            <w:r>
              <w:rPr>
                <w:rFonts w:hint="eastAsia" w:ascii="Times New Roman" w:hAnsi="Times New Roman" w:eastAsia="仿宋" w:cs="Times New Roman"/>
                <w:kern w:val="0"/>
                <w:sz w:val="24"/>
                <w:szCs w:val="24"/>
                <w:highlight w:val="none"/>
                <w:u w:val="single"/>
                <w:lang w:val="en-US" w:eastAsia="zh-CN"/>
              </w:rPr>
              <w:t>技术要求详见附件</w:t>
            </w:r>
            <w:r>
              <w:rPr>
                <w:rFonts w:ascii="Times New Roman" w:hAnsi="Times New Roman" w:eastAsia="仿宋" w:cs="Times New Roman"/>
                <w:kern w:val="0"/>
                <w:sz w:val="24"/>
                <w:szCs w:val="24"/>
                <w:highlight w:val="none"/>
                <w:u w:val="single"/>
              </w:rPr>
              <w:t>）</w:t>
            </w:r>
          </w:p>
        </w:tc>
        <w:tc>
          <w:tcPr>
            <w:tcW w:w="1777" w:type="dxa"/>
            <w:vAlign w:val="center"/>
          </w:tcPr>
          <w:p>
            <w:pPr>
              <w:rPr>
                <w:rFonts w:ascii="Times New Roman" w:hAnsi="Times New Roman" w:eastAsia="仿宋" w:cs="Times New Roman"/>
                <w:kern w:val="0"/>
                <w:sz w:val="24"/>
                <w:szCs w:val="24"/>
                <w:highlight w:val="none"/>
                <w:u w:val="single"/>
              </w:rPr>
            </w:pPr>
            <w:r>
              <w:rPr>
                <w:rFonts w:ascii="Times New Roman" w:hAnsi="Times New Roman" w:eastAsia="仿宋" w:cs="Times New Roman"/>
                <w:kern w:val="0"/>
                <w:sz w:val="24"/>
                <w:szCs w:val="24"/>
                <w:highlight w:val="none"/>
                <w:u w:val="single"/>
              </w:rPr>
              <w:t>（</w:t>
            </w:r>
            <w:r>
              <w:rPr>
                <w:rFonts w:hint="eastAsia" w:ascii="Times New Roman" w:hAnsi="Times New Roman" w:eastAsia="仿宋" w:cs="Times New Roman"/>
                <w:kern w:val="0"/>
                <w:sz w:val="24"/>
                <w:szCs w:val="24"/>
                <w:highlight w:val="none"/>
                <w:u w:val="single"/>
                <w:lang w:val="en-US" w:eastAsia="zh-CN"/>
              </w:rPr>
              <w:t>2026年6月</w:t>
            </w:r>
            <w:r>
              <w:rPr>
                <w:rFonts w:ascii="Times New Roman" w:hAnsi="Times New Roman" w:eastAsia="仿宋" w:cs="Times New Roman"/>
                <w:kern w:val="0"/>
                <w:sz w:val="24"/>
                <w:szCs w:val="24"/>
                <w:highlight w:val="none"/>
                <w:u w:val="single"/>
              </w:rPr>
              <w:t>）</w:t>
            </w:r>
          </w:p>
        </w:tc>
        <w:tc>
          <w:tcPr>
            <w:tcW w:w="3264" w:type="dxa"/>
            <w:vAlign w:val="center"/>
          </w:tcPr>
          <w:p>
            <w:pPr>
              <w:pStyle w:val="9"/>
              <w:numPr>
                <w:ilvl w:val="0"/>
                <w:numId w:val="3"/>
              </w:numPr>
              <w:spacing w:line="257" w:lineRule="auto"/>
              <w:ind w:left="425" w:leftChars="0" w:right="115" w:rightChars="55" w:hanging="425" w:firstLineChars="0"/>
              <w:rPr>
                <w:rFonts w:hint="eastAsia" w:ascii="Times New Roman" w:hAnsi="Times New Roman" w:eastAsia="仿宋" w:cs="Times New Roman"/>
                <w:kern w:val="0"/>
                <w:sz w:val="24"/>
                <w:szCs w:val="24"/>
                <w:highlight w:val="none"/>
                <w:u w:val="single"/>
                <w:lang w:val="en-US" w:eastAsia="zh-CN"/>
              </w:rPr>
            </w:pPr>
            <w:r>
              <w:rPr>
                <w:rFonts w:hint="eastAsia" w:ascii="Times New Roman" w:hAnsi="Times New Roman" w:eastAsia="仿宋" w:cs="Times New Roman"/>
                <w:kern w:val="0"/>
                <w:sz w:val="24"/>
                <w:szCs w:val="24"/>
                <w:highlight w:val="none"/>
                <w:u w:val="single"/>
                <w:lang w:val="en-US" w:eastAsia="zh-CN"/>
              </w:rPr>
              <w:t>供应商应具备国际货运代理企业备案表</w:t>
            </w:r>
          </w:p>
          <w:p>
            <w:pPr>
              <w:pStyle w:val="9"/>
              <w:numPr>
                <w:ilvl w:val="0"/>
                <w:numId w:val="3"/>
              </w:numPr>
              <w:spacing w:line="257" w:lineRule="auto"/>
              <w:ind w:left="425" w:leftChars="0" w:right="115" w:rightChars="55" w:hanging="425" w:firstLineChars="0"/>
              <w:rPr>
                <w:rFonts w:hint="eastAsia" w:ascii="仿宋" w:hAnsi="仿宋" w:eastAsia="仿宋" w:cs="仿宋"/>
                <w:i w:val="0"/>
                <w:iCs w:val="0"/>
                <w:caps w:val="0"/>
                <w:color w:val="000000"/>
                <w:spacing w:val="0"/>
                <w:sz w:val="24"/>
                <w:szCs w:val="24"/>
                <w:u w:val="single"/>
                <w:lang w:val="en-US" w:eastAsia="zh-CN"/>
              </w:rPr>
            </w:pPr>
            <w:r>
              <w:rPr>
                <w:rFonts w:ascii="仿宋" w:hAnsi="仿宋" w:eastAsia="仿宋" w:cs="仿宋"/>
                <w:i w:val="0"/>
                <w:iCs w:val="0"/>
                <w:caps w:val="0"/>
                <w:color w:val="000000"/>
                <w:spacing w:val="0"/>
                <w:sz w:val="24"/>
                <w:szCs w:val="24"/>
                <w:u w:val="single"/>
              </w:rPr>
              <w:t>业绩要求：</w:t>
            </w:r>
          </w:p>
          <w:p>
            <w:pPr>
              <w:pStyle w:val="9"/>
              <w:numPr>
                <w:ilvl w:val="0"/>
                <w:numId w:val="0"/>
              </w:numPr>
              <w:spacing w:line="257" w:lineRule="auto"/>
              <w:ind w:leftChars="0" w:right="115" w:rightChars="55"/>
              <w:rPr>
                <w:rFonts w:hint="eastAsia" w:ascii="仿宋" w:hAnsi="仿宋" w:eastAsia="仿宋" w:cs="仿宋"/>
                <w:i w:val="0"/>
                <w:iCs w:val="0"/>
                <w:caps w:val="0"/>
                <w:color w:val="000000"/>
                <w:spacing w:val="0"/>
                <w:sz w:val="24"/>
                <w:szCs w:val="24"/>
                <w:u w:val="single"/>
                <w:lang w:val="en-US" w:eastAsia="zh-CN"/>
              </w:rPr>
            </w:pPr>
            <w:r>
              <w:rPr>
                <w:rFonts w:hint="eastAsia" w:ascii="仿宋" w:hAnsi="仿宋" w:eastAsia="仿宋" w:cs="仿宋"/>
                <w:i w:val="0"/>
                <w:iCs w:val="0"/>
                <w:caps w:val="0"/>
                <w:color w:val="000000"/>
                <w:spacing w:val="0"/>
                <w:sz w:val="24"/>
                <w:szCs w:val="24"/>
                <w:u w:val="single"/>
                <w:lang w:val="en-US" w:eastAsia="zh-CN"/>
              </w:rPr>
              <w:t>1.1 应答人在2023年1月1日至递交响应文件截止日内，至少具有1项已完成的国际货物运输代理服务验收业绩，并提供相应业绩证明文件。提供的业绩证明文件包括：1）具有法律效力的业绩合同、2）合同所对应的结</w:t>
            </w:r>
            <w:bookmarkStart w:id="4" w:name="_GoBack"/>
            <w:bookmarkEnd w:id="4"/>
            <w:r>
              <w:rPr>
                <w:rFonts w:hint="eastAsia" w:ascii="仿宋" w:hAnsi="仿宋" w:eastAsia="仿宋" w:cs="仿宋"/>
                <w:i w:val="0"/>
                <w:iCs w:val="0"/>
                <w:caps w:val="0"/>
                <w:color w:val="000000"/>
                <w:spacing w:val="0"/>
                <w:sz w:val="24"/>
                <w:szCs w:val="24"/>
                <w:u w:val="single"/>
                <w:lang w:val="en-US" w:eastAsia="zh-CN"/>
              </w:rPr>
              <w:t>算发票、3）国家税务总局全国增值税发票查验平台的发票查验截图。（若为国外客户可提供形式发票和银行水单）。（提供的业绩证明材料必须完全涵盖以上内容，否则视为无效业绩，缺少任何1项都将可能将影响评审结果）。具有法律效力的业绩合同应至少涵盖：合同首页、合同签署页（有签字或盖章）、能体现服务范围；合同结算发票应与前述所提供的合同相对应。发票查验截图要求每张发票均对应一张查验截图。对于无法查询、查询结果有异议的发票，都将影响评审结果。</w:t>
            </w:r>
          </w:p>
          <w:p>
            <w:pPr>
              <w:pStyle w:val="9"/>
              <w:numPr>
                <w:ilvl w:val="0"/>
                <w:numId w:val="0"/>
              </w:numPr>
              <w:spacing w:line="257" w:lineRule="auto"/>
              <w:ind w:leftChars="0" w:right="115" w:rightChars="55"/>
              <w:rPr>
                <w:rFonts w:hint="eastAsia" w:ascii="仿宋" w:hAnsi="仿宋" w:eastAsia="仿宋" w:cs="仿宋"/>
                <w:i w:val="0"/>
                <w:iCs w:val="0"/>
                <w:caps w:val="0"/>
                <w:color w:val="000000"/>
                <w:spacing w:val="0"/>
                <w:sz w:val="24"/>
                <w:szCs w:val="24"/>
                <w:u w:val="single"/>
                <w:lang w:val="en-US" w:eastAsia="zh-CN"/>
              </w:rPr>
            </w:pPr>
            <w:r>
              <w:rPr>
                <w:rFonts w:hint="eastAsia" w:ascii="仿宋" w:hAnsi="仿宋" w:eastAsia="仿宋" w:cs="仿宋"/>
                <w:i w:val="0"/>
                <w:iCs w:val="0"/>
                <w:caps w:val="0"/>
                <w:color w:val="000000"/>
                <w:spacing w:val="0"/>
                <w:sz w:val="24"/>
                <w:szCs w:val="24"/>
                <w:u w:val="single"/>
                <w:lang w:val="en-US" w:eastAsia="zh-CN"/>
              </w:rPr>
              <w:t>1.2 若业绩合同为年度协议，还应至少提供1项已完成的订单页以及所对应的结算发票、国家税务总局全国增值税发票查验平台的发票查验截图。同一个年协合同提供1项及以上订单的均算为1个有效业绩。</w:t>
            </w:r>
          </w:p>
          <w:p>
            <w:pPr>
              <w:pStyle w:val="9"/>
              <w:numPr>
                <w:ilvl w:val="0"/>
                <w:numId w:val="0"/>
              </w:numPr>
              <w:spacing w:line="257" w:lineRule="auto"/>
              <w:ind w:leftChars="0" w:right="115" w:rightChars="55"/>
              <w:rPr>
                <w:rFonts w:hint="eastAsia" w:ascii="Times New Roman" w:hAnsi="Times New Roman" w:eastAsia="仿宋" w:cs="Times New Roman"/>
                <w:kern w:val="0"/>
                <w:sz w:val="24"/>
                <w:szCs w:val="24"/>
                <w:highlight w:val="none"/>
                <w:u w:val="single"/>
              </w:rPr>
            </w:pPr>
            <w:r>
              <w:rPr>
                <w:rFonts w:hint="eastAsia" w:ascii="仿宋" w:hAnsi="仿宋" w:eastAsia="仿宋" w:cs="仿宋"/>
                <w:i w:val="0"/>
                <w:iCs w:val="0"/>
                <w:caps w:val="0"/>
                <w:color w:val="000000"/>
                <w:spacing w:val="0"/>
                <w:sz w:val="24"/>
                <w:szCs w:val="24"/>
                <w:u w:val="single"/>
                <w:lang w:val="en-US" w:eastAsia="zh-CN"/>
              </w:rPr>
              <w:t>1.3.未提供业绩证明文件或提供的业绩证明文件无法认定上述业绩要求的，视为无效业绩，将影响评审结果。</w:t>
            </w:r>
          </w:p>
        </w:tc>
        <w:tc>
          <w:tcPr>
            <w:tcW w:w="855" w:type="dxa"/>
            <w:vAlign w:val="center"/>
          </w:tcPr>
          <w:p>
            <w:pPr>
              <w:rPr>
                <w:rFonts w:ascii="Times New Roman" w:hAnsi="Times New Roman" w:eastAsia="仿宋" w:cs="Times New Roman"/>
                <w:kern w:val="0"/>
                <w:sz w:val="24"/>
                <w:szCs w:val="24"/>
                <w:highlight w:val="none"/>
                <w:u w:val="single"/>
              </w:rPr>
            </w:pPr>
          </w:p>
        </w:tc>
      </w:tr>
    </w:tbl>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本次公开的采办计划是本项目采办工作的初步安排，实际采购应以相关采购公告和采购文件为准，所有提供和反馈的信息只作为项目采办参考。</w:t>
      </w: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本次公告有效期是（</w:t>
      </w:r>
      <w:r>
        <w:rPr>
          <w:rFonts w:hint="eastAsia" w:ascii="Times New Roman" w:hAnsi="Times New Roman" w:eastAsia="仿宋_GB2312" w:cs="Times New Roman"/>
          <w:sz w:val="32"/>
          <w:szCs w:val="32"/>
          <w:highlight w:val="none"/>
          <w:lang w:val="en-US" w:eastAsia="zh-CN"/>
        </w:rPr>
        <w:t>2026年5月22日</w:t>
      </w:r>
      <w:r>
        <w:rPr>
          <w:rFonts w:ascii="Times New Roman" w:hAnsi="Times New Roman" w:eastAsia="仿宋_GB2312" w:cs="Times New Roman"/>
          <w:sz w:val="32"/>
          <w:szCs w:val="32"/>
          <w:highlight w:val="none"/>
        </w:rPr>
        <w:t>）至（</w:t>
      </w:r>
      <w:r>
        <w:rPr>
          <w:rFonts w:hint="eastAsia" w:ascii="Times New Roman" w:hAnsi="Times New Roman" w:eastAsia="仿宋_GB2312" w:cs="Times New Roman"/>
          <w:sz w:val="32"/>
          <w:szCs w:val="32"/>
          <w:highlight w:val="none"/>
          <w:lang w:val="en-US" w:eastAsia="zh-CN"/>
        </w:rPr>
        <w:t>2026年5月28日</w:t>
      </w:r>
      <w:r>
        <w:rPr>
          <w:rFonts w:ascii="Times New Roman" w:hAnsi="Times New Roman" w:eastAsia="仿宋_GB2312" w:cs="Times New Roman"/>
          <w:sz w:val="32"/>
          <w:szCs w:val="32"/>
          <w:highlight w:val="none"/>
        </w:rPr>
        <w:t>）止。在此期间，有意参与某采办包的系统用户可在集团公司采办系统中提交反馈材料。</w:t>
      </w:r>
    </w:p>
    <w:p>
      <w:pPr>
        <w:pStyle w:val="17"/>
        <w:ind w:left="0" w:leftChars="0" w:firstLine="640" w:firstLineChars="200"/>
        <w:rPr>
          <w:rFonts w:hint="default" w:ascii="Times New Roman" w:hAnsi="Times New Roman" w:eastAsia="仿宋" w:cs="Times New Roman"/>
          <w:sz w:val="28"/>
          <w:szCs w:val="28"/>
          <w:highlight w:val="none"/>
          <w:lang w:val="en-US"/>
        </w:rPr>
      </w:pPr>
      <w:r>
        <w:rPr>
          <w:rFonts w:hint="eastAsia" w:ascii="Times New Roman" w:hAnsi="Times New Roman" w:eastAsia="仿宋_GB2312" w:cs="Times New Roman"/>
          <w:kern w:val="2"/>
          <w:sz w:val="32"/>
          <w:szCs w:val="32"/>
          <w:highlight w:val="none"/>
          <w:lang w:val="en-US" w:eastAsia="zh-CN" w:bidi="ar-SA"/>
        </w:rPr>
        <w:t>如对上述公开内容真实、有效性存疑，请拨打社会监督电话：022-25802262，其他事项不受理。</w:t>
      </w:r>
      <w:r>
        <w:rPr>
          <w:rFonts w:hint="eastAsia" w:ascii="Times New Roman" w:hAnsi="Times New Roman" w:cs="Times New Roman"/>
          <w:kern w:val="2"/>
          <w:sz w:val="32"/>
          <w:szCs w:val="32"/>
          <w:highlight w:val="none"/>
          <w:lang w:val="en-US" w:eastAsia="zh-CN" w:bidi="ar-SA"/>
        </w:rPr>
        <w:t>商务人：林硝萌，联系电话：022-25802221。</w:t>
      </w: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sz w:val="32"/>
          <w:szCs w:val="32"/>
          <w:highlight w:val="none"/>
          <w:u w:val="none"/>
        </w:rPr>
      </w:pPr>
      <w:r>
        <w:rPr>
          <w:rFonts w:ascii="Times New Roman" w:hAnsi="Times New Roman" w:eastAsia="仿宋_GB2312" w:cs="Times New Roman"/>
          <w:sz w:val="32"/>
          <w:szCs w:val="32"/>
          <w:highlight w:val="none"/>
          <w:u w:val="none"/>
        </w:rPr>
        <w:t>（单位名称</w:t>
      </w:r>
      <w:r>
        <w:rPr>
          <w:rFonts w:hint="eastAsia" w:ascii="Times New Roman" w:hAnsi="Times New Roman" w:eastAsia="仿宋_GB2312" w:cs="Times New Roman"/>
          <w:sz w:val="32"/>
          <w:szCs w:val="32"/>
          <w:highlight w:val="none"/>
          <w:u w:val="none"/>
          <w:lang w:val="en-US" w:eastAsia="zh-CN"/>
        </w:rPr>
        <w:t>:共享中心</w:t>
      </w:r>
      <w:r>
        <w:rPr>
          <w:rFonts w:ascii="Times New Roman" w:hAnsi="Times New Roman" w:eastAsia="仿宋_GB2312" w:cs="Times New Roman"/>
          <w:sz w:val="32"/>
          <w:szCs w:val="32"/>
          <w:highlight w:val="none"/>
          <w:u w:val="none"/>
        </w:rPr>
        <w:t>）</w:t>
      </w:r>
    </w:p>
    <w:p>
      <w:pPr>
        <w:tabs>
          <w:tab w:val="left" w:pos="993"/>
          <w:tab w:val="left" w:pos="1134"/>
          <w:tab w:val="left" w:pos="1418"/>
        </w:tabs>
        <w:spacing w:line="600" w:lineRule="exact"/>
        <w:ind w:right="480" w:firstLine="960" w:firstLineChars="300"/>
        <w:jc w:val="right"/>
        <w:rPr>
          <w:rFonts w:ascii="Times New Roman" w:hAnsi="Times New Roman" w:eastAsia="仿宋_GB2312" w:cs="Times New Roman"/>
          <w:b/>
          <w:sz w:val="32"/>
          <w:szCs w:val="32"/>
          <w:highlight w:val="none"/>
        </w:rPr>
      </w:pPr>
      <w:r>
        <w:rPr>
          <w:rFonts w:hint="eastAsia" w:ascii="Times New Roman" w:hAnsi="Times New Roman" w:eastAsia="仿宋_GB2312" w:cs="Times New Roman"/>
          <w:sz w:val="32"/>
          <w:szCs w:val="32"/>
          <w:highlight w:val="none"/>
          <w:lang w:val="en-US" w:eastAsia="zh-CN"/>
        </w:rPr>
        <w:t>2026年5月22日</w:t>
      </w:r>
      <w:r>
        <w:rPr>
          <w:rFonts w:ascii="Times New Roman" w:hAnsi="Times New Roman" w:eastAsia="仿宋_GB2312" w:cs="Times New Roman"/>
          <w:sz w:val="32"/>
          <w:szCs w:val="32"/>
          <w:highlight w:val="none"/>
        </w:rPr>
        <w:t xml:space="preserve"> </w:t>
      </w:r>
    </w:p>
    <w:p>
      <w: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rPr>
      </w:pPr>
      <w:bookmarkStart w:id="0" w:name="_Toc13249324"/>
      <w:bookmarkStart w:id="1" w:name="_Toc13248927"/>
      <w:r>
        <w:rPr>
          <w:rFonts w:hint="eastAsia"/>
          <w:b/>
          <w:bCs/>
          <w:sz w:val="32"/>
          <w:szCs w:val="32"/>
        </w:rPr>
        <w:t>一、</w:t>
      </w:r>
      <w:r>
        <w:rPr>
          <w:rFonts w:hint="eastAsia"/>
          <w:b/>
          <w:bCs/>
          <w:sz w:val="32"/>
          <w:szCs w:val="32"/>
          <w:lang w:val="en-US" w:eastAsia="zh-CN"/>
        </w:rPr>
        <w:t>需求</w:t>
      </w:r>
      <w:r>
        <w:rPr>
          <w:rFonts w:hint="eastAsia"/>
          <w:b/>
          <w:bCs/>
          <w:sz w:val="32"/>
          <w:szCs w:val="32"/>
        </w:rPr>
        <w:t>概况</w:t>
      </w:r>
      <w:bookmarkEnd w:id="0"/>
      <w:bookmarkEnd w:id="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color w:val="000000" w:themeColor="text1"/>
          <w:kern w:val="0"/>
          <w:sz w:val="21"/>
          <w:szCs w:val="21"/>
          <w:highlight w:val="none"/>
          <w:lang w:val="en-US" w:eastAsia="zh-CN"/>
          <w14:textFill>
            <w14:solidFill>
              <w14:schemeClr w14:val="tx1"/>
            </w14:solidFill>
          </w14:textFill>
        </w:rPr>
      </w:pPr>
      <w:bookmarkStart w:id="2" w:name="_Toc13249325"/>
      <w:bookmarkStart w:id="3" w:name="_Toc13248928"/>
      <w:r>
        <w:rPr>
          <w:rFonts w:hint="eastAsia" w:ascii="宋体" w:hAnsi="宋体" w:eastAsia="宋体" w:cs="宋体"/>
          <w:spacing w:val="0"/>
          <w:kern w:val="0"/>
          <w:sz w:val="21"/>
          <w:szCs w:val="21"/>
          <w:lang w:val="en-US" w:eastAsia="zh-CN" w:bidi="ar-SA"/>
        </w:rPr>
        <w:t>中海油（天津）管道工程技术有限公司（</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以下简称“</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spacing w:val="0"/>
          <w:kern w:val="0"/>
          <w:sz w:val="21"/>
          <w:szCs w:val="21"/>
          <w:lang w:val="en-US" w:eastAsia="zh-CN" w:bidi="ar-SA"/>
        </w:rPr>
        <w:t>）根据卡塔尔RUYA海底管道基线检测项目生产</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需要，需要将用于管道检测施工作业的电池（电池属于消耗品，检测器运行超过一定作业距离/时间需及时更换）运输至卡塔尔指定地点，故需</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外委</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服务商（以下简称“乙方”）提供运输服务，以保证项目顺利实施。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rPr>
      </w:pPr>
      <w:r>
        <w:rPr>
          <w:rFonts w:hint="eastAsia"/>
          <w:b/>
          <w:bCs/>
          <w:sz w:val="32"/>
          <w:szCs w:val="32"/>
        </w:rPr>
        <w:t>二、服务内容和范围</w:t>
      </w:r>
      <w:bookmarkEnd w:id="2"/>
      <w:bookmarkEnd w:id="3"/>
    </w:p>
    <w:p>
      <w:pPr>
        <w:pStyle w:val="9"/>
        <w:keepNext w:val="0"/>
        <w:keepLines w:val="0"/>
        <w:pageBreakBefore w:val="0"/>
        <w:widowControl w:val="0"/>
        <w:kinsoku/>
        <w:wordWrap/>
        <w:overflowPunct/>
        <w:topLinePunct w:val="0"/>
        <w:autoSpaceDE/>
        <w:autoSpaceDN/>
        <w:bidi w:val="0"/>
        <w:adjustRightInd/>
        <w:snapToGrid/>
        <w:spacing w:line="360" w:lineRule="auto"/>
        <w:ind w:right="115" w:rightChars="55" w:firstLine="200" w:firstLineChars="95"/>
        <w:textAlignment w:val="auto"/>
        <w:outlineLvl w:val="1"/>
        <w:rPr>
          <w:rFonts w:hint="eastAsia" w:ascii="宋体" w:hAnsi="宋体" w:eastAsia="宋体" w:cs="宋体"/>
          <w:b/>
          <w:bCs/>
          <w:lang w:eastAsia="zh-CN"/>
        </w:rPr>
      </w:pPr>
      <w:r>
        <w:rPr>
          <w:rFonts w:hint="eastAsia" w:ascii="宋体" w:hAnsi="宋体" w:eastAsia="宋体" w:cs="宋体"/>
          <w:b/>
          <w:bCs/>
          <w:lang w:eastAsia="zh-CN"/>
        </w:rPr>
        <w:t>1、服务内容</w:t>
      </w:r>
    </w:p>
    <w:tbl>
      <w:tblPr>
        <w:tblStyle w:val="3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2045"/>
        <w:gridCol w:w="6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89" w:hRule="atLeast"/>
          <w:jc w:val="center"/>
        </w:trPr>
        <w:tc>
          <w:tcPr>
            <w:tcW w:w="2045" w:type="dxa"/>
            <w:vAlign w:val="center"/>
          </w:tcPr>
          <w:p>
            <w:pPr>
              <w:widowControl w:val="0"/>
              <w:snapToGrid w:val="0"/>
              <w:spacing w:line="360" w:lineRule="auto"/>
              <w:ind w:right="-29" w:rightChars="-14" w:firstLine="0" w:firstLineChars="0"/>
              <w:jc w:val="center"/>
              <w:rPr>
                <w:rFonts w:hint="eastAsia" w:ascii="宋体" w:hAnsi="宋体" w:eastAsia="宋体" w:cs="宋体"/>
                <w:szCs w:val="21"/>
              </w:rPr>
            </w:pPr>
            <w:r>
              <w:rPr>
                <w:rFonts w:hint="eastAsia" w:ascii="宋体" w:hAnsi="宋体" w:eastAsia="宋体" w:cs="宋体"/>
                <w:kern w:val="2"/>
                <w:sz w:val="21"/>
                <w:szCs w:val="21"/>
                <w:lang w:val="en-US" w:eastAsia="zh-CN" w:bidi="ar-SA"/>
              </w:rPr>
              <w:t>序号</w:t>
            </w:r>
          </w:p>
        </w:tc>
        <w:tc>
          <w:tcPr>
            <w:tcW w:w="6792" w:type="dxa"/>
            <w:vAlign w:val="center"/>
          </w:tcPr>
          <w:p>
            <w:pPr>
              <w:widowControl w:val="0"/>
              <w:snapToGrid w:val="0"/>
              <w:spacing w:line="360" w:lineRule="auto"/>
              <w:ind w:right="115" w:rightChars="55" w:firstLine="420" w:firstLineChars="200"/>
              <w:jc w:val="center"/>
              <w:rPr>
                <w:rFonts w:hint="eastAsia" w:ascii="宋体" w:hAnsi="宋体" w:eastAsia="宋体" w:cs="宋体"/>
                <w:szCs w:val="21"/>
              </w:rPr>
            </w:pPr>
            <w:r>
              <w:rPr>
                <w:rFonts w:hint="eastAsia" w:ascii="宋体" w:hAnsi="宋体" w:eastAsia="宋体" w:cs="宋体"/>
                <w:kern w:val="2"/>
                <w:sz w:val="21"/>
                <w:szCs w:val="21"/>
                <w:lang w:val="en-US" w:eastAsia="zh-CN" w:bidi="ar-SA"/>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89" w:hRule="atLeast"/>
          <w:jc w:val="center"/>
        </w:trPr>
        <w:tc>
          <w:tcPr>
            <w:tcW w:w="2045" w:type="dxa"/>
            <w:vAlign w:val="center"/>
          </w:tcPr>
          <w:p>
            <w:pPr>
              <w:widowControl/>
              <w:spacing w:line="360" w:lineRule="auto"/>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w:t>
            </w:r>
          </w:p>
        </w:tc>
        <w:tc>
          <w:tcPr>
            <w:tcW w:w="6792" w:type="dxa"/>
            <w:vAlign w:val="center"/>
          </w:tcPr>
          <w:p>
            <w:pPr>
              <w:widowControl/>
              <w:spacing w:line="360" w:lineRule="auto"/>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电池运输服务1项</w:t>
            </w:r>
          </w:p>
        </w:tc>
      </w:tr>
    </w:tbl>
    <w:p>
      <w:pPr>
        <w:pStyle w:val="9"/>
        <w:keepNext w:val="0"/>
        <w:keepLines w:val="0"/>
        <w:pageBreakBefore w:val="0"/>
        <w:widowControl w:val="0"/>
        <w:kinsoku/>
        <w:wordWrap/>
        <w:overflowPunct/>
        <w:topLinePunct w:val="0"/>
        <w:autoSpaceDE/>
        <w:autoSpaceDN/>
        <w:bidi w:val="0"/>
        <w:adjustRightInd/>
        <w:snapToGrid/>
        <w:spacing w:line="360" w:lineRule="auto"/>
        <w:ind w:right="115" w:rightChars="55" w:firstLine="200" w:firstLineChars="95"/>
        <w:textAlignment w:val="auto"/>
        <w:outlineLvl w:val="1"/>
        <w:rPr>
          <w:rFonts w:hint="eastAsia" w:ascii="宋体" w:hAnsi="宋体" w:eastAsia="宋体" w:cs="宋体"/>
          <w:b/>
          <w:bCs/>
          <w:lang w:eastAsia="zh-CN"/>
        </w:rPr>
      </w:pPr>
      <w:r>
        <w:rPr>
          <w:rFonts w:hint="eastAsia" w:ascii="宋体" w:hAnsi="宋体" w:eastAsia="宋体" w:cs="宋体"/>
          <w:b/>
          <w:bCs/>
          <w:lang w:eastAsia="zh-CN"/>
        </w:rPr>
        <w:t>2、工作量清单</w:t>
      </w:r>
    </w:p>
    <w:tbl>
      <w:tblPr>
        <w:tblStyle w:val="18"/>
        <w:tblW w:w="4980" w:type="pct"/>
        <w:tblInd w:w="0" w:type="dxa"/>
        <w:tblLayout w:type="fixed"/>
        <w:tblCellMar>
          <w:top w:w="0" w:type="dxa"/>
          <w:left w:w="108" w:type="dxa"/>
          <w:bottom w:w="0" w:type="dxa"/>
          <w:right w:w="108" w:type="dxa"/>
        </w:tblCellMar>
      </w:tblPr>
      <w:tblGrid>
        <w:gridCol w:w="566"/>
        <w:gridCol w:w="968"/>
        <w:gridCol w:w="2159"/>
        <w:gridCol w:w="975"/>
        <w:gridCol w:w="581"/>
        <w:gridCol w:w="1506"/>
        <w:gridCol w:w="1732"/>
      </w:tblGrid>
      <w:tr>
        <w:tblPrEx>
          <w:tblCellMar>
            <w:top w:w="0" w:type="dxa"/>
            <w:left w:w="108" w:type="dxa"/>
            <w:bottom w:w="0" w:type="dxa"/>
            <w:right w:w="108" w:type="dxa"/>
          </w:tblCellMar>
        </w:tblPrEx>
        <w:trPr>
          <w:trHeight w:val="7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序号</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项目名称</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规格</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b/>
                <w:bCs/>
                <w:color w:val="000000"/>
                <w:sz w:val="18"/>
                <w:szCs w:val="18"/>
                <w:lang w:val="en-US" w:eastAsia="zh-CN"/>
              </w:rPr>
            </w:pPr>
            <w:r>
              <w:rPr>
                <w:rFonts w:hint="eastAsia" w:ascii="宋体" w:hAnsi="宋体" w:eastAsia="宋体" w:cs="宋体"/>
                <w:b/>
                <w:bCs/>
                <w:color w:val="000000"/>
                <w:kern w:val="0"/>
                <w:sz w:val="18"/>
                <w:szCs w:val="18"/>
                <w:lang w:bidi="ar"/>
              </w:rPr>
              <w:t>预估</w:t>
            </w:r>
            <w:r>
              <w:rPr>
                <w:rFonts w:hint="eastAsia" w:ascii="宋体" w:hAnsi="宋体" w:eastAsia="宋体" w:cs="宋体"/>
                <w:b/>
                <w:bCs/>
                <w:color w:val="000000"/>
                <w:kern w:val="0"/>
                <w:sz w:val="18"/>
                <w:szCs w:val="18"/>
                <w:lang w:val="en-US" w:eastAsia="zh-CN" w:bidi="ar"/>
              </w:rPr>
              <w:t>运输总净重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val="en-US" w:eastAsia="zh-CN" w:bidi="ar"/>
              </w:rPr>
              <w:t>单位</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b/>
                <w:bCs/>
                <w:color w:val="000000"/>
                <w:sz w:val="18"/>
                <w:szCs w:val="18"/>
                <w:lang w:val="en-US" w:eastAsia="zh-CN"/>
              </w:rPr>
            </w:pPr>
            <w:r>
              <w:rPr>
                <w:rFonts w:hint="eastAsia" w:ascii="宋体" w:hAnsi="宋体" w:eastAsia="宋体" w:cs="宋体"/>
                <w:b/>
                <w:bCs/>
                <w:color w:val="000000"/>
                <w:sz w:val="18"/>
                <w:szCs w:val="18"/>
                <w:lang w:val="en-US" w:eastAsia="zh-CN"/>
              </w:rPr>
              <w:t>运输到货时间</w:t>
            </w:r>
          </w:p>
        </w:tc>
        <w:tc>
          <w:tcPr>
            <w:tcW w:w="10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备注</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sz w:val="18"/>
                <w:szCs w:val="18"/>
                <w:lang w:val="en-US" w:eastAsia="zh-CN"/>
              </w:rPr>
            </w:pPr>
            <w:r>
              <w:rPr>
                <w:rFonts w:hint="default" w:ascii="宋体" w:hAnsi="宋体" w:eastAsia="宋体" w:cs="宋体"/>
                <w:color w:val="000000"/>
                <w:sz w:val="18"/>
                <w:szCs w:val="18"/>
                <w:lang w:val="en-US" w:eastAsia="zh-CN"/>
              </w:rPr>
              <w:t>6吋超声波检测器电池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eastAsia="zh-CN" w:bidi="ar"/>
              </w:rPr>
              <w:t>DD-SC 100（主体电池）以及LIRAA-HT-SC（小电池，用于给电池内部电路板供电）；外形尺寸：76*122.5；电压：11.7V；最大连续放电电流：1.37A；最大脉冲放电电流：1.5A；功率：16W；电池容量：81Ah。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02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617"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DD-SC 100（主体电池）以及LIRAA-HT-SC（小电池，用于给电池内部电路板供电）；外形尺寸：97*122.5；电压：15.6V；最大连续放电电流：1.35A；最大脉冲放电电流：1.48A；功率：21W；电池容量：108Ah。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val="en-US" w:eastAsia="zh-CN" w:bidi="ar"/>
              </w:rPr>
            </w:pPr>
          </w:p>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100（主体电池）以及LIRAA-HT-SC（小电池，用于给电池内部电路板供电）；外形尺寸：249*75.2；电压：15.6V；最大连续放电电流：1.35A；最大脉冲放电电流：1.48A；功率：21W；电池容量：108Ah。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21</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12吋超声波检测器电池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100（主体电池）以及LIRAA-HT-SC（小电池，用于给电池内部电路板供电）；外形尺寸：99*129.5；电压：19.5V；最大连续放电电流：1.08A；最大脉冲放电电流：1.18A；功率：21W；电池容量：135Ah。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12</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16吋超声波检测器电池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100（主体电池）以及LIRAA-HT-SC（小电池，用于给电池内部电路板供电）；外形尺寸：126.5*107；电压：23.4V；最大连续放电电流：0.9A；最大脉冲放电电流：0.99A；功率：21W；电池容量：324Ah。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18</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18吋超声波检测器电池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100（主体电池）以及LIRAA-HT-SC（小电池，用于给电池内部电路板供电）；外形尺寸：259.5*112；电压：23.4V；最大连续放电电流：0.9A；最大脉冲放电电流：0.99A；功率：21W；电池容量：324Ah。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18</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p>
          <w:p>
            <w:pPr>
              <w:widowControl/>
              <w:spacing w:line="360" w:lineRule="auto"/>
              <w:jc w:val="center"/>
              <w:textAlignment w:val="center"/>
              <w:rPr>
                <w:rFonts w:hint="eastAsia" w:ascii="宋体" w:hAnsi="宋体" w:eastAsia="宋体" w:cs="宋体"/>
                <w:color w:val="000000"/>
                <w:kern w:val="0"/>
                <w:sz w:val="18"/>
                <w:szCs w:val="18"/>
                <w:lang w:val="en-US" w:eastAsia="zh-CN" w:bidi="ar"/>
              </w:rPr>
            </w:pPr>
          </w:p>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val="en-US" w:eastAsia="zh-CN" w:bidi="ar"/>
              </w:rPr>
            </w:pPr>
          </w:p>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20吋超声波检测器电池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100（主体电池）以及LIRAA-HT-SC（小电池，用于给电池内部电路板供电）；外形尺寸：259*140；电压：19.5V；最大连续放电电流：2.15A；最大脉冲放电电流：2.37A；功率：42W；电池容量：405Ah。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54</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22吋超声波检测器电池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100（主体电池）以及LIRAA-HT-SC（小电池，用于给电池内部电路板供电）；外形尺寸：260*145；电压：27.3V；最大连续放电电流：1.54A；最大脉冲放电电流：1.69A；功率：42W；电池容量：378Ah。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24</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53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24吋超声波检测器电池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100（主体电池）以及LIRAA-HT-SC（小电池，用于给电池内部电路板供电）；外形尺寸：259.5*166；电压：23.4V；最大连续放电电流：1.79A；最大脉冲放电电流：1.97A；功率：42W；电池容量：648Ah。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27</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26吋超声波检测器电池</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DD-SC 100（主体电池）以及LIRAA-HT-SC（小电池，用于给电池内部电路板供电）；外形尺寸：259.5*166；电压：23.4V；最大连续放电电流：1.79A；最大脉冲放电电流：1.97A；功率：42W；电池容量：648Ah。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37</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11</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几何检测器电池（ER26500M）</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74MM（平行边）*80MM（最大对角）*159（高度）MM；电压：18V；最大连续放电电流：4A；最大脉冲放电电流：8A；电池容量：24Ah。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12</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几何检测器电池（ER34615M）</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both"/>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94MM（平行边）*102MM（最大对角）*192（高度）MM；电压：18V；最大连续放电电流：7.2A；最大脉冲放电电流：14A；电池容量：52Ah。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24</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r>
        <w:tblPrEx>
          <w:tblCellMar>
            <w:top w:w="0" w:type="dxa"/>
            <w:left w:w="108" w:type="dxa"/>
            <w:bottom w:w="0" w:type="dxa"/>
            <w:right w:w="108" w:type="dxa"/>
          </w:tblCellMar>
        </w:tblPrEx>
        <w:trPr>
          <w:trHeight w:val="1320" w:hRule="atLeast"/>
        </w:trPr>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13</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发射机电池（ER14335）</w:t>
            </w:r>
          </w:p>
        </w:tc>
        <w:tc>
          <w:tcPr>
            <w:tcW w:w="12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CN" w:bidi="ar-SA"/>
              </w:rPr>
            </w:pPr>
            <w:r>
              <w:rPr>
                <w:rFonts w:hint="eastAsia" w:ascii="宋体" w:hAnsi="宋体" w:eastAsia="宋体" w:cs="宋体"/>
                <w:color w:val="000000"/>
                <w:kern w:val="0"/>
                <w:sz w:val="18"/>
                <w:szCs w:val="18"/>
                <w:lang w:val="en-US" w:eastAsia="zh-CN" w:bidi="ar"/>
              </w:rPr>
              <w:t>φ15mm*102mm；电压：3.6V；最大连续放电电流：35mA；电池容量：1.65Ah。</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公斤</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合同签订后，在收到甲方通知后30天内将电池运输至甲方指定地点。</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运费包括但不限于国内运输费、国际运输费、电池运输所需证件办理费用、清关行政费、税费、战争风险附加费、运输保险、上门取货/派送费等。</w:t>
            </w:r>
          </w:p>
        </w:tc>
      </w:tr>
    </w:tbl>
    <w:p>
      <w:pPr>
        <w:pStyle w:val="9"/>
        <w:keepNext w:val="0"/>
        <w:keepLines w:val="0"/>
        <w:pageBreakBefore w:val="0"/>
        <w:widowControl w:val="0"/>
        <w:kinsoku/>
        <w:wordWrap/>
        <w:overflowPunct/>
        <w:topLinePunct w:val="0"/>
        <w:autoSpaceDE/>
        <w:autoSpaceDN/>
        <w:bidi w:val="0"/>
        <w:adjustRightInd/>
        <w:snapToGrid/>
        <w:spacing w:line="360" w:lineRule="auto"/>
        <w:ind w:right="115" w:rightChars="55"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备注：</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360" w:lineRule="auto"/>
        <w:ind w:right="115" w:rightChars="55"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本表格“预估运输重量”是根据实际需求估算的，主要用于报价及价格评议，不代表实际重量，运输重量以实际发生为准。甲方不承诺最低运输重量，乙方亦不得对运输重量设置上限。</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360" w:lineRule="auto"/>
        <w:ind w:right="115" w:rightChars="55"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本运输服务非一次性运输服务，每次运输的电池重量不定，最终运输重量及运输次数以甲方实际要求为准。</w:t>
      </w:r>
    </w:p>
    <w:p>
      <w:pPr>
        <w:pStyle w:val="9"/>
        <w:keepNext w:val="0"/>
        <w:keepLines w:val="0"/>
        <w:pageBreakBefore w:val="0"/>
        <w:widowControl w:val="0"/>
        <w:kinsoku/>
        <w:wordWrap/>
        <w:overflowPunct/>
        <w:topLinePunct w:val="0"/>
        <w:autoSpaceDE/>
        <w:autoSpaceDN/>
        <w:bidi w:val="0"/>
        <w:adjustRightInd/>
        <w:snapToGrid/>
        <w:spacing w:line="360" w:lineRule="auto"/>
        <w:ind w:right="115" w:rightChars="55" w:firstLine="200" w:firstLineChars="95"/>
        <w:textAlignment w:val="auto"/>
        <w:outlineLvl w:val="1"/>
        <w:rPr>
          <w:rFonts w:hint="eastAsia" w:ascii="宋体" w:hAnsi="宋体" w:eastAsia="宋体" w:cs="宋体"/>
          <w:b/>
          <w:bCs/>
          <w:lang w:eastAsia="zh-CN"/>
        </w:rPr>
      </w:pPr>
      <w:r>
        <w:rPr>
          <w:rFonts w:hint="eastAsia" w:ascii="宋体" w:hAnsi="宋体" w:eastAsia="宋体" w:cs="宋体"/>
          <w:b/>
          <w:bCs/>
          <w:lang w:val="en-US" w:eastAsia="zh-CN"/>
        </w:rPr>
        <w:t>3、</w:t>
      </w:r>
      <w:r>
        <w:rPr>
          <w:rFonts w:hint="eastAsia" w:ascii="宋体" w:hAnsi="宋体" w:eastAsia="宋体" w:cs="宋体"/>
          <w:b/>
          <w:bCs/>
          <w:lang w:eastAsia="zh-CN"/>
        </w:rPr>
        <w:t>服务地点</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15" w:rightChars="55" w:firstLine="420" w:firstLineChars="200"/>
        <w:textAlignment w:val="auto"/>
        <w:rPr>
          <w:rFonts w:hint="eastAsia" w:ascii="宋体" w:hAnsi="宋体" w:eastAsia="宋体" w:cs="宋体"/>
          <w:lang w:val="en-US" w:eastAsia="zh-CN"/>
        </w:rPr>
      </w:pPr>
      <w:r>
        <w:rPr>
          <w:rFonts w:hint="eastAsia" w:ascii="宋体" w:hAnsi="宋体" w:eastAsia="宋体" w:cs="宋体"/>
          <w:lang w:eastAsia="zh-CN"/>
        </w:rPr>
        <w:t>服务地点为</w:t>
      </w:r>
      <w:r>
        <w:rPr>
          <w:rFonts w:hint="eastAsia" w:ascii="宋体" w:hAnsi="宋体" w:eastAsia="宋体" w:cs="宋体"/>
          <w:lang w:val="en-US" w:eastAsia="zh-CN"/>
        </w:rPr>
        <w:t>国内及卡塔尔境内甲方指定的地点，</w:t>
      </w:r>
      <w:r>
        <w:rPr>
          <w:rFonts w:hint="eastAsia" w:ascii="宋体" w:hAnsi="宋体" w:eastAsia="宋体" w:cs="宋体"/>
          <w:lang w:eastAsia="zh-CN"/>
        </w:rPr>
        <w:t>具体以</w:t>
      </w:r>
      <w:r>
        <w:rPr>
          <w:rFonts w:hint="eastAsia" w:ascii="宋体" w:hAnsi="宋体" w:eastAsia="宋体" w:cs="宋体"/>
          <w:lang w:val="en-US" w:eastAsia="zh-CN"/>
        </w:rPr>
        <w:t>甲方通知</w:t>
      </w:r>
      <w:r>
        <w:rPr>
          <w:rFonts w:hint="eastAsia" w:ascii="宋体" w:hAnsi="宋体" w:eastAsia="宋体" w:cs="宋体"/>
          <w:lang w:eastAsia="zh-CN"/>
        </w:rPr>
        <w:t>为准。</w:t>
      </w:r>
    </w:p>
    <w:p>
      <w:pPr>
        <w:pStyle w:val="9"/>
        <w:keepNext w:val="0"/>
        <w:keepLines w:val="0"/>
        <w:pageBreakBefore w:val="0"/>
        <w:widowControl w:val="0"/>
        <w:kinsoku/>
        <w:wordWrap/>
        <w:overflowPunct/>
        <w:topLinePunct w:val="0"/>
        <w:autoSpaceDE/>
        <w:autoSpaceDN/>
        <w:bidi w:val="0"/>
        <w:adjustRightInd/>
        <w:snapToGrid/>
        <w:spacing w:line="360" w:lineRule="auto"/>
        <w:ind w:right="115" w:rightChars="55" w:firstLine="200" w:firstLineChars="95"/>
        <w:textAlignment w:val="auto"/>
        <w:outlineLvl w:val="1"/>
        <w:rPr>
          <w:rFonts w:hint="eastAsia" w:ascii="宋体" w:hAnsi="宋体" w:eastAsia="宋体" w:cs="宋体"/>
          <w:b/>
          <w:bCs/>
          <w:lang w:val="en-US" w:eastAsia="zh-CN"/>
        </w:rPr>
      </w:pPr>
      <w:r>
        <w:rPr>
          <w:rFonts w:hint="eastAsia" w:ascii="宋体" w:hAnsi="宋体" w:eastAsia="宋体" w:cs="宋体"/>
          <w:b/>
          <w:bCs/>
          <w:lang w:val="en-US" w:eastAsia="zh-CN"/>
        </w:rPr>
        <w:t>4、服务期限</w:t>
      </w:r>
    </w:p>
    <w:p>
      <w:pPr>
        <w:keepNext w:val="0"/>
        <w:keepLines w:val="0"/>
        <w:pageBreakBefore w:val="0"/>
        <w:widowControl w:val="0"/>
        <w:kinsoku/>
        <w:wordWrap/>
        <w:overflowPunct/>
        <w:topLinePunct w:val="0"/>
        <w:bidi w:val="0"/>
        <w:snapToGrid/>
        <w:spacing w:line="360" w:lineRule="auto"/>
        <w:ind w:right="115" w:rightChars="55"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本合同自签订之日起3年。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rPr>
      </w:pPr>
      <w:r>
        <w:rPr>
          <w:rFonts w:hint="eastAsia"/>
          <w:b/>
          <w:bCs/>
          <w:sz w:val="32"/>
          <w:szCs w:val="32"/>
        </w:rPr>
        <w:t>三、执行标准/规范</w:t>
      </w:r>
    </w:p>
    <w:p>
      <w:pPr>
        <w:keepNext w:val="0"/>
        <w:keepLines w:val="0"/>
        <w:pageBreakBefore w:val="0"/>
        <w:widowControl w:val="0"/>
        <w:kinsoku/>
        <w:wordWrap/>
        <w:overflowPunct/>
        <w:topLinePunct w:val="0"/>
        <w:autoSpaceDE/>
        <w:autoSpaceDN/>
        <w:bidi w:val="0"/>
        <w:adjustRightInd/>
        <w:snapToGrid/>
        <w:spacing w:line="360" w:lineRule="auto"/>
        <w:ind w:right="115" w:rightChars="55" w:firstLine="420" w:firstLineChars="200"/>
        <w:jc w:val="both"/>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CGBZ-ⅡHF0900-2025中国海洋石油有限公司采购标准文件-采购标准国际空运代理服务；</w:t>
      </w:r>
    </w:p>
    <w:p>
      <w:pPr>
        <w:pStyle w:val="2"/>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CGBZ-ⅡHF0904-2025中国海洋石油有限公司采购标准文件-采购标准国际海运代理服务。</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rPr>
      </w:pPr>
      <w:r>
        <w:rPr>
          <w:rFonts w:hint="eastAsia"/>
          <w:b/>
          <w:bCs/>
          <w:sz w:val="32"/>
          <w:szCs w:val="32"/>
        </w:rPr>
        <w:t>四、服务要求</w:t>
      </w:r>
    </w:p>
    <w:p>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lang w:val="en-US" w:eastAsia="zh-CN" w:bidi="ar-SA"/>
        </w:rPr>
        <w:t>1、运输内容及时限要求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计划分批次（运输次数以甲方实际要求为准）运输用于管道检测施工的电池（预估总净重260公斤），主要包括6吋超声波检测器电池、8吋超声波检测器电池、10吋超声波检测器电池、12吋超声波检测器电池、16吋超声波检测器电池、18吋超声波检测器电池、20吋超声波检测器电池、22吋超声波检测器电池、24吋超声波检测器电池、26吋超声波检测器电池、几何检测器电池（ER26500M、ER34615M）和发射机电池（ER14335）。</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运费包括但不限于国内运输费、国际运输费、电池运输所需证件办理费用、清关行政费、税费、战争风险附加费、运输保险、上门派送费等。</w:t>
      </w:r>
    </w:p>
    <w:p>
      <w:pPr>
        <w:pStyle w:val="2"/>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乙方投标时应进行承诺：若中标，将全权负责电池自国内指定地点（以甲方通知为准）提取直至安全运抵卡塔尔指定地点的全部环节，包括但不限于符合电池空运/海运标准的运输包装、全程物流（国内及国际段）、办理所有进出口文件与清关手续、办理电池运输所需全套证件、缴纳相关税费、投保运输险，并承担此间的一切风险与费用。乙方保证在收到甲方通知后30天内完成上述全部工作，确保电池在存放、装卸及运输过程中完好且准时送到卡塔尔指定地点，最终状态满足甲方使用要求。</w:t>
      </w:r>
    </w:p>
    <w:p>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lang w:val="en-US" w:eastAsia="zh-CN" w:bidi="ar-SA"/>
        </w:rPr>
        <w:t>2、包装要求</w:t>
      </w:r>
    </w:p>
    <w:p>
      <w:pPr>
        <w:pStyle w:val="9"/>
        <w:keepNext w:val="0"/>
        <w:keepLines w:val="0"/>
        <w:pageBreakBefore w:val="0"/>
        <w:widowControl w:val="0"/>
        <w:kinsoku/>
        <w:wordWrap/>
        <w:overflowPunct/>
        <w:topLinePunct w:val="0"/>
        <w:autoSpaceDE/>
        <w:autoSpaceDN/>
        <w:bidi w:val="0"/>
        <w:adjustRightInd/>
        <w:snapToGrid/>
        <w:spacing w:line="360" w:lineRule="auto"/>
        <w:ind w:left="221" w:right="119" w:firstLine="42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（1）乙方须进行满足国际航空/海运运输标准的包装，以适应短途/长途运输、多次装卸和各种恶劣气候条件的要求。任何由于包装不当导致的一切损失均由乙方承担。</w:t>
      </w:r>
    </w:p>
    <w:p>
      <w:pPr>
        <w:pStyle w:val="9"/>
        <w:keepNext w:val="0"/>
        <w:keepLines w:val="0"/>
        <w:pageBreakBefore w:val="0"/>
        <w:widowControl w:val="0"/>
        <w:kinsoku/>
        <w:wordWrap/>
        <w:overflowPunct/>
        <w:topLinePunct w:val="0"/>
        <w:autoSpaceDE/>
        <w:autoSpaceDN/>
        <w:bidi w:val="0"/>
        <w:adjustRightInd/>
        <w:snapToGrid/>
        <w:spacing w:line="360" w:lineRule="auto"/>
        <w:ind w:left="221" w:right="119" w:firstLine="42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（2）所有包装费用均由乙方承担；</w:t>
      </w:r>
    </w:p>
    <w:p>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b/>
          <w:bCs/>
          <w:spacing w:val="0"/>
          <w:kern w:val="0"/>
          <w:sz w:val="21"/>
          <w:szCs w:val="21"/>
          <w:lang w:val="en-US" w:eastAsia="zh-CN" w:bidi="ar-SA"/>
        </w:rPr>
        <w:t>3、运输要求</w:t>
      </w:r>
    </w:p>
    <w:p>
      <w:pPr>
        <w:pStyle w:val="9"/>
        <w:keepNext w:val="0"/>
        <w:keepLines w:val="0"/>
        <w:pageBreakBefore w:val="0"/>
        <w:widowControl w:val="0"/>
        <w:kinsoku/>
        <w:wordWrap/>
        <w:overflowPunct/>
        <w:topLinePunct w:val="0"/>
        <w:autoSpaceDE/>
        <w:autoSpaceDN/>
        <w:bidi w:val="0"/>
        <w:adjustRightInd/>
        <w:snapToGrid/>
        <w:spacing w:line="360" w:lineRule="auto"/>
        <w:ind w:left="221" w:right="119" w:firstLine="42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运输方式包括但不限于汽运、火车、空运</w:t>
      </w:r>
      <w:r>
        <w:rPr>
          <w:rFonts w:hint="eastAsia"/>
          <w:lang w:val="en-US" w:eastAsia="zh-CN"/>
        </w:rPr>
        <w:t>、</w:t>
      </w:r>
      <w:r>
        <w:rPr>
          <w:rFonts w:hint="eastAsia" w:ascii="宋体" w:hAnsi="宋体" w:eastAsia="宋体" w:cs="宋体"/>
          <w:kern w:val="2"/>
          <w:sz w:val="21"/>
          <w:szCs w:val="21"/>
          <w:lang w:val="en-US" w:eastAsia="zh-CN" w:bidi="ar-SA"/>
        </w:rPr>
        <w:t>海运等。</w:t>
      </w:r>
    </w:p>
    <w:p>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b/>
          <w:bCs/>
          <w:spacing w:val="0"/>
          <w:kern w:val="0"/>
          <w:sz w:val="21"/>
          <w:szCs w:val="21"/>
          <w:lang w:val="en-US" w:eastAsia="zh-CN" w:bidi="ar-SA"/>
        </w:rPr>
        <w:t>4、存放要求</w:t>
      </w:r>
    </w:p>
    <w:p>
      <w:pPr>
        <w:pStyle w:val="9"/>
        <w:keepNext w:val="0"/>
        <w:keepLines w:val="0"/>
        <w:pageBreakBefore w:val="0"/>
        <w:widowControl w:val="0"/>
        <w:kinsoku/>
        <w:wordWrap/>
        <w:overflowPunct/>
        <w:topLinePunct w:val="0"/>
        <w:autoSpaceDE/>
        <w:autoSpaceDN/>
        <w:bidi w:val="0"/>
        <w:adjustRightInd/>
        <w:snapToGrid/>
        <w:spacing w:line="360" w:lineRule="auto"/>
        <w:ind w:left="221" w:right="119" w:firstLine="42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需存放在阴凉干燥等适于电池存放的地点。</w:t>
      </w:r>
    </w:p>
    <w:p>
      <w:pPr>
        <w:rPr>
          <w:rFonts w:hint="default"/>
          <w:lang w:val="en-US" w:eastAsia="zh-CN"/>
        </w:rPr>
      </w:pPr>
      <w:r>
        <w:rPr>
          <w:rFonts w:hint="eastAsia" w:ascii="宋体" w:hAnsi="宋体" w:eastAsia="宋体" w:cs="宋体"/>
          <w:kern w:val="2"/>
          <w:sz w:val="21"/>
          <w:szCs w:val="21"/>
          <w:lang w:val="en-US" w:eastAsia="zh-CN" w:bidi="ar-SA"/>
        </w:rPr>
        <w:t>界面要求</w:t>
      </w:r>
    </w:p>
    <w:p>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lang w:val="en-US" w:eastAsia="zh-CN" w:bidi="ar-SA"/>
        </w:rPr>
        <w:t>5、界面要求</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甲方工作范围仅限于：</w:t>
      </w:r>
      <w:r>
        <w:rPr>
          <w:rFonts w:hint="eastAsia" w:ascii="宋体" w:hAnsi="宋体" w:eastAsia="宋体" w:cs="宋体"/>
          <w:kern w:val="2"/>
          <w:sz w:val="21"/>
          <w:szCs w:val="21"/>
          <w:lang w:val="en-US" w:eastAsia="zh-CN" w:bidi="ar-SA"/>
        </w:rPr>
        <w:t>提供电池及其相关技术参数（主要</w:t>
      </w:r>
      <w:r>
        <w:rPr>
          <w:rFonts w:hint="eastAsia" w:hAnsi="宋体" w:eastAsia="宋体" w:cs="宋体"/>
          <w:color w:val="000000"/>
          <w:kern w:val="0"/>
          <w:sz w:val="21"/>
          <w:szCs w:val="21"/>
          <w:lang w:val="en-US" w:eastAsia="zh-CN" w:bidi="ar"/>
        </w:rPr>
        <w:t>包括电池</w:t>
      </w:r>
      <w:r>
        <w:rPr>
          <w:rFonts w:hint="eastAsia" w:ascii="宋体" w:hAnsi="宋体" w:eastAsia="宋体" w:cs="宋体"/>
          <w:color w:val="000000"/>
          <w:kern w:val="0"/>
          <w:sz w:val="21"/>
          <w:szCs w:val="21"/>
          <w:lang w:val="en-US" w:eastAsia="zh-CN" w:bidi="ar"/>
        </w:rPr>
        <w:t>外形尺寸、电压、最大连续放电电流、最大脉冲放电电流、电池容量等）</w:t>
      </w:r>
      <w:r>
        <w:rPr>
          <w:rFonts w:hint="eastAsia" w:ascii="宋体" w:hAnsi="宋体" w:eastAsia="宋体" w:cs="宋体"/>
          <w:kern w:val="2"/>
          <w:sz w:val="21"/>
          <w:szCs w:val="21"/>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（2）所有</w:t>
      </w:r>
      <w:r>
        <w:rPr>
          <w:rFonts w:hint="eastAsia" w:ascii="宋体" w:hAnsi="宋体" w:eastAsia="宋体" w:cs="宋体"/>
          <w:kern w:val="2"/>
          <w:sz w:val="21"/>
          <w:szCs w:val="21"/>
          <w:lang w:val="en-US" w:eastAsia="zh-CN" w:bidi="ar-SA"/>
        </w:rPr>
        <w:t>其余运输电池所需要的工作</w:t>
      </w:r>
      <w:r>
        <w:rPr>
          <w:rFonts w:hint="default" w:ascii="宋体" w:hAnsi="宋体" w:eastAsia="宋体" w:cs="宋体"/>
          <w:kern w:val="2"/>
          <w:sz w:val="21"/>
          <w:szCs w:val="21"/>
          <w:lang w:val="en-US" w:eastAsia="zh-CN" w:bidi="ar-SA"/>
        </w:rPr>
        <w:t>均由乙方负责，乙方工作范围包括但不限于：</w:t>
      </w:r>
    </w:p>
    <w:p>
      <w:pPr>
        <w:pStyle w:val="2"/>
        <w:keepNext w:val="0"/>
        <w:keepLines w:val="0"/>
        <w:pageBreakBefore w:val="0"/>
        <w:widowControl w:val="0"/>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a.</w:t>
      </w:r>
      <w:r>
        <w:rPr>
          <w:rFonts w:hint="default" w:ascii="宋体" w:hAnsi="宋体" w:eastAsia="宋体" w:cs="宋体"/>
          <w:kern w:val="2"/>
          <w:sz w:val="21"/>
          <w:szCs w:val="21"/>
          <w:lang w:val="en-US" w:eastAsia="zh-CN" w:bidi="ar-SA"/>
        </w:rPr>
        <w:t>货物</w:t>
      </w:r>
      <w:r>
        <w:rPr>
          <w:rFonts w:hint="eastAsia" w:ascii="宋体" w:hAnsi="宋体" w:eastAsia="宋体" w:cs="宋体"/>
          <w:kern w:val="2"/>
          <w:sz w:val="21"/>
          <w:szCs w:val="21"/>
          <w:lang w:val="en-US" w:eastAsia="zh-CN" w:bidi="ar-SA"/>
        </w:rPr>
        <w:t>（电池）</w:t>
      </w:r>
      <w:r>
        <w:rPr>
          <w:rFonts w:hint="default" w:ascii="宋体" w:hAnsi="宋体" w:eastAsia="宋体" w:cs="宋体"/>
          <w:kern w:val="2"/>
          <w:sz w:val="21"/>
          <w:szCs w:val="21"/>
          <w:lang w:val="en-US" w:eastAsia="zh-CN" w:bidi="ar-SA"/>
        </w:rPr>
        <w:t>提取</w:t>
      </w:r>
      <w:r>
        <w:rPr>
          <w:rFonts w:hint="eastAsia" w:ascii="宋体" w:hAnsi="宋体" w:eastAsia="宋体" w:cs="宋体"/>
          <w:kern w:val="2"/>
          <w:sz w:val="21"/>
          <w:szCs w:val="21"/>
          <w:lang w:val="en-US" w:eastAsia="zh-CN" w:bidi="ar-SA"/>
        </w:rPr>
        <w:t>（提取地点为甲方指定的国内地点或天津市滨海新区第八大街42号或天津市滨海新区新北路宝湾道258号）</w:t>
      </w:r>
      <w:r>
        <w:rPr>
          <w:rFonts w:hint="default" w:ascii="宋体" w:hAnsi="宋体" w:eastAsia="宋体" w:cs="宋体"/>
          <w:kern w:val="2"/>
          <w:sz w:val="21"/>
          <w:szCs w:val="21"/>
          <w:lang w:val="en-US" w:eastAsia="zh-CN" w:bidi="ar-SA"/>
        </w:rPr>
        <w:t>与安全包装；</w:t>
      </w:r>
    </w:p>
    <w:p>
      <w:pPr>
        <w:pStyle w:val="2"/>
        <w:keepNext w:val="0"/>
        <w:keepLines w:val="0"/>
        <w:pageBreakBefore w:val="0"/>
        <w:widowControl w:val="0"/>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b.</w:t>
      </w:r>
      <w:r>
        <w:rPr>
          <w:rFonts w:hint="default" w:ascii="宋体" w:hAnsi="宋体" w:eastAsia="宋体" w:cs="宋体"/>
          <w:kern w:val="2"/>
          <w:sz w:val="21"/>
          <w:szCs w:val="21"/>
          <w:lang w:val="en-US" w:eastAsia="zh-CN" w:bidi="ar-SA"/>
        </w:rPr>
        <w:t>国内外陆运、仓储及国际货运；</w:t>
      </w:r>
    </w:p>
    <w:p>
      <w:pPr>
        <w:pStyle w:val="2"/>
        <w:keepNext w:val="0"/>
        <w:keepLines w:val="0"/>
        <w:pageBreakBefore w:val="0"/>
        <w:widowControl w:val="0"/>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c.</w:t>
      </w:r>
      <w:r>
        <w:rPr>
          <w:rFonts w:hint="default" w:ascii="宋体" w:hAnsi="宋体" w:eastAsia="宋体" w:cs="宋体"/>
          <w:kern w:val="2"/>
          <w:sz w:val="21"/>
          <w:szCs w:val="21"/>
          <w:lang w:val="en-US" w:eastAsia="zh-CN" w:bidi="ar-SA"/>
        </w:rPr>
        <w:t>办理中国出口及卡塔尔进口所需的全部报关、清关文件与手续；</w:t>
      </w:r>
    </w:p>
    <w:p>
      <w:pPr>
        <w:pStyle w:val="2"/>
        <w:keepNext w:val="0"/>
        <w:keepLines w:val="0"/>
        <w:pageBreakBefore w:val="0"/>
        <w:widowControl w:val="0"/>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d.</w:t>
      </w:r>
      <w:r>
        <w:rPr>
          <w:rFonts w:hint="default" w:ascii="宋体" w:hAnsi="宋体" w:eastAsia="宋体" w:cs="宋体"/>
          <w:kern w:val="2"/>
          <w:sz w:val="21"/>
          <w:szCs w:val="21"/>
          <w:lang w:val="en-US" w:eastAsia="zh-CN" w:bidi="ar-SA"/>
        </w:rPr>
        <w:t>缴纳进出口环节的一切关税、增值税及其他政府性税费；</w:t>
      </w:r>
    </w:p>
    <w:p>
      <w:pPr>
        <w:pStyle w:val="2"/>
        <w:keepNext w:val="0"/>
        <w:keepLines w:val="0"/>
        <w:pageBreakBefore w:val="0"/>
        <w:widowControl w:val="0"/>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e.</w:t>
      </w:r>
      <w:r>
        <w:rPr>
          <w:rFonts w:hint="default" w:ascii="宋体" w:hAnsi="宋体" w:eastAsia="宋体" w:cs="宋体"/>
          <w:kern w:val="2"/>
          <w:sz w:val="21"/>
          <w:szCs w:val="21"/>
          <w:lang w:val="en-US" w:eastAsia="zh-CN" w:bidi="ar-SA"/>
        </w:rPr>
        <w:t>承担全程运输保险，并将货物派送至卡塔尔指定收货点</w:t>
      </w:r>
      <w:r>
        <w:rPr>
          <w:rFonts w:hint="eastAsia" w:ascii="宋体" w:hAnsi="宋体" w:eastAsia="宋体" w:cs="宋体"/>
          <w:kern w:val="2"/>
          <w:sz w:val="21"/>
          <w:szCs w:val="21"/>
          <w:lang w:val="en-US" w:eastAsia="zh-CN" w:bidi="ar-SA"/>
        </w:rPr>
        <w:t>；</w:t>
      </w:r>
    </w:p>
    <w:p>
      <w:pPr>
        <w:pStyle w:val="2"/>
        <w:keepNext w:val="0"/>
        <w:keepLines w:val="0"/>
        <w:pageBreakBefore w:val="0"/>
        <w:widowControl w:val="0"/>
        <w:kinsoku/>
        <w:wordWrap/>
        <w:overflowPunct/>
        <w:topLinePunct w:val="0"/>
        <w:autoSpaceDE/>
        <w:autoSpaceDN/>
        <w:bidi w:val="0"/>
        <w:adjustRightInd/>
        <w:snapToGrid w:val="0"/>
        <w:spacing w:line="360" w:lineRule="auto"/>
        <w:ind w:left="221" w:right="119" w:rightChars="0"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f.办理电池运输所需要的全套证件并承担相应费用。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rPr>
      </w:pPr>
      <w:r>
        <w:rPr>
          <w:rFonts w:hint="eastAsia"/>
          <w:b/>
          <w:bCs/>
          <w:sz w:val="32"/>
          <w:szCs w:val="32"/>
          <w:lang w:val="en-US" w:eastAsia="zh-CN"/>
        </w:rPr>
        <w:t>五</w:t>
      </w:r>
      <w:r>
        <w:rPr>
          <w:rFonts w:hint="eastAsia"/>
          <w:b/>
          <w:bCs/>
          <w:sz w:val="32"/>
          <w:szCs w:val="32"/>
        </w:rPr>
        <w:t>、服务进度跟踪</w:t>
      </w:r>
    </w:p>
    <w:p>
      <w:pPr>
        <w:pStyle w:val="9"/>
        <w:keepNext w:val="0"/>
        <w:keepLines w:val="0"/>
        <w:pageBreakBefore w:val="0"/>
        <w:widowControl w:val="0"/>
        <w:kinsoku/>
        <w:wordWrap/>
        <w:overflowPunct/>
        <w:topLinePunct w:val="0"/>
        <w:autoSpaceDE/>
        <w:autoSpaceDN/>
        <w:bidi w:val="0"/>
        <w:adjustRightInd/>
        <w:snapToGrid/>
        <w:spacing w:line="360" w:lineRule="auto"/>
        <w:ind w:right="0" w:rightChars="0"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乙方接到甲方通知后，须在30天内将电池运输至卡塔尔指定地点且在电池运输期间，向甲方报送物流信息。</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lang w:val="en-US" w:eastAsia="zh-CN"/>
        </w:rPr>
      </w:pPr>
      <w:r>
        <w:rPr>
          <w:rFonts w:hint="eastAsia"/>
          <w:b/>
          <w:bCs/>
          <w:sz w:val="32"/>
          <w:szCs w:val="32"/>
          <w:lang w:val="en-US" w:eastAsia="zh-CN"/>
        </w:rPr>
        <w:t>六、服务及验收标准</w:t>
      </w:r>
    </w:p>
    <w:p>
      <w:pPr>
        <w:pStyle w:val="4"/>
        <w:keepNext w:val="0"/>
        <w:keepLines w:val="0"/>
        <w:pageBreakBefore w:val="0"/>
        <w:kinsoku/>
        <w:wordWrap/>
        <w:overflowPunct/>
        <w:topLinePunct w:val="0"/>
        <w:bidi w:val="0"/>
        <w:snapToGrid/>
        <w:spacing w:line="360" w:lineRule="auto"/>
        <w:ind w:firstLine="422" w:firstLineChars="200"/>
        <w:jc w:val="both"/>
        <w:textAlignment w:val="auto"/>
        <w:rPr>
          <w:rFonts w:hint="eastAsia" w:ascii="宋体" w:hAnsi="宋体" w:eastAsia="宋体" w:cs="宋体"/>
          <w:b/>
          <w:bCs/>
          <w:color w:val="auto"/>
          <w:spacing w:val="0"/>
          <w:sz w:val="21"/>
          <w:szCs w:val="21"/>
          <w:lang w:eastAsia="zh-CN"/>
        </w:rPr>
      </w:pPr>
      <w:r>
        <w:rPr>
          <w:rFonts w:hint="eastAsia" w:ascii="宋体" w:hAnsi="宋体" w:eastAsia="宋体" w:cs="宋体"/>
          <w:b/>
          <w:bCs/>
          <w:spacing w:val="0"/>
          <w:sz w:val="21"/>
          <w:szCs w:val="21"/>
        </w:rPr>
        <w:t>1、验收</w:t>
      </w:r>
      <w:r>
        <w:rPr>
          <w:rFonts w:hint="eastAsia" w:ascii="宋体" w:hAnsi="宋体" w:eastAsia="宋体" w:cs="宋体"/>
          <w:b/>
          <w:bCs/>
          <w:color w:val="auto"/>
          <w:spacing w:val="0"/>
          <w:sz w:val="21"/>
          <w:szCs w:val="21"/>
        </w:rPr>
        <w:t>形式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spacing w:val="0"/>
          <w:sz w:val="21"/>
          <w:szCs w:val="21"/>
          <w:lang w:eastAsia="zh-CN"/>
        </w:rPr>
      </w:pPr>
      <w:r>
        <w:rPr>
          <w:rFonts w:hint="eastAsia" w:ascii="宋体" w:hAnsi="宋体" w:eastAsia="宋体" w:cs="宋体"/>
          <w:color w:val="auto"/>
          <w:spacing w:val="0"/>
          <w:sz w:val="21"/>
          <w:szCs w:val="21"/>
          <w:lang w:val="en-US" w:eastAsia="zh-CN"/>
        </w:rPr>
        <w:t>在甲方指定地点交付时现场验收。</w:t>
      </w:r>
    </w:p>
    <w:p>
      <w:pPr>
        <w:pStyle w:val="4"/>
        <w:keepNext w:val="0"/>
        <w:keepLines w:val="0"/>
        <w:pageBreakBefore w:val="0"/>
        <w:kinsoku/>
        <w:wordWrap/>
        <w:overflowPunct/>
        <w:topLinePunct w:val="0"/>
        <w:bidi w:val="0"/>
        <w:snapToGrid/>
        <w:spacing w:line="360" w:lineRule="auto"/>
        <w:ind w:firstLine="422" w:firstLineChars="200"/>
        <w:jc w:val="both"/>
        <w:textAlignment w:val="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val="en-US" w:eastAsia="zh-CN"/>
        </w:rPr>
        <w:t>2、</w:t>
      </w:r>
      <w:r>
        <w:rPr>
          <w:rFonts w:hint="eastAsia" w:ascii="宋体" w:hAnsi="宋体" w:eastAsia="宋体" w:cs="宋体"/>
          <w:b/>
          <w:bCs/>
          <w:spacing w:val="0"/>
          <w:sz w:val="21"/>
          <w:szCs w:val="21"/>
          <w:lang w:eastAsia="zh-CN"/>
        </w:rPr>
        <w:t>验收标准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auto"/>
          <w:spacing w:val="0"/>
          <w:sz w:val="21"/>
          <w:szCs w:val="21"/>
          <w:lang w:val="en-US" w:eastAsia="zh-CN"/>
        </w:rPr>
      </w:pPr>
      <w:r>
        <w:rPr>
          <w:rFonts w:hint="eastAsia" w:ascii="宋体" w:hAnsi="宋体" w:eastAsia="宋体" w:cs="宋体"/>
          <w:color w:val="auto"/>
          <w:spacing w:val="0"/>
          <w:sz w:val="21"/>
          <w:szCs w:val="21"/>
          <w:lang w:val="en-US" w:eastAsia="zh-CN"/>
        </w:rPr>
        <w:t>在收到甲方通知后30天内，将电池运输至卡塔尔甲方指定地点且货物外观完好、满足甲方正常使用；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b/>
          <w:bCs/>
          <w:sz w:val="32"/>
          <w:szCs w:val="32"/>
          <w:lang w:val="en-US" w:eastAsia="zh-CN"/>
        </w:rPr>
      </w:pPr>
      <w:r>
        <w:rPr>
          <w:rFonts w:hint="eastAsia"/>
          <w:b/>
          <w:bCs/>
          <w:sz w:val="32"/>
          <w:szCs w:val="32"/>
          <w:lang w:val="en-US" w:eastAsia="zh-CN"/>
        </w:rPr>
        <w:t>七、质量保证</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0"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质保期时间要求</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spacing w:val="0"/>
          <w:kern w:val="0"/>
          <w:sz w:val="21"/>
          <w:szCs w:val="21"/>
          <w:lang w:val="en-US" w:eastAsia="zh-CN" w:bidi="ar-SA"/>
        </w:rPr>
        <w:t>质保期</w:t>
      </w:r>
      <w:r>
        <w:rPr>
          <w:rFonts w:hint="eastAsia" w:ascii="宋体" w:hAnsi="宋体" w:eastAsia="宋体" w:cs="宋体"/>
          <w:color w:val="auto"/>
          <w:kern w:val="0"/>
          <w:sz w:val="21"/>
          <w:szCs w:val="21"/>
          <w:lang w:val="en-US" w:eastAsia="zh-CN" w:bidi="ar-SA"/>
        </w:rPr>
        <w:t>须覆盖电池运输整个服务期</w:t>
      </w:r>
      <w:r>
        <w:rPr>
          <w:rFonts w:hint="eastAsia" w:ascii="宋体" w:hAnsi="宋体" w:eastAsia="宋体" w:cs="宋体"/>
          <w:spacing w:val="0"/>
          <w:kern w:val="0"/>
          <w:sz w:val="21"/>
          <w:szCs w:val="21"/>
          <w:lang w:val="en-US" w:eastAsia="zh-CN" w:bidi="ar-SA"/>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0"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2、质保期内双方责任</w:t>
      </w:r>
    </w:p>
    <w:p>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w:t>
      </w:r>
      <w:r>
        <w:rPr>
          <w:rFonts w:hint="eastAsia" w:hAnsi="宋体" w:eastAsia="宋体" w:cs="宋体"/>
          <w:color w:val="000000"/>
          <w:kern w:val="0"/>
          <w:sz w:val="21"/>
          <w:szCs w:val="21"/>
          <w:lang w:val="en-US" w:eastAsia="zh-CN" w:bidi="ar"/>
        </w:rPr>
        <w:t>甲方</w:t>
      </w:r>
      <w:r>
        <w:rPr>
          <w:rFonts w:hint="eastAsia" w:ascii="宋体" w:hAnsi="宋体" w:eastAsia="宋体" w:cs="宋体"/>
          <w:color w:val="000000"/>
          <w:kern w:val="0"/>
          <w:sz w:val="21"/>
          <w:szCs w:val="21"/>
          <w:lang w:val="en-US" w:eastAsia="zh-CN" w:bidi="ar"/>
        </w:rPr>
        <w:t>责任：</w:t>
      </w:r>
      <w:r>
        <w:rPr>
          <w:rFonts w:hint="eastAsia" w:hAnsi="宋体" w:eastAsia="宋体" w:cs="宋体"/>
          <w:color w:val="000000"/>
          <w:kern w:val="0"/>
          <w:sz w:val="21"/>
          <w:szCs w:val="21"/>
          <w:lang w:val="en-US" w:eastAsia="zh-CN" w:bidi="ar"/>
        </w:rPr>
        <w:t>甲方</w:t>
      </w:r>
      <w:r>
        <w:rPr>
          <w:rFonts w:hint="eastAsia" w:ascii="宋体" w:hAnsi="宋体" w:eastAsia="宋体" w:cs="宋体"/>
          <w:color w:val="000000"/>
          <w:kern w:val="0"/>
          <w:sz w:val="21"/>
          <w:szCs w:val="21"/>
          <w:lang w:val="en-US" w:eastAsia="zh-CN" w:bidi="ar"/>
        </w:rPr>
        <w:t>应如实告知</w:t>
      </w:r>
      <w:r>
        <w:rPr>
          <w:rFonts w:hint="eastAsia" w:hAnsi="宋体" w:eastAsia="宋体" w:cs="宋体"/>
          <w:color w:val="000000"/>
          <w:kern w:val="0"/>
          <w:sz w:val="21"/>
          <w:szCs w:val="21"/>
          <w:lang w:val="en-US" w:eastAsia="zh-CN" w:bidi="ar"/>
        </w:rPr>
        <w:t>拟运输</w:t>
      </w:r>
      <w:r>
        <w:rPr>
          <w:rFonts w:hint="eastAsia" w:ascii="宋体" w:hAnsi="宋体" w:eastAsia="宋体" w:cs="宋体"/>
          <w:color w:val="000000"/>
          <w:kern w:val="0"/>
          <w:sz w:val="21"/>
          <w:szCs w:val="21"/>
          <w:lang w:val="en-US" w:eastAsia="zh-CN" w:bidi="ar"/>
        </w:rPr>
        <w:t>电池的技术参数（</w:t>
      </w:r>
      <w:r>
        <w:rPr>
          <w:rFonts w:hint="eastAsia" w:hAnsi="宋体" w:eastAsia="宋体" w:cs="宋体"/>
          <w:color w:val="000000"/>
          <w:kern w:val="0"/>
          <w:sz w:val="21"/>
          <w:szCs w:val="21"/>
          <w:lang w:val="en-US" w:eastAsia="zh-CN" w:bidi="ar"/>
        </w:rPr>
        <w:t>包括电池</w:t>
      </w:r>
      <w:r>
        <w:rPr>
          <w:rFonts w:hint="eastAsia" w:ascii="宋体" w:hAnsi="宋体" w:eastAsia="宋体" w:cs="宋体"/>
          <w:color w:val="000000"/>
          <w:kern w:val="0"/>
          <w:sz w:val="21"/>
          <w:szCs w:val="21"/>
          <w:lang w:val="en-US" w:eastAsia="zh-CN" w:bidi="ar"/>
        </w:rPr>
        <w:t>外形尺寸、电压、最大连续放电电流、最大脉冲放电电流、电池容量等）。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bidi="ar-SA"/>
        </w:rPr>
        <w:t>乙方责任：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（1）乙方应提供电池运输服务质保期，维护范围：涵盖取货、货物运输所需证件办理、清关、货物跟踪、派送等全流程操作；问题处理方式为24小时内响应并提出解决方案。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default" w:ascii="宋体" w:hAnsi="宋体" w:eastAsia="宋体" w:cs="宋体"/>
          <w:color w:val="auto"/>
          <w:spacing w:val="0"/>
          <w:kern w:val="0"/>
          <w:sz w:val="21"/>
          <w:szCs w:val="21"/>
          <w:lang w:val="en-US" w:eastAsia="zh-CN" w:bidi="ar-SA"/>
        </w:rPr>
      </w:pPr>
      <w:r>
        <w:rPr>
          <w:rFonts w:hint="eastAsia" w:ascii="宋体" w:hAnsi="宋体" w:eastAsia="宋体" w:cs="宋体"/>
          <w:kern w:val="2"/>
          <w:sz w:val="21"/>
          <w:szCs w:val="21"/>
          <w:lang w:val="en-US" w:eastAsia="zh-CN" w:bidi="ar-SA"/>
        </w:rPr>
        <w:t>（2）</w:t>
      </w:r>
      <w:r>
        <w:rPr>
          <w:rFonts w:hint="eastAsia" w:ascii="宋体" w:hAnsi="宋体" w:eastAsia="宋体" w:cs="宋体"/>
          <w:color w:val="auto"/>
          <w:spacing w:val="0"/>
          <w:kern w:val="0"/>
          <w:sz w:val="21"/>
          <w:szCs w:val="21"/>
          <w:lang w:val="en-US" w:eastAsia="zh-CN" w:bidi="ar-SA"/>
        </w:rPr>
        <w:t>乙方应最大限度保证接到电池后，在存放及运输过程中保证其包装及外观安全、完好，防止丢失和包装损坏的情况发生。在质保期内，除不可抗力外，乙方应对因其自身原因造成的损失，包括因违反本协议要求，导致货损发生或损失扩大的，承担相关法律规定的赔偿责任。在此情况下，甲方有权直接要求乙方承担相应的赔偿责任，并有权扣除尚未支付乙方的运输代理费用，包括其他非受损货物的代理费用作为赔偿。</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0"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质保期内出现问题处理方案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bidi="ar-SA"/>
        </w:rPr>
        <w:t>（1）运输服务发生故障时，乙方应24小时内处理并提供解决方案，确保电池运输不受影响。</w:t>
      </w:r>
    </w:p>
    <w:p>
      <w:pPr>
        <w:keepNext w:val="0"/>
        <w:keepLines w:val="0"/>
        <w:pageBreakBefore w:val="0"/>
        <w:widowControl w:val="0"/>
        <w:kinsoku/>
        <w:wordWrap/>
        <w:overflowPunct/>
        <w:topLinePunct w:val="0"/>
        <w:autoSpaceDE/>
        <w:autoSpaceDN/>
        <w:bidi w:val="0"/>
        <w:adjustRightInd/>
        <w:snapToGrid/>
        <w:spacing w:line="360" w:lineRule="auto"/>
        <w:ind w:right="115" w:rightChars="55" w:firstLine="420" w:firstLineChars="200"/>
        <w:jc w:val="both"/>
        <w:textAlignment w:val="auto"/>
        <w:rPr>
          <w:rFonts w:hint="default" w:ascii="宋体" w:hAnsi="宋体" w:eastAsia="宋体" w:cs="宋体"/>
          <w:kern w:val="0"/>
          <w:sz w:val="21"/>
          <w:szCs w:val="21"/>
          <w:lang w:val="en-US" w:eastAsia="zh-CN" w:bidi="ar-SA"/>
        </w:rPr>
      </w:pPr>
      <w:r>
        <w:rPr>
          <w:rFonts w:hint="eastAsia" w:ascii="宋体" w:hAnsi="宋体" w:eastAsia="宋体" w:cs="宋体"/>
          <w:color w:val="auto"/>
          <w:spacing w:val="0"/>
          <w:kern w:val="0"/>
          <w:sz w:val="21"/>
          <w:szCs w:val="21"/>
          <w:lang w:val="en-US" w:eastAsia="zh-CN" w:bidi="ar-SA"/>
        </w:rPr>
        <w:t>以上条款引用自</w:t>
      </w:r>
      <w:r>
        <w:rPr>
          <w:rFonts w:hint="eastAsia" w:ascii="宋体" w:hAnsi="宋体" w:eastAsia="宋体" w:cs="宋体"/>
          <w:kern w:val="0"/>
          <w:sz w:val="21"/>
          <w:szCs w:val="21"/>
          <w:lang w:val="en-US" w:eastAsia="zh-CN" w:bidi="ar-SA"/>
        </w:rPr>
        <w:t>CGBZ-ⅡHF0900-2025中国海洋石油有限公司采购标准文件-采购标准国际空运代理服务9.1.7条款：故障处理保障：空运服务故障时（如舱位取消、单证错误）及时处理并提供解决方案（如紧急协调补舱、单证加急补正），确保货物空运不受影响。</w:t>
      </w:r>
    </w:p>
    <w:p>
      <w:pPr>
        <w:pStyle w:val="9"/>
        <w:spacing w:line="360" w:lineRule="auto"/>
        <w:ind w:left="0" w:leftChars="0" w:right="115" w:rightChars="55" w:firstLine="0" w:firstLineChars="0"/>
        <w:rPr>
          <w:rFonts w:hint="eastAsia"/>
          <w:lang w:val="en-US" w:eastAsia="zh-CN"/>
        </w:rPr>
      </w:pPr>
      <w:r>
        <w:rPr>
          <w:rFonts w:hint="eastAsia" w:ascii="宋体" w:hAnsi="宋体" w:eastAsia="宋体" w:cs="宋体"/>
          <w:color w:val="auto"/>
          <w:spacing w:val="0"/>
          <w:kern w:val="0"/>
          <w:sz w:val="21"/>
          <w:szCs w:val="21"/>
          <w:lang w:val="en-US" w:eastAsia="zh-CN" w:bidi="ar-SA"/>
        </w:rPr>
        <w:t>（2）电池运输期间一旦发生事故，或因其他任何原因导致甲方货物损失，乙方应在损失发生后 24 小时内通知甲方，并采取一切措施减轻事故损失。同时，乙方应在 48 小时内向甲方递交一份由乙方签字确认的详细货损报告，明确货损发生的原因、估计损失、抢救经过及相关证据文件等，协助甲方进行保险索赔工作。如果货到目的地发现货损，而乙方无法、不愿、不能提供货损报告及相关货损证据，则视为货损原因为物流商责任所致。乙方应在损失发生并通知甲方的同时，对损失现场进行拍照，保护损失发生现场，保留所有相关证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CIDFont+F2">
    <w:altName w:val="宋体"/>
    <w:panose1 w:val="00000000000000000000"/>
    <w:charset w:val="86"/>
    <w:family w:val="auto"/>
    <w:pitch w:val="default"/>
    <w:sig w:usb0="00000000" w:usb1="00000000" w:usb2="00000000" w:usb3="00000000" w:csb0="00040000" w:csb1="00000000"/>
  </w:font>
  <w:font w:name="ËÎÌå">
    <w:altName w:val="Arial"/>
    <w:panose1 w:val="00000000000000000000"/>
    <w:charset w:val="00"/>
    <w:family w:val="swiss"/>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016C8"/>
    <w:multiLevelType w:val="singleLevel"/>
    <w:tmpl w:val="A7E016C8"/>
    <w:lvl w:ilvl="0" w:tentative="0">
      <w:start w:val="1"/>
      <w:numFmt w:val="decimal"/>
      <w:suff w:val="nothing"/>
      <w:lvlText w:val="%1）"/>
      <w:lvlJc w:val="left"/>
    </w:lvl>
  </w:abstractNum>
  <w:abstractNum w:abstractNumId="1">
    <w:nsid w:val="E871D530"/>
    <w:multiLevelType w:val="multilevel"/>
    <w:tmpl w:val="E871D530"/>
    <w:lvl w:ilvl="0" w:tentative="0">
      <w:start w:val="1"/>
      <w:numFmt w:val="decimal"/>
      <w:lvlText w:val="%1."/>
      <w:lvlJc w:val="left"/>
      <w:pPr>
        <w:ind w:left="432" w:hanging="432"/>
      </w:pPr>
      <w:rPr>
        <w:rFonts w:hint="default" w:ascii="宋体" w:hAnsi="宋体" w:eastAsia="宋体" w:cs="宋体"/>
      </w:rPr>
    </w:lvl>
    <w:lvl w:ilvl="1" w:tentative="0">
      <w:start w:val="1"/>
      <w:numFmt w:val="decimal"/>
      <w:lvlText w:val="%1.%2."/>
      <w:lvlJc w:val="left"/>
      <w:pPr>
        <w:ind w:left="575" w:hanging="575"/>
      </w:pPr>
      <w:rPr>
        <w:rFonts w:hint="default" w:ascii="宋体" w:hAnsi="宋体" w:eastAsia="宋体" w:cs="宋体"/>
        <w:sz w:val="24"/>
        <w:szCs w:val="24"/>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F1428A7D"/>
    <w:multiLevelType w:val="singleLevel"/>
    <w:tmpl w:val="F1428A7D"/>
    <w:lvl w:ilvl="0" w:tentative="0">
      <w:start w:val="1"/>
      <w:numFmt w:val="decimal"/>
      <w:lvlText w:val="(%1)"/>
      <w:lvlJc w:val="left"/>
      <w:pPr>
        <w:ind w:left="425" w:hanging="425"/>
      </w:pPr>
      <w:rPr>
        <w:rFonts w:hint="default"/>
      </w:rPr>
    </w:lvl>
  </w:abstractNum>
  <w:abstractNum w:abstractNumId="3">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lang w:val="en-US"/>
      </w:rPr>
    </w:lvl>
    <w:lvl w:ilvl="1" w:tentative="0">
      <w:start w:val="1"/>
      <w:numFmt w:val="decimal"/>
      <w:pStyle w:val="3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2E3C4A"/>
    <w:rsid w:val="003D2083"/>
    <w:rsid w:val="004029A6"/>
    <w:rsid w:val="00AE20AB"/>
    <w:rsid w:val="00ED277A"/>
    <w:rsid w:val="019746F4"/>
    <w:rsid w:val="031B2C35"/>
    <w:rsid w:val="03B97BF9"/>
    <w:rsid w:val="055F097E"/>
    <w:rsid w:val="09070C2B"/>
    <w:rsid w:val="0A136B70"/>
    <w:rsid w:val="0A392AE3"/>
    <w:rsid w:val="0A633F66"/>
    <w:rsid w:val="0B77698A"/>
    <w:rsid w:val="0B8B3D6B"/>
    <w:rsid w:val="0C2B3807"/>
    <w:rsid w:val="0D0D3811"/>
    <w:rsid w:val="0EEC2D0E"/>
    <w:rsid w:val="0F715958"/>
    <w:rsid w:val="102C5743"/>
    <w:rsid w:val="11462F7A"/>
    <w:rsid w:val="12145340"/>
    <w:rsid w:val="12425D27"/>
    <w:rsid w:val="1516339A"/>
    <w:rsid w:val="15935B19"/>
    <w:rsid w:val="19511934"/>
    <w:rsid w:val="19B110DB"/>
    <w:rsid w:val="200F390E"/>
    <w:rsid w:val="20AD6E4E"/>
    <w:rsid w:val="21A82110"/>
    <w:rsid w:val="21D03713"/>
    <w:rsid w:val="22DE0B05"/>
    <w:rsid w:val="237A6DE3"/>
    <w:rsid w:val="249F3EC7"/>
    <w:rsid w:val="27070CA1"/>
    <w:rsid w:val="28BA5D79"/>
    <w:rsid w:val="2905776C"/>
    <w:rsid w:val="29E60F4C"/>
    <w:rsid w:val="29ED6D49"/>
    <w:rsid w:val="2D9A49C7"/>
    <w:rsid w:val="2EF8051E"/>
    <w:rsid w:val="2F5913C7"/>
    <w:rsid w:val="2F6D0AAD"/>
    <w:rsid w:val="32722C3D"/>
    <w:rsid w:val="33CF3449"/>
    <w:rsid w:val="355F451E"/>
    <w:rsid w:val="359C547C"/>
    <w:rsid w:val="3628787D"/>
    <w:rsid w:val="36D60D27"/>
    <w:rsid w:val="39E851BB"/>
    <w:rsid w:val="3A5509DE"/>
    <w:rsid w:val="3B8D04BB"/>
    <w:rsid w:val="3E6A05EA"/>
    <w:rsid w:val="40BC7081"/>
    <w:rsid w:val="42C02BEB"/>
    <w:rsid w:val="42E746AF"/>
    <w:rsid w:val="433D52BD"/>
    <w:rsid w:val="437D5D0F"/>
    <w:rsid w:val="43C30569"/>
    <w:rsid w:val="455A6801"/>
    <w:rsid w:val="45AB28F8"/>
    <w:rsid w:val="45E915F8"/>
    <w:rsid w:val="47AC4F19"/>
    <w:rsid w:val="48844A27"/>
    <w:rsid w:val="4A5C5F18"/>
    <w:rsid w:val="4A6F313B"/>
    <w:rsid w:val="4BB26A02"/>
    <w:rsid w:val="4F674209"/>
    <w:rsid w:val="4FE5493A"/>
    <w:rsid w:val="50484489"/>
    <w:rsid w:val="50D57106"/>
    <w:rsid w:val="51AF3662"/>
    <w:rsid w:val="54C84925"/>
    <w:rsid w:val="56296406"/>
    <w:rsid w:val="5684229C"/>
    <w:rsid w:val="56B00FB5"/>
    <w:rsid w:val="58210E93"/>
    <w:rsid w:val="5AAD4A14"/>
    <w:rsid w:val="5CA03D38"/>
    <w:rsid w:val="6013511A"/>
    <w:rsid w:val="610C2B88"/>
    <w:rsid w:val="61D347CB"/>
    <w:rsid w:val="62307B16"/>
    <w:rsid w:val="6355604B"/>
    <w:rsid w:val="63604804"/>
    <w:rsid w:val="63902BAB"/>
    <w:rsid w:val="669E0E8C"/>
    <w:rsid w:val="66FC59EF"/>
    <w:rsid w:val="67BA0DD7"/>
    <w:rsid w:val="6B265237"/>
    <w:rsid w:val="6B6E0315"/>
    <w:rsid w:val="6BE732FC"/>
    <w:rsid w:val="6D567580"/>
    <w:rsid w:val="6F392836"/>
    <w:rsid w:val="70446B91"/>
    <w:rsid w:val="73AD5B27"/>
    <w:rsid w:val="78BF21FC"/>
    <w:rsid w:val="79895D79"/>
    <w:rsid w:val="799323C7"/>
    <w:rsid w:val="7A715CD2"/>
    <w:rsid w:val="7B9E365B"/>
    <w:rsid w:val="7DA02139"/>
    <w:rsid w:val="7E0B0A22"/>
    <w:rsid w:val="7F5D1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kern w:val="44"/>
      <w:sz w:val="32"/>
      <w:szCs w:val="44"/>
    </w:rPr>
  </w:style>
  <w:style w:type="paragraph" w:styleId="4">
    <w:name w:val="heading 2"/>
    <w:basedOn w:val="1"/>
    <w:next w:val="1"/>
    <w:qFormat/>
    <w:uiPriority w:val="1"/>
    <w:pPr>
      <w:spacing w:line="479" w:lineRule="exact"/>
      <w:outlineLvl w:val="1"/>
    </w:pPr>
    <w:rPr>
      <w:rFonts w:ascii="Microsoft YaHei UI" w:hAnsi="Microsoft YaHei UI" w:eastAsia="Microsoft YaHei UI"/>
      <w:spacing w:val="2"/>
      <w:sz w:val="32"/>
      <w:szCs w:val="32"/>
      <w:lang w:eastAsia="zh-CN"/>
    </w:rPr>
  </w:style>
  <w:style w:type="paragraph" w:styleId="5">
    <w:name w:val="heading 3"/>
    <w:basedOn w:val="1"/>
    <w:next w:val="1"/>
    <w:semiHidden/>
    <w:unhideWhenUsed/>
    <w:qFormat/>
    <w:uiPriority w:val="9"/>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6">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6"/>
    <w:unhideWhenUsed/>
    <w:qFormat/>
    <w:uiPriority w:val="99"/>
    <w:pPr>
      <w:tabs>
        <w:tab w:val="center" w:pos="4153"/>
        <w:tab w:val="right" w:pos="8306"/>
      </w:tabs>
      <w:snapToGrid w:val="0"/>
      <w:jc w:val="left"/>
    </w:pPr>
    <w:rPr>
      <w:sz w:val="18"/>
      <w:szCs w:val="18"/>
    </w:rPr>
  </w:style>
  <w:style w:type="paragraph" w:styleId="7">
    <w:name w:val="Normal Indent"/>
    <w:basedOn w:val="8"/>
    <w:qFormat/>
    <w:uiPriority w:val="0"/>
    <w:pPr>
      <w:ind w:firstLine="420"/>
    </w:pPr>
    <w:rPr>
      <w:szCs w:val="21"/>
    </w:rPr>
  </w:style>
  <w:style w:type="paragraph" w:customStyle="1" w:styleId="8">
    <w:name w:val="正文_1"/>
    <w:qFormat/>
    <w:uiPriority w:val="0"/>
    <w:pPr>
      <w:widowControl w:val="0"/>
      <w:jc w:val="both"/>
    </w:pPr>
    <w:rPr>
      <w:rFonts w:ascii="Calibri" w:hAnsi="Calibri" w:eastAsia="宋体" w:cs="Times New Roman"/>
      <w:kern w:val="2"/>
      <w:sz w:val="21"/>
      <w:szCs w:val="22"/>
      <w:lang w:val="en-US" w:eastAsia="zh-CN" w:bidi="ar-SA"/>
    </w:rPr>
  </w:style>
  <w:style w:type="paragraph" w:styleId="9">
    <w:name w:val="Body Text"/>
    <w:basedOn w:val="1"/>
    <w:next w:val="1"/>
    <w:qFormat/>
    <w:uiPriority w:val="1"/>
    <w:pPr>
      <w:ind w:firstLine="200" w:firstLineChars="200"/>
      <w:jc w:val="both"/>
    </w:pPr>
    <w:rPr>
      <w:rFonts w:ascii="Microsoft YaHei UI" w:hAnsi="Microsoft YaHei UI" w:eastAsia="Microsoft YaHei UI"/>
      <w:sz w:val="21"/>
      <w:szCs w:val="21"/>
    </w:rPr>
  </w:style>
  <w:style w:type="paragraph" w:styleId="10">
    <w:name w:val="Body Text Indent"/>
    <w:basedOn w:val="1"/>
    <w:next w:val="11"/>
    <w:qFormat/>
    <w:uiPriority w:val="0"/>
    <w:pPr>
      <w:autoSpaceDE w:val="0"/>
      <w:autoSpaceDN w:val="0"/>
      <w:adjustRightInd w:val="0"/>
      <w:spacing w:line="360" w:lineRule="auto"/>
      <w:ind w:firstLine="540"/>
    </w:pPr>
    <w:rPr>
      <w:rFonts w:ascii="仿宋_GB2312" w:eastAsia="仿宋_GB2312"/>
      <w:color w:val="000000"/>
      <w:sz w:val="28"/>
    </w:rPr>
  </w:style>
  <w:style w:type="paragraph" w:styleId="11">
    <w:name w:val="envelope return"/>
    <w:basedOn w:val="1"/>
    <w:qFormat/>
    <w:uiPriority w:val="0"/>
    <w:pPr>
      <w:snapToGrid w:val="0"/>
    </w:pPr>
    <w:rPr>
      <w:rFonts w:ascii="Arial" w:hAnsi="Arial" w:eastAsia="等线" w:cs="等线"/>
    </w:rPr>
  </w:style>
  <w:style w:type="paragraph" w:styleId="12">
    <w:name w:val="toc 3"/>
    <w:basedOn w:val="1"/>
    <w:next w:val="1"/>
    <w:unhideWhenUsed/>
    <w:qFormat/>
    <w:uiPriority w:val="39"/>
    <w:pPr>
      <w:widowControl/>
      <w:spacing w:after="100" w:line="259" w:lineRule="auto"/>
      <w:ind w:left="440"/>
    </w:pPr>
    <w:rPr>
      <w:rFonts w:cs="Times New Roman"/>
      <w:lang w:eastAsia="zh-CN"/>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6"/>
    <w:basedOn w:val="1"/>
    <w:next w:val="1"/>
    <w:unhideWhenUsed/>
    <w:qFormat/>
    <w:uiPriority w:val="39"/>
    <w:pPr>
      <w:ind w:left="2100" w:leftChars="1000"/>
    </w:pPr>
    <w:rPr>
      <w:rFonts w:ascii="Calibri" w:hAnsi="Calibri"/>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Body Text First Indent"/>
    <w:basedOn w:val="9"/>
    <w:qFormat/>
    <w:uiPriority w:val="0"/>
    <w:pPr>
      <w:widowControl w:val="0"/>
      <w:ind w:firstLine="420" w:firstLineChars="100"/>
      <w:jc w:val="both"/>
    </w:pPr>
    <w:rPr>
      <w:rFonts w:ascii="宋体" w:hAnsi="Microsoft YaHei UI" w:eastAsia="Microsoft YaHei UI" w:cs="宋体"/>
      <w:sz w:val="21"/>
      <w:szCs w:val="21"/>
      <w:lang w:val="en-US" w:eastAsia="en-US" w:bidi="ar-SA"/>
    </w:rPr>
  </w:style>
  <w:style w:type="paragraph" w:styleId="17">
    <w:name w:val="Body Text First Indent 2"/>
    <w:basedOn w:val="10"/>
    <w:unhideWhenUsed/>
    <w:qFormat/>
    <w:uiPriority w:val="99"/>
    <w:pPr>
      <w:ind w:firstLine="420" w:firstLineChars="200"/>
    </w:pPr>
  </w:style>
  <w:style w:type="table" w:styleId="19">
    <w:name w:val="Table Grid"/>
    <w:basedOn w:val="18"/>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paragraph" w:customStyle="1" w:styleId="22">
    <w:name w:val="默认段落字体 Para Char"/>
    <w:basedOn w:val="23"/>
    <w:next w:val="1"/>
    <w:qFormat/>
    <w:uiPriority w:val="0"/>
    <w:pPr>
      <w:spacing w:before="80" w:after="80" w:line="360" w:lineRule="auto"/>
    </w:pPr>
    <w:rPr>
      <w:sz w:val="24"/>
    </w:rPr>
  </w:style>
  <w:style w:type="paragraph" w:customStyle="1" w:styleId="23">
    <w:name w:val="Normal_0"/>
    <w:next w:val="22"/>
    <w:qFormat/>
    <w:uiPriority w:val="0"/>
    <w:rPr>
      <w:rFonts w:ascii="Times New Roman" w:hAnsi="Times New Roman" w:eastAsia="Times New Roman" w:cs="Times New Roman"/>
      <w:sz w:val="24"/>
      <w:szCs w:val="24"/>
      <w:lang w:val="en-US" w:eastAsia="zh-CN" w:bidi="ar-SA"/>
    </w:rPr>
  </w:style>
  <w:style w:type="paragraph" w:customStyle="1" w:styleId="24">
    <w:name w:val="正文（文本）"/>
    <w:next w:val="14"/>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character" w:customStyle="1" w:styleId="25">
    <w:name w:val="页眉 字符"/>
    <w:basedOn w:val="20"/>
    <w:link w:val="13"/>
    <w:qFormat/>
    <w:uiPriority w:val="99"/>
    <w:rPr>
      <w:sz w:val="18"/>
      <w:szCs w:val="18"/>
    </w:rPr>
  </w:style>
  <w:style w:type="character" w:customStyle="1" w:styleId="26">
    <w:name w:val="页脚 字符"/>
    <w:basedOn w:val="20"/>
    <w:link w:val="2"/>
    <w:qFormat/>
    <w:uiPriority w:val="99"/>
    <w:rPr>
      <w:sz w:val="18"/>
      <w:szCs w:val="18"/>
    </w:rPr>
  </w:style>
  <w:style w:type="paragraph" w:styleId="27">
    <w:name w:val="List Paragraph"/>
    <w:basedOn w:val="1"/>
    <w:qFormat/>
    <w:uiPriority w:val="34"/>
    <w:pPr>
      <w:widowControl/>
      <w:ind w:firstLine="420"/>
      <w:jc w:val="both"/>
    </w:pPr>
    <w:rPr>
      <w:rFonts w:ascii="Calibri" w:hAnsi="Calibri" w:eastAsia="宋体" w:cs="Calibri"/>
      <w:sz w:val="21"/>
      <w:szCs w:val="21"/>
      <w:lang w:eastAsia="zh-CN"/>
    </w:rPr>
  </w:style>
  <w:style w:type="paragraph" w:customStyle="1" w:styleId="28">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29">
    <w:name w:val="附录一级条标题"/>
    <w:basedOn w:val="30"/>
    <w:next w:val="1"/>
    <w:qFormat/>
    <w:uiPriority w:val="0"/>
    <w:pPr>
      <w:numPr>
        <w:ilvl w:val="2"/>
      </w:numPr>
      <w:autoSpaceDN w:val="0"/>
      <w:spacing w:before="50" w:beforeLines="50" w:after="50" w:afterLines="50"/>
      <w:outlineLvl w:val="2"/>
    </w:pPr>
  </w:style>
  <w:style w:type="paragraph" w:customStyle="1" w:styleId="30">
    <w:name w:val="附录章标题"/>
    <w:next w:val="1"/>
    <w:qFormat/>
    <w:uiPriority w:val="0"/>
    <w:pPr>
      <w:numPr>
        <w:ilvl w:val="1"/>
        <w:numId w:val="2"/>
      </w:numPr>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szCs w:val="20"/>
      <w:lang w:val="en-US" w:eastAsia="zh-CN" w:bidi="ar-SA"/>
    </w:rPr>
  </w:style>
  <w:style w:type="character" w:customStyle="1" w:styleId="31">
    <w:name w:val="font21"/>
    <w:basedOn w:val="20"/>
    <w:qFormat/>
    <w:uiPriority w:val="0"/>
    <w:rPr>
      <w:rFonts w:hint="eastAsia" w:ascii="宋体" w:hAnsi="宋体" w:eastAsia="宋体" w:cs="宋体"/>
      <w:color w:val="000000"/>
      <w:sz w:val="21"/>
      <w:szCs w:val="21"/>
      <w:u w:val="none"/>
    </w:rPr>
  </w:style>
  <w:style w:type="character" w:customStyle="1" w:styleId="32">
    <w:name w:val="font31"/>
    <w:basedOn w:val="20"/>
    <w:qFormat/>
    <w:uiPriority w:val="0"/>
    <w:rPr>
      <w:rFonts w:ascii="Calibri" w:hAnsi="Calibri" w:cs="Calibri"/>
      <w:color w:val="000000"/>
      <w:sz w:val="21"/>
      <w:szCs w:val="21"/>
      <w:u w:val="none"/>
    </w:rPr>
  </w:style>
  <w:style w:type="character" w:customStyle="1" w:styleId="33">
    <w:name w:val="font51"/>
    <w:basedOn w:val="20"/>
    <w:qFormat/>
    <w:uiPriority w:val="0"/>
    <w:rPr>
      <w:rFonts w:hint="eastAsia" w:ascii="宋体" w:hAnsi="宋体" w:eastAsia="宋体" w:cs="宋体"/>
      <w:color w:val="000000"/>
      <w:sz w:val="22"/>
      <w:szCs w:val="22"/>
      <w:u w:val="none"/>
    </w:rPr>
  </w:style>
  <w:style w:type="paragraph" w:customStyle="1" w:styleId="34">
    <w:name w:val="Table Paragraph"/>
    <w:basedOn w:val="1"/>
    <w:qFormat/>
    <w:uiPriority w:val="1"/>
  </w:style>
  <w:style w:type="character" w:customStyle="1" w:styleId="35">
    <w:name w:val="font71"/>
    <w:basedOn w:val="20"/>
    <w:qFormat/>
    <w:uiPriority w:val="0"/>
    <w:rPr>
      <w:rFonts w:hint="default" w:ascii="Times New Roman" w:hAnsi="Times New Roman" w:cs="Times New Roman"/>
      <w:color w:val="000000"/>
      <w:sz w:val="22"/>
      <w:szCs w:val="22"/>
      <w:u w:val="none"/>
    </w:rPr>
  </w:style>
  <w:style w:type="character" w:customStyle="1" w:styleId="36">
    <w:name w:val="font11"/>
    <w:basedOn w:val="20"/>
    <w:qFormat/>
    <w:uiPriority w:val="0"/>
    <w:rPr>
      <w:rFonts w:hint="eastAsia" w:ascii="宋体" w:hAnsi="宋体" w:eastAsia="宋体" w:cs="宋体"/>
      <w:b/>
      <w:bCs/>
      <w:color w:val="000000"/>
      <w:sz w:val="22"/>
      <w:szCs w:val="22"/>
      <w:u w:val="none"/>
    </w:rPr>
  </w:style>
  <w:style w:type="table" w:customStyle="1" w:styleId="37">
    <w:name w:val="Table Grid_1"/>
    <w:basedOn w:val="18"/>
    <w:qFormat/>
    <w:uiPriority w:val="39"/>
    <w:pPr>
      <w:widowControl w:val="0"/>
      <w:jc w:val="both"/>
    </w:pPr>
    <w:rPr>
      <w:rFonts w:ascii="Arial" w:hAnsi="Arial"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55</Words>
  <Characters>314</Characters>
  <Lines>2</Lines>
  <Paragraphs>1</Paragraphs>
  <TotalTime>0</TotalTime>
  <ScaleCrop>false</ScaleCrop>
  <LinksUpToDate>false</LinksUpToDate>
  <CharactersWithSpaces>368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林硝萌</cp:lastModifiedBy>
  <dcterms:modified xsi:type="dcterms:W3CDTF">2026-05-22T01:35:33Z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EC985C6488C64EA08158A25D87F55D52</vt:lpwstr>
  </property>
</Properties>
</file>