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before="120" w:after="120"/>
        <w:ind w:right="-20"/>
        <w:jc w:val="center"/>
        <w:rPr>
          <w:rFonts w:ascii="Arial Unicode MS" w:eastAsia="Arial Unicode MS" w:cs="Arial Unicode MS"/>
          <w:b/>
          <w:color w:val="auto"/>
          <w:spacing w:val="2"/>
          <w:w w:val="99"/>
          <w:sz w:val="52"/>
          <w:szCs w:val="52"/>
          <w:highlight w:val="none"/>
        </w:rPr>
      </w:pPr>
      <w:r>
        <w:rPr>
          <w:rFonts w:ascii="Arial Unicode MS" w:eastAsia="Arial Unicode MS" w:cs="Arial Unicode MS"/>
          <w:b/>
          <w:color w:val="auto"/>
          <w:spacing w:val="2"/>
          <w:w w:val="99"/>
          <w:sz w:val="52"/>
          <w:szCs w:val="52"/>
          <w:highlight w:val="non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2009140</wp:posOffset>
            </wp:positionH>
            <wp:positionV relativeFrom="paragraph">
              <wp:posOffset>20320</wp:posOffset>
            </wp:positionV>
            <wp:extent cx="1596390" cy="1438275"/>
            <wp:effectExtent l="0" t="0" r="3810" b="9525"/>
            <wp:wrapTight wrapText="bothSides">
              <wp:wrapPolygon>
                <wp:start x="7561" y="0"/>
                <wp:lineTo x="4640" y="3052"/>
                <wp:lineTo x="3780" y="3433"/>
                <wp:lineTo x="1203" y="5913"/>
                <wp:lineTo x="172" y="8392"/>
                <wp:lineTo x="0" y="8964"/>
                <wp:lineTo x="0" y="14114"/>
                <wp:lineTo x="344" y="15640"/>
                <wp:lineTo x="1547" y="18310"/>
                <wp:lineTo x="1718" y="18882"/>
                <wp:lineTo x="5327" y="21362"/>
                <wp:lineTo x="6186" y="21362"/>
                <wp:lineTo x="10826" y="21362"/>
                <wp:lineTo x="11685" y="21362"/>
                <wp:lineTo x="15465" y="18882"/>
                <wp:lineTo x="15465" y="18310"/>
                <wp:lineTo x="17012" y="15830"/>
                <wp:lineTo x="16840" y="15258"/>
                <wp:lineTo x="14778" y="15258"/>
                <wp:lineTo x="17527" y="14495"/>
                <wp:lineTo x="17356" y="12588"/>
                <wp:lineTo x="21480" y="12207"/>
                <wp:lineTo x="21480" y="8774"/>
                <wp:lineTo x="16153" y="5913"/>
                <wp:lineTo x="13747" y="3815"/>
                <wp:lineTo x="12544" y="3052"/>
                <wp:lineTo x="9451" y="0"/>
                <wp:lineTo x="7561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before="120" w:after="120"/>
        <w:ind w:right="-20"/>
        <w:jc w:val="center"/>
        <w:rPr>
          <w:rFonts w:ascii="Arial Unicode MS" w:eastAsia="Arial Unicode MS" w:cs="Arial Unicode MS"/>
          <w:b/>
          <w:color w:val="auto"/>
          <w:spacing w:val="2"/>
          <w:w w:val="99"/>
          <w:sz w:val="52"/>
          <w:szCs w:val="52"/>
          <w:highlight w:val="none"/>
        </w:rPr>
      </w:pPr>
    </w:p>
    <w:p>
      <w:pPr>
        <w:autoSpaceDE w:val="0"/>
        <w:autoSpaceDN w:val="0"/>
        <w:spacing w:before="120" w:after="120"/>
        <w:ind w:right="-20"/>
        <w:jc w:val="center"/>
        <w:rPr>
          <w:rFonts w:ascii="微软雅黑" w:hAnsi="微软雅黑" w:eastAsia="微软雅黑" w:cs="Arial Unicode MS"/>
          <w:b/>
          <w:color w:val="auto"/>
          <w:spacing w:val="2"/>
          <w:w w:val="99"/>
          <w:sz w:val="52"/>
          <w:szCs w:val="52"/>
          <w:highlight w:val="none"/>
        </w:rPr>
      </w:pPr>
    </w:p>
    <w:p>
      <w:pPr>
        <w:jc w:val="center"/>
        <w:rPr>
          <w:rFonts w:ascii="微软雅黑" w:hAnsi="微软雅黑" w:eastAsia="微软雅黑" w:cs="Arial Unicode MS"/>
          <w:color w:val="auto"/>
          <w:spacing w:val="2"/>
          <w:w w:val="99"/>
          <w:sz w:val="52"/>
          <w:szCs w:val="52"/>
          <w:highlight w:val="none"/>
        </w:rPr>
      </w:pPr>
      <w:r>
        <w:rPr>
          <w:rFonts w:hint="eastAsia" w:ascii="微软雅黑" w:hAnsi="微软雅黑" w:eastAsia="微软雅黑" w:cs="Arial Unicode MS"/>
          <w:color w:val="auto"/>
          <w:spacing w:val="2"/>
          <w:w w:val="99"/>
          <w:sz w:val="52"/>
          <w:szCs w:val="52"/>
          <w:highlight w:val="none"/>
        </w:rPr>
        <w:t>中海油能源发展股份有限公司</w:t>
      </w:r>
    </w:p>
    <w:p>
      <w:pPr>
        <w:jc w:val="center"/>
        <w:rPr>
          <w:rFonts w:ascii="微软雅黑" w:hAnsi="微软雅黑" w:eastAsia="微软雅黑" w:cs="Arial Unicode MS"/>
          <w:b/>
          <w:color w:val="auto"/>
          <w:spacing w:val="2"/>
          <w:w w:val="99"/>
          <w:sz w:val="52"/>
          <w:szCs w:val="52"/>
          <w:highlight w:val="none"/>
        </w:rPr>
      </w:pPr>
    </w:p>
    <w:p>
      <w:pPr>
        <w:jc w:val="center"/>
        <w:rPr>
          <w:rFonts w:hint="default" w:ascii="微软雅黑" w:hAnsi="微软雅黑" w:eastAsia="微软雅黑" w:cs="Arial Unicode MS"/>
          <w:color w:val="auto"/>
          <w:spacing w:val="2"/>
          <w:w w:val="99"/>
          <w:sz w:val="52"/>
          <w:szCs w:val="52"/>
          <w:highlight w:val="none"/>
          <w:u w:val="single"/>
          <w:lang w:val="en-US" w:eastAsia="zh-CN"/>
        </w:rPr>
      </w:pPr>
      <w:r>
        <w:rPr>
          <w:rFonts w:hint="eastAsia" w:ascii="微软雅黑" w:hAnsi="微软雅黑" w:eastAsia="微软雅黑" w:cs="Arial Unicode MS"/>
          <w:color w:val="auto"/>
          <w:spacing w:val="2"/>
          <w:w w:val="99"/>
          <w:sz w:val="52"/>
          <w:szCs w:val="52"/>
          <w:highlight w:val="none"/>
          <w:u w:val="single"/>
          <w:lang w:val="en-US" w:eastAsia="zh-CN"/>
        </w:rPr>
        <w:t>测厚仪、粗糙度仪设备</w:t>
      </w:r>
    </w:p>
    <w:p>
      <w:pPr>
        <w:jc w:val="center"/>
        <w:rPr>
          <w:rFonts w:ascii="微软雅黑" w:hAnsi="微软雅黑" w:eastAsia="微软雅黑" w:cs="Arial Unicode MS"/>
          <w:b/>
          <w:color w:val="auto"/>
          <w:spacing w:val="2"/>
          <w:w w:val="99"/>
          <w:sz w:val="52"/>
          <w:szCs w:val="52"/>
          <w:highlight w:val="none"/>
        </w:rPr>
      </w:pPr>
      <w:r>
        <w:rPr>
          <w:rFonts w:hint="eastAsia" w:ascii="微软雅黑" w:hAnsi="微软雅黑" w:eastAsia="微软雅黑" w:cs="Arial Unicode MS"/>
          <w:b/>
          <w:color w:val="auto"/>
          <w:spacing w:val="2"/>
          <w:w w:val="99"/>
          <w:sz w:val="52"/>
          <w:szCs w:val="52"/>
          <w:highlight w:val="none"/>
        </w:rPr>
        <w:t>采购技术要求书</w:t>
      </w:r>
    </w:p>
    <w:p>
      <w:pPr>
        <w:autoSpaceDE w:val="0"/>
        <w:autoSpaceDN w:val="0"/>
        <w:spacing w:before="120" w:after="120" w:line="720" w:lineRule="auto"/>
        <w:ind w:right="-20" w:firstLine="640" w:firstLineChars="200"/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</w:pP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  <w:t>引用技术标准编号： GB/T 4956-2003；GB/T 4957-2003</w:t>
      </w:r>
    </w:p>
    <w:p>
      <w:pPr>
        <w:autoSpaceDE w:val="0"/>
        <w:autoSpaceDN w:val="0"/>
        <w:spacing w:before="120" w:after="120" w:line="720" w:lineRule="auto"/>
        <w:ind w:right="-20" w:firstLine="640" w:firstLineChars="200"/>
        <w:rPr>
          <w:rFonts w:hint="default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</w:pP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  <w:t xml:space="preserve">GB/T 6062-2009 ；GB/T18618-2009 </w:t>
      </w:r>
    </w:p>
    <w:p>
      <w:pPr>
        <w:autoSpaceDE w:val="0"/>
        <w:autoSpaceDN w:val="0"/>
        <w:spacing w:before="120" w:after="120" w:line="720" w:lineRule="auto"/>
        <w:ind w:right="-20"/>
        <w:rPr>
          <w:rFonts w:hint="eastAsia" w:ascii="宋体" w:hAnsi="宋体" w:eastAsia="宋体" w:cs="宋体"/>
          <w:color w:val="auto"/>
          <w:spacing w:val="2"/>
          <w:w w:val="99"/>
          <w:sz w:val="32"/>
          <w:szCs w:val="32"/>
          <w:highlight w:val="none"/>
          <w:u w:val="none"/>
          <w:lang w:eastAsia="zh-CN"/>
        </w:rPr>
      </w:pP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eastAsia="zh-CN"/>
        </w:rPr>
        <w:t xml:space="preserve">    编制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  <w:t>人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eastAsia="zh-CN"/>
        </w:rPr>
        <w:t>：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  <w:t>__________________________________</w:t>
      </w:r>
      <w:r>
        <w:rPr>
          <w:rFonts w:hint="eastAsia" w:ascii="宋体" w:hAnsi="宋体" w:eastAsia="宋体" w:cs="宋体"/>
          <w:color w:val="auto"/>
          <w:spacing w:val="2"/>
          <w:w w:val="99"/>
          <w:sz w:val="32"/>
          <w:szCs w:val="32"/>
          <w:highlight w:val="none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pacing w:val="2"/>
          <w:w w:val="99"/>
          <w:sz w:val="32"/>
          <w:szCs w:val="32"/>
          <w:highlight w:val="none"/>
          <w:u w:val="none"/>
          <w:lang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pacing w:val="2"/>
          <w:w w:val="99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pacing w:val="2"/>
          <w:w w:val="99"/>
          <w:sz w:val="32"/>
          <w:szCs w:val="32"/>
          <w:highlight w:val="none"/>
          <w:u w:val="none"/>
          <w:lang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pacing w:val="2"/>
          <w:w w:val="99"/>
          <w:sz w:val="32"/>
          <w:szCs w:val="32"/>
          <w:highlight w:val="none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2"/>
          <w:w w:val="99"/>
          <w:sz w:val="32"/>
          <w:szCs w:val="32"/>
          <w:highlight w:val="none"/>
          <w:u w:val="none"/>
          <w:lang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pacing w:val="2"/>
          <w:w w:val="99"/>
          <w:sz w:val="32"/>
          <w:szCs w:val="32"/>
          <w:highlight w:val="none"/>
          <w:u w:val="non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  <w:spacing w:val="2"/>
          <w:w w:val="99"/>
          <w:sz w:val="32"/>
          <w:szCs w:val="32"/>
          <w:highlight w:val="none"/>
          <w:u w:val="none"/>
          <w:lang w:eastAsia="zh-CN"/>
        </w:rPr>
        <w:t xml:space="preserve">      </w:t>
      </w:r>
    </w:p>
    <w:p>
      <w:pPr>
        <w:autoSpaceDE w:val="0"/>
        <w:autoSpaceDN w:val="0"/>
        <w:spacing w:before="120" w:after="120" w:line="720" w:lineRule="auto"/>
        <w:ind w:right="-20"/>
        <w:rPr>
          <w:rFonts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eastAsia="zh-CN"/>
        </w:rPr>
      </w:pP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eastAsia="zh-CN"/>
        </w:rPr>
        <w:t xml:space="preserve">    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  <w:t>作业部经理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eastAsia="zh-CN"/>
        </w:rPr>
        <w:t>：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  <w:t>______________________________</w:t>
      </w:r>
    </w:p>
    <w:p>
      <w:pPr>
        <w:autoSpaceDE w:val="0"/>
        <w:autoSpaceDN w:val="0"/>
        <w:spacing w:before="120" w:after="120" w:line="720" w:lineRule="auto"/>
        <w:ind w:right="-20"/>
        <w:rPr>
          <w:rFonts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eastAsia="zh-CN"/>
        </w:rPr>
      </w:pP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eastAsia="zh-CN"/>
        </w:rPr>
        <w:t xml:space="preserve">    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  <w:t>技术中心经理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eastAsia="zh-CN"/>
        </w:rPr>
        <w:t>：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  <w:t>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15" w:lineRule="auto"/>
        <w:ind w:right="-23" w:firstLine="640" w:firstLineChars="200"/>
        <w:textAlignment w:val="auto"/>
        <w:rPr>
          <w:rFonts w:hint="eastAsia" w:ascii="Arial Unicode MS" w:eastAsia="Arial Unicode MS" w:cs="Arial Unicode MS"/>
          <w:color w:val="auto"/>
          <w:spacing w:val="2"/>
          <w:w w:val="99"/>
          <w:sz w:val="36"/>
          <w:szCs w:val="36"/>
          <w:highlight w:val="none"/>
          <w:lang w:eastAsia="zh-CN"/>
        </w:rPr>
      </w:pPr>
      <w:r>
        <w:rPr>
          <w:rFonts w:hint="eastAsia" w:ascii="Arial Unicode MS" w:eastAsia="Arial Unicode MS" w:cs="Arial Unicode MS"/>
          <w:color w:val="auto"/>
          <w:spacing w:val="2"/>
          <w:w w:val="99"/>
          <w:sz w:val="32"/>
          <w:szCs w:val="32"/>
          <w:highlight w:val="none"/>
          <w:lang w:val="en-US" w:eastAsia="zh-CN"/>
        </w:rPr>
        <w:t>总工/技术主管领导：__________________________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Arial Unicode MS" w:eastAsia="Arial Unicode MS" w:cs="Arial Unicode MS"/>
          <w:color w:val="auto"/>
          <w:spacing w:val="2"/>
          <w:w w:val="99"/>
          <w:sz w:val="36"/>
          <w:szCs w:val="36"/>
          <w:highlight w:val="none"/>
          <w:lang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after="120" w:line="15" w:lineRule="auto"/>
        <w:ind w:right="-23" w:firstLine="562" w:firstLineChars="200"/>
        <w:textAlignment w:val="auto"/>
        <w:rPr>
          <w:rFonts w:hint="eastAsia" w:ascii="Arial Unicode MS" w:eastAsia="Arial Unicode MS" w:cs="Arial Unicode MS"/>
          <w:color w:val="auto"/>
          <w:spacing w:val="2"/>
          <w:w w:val="99"/>
          <w:sz w:val="28"/>
          <w:szCs w:val="28"/>
          <w:highlight w:val="none"/>
          <w:lang w:val="en-US" w:eastAsia="zh-CN"/>
        </w:rPr>
      </w:pPr>
      <w:r>
        <w:rPr>
          <w:rFonts w:hint="eastAsia" w:ascii="Arial Unicode MS" w:eastAsia="Arial Unicode MS" w:cs="Arial Unicode MS"/>
          <w:color w:val="auto"/>
          <w:spacing w:val="2"/>
          <w:w w:val="99"/>
          <w:sz w:val="28"/>
          <w:szCs w:val="28"/>
          <w:highlight w:val="none"/>
          <w:lang w:val="en-US" w:eastAsia="zh-CN"/>
        </w:rPr>
        <w:t>（协议/预算100万元以上单项次）</w:t>
      </w:r>
    </w:p>
    <w:p>
      <w:pPr>
        <w:pStyle w:val="3"/>
        <w:spacing w:before="269" w:after="269" w:line="384" w:lineRule="auto"/>
        <w:ind w:left="12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32"/>
          <w:highlight w:val="none"/>
        </w:rPr>
        <w:t>一、项目概况及总体要求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1.项目概况</w:t>
      </w:r>
    </w:p>
    <w:p>
      <w:pPr>
        <w:tabs>
          <w:tab w:val="left" w:pos="1125"/>
        </w:tabs>
        <w:spacing w:line="360" w:lineRule="auto"/>
        <w:ind w:firstLine="525" w:firstLineChars="250"/>
        <w:rPr>
          <w:rFonts w:ascii="Times New Roman" w:hAnsi="Times New Roman" w:eastAsia="宋体"/>
          <w:color w:val="auto"/>
          <w:sz w:val="21"/>
          <w:szCs w:val="21"/>
          <w:highlight w:val="none"/>
        </w:rPr>
      </w:pP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</w:rPr>
        <w:t>工业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val="en-US" w:eastAsia="zh-CN"/>
        </w:rPr>
        <w:t>防护工程中心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</w:rPr>
        <w:t>（简称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val="en-US" w:eastAsia="zh-CN"/>
        </w:rPr>
        <w:t>工业防护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</w:rPr>
        <w:t>中心）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eastAsia="zh-CN"/>
        </w:rPr>
        <w:t>，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val="en-US" w:eastAsia="zh-CN"/>
        </w:rPr>
        <w:t>主要承揽装备技术公司设施设备运维的工业防护技术服务，细分业务包含设施设备工业清洗、设施设备腐蚀治理、设施设备腐蚀防护、井下管柱维保服务、管缆设施维护治理等。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</w:rPr>
        <w:t>业务涵盖项目的管理与实施、设施设备清洗、工艺系统清洗、大型储罐机械清洗、井下管柱服务、设施设备腐蚀治理、弃置设施清洗封存等，具有丰富的海洋石油生产设施设备施工经验和业绩。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val="en-US" w:eastAsia="zh-CN"/>
        </w:rPr>
        <w:t>服务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</w:rPr>
        <w:t>范围覆盖了油气田开发上、中、下游，服务区域已经覆盖到渤海、东海和中国南海、陆地终端以及国际领域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eastAsia="zh-CN"/>
        </w:rPr>
        <w:t>，</w:t>
      </w: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</w:rPr>
        <w:t>是海上生产保障的主力军。</w:t>
      </w:r>
    </w:p>
    <w:p>
      <w:pPr>
        <w:tabs>
          <w:tab w:val="left" w:pos="1125"/>
        </w:tabs>
        <w:spacing w:line="360" w:lineRule="auto"/>
        <w:ind w:firstLine="525" w:firstLineChars="250"/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val="en-US" w:eastAsia="zh-CN"/>
        </w:rPr>
        <w:t>深圳作业部为提升南海东部海上油田舱室、压力容器内部清洗及腐蚀治理作业施工速质量，计划采购附着力涂层测厚仪2台/套、粗糙度测试仪2台/套。</w:t>
      </w:r>
    </w:p>
    <w:p>
      <w:pPr>
        <w:tabs>
          <w:tab w:val="left" w:pos="1125"/>
        </w:tabs>
        <w:spacing w:line="360" w:lineRule="auto"/>
        <w:ind w:firstLine="525" w:firstLineChars="250"/>
        <w:rPr>
          <w:rFonts w:hint="default" w:ascii="Times New Roman" w:hAnsi="Times New Roman" w:eastAsia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val="en-US" w:eastAsia="zh-CN"/>
        </w:rPr>
        <w:t>腐蚀治理作业部为提升舱室腐蚀治理施工安全及施工质量，需要购置漆膜测厚仪（常规）3台/套、漆膜测厚仪（厚膜）2台/套、粗超度测试仪5台/套。</w:t>
      </w:r>
    </w:p>
    <w:p>
      <w:pPr>
        <w:tabs>
          <w:tab w:val="left" w:pos="1125"/>
        </w:tabs>
        <w:spacing w:line="360" w:lineRule="auto"/>
        <w:ind w:firstLine="525" w:firstLineChars="250"/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color w:val="auto"/>
          <w:sz w:val="21"/>
          <w:szCs w:val="21"/>
          <w:highlight w:val="none"/>
          <w:lang w:val="en-US" w:eastAsia="zh-CN"/>
        </w:rPr>
        <w:t>本次共计划购置生产设备14台/套。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2.采购物资名称</w:t>
      </w:r>
    </w:p>
    <w:p>
      <w:pPr>
        <w:spacing w:before="0" w:after="0" w:line="384" w:lineRule="auto"/>
        <w:ind w:left="360"/>
        <w:jc w:val="left"/>
        <w:rPr>
          <w:rFonts w:hint="default" w:eastAsia="宋体"/>
          <w:highlight w:val="none"/>
          <w:lang w:val="en-US" w:eastAsia="zh-CN"/>
        </w:rPr>
      </w:pP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测厚仪、粗糙度仪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3.主要技术规格</w:t>
      </w:r>
    </w:p>
    <w:p>
      <w:pPr>
        <w:spacing w:before="0" w:after="0" w:line="384" w:lineRule="auto"/>
        <w:ind w:firstLine="240" w:firstLineChars="100"/>
        <w:jc w:val="left"/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 xml:space="preserve"> GB/T 4956-2003《磁性基体上非磁性覆盖层 覆盖层厚度测量  磁性法》</w:t>
      </w:r>
    </w:p>
    <w:p>
      <w:pPr>
        <w:spacing w:before="0" w:after="0" w:line="384" w:lineRule="auto"/>
        <w:ind w:left="360"/>
        <w:jc w:val="left"/>
        <w:rPr>
          <w:rFonts w:hint="default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GB/T 4957-2003 《非磁性基体金属上非导电覆盖层 覆盖层厚度测量  涡流法&gt;</w:t>
      </w:r>
    </w:p>
    <w:p>
      <w:pPr>
        <w:spacing w:before="0" w:after="0" w:line="384" w:lineRule="auto"/>
        <w:ind w:left="360"/>
        <w:jc w:val="left"/>
        <w:rPr>
          <w:rFonts w:hint="default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GB/T 6062-2009 《产品几何技术规范（GPS）表面结构 轮廓法 接触（触针）式仪器的标称特性》</w:t>
      </w:r>
    </w:p>
    <w:p>
      <w:pPr>
        <w:spacing w:before="0" w:after="0" w:line="384" w:lineRule="auto"/>
        <w:ind w:left="360"/>
        <w:jc w:val="left"/>
        <w:rPr>
          <w:rFonts w:hint="default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GB/T 18618-2009 《产品几何技术规范（GPS）表面结构 轮廓法 图形参数》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4.数量</w:t>
      </w:r>
    </w:p>
    <w:p>
      <w:pPr>
        <w:spacing w:before="0" w:after="0" w:line="384" w:lineRule="auto"/>
        <w:ind w:left="360"/>
        <w:jc w:val="left"/>
        <w:rPr>
          <w:highlight w:val="none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14</w:t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5.交货地点</w:t>
      </w:r>
    </w:p>
    <w:p>
      <w:pPr>
        <w:spacing w:before="0" w:after="0" w:line="384" w:lineRule="auto"/>
        <w:ind w:left="360"/>
        <w:jc w:val="left"/>
        <w:rPr>
          <w:rFonts w:hint="eastAsia" w:eastAsia="宋体"/>
          <w:highlight w:val="none"/>
          <w:lang w:eastAsia="zh-CN"/>
        </w:rPr>
      </w:pP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天津市滨海新区装备工业防护工程中心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库房</w:t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eastAsia="zh-CN"/>
        </w:rPr>
        <w:t>、</w:t>
      </w:r>
      <w:r>
        <w:rPr>
          <w:rFonts w:hint="eastAsia" w:ascii="宋体" w:hAnsi="微软雅黑" w:eastAsia="宋体" w:cs="宋体"/>
          <w:b w:val="0"/>
          <w:i w:val="0"/>
          <w:color w:val="000000"/>
          <w:sz w:val="24"/>
          <w:highlight w:val="none"/>
          <w:lang w:val="en-US" w:eastAsia="zh-CN"/>
        </w:rPr>
        <w:t>惠州市大亚湾石化区场地</w:t>
      </w:r>
    </w:p>
    <w:p>
      <w:pPr>
        <w:spacing w:before="0" w:after="0" w:line="384" w:lineRule="auto"/>
        <w:ind w:left="120"/>
        <w:jc w:val="left"/>
        <w:rPr>
          <w:highlight w:val="none"/>
        </w:rPr>
      </w:pP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</w:t>
      </w: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6.交货期</w:t>
      </w:r>
    </w:p>
    <w:p>
      <w:pPr>
        <w:spacing w:before="0" w:after="0" w:line="384" w:lineRule="auto"/>
        <w:ind w:left="360"/>
        <w:jc w:val="left"/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</w:pP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合同签订后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60</w:t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>天内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>。</w:t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</w:t>
      </w:r>
    </w:p>
    <w:p>
      <w:pPr>
        <w:pStyle w:val="3"/>
        <w:spacing w:before="269" w:after="269" w:line="384" w:lineRule="auto"/>
        <w:ind w:left="12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32"/>
          <w:highlight w:val="none"/>
        </w:rPr>
        <w:t>二、需求一览表</w:t>
      </w:r>
    </w:p>
    <w:tbl>
      <w:tblPr>
        <w:tblStyle w:val="8"/>
        <w:tblpPr w:leftFromText="180" w:rightFromText="180" w:vertAnchor="text" w:horzAnchor="page" w:tblpX="1369" w:tblpY="892"/>
        <w:tblOverlap w:val="never"/>
        <w:tblW w:w="9915" w:type="dxa"/>
        <w:tblCellSpacing w:w="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1209"/>
        <w:gridCol w:w="1125"/>
        <w:gridCol w:w="1245"/>
        <w:gridCol w:w="1545"/>
        <w:gridCol w:w="737"/>
        <w:gridCol w:w="1305"/>
        <w:gridCol w:w="1753"/>
        <w:gridCol w:w="4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tblCellSpacing w:w="0" w:type="dxa"/>
        </w:trPr>
        <w:tc>
          <w:tcPr>
            <w:tcW w:w="5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right"/>
              <w:rPr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序​号​</w:t>
            </w:r>
          </w:p>
        </w:tc>
        <w:tc>
          <w:tcPr>
            <w:tcW w:w="12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物资​</w:t>
            </w:r>
          </w:p>
          <w:p>
            <w:pPr>
              <w:spacing w:before="0" w:after="0" w:line="384" w:lineRule="auto"/>
              <w:ind w:left="0"/>
              <w:jc w:val="left"/>
              <w:rPr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名称​</w:t>
            </w:r>
          </w:p>
        </w:tc>
        <w:tc>
          <w:tcPr>
            <w:tcW w:w="11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 w:firstLine="340" w:firstLineChars="0"/>
              <w:jc w:val="left"/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小类</w:t>
            </w:r>
          </w:p>
          <w:p>
            <w:pPr>
              <w:spacing w:before="0" w:after="0" w:line="384" w:lineRule="auto"/>
              <w:ind w:left="0" w:firstLine="340" w:firstLineChars="0"/>
              <w:jc w:val="left"/>
              <w:rPr>
                <w:rFonts w:hint="default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编码</w:t>
            </w:r>
          </w:p>
        </w:tc>
        <w:tc>
          <w:tcPr>
            <w:tcW w:w="1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物资</w:t>
            </w:r>
          </w:p>
          <w:p>
            <w:pPr>
              <w:spacing w:before="0" w:after="0" w:line="384" w:lineRule="auto"/>
              <w:ind w:left="0"/>
              <w:jc w:val="left"/>
              <w:rPr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编码​</w:t>
            </w:r>
          </w:p>
        </w:tc>
        <w:tc>
          <w:tcPr>
            <w:tcW w:w="15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规格</w:t>
            </w:r>
          </w:p>
          <w:p>
            <w:pPr>
              <w:spacing w:before="0" w:after="0" w:line="384" w:lineRule="auto"/>
              <w:ind w:left="0"/>
              <w:jc w:val="left"/>
              <w:rPr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型号​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数量及单位​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交货期​</w:t>
            </w:r>
          </w:p>
        </w:tc>
        <w:tc>
          <w:tcPr>
            <w:tcW w:w="17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交货</w:t>
            </w:r>
          </w:p>
          <w:p>
            <w:pPr>
              <w:spacing w:before="0" w:after="0" w:line="384" w:lineRule="auto"/>
              <w:ind w:left="0"/>
              <w:jc w:val="left"/>
              <w:rPr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地点​</w:t>
            </w:r>
          </w:p>
        </w:tc>
        <w:tc>
          <w:tcPr>
            <w:tcW w:w="4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备</w:t>
            </w:r>
          </w:p>
          <w:p>
            <w:pPr>
              <w:spacing w:before="0" w:after="0" w:line="384" w:lineRule="auto"/>
              <w:ind w:left="0"/>
              <w:jc w:val="left"/>
              <w:rPr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注​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tblCellSpacing w:w="0" w:type="dxa"/>
        </w:trPr>
        <w:tc>
          <w:tcPr>
            <w:tcW w:w="5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12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tabs>
                <w:tab w:val="left" w:pos="1125"/>
              </w:tabs>
              <w:spacing w:line="360" w:lineRule="auto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漆膜测厚仪（常规）</w:t>
            </w:r>
          </w:p>
        </w:tc>
        <w:tc>
          <w:tcPr>
            <w:tcW w:w="11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  <w:t>A402534</w:t>
            </w:r>
          </w:p>
        </w:tc>
        <w:tc>
          <w:tcPr>
            <w:tcW w:w="1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  <w:t>99999999</w:t>
            </w:r>
          </w:p>
        </w:tc>
        <w:tc>
          <w:tcPr>
            <w:tcW w:w="15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tabs>
                <w:tab w:val="left" w:pos="1125"/>
              </w:tabs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涂层测厚仪\0～6mm\0.03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hint="default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3件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合同签订后</w:t>
            </w:r>
          </w:p>
          <w:p>
            <w:pPr>
              <w:spacing w:before="0" w:after="0" w:line="384" w:lineRule="auto"/>
              <w:ind w:left="0"/>
              <w:jc w:val="left"/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60</w:t>
            </w: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天内​</w:t>
            </w:r>
          </w:p>
        </w:tc>
        <w:tc>
          <w:tcPr>
            <w:tcW w:w="17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天津市滨海新区石油新村装备工业防护工程中心</w:t>
            </w:r>
          </w:p>
        </w:tc>
        <w:tc>
          <w:tcPr>
            <w:tcW w:w="4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tblCellSpacing w:w="0" w:type="dxa"/>
        </w:trPr>
        <w:tc>
          <w:tcPr>
            <w:tcW w:w="5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hint="default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12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tabs>
                <w:tab w:val="left" w:pos="1125"/>
              </w:tabs>
              <w:spacing w:line="360" w:lineRule="auto"/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涂层测厚仪</w:t>
            </w:r>
          </w:p>
        </w:tc>
        <w:tc>
          <w:tcPr>
            <w:tcW w:w="11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  <w:t>A402534</w:t>
            </w:r>
          </w:p>
        </w:tc>
        <w:tc>
          <w:tcPr>
            <w:tcW w:w="1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  <w:t>99999999</w:t>
            </w:r>
          </w:p>
        </w:tc>
        <w:tc>
          <w:tcPr>
            <w:tcW w:w="15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tabs>
                <w:tab w:val="left" w:pos="1125"/>
              </w:tabs>
              <w:spacing w:line="360" w:lineRule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涂层测厚仪\0～6mm\0.03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2件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合同签订后</w:t>
            </w:r>
          </w:p>
          <w:p>
            <w:pPr>
              <w:spacing w:before="0" w:after="0" w:line="384" w:lineRule="auto"/>
              <w:ind w:left="0"/>
              <w:jc w:val="left"/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60</w:t>
            </w: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天内​</w:t>
            </w:r>
          </w:p>
        </w:tc>
        <w:tc>
          <w:tcPr>
            <w:tcW w:w="17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惠州市大亚湾石化区场地</w:t>
            </w:r>
          </w:p>
        </w:tc>
        <w:tc>
          <w:tcPr>
            <w:tcW w:w="4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tblCellSpacing w:w="0" w:type="dxa"/>
        </w:trPr>
        <w:tc>
          <w:tcPr>
            <w:tcW w:w="5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12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tabs>
                <w:tab w:val="left" w:pos="1125"/>
              </w:tabs>
              <w:spacing w:line="360" w:lineRule="auto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漆膜测厚仪（厚膜）</w:t>
            </w:r>
          </w:p>
        </w:tc>
        <w:tc>
          <w:tcPr>
            <w:tcW w:w="11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  <w:t>A402534</w:t>
            </w:r>
          </w:p>
        </w:tc>
        <w:tc>
          <w:tcPr>
            <w:tcW w:w="1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  <w:t>99999999</w:t>
            </w:r>
          </w:p>
        </w:tc>
        <w:tc>
          <w:tcPr>
            <w:tcW w:w="15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tabs>
                <w:tab w:val="left" w:pos="1125"/>
              </w:tabs>
              <w:spacing w:line="360" w:lineRule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涂层测厚仪\0～31mm\0.01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2件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合同签订后</w:t>
            </w:r>
          </w:p>
          <w:p>
            <w:pPr>
              <w:spacing w:before="0" w:after="0" w:line="384" w:lineRule="auto"/>
              <w:ind w:left="0"/>
              <w:jc w:val="left"/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60</w:t>
            </w: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天内​</w:t>
            </w:r>
          </w:p>
        </w:tc>
        <w:tc>
          <w:tcPr>
            <w:tcW w:w="17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天津市滨海新区石油新村装备工业防护工程中心</w:t>
            </w:r>
          </w:p>
        </w:tc>
        <w:tc>
          <w:tcPr>
            <w:tcW w:w="4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tblCellSpacing w:w="0" w:type="dxa"/>
        </w:trPr>
        <w:tc>
          <w:tcPr>
            <w:tcW w:w="5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12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tabs>
                <w:tab w:val="left" w:pos="1125"/>
              </w:tabs>
              <w:spacing w:line="360" w:lineRule="auto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粗糙度测试仪</w:t>
            </w:r>
          </w:p>
        </w:tc>
        <w:tc>
          <w:tcPr>
            <w:tcW w:w="11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tabs>
                <w:tab w:val="left" w:pos="1125"/>
              </w:tabs>
              <w:spacing w:line="360" w:lineRule="auto"/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  <w:t>A402526</w:t>
            </w:r>
          </w:p>
        </w:tc>
        <w:tc>
          <w:tcPr>
            <w:tcW w:w="1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tabs>
                <w:tab w:val="left" w:pos="1125"/>
              </w:tabs>
              <w:spacing w:line="360" w:lineRule="auto"/>
              <w:rPr>
                <w:rFonts w:hint="default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  <w:t>99999999</w:t>
            </w:r>
          </w:p>
        </w:tc>
        <w:tc>
          <w:tcPr>
            <w:tcW w:w="15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tabs>
                <w:tab w:val="left" w:pos="1125"/>
              </w:tabs>
              <w:spacing w:line="360" w:lineRule="auto"/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z w:val="21"/>
                <w:szCs w:val="21"/>
                <w:highlight w:val="none"/>
                <w:lang w:val="en-US" w:eastAsia="zh-CN"/>
              </w:rPr>
              <w:t>​</w:t>
            </w:r>
          </w:p>
          <w:p>
            <w:pPr>
              <w:tabs>
                <w:tab w:val="left" w:pos="1125"/>
              </w:tabs>
              <w:spacing w:line="360" w:lineRule="auto"/>
              <w:rPr>
                <w:rFonts w:hint="eastAsia" w:ascii="Times New Roman" w:hAnsi="Times New Roman" w:eastAsia="微软雅黑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粗糙度仪\0～500μm\0.06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highlight w:val="none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7件</w:t>
            </w: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​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合同签订后</w:t>
            </w:r>
          </w:p>
          <w:p>
            <w:pPr>
              <w:spacing w:before="0" w:after="0" w:line="384" w:lineRule="auto"/>
              <w:ind w:left="0"/>
              <w:jc w:val="left"/>
              <w:rPr>
                <w:highlight w:val="none"/>
              </w:rPr>
            </w:pP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60</w:t>
            </w: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天内​</w:t>
            </w:r>
          </w:p>
        </w:tc>
        <w:tc>
          <w:tcPr>
            <w:tcW w:w="17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before="0" w:after="0" w:line="384" w:lineRule="auto"/>
              <w:ind w:left="0"/>
              <w:jc w:val="left"/>
              <w:rPr>
                <w:highlight w:val="none"/>
              </w:rPr>
            </w:pPr>
            <w:r>
              <w:rPr>
                <w:rFonts w:ascii="宋体" w:hAnsi="微软雅黑" w:eastAsia="宋体" w:cs="宋体"/>
                <w:b w:val="0"/>
                <w:i w:val="0"/>
                <w:color w:val="000000"/>
                <w:sz w:val="24"/>
                <w:highlight w:val="none"/>
              </w:rPr>
              <w:t>天津市滨海新区</w:t>
            </w:r>
            <w:r>
              <w:rPr>
                <w:rFonts w:hint="eastAsia" w:ascii="宋体" w:hAnsi="微软雅黑" w:eastAsia="宋体" w:cs="宋体"/>
                <w:b w:val="0"/>
                <w:i w:val="0"/>
                <w:color w:val="000000"/>
                <w:sz w:val="24"/>
                <w:highlight w:val="none"/>
                <w:lang w:val="en-US" w:eastAsia="zh-CN"/>
              </w:rPr>
              <w:t>工业防护工程中心5台，惠州市大亚湾石化区场地2台</w:t>
            </w:r>
          </w:p>
        </w:tc>
        <w:tc>
          <w:tcPr>
            <w:tcW w:w="4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rPr>
                <w:highlight w:val="none"/>
              </w:rPr>
            </w:pPr>
          </w:p>
        </w:tc>
      </w:tr>
    </w:tbl>
    <w:p>
      <w:pPr>
        <w:spacing w:before="0" w:after="0" w:line="384" w:lineRule="auto"/>
        <w:ind w:left="120"/>
        <w:jc w:val="left"/>
        <w:rPr>
          <w:highlight w:val="none"/>
        </w:rPr>
      </w:pPr>
      <w:r>
        <w:rPr>
          <w:rFonts w:ascii="宋体" w:hAnsi="宋体" w:eastAsia="宋体" w:cs="宋体"/>
          <w:highlight w:val="none"/>
        </w:rPr>
        <w:br w:type="textWrapping"/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</w:t>
      </w:r>
      <w:r>
        <w:rPr>
          <w:rFonts w:ascii="宋体" w:hAnsi="宋体" w:eastAsia="宋体" w:cs="宋体"/>
          <w:b/>
          <w:i w:val="0"/>
          <w:color w:val="000000"/>
          <w:sz w:val="32"/>
          <w:highlight w:val="none"/>
        </w:rPr>
        <w:t>三、执行标准/规范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1.引用标准名称和编号如下:</w:t>
      </w:r>
    </w:p>
    <w:p>
      <w:pPr>
        <w:spacing w:before="0" w:after="0" w:line="384" w:lineRule="auto"/>
        <w:ind w:firstLine="240" w:firstLineChars="100"/>
        <w:jc w:val="left"/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 xml:space="preserve"> GB/T 4956-2003《磁性基体上非磁性覆盖层 覆盖层厚度测量  磁性法》</w:t>
      </w:r>
    </w:p>
    <w:p>
      <w:pPr>
        <w:spacing w:before="0" w:after="0" w:line="384" w:lineRule="auto"/>
        <w:ind w:left="360"/>
        <w:jc w:val="left"/>
        <w:rPr>
          <w:rFonts w:hint="default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GB/T 4957-2003 《非磁性基体金属上非导电覆盖层 覆盖层厚度测量  涡流法&gt;</w:t>
      </w:r>
    </w:p>
    <w:p>
      <w:pPr>
        <w:spacing w:before="0" w:after="0" w:line="384" w:lineRule="auto"/>
        <w:ind w:left="360"/>
        <w:jc w:val="left"/>
        <w:rPr>
          <w:rFonts w:hint="default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GB/T 6062-2009 《产品几何技术规范（GPS）表面结构 轮廓法 接触（触针）式仪器的标称特性》</w:t>
      </w:r>
    </w:p>
    <w:p>
      <w:pPr>
        <w:spacing w:before="0" w:after="0" w:line="384" w:lineRule="auto"/>
        <w:ind w:left="360"/>
        <w:jc w:val="left"/>
        <w:rPr>
          <w:rFonts w:hint="default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GB/T 18618-2009 《产品几何技术规范（GPS）表面结构 轮廓法 图形参数》</w:t>
      </w:r>
    </w:p>
    <w:p>
      <w:pPr>
        <w:pStyle w:val="3"/>
        <w:spacing w:before="269" w:after="269" w:line="384" w:lineRule="auto"/>
        <w:ind w:left="12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32"/>
          <w:highlight w:val="none"/>
        </w:rPr>
        <w:t>四、技术要求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1.技术参数</w:t>
      </w:r>
    </w:p>
    <w:p>
      <w:pPr>
        <w:spacing w:before="0" w:after="0" w:line="384" w:lineRule="auto"/>
        <w:jc w:val="left"/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（1）漆膜测厚仪（常规）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投标产品应满足如下要求：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1.)本设备完全引用GB/T4956-2003、GB/T4957-2003。 仪器的校准应满足GB/T4956-2003  5.2的全部内容和GB/T4957-2003第5部分全部内容。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2.）投标产品</w:t>
      </w:r>
      <w:r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无需外接电源，可用于任何场所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3.）★投标产品测量量程应满足0-6000μm。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4.）★投标产品示值误差应小于±3%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5.）投标产品适用于铁基底与非铁基底铁铝两用探头。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6.）投标产品具有IP65等级防护外壳，满足防水防尘要求。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7.）投标产品出厂须有原装保护箱存放。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8.）设备质保期1年，自交货之日起1年内出现故障应更换。提供技术资料：产品合格证、使用说明书、标定（检测）证书，以上资料均需每套设备1份。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（2）涂层测厚仪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1.)本设备完全引用GB/T4956-2003、GB/T4957-2003。 仪器的校准应满足GB/T4956-2003  5.2的全部内容和GB/T4957-2003第5部分全部内容。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2.）投标产品</w:t>
      </w:r>
      <w:r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无需外接电源，可用于任何场所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3.）★投标产品测量量程应满足0-6000μm。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4.）★投标产品示值误差应小于±3%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5.）投标产品适用于铁基底与非铁基底铁铝两用探头。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6.）投标产品具有IP65等级防护外壳，满足防水防尘要求。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7.）投标产品出厂须有原装保护箱存放。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8.）设备质保期1年，自交货之日起1年内出现故障应更换。提供技术资料：产品合格证、使用说明书、标定（检测）证书，以上资料均需每套设备1份。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（3）漆膜测厚仪（厚膜）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1.)本设备完全引用GB/T4956-2003、GB/T4957-2003。 仪器的校准应满足GB/T4956-2003  5.2的全部内容和GB/T4957-2003第5部分全部内容。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2.）投标产品</w:t>
      </w:r>
      <w:r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无需外接电源，可用于任何场所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3.）★投标产品测量量程应满足0-31000μm。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4.）★投标产品示值误差应小于±1%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5.）投标产品适用于铁基底与非铁基底铁铝两用探头。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6.）投标产品具有IP64等级防护外壳，满足防水防尘要求。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7.）投标产品出厂须有原装保护箱存放。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8.）设备质保期1年，自交货之日起1年内出现故障应更换。提供技术资料：产品合格证、使用说明书、标定（检测）证书，以上资料均需每套设备1份。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 xml:space="preserve">（4）粗糙度测试仪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1.）本设备部分引用GB/T 6062-2009、GB/T18618-2009。 设备试验测试方法满GB/T 6062-2009、GB/T18618-2009第4部分的要求。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2.）投标产品</w:t>
      </w:r>
      <w:r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无需外接电源，可用于任何场所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3.）投标产品测量范围最少满足0μm-500μm。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4.）投标产品示值误差应小于±6%。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5.）投标产品支持大屏整面、弧面、其他特殊工件表面。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6.）投标产品针尖半径需小于等于50μm。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7.)投标产品出厂须有原装保护箱存放。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0"/>
          <w:highlight w:val="none"/>
          <w:lang w:val="en-US" w:eastAsia="zh-CN" w:bidi="ar-SA"/>
        </w:rPr>
        <w:t>8.)设备质保期1年，自交货之日起1年内出现故障应更换。提供技术资料：产品合格证、使用说明书、标定（检测）证书，以上资料均需每套设备1份。</w:t>
      </w:r>
    </w:p>
    <w:p>
      <w:pPr>
        <w:pStyle w:val="3"/>
        <w:spacing w:before="269" w:after="269" w:line="384" w:lineRule="auto"/>
        <w:ind w:left="12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32"/>
          <w:highlight w:val="none"/>
        </w:rPr>
        <w:t>五、标识、包装、运输和存储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1.产品标识</w:t>
      </w:r>
    </w:p>
    <w:p>
      <w:pPr>
        <w:spacing w:before="0" w:after="0" w:line="384" w:lineRule="auto"/>
        <w:ind w:left="360"/>
        <w:jc w:val="left"/>
        <w:rPr>
          <w:highlight w:val="none"/>
        </w:rPr>
      </w:pP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标识要求包含产品名称、规格型号、生产商名称。设备铭牌要求，包含设备编号、名称、型号、制造日期等内容以及主要参数。 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2.产品包装</w:t>
      </w:r>
    </w:p>
    <w:p>
      <w:pPr>
        <w:spacing w:before="0" w:after="0" w:line="384" w:lineRule="auto"/>
        <w:ind w:left="360"/>
        <w:jc w:val="left"/>
        <w:rPr>
          <w:highlight w:val="none"/>
        </w:rPr>
      </w:pP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根据材质及尺寸不同应分开包装，包装粘贴发货清单，包括产品名称、型号、数量等。 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3.产品运输</w:t>
      </w:r>
    </w:p>
    <w:p>
      <w:pPr>
        <w:spacing w:before="0" w:after="0" w:line="384" w:lineRule="auto"/>
        <w:ind w:left="360"/>
        <w:jc w:val="left"/>
        <w:rPr>
          <w:highlight w:val="none"/>
        </w:rPr>
      </w:pP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汽运 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4.产品存储</w:t>
      </w:r>
    </w:p>
    <w:p>
      <w:pPr>
        <w:spacing w:before="0" w:after="0" w:line="384" w:lineRule="auto"/>
        <w:ind w:left="360"/>
        <w:jc w:val="left"/>
        <w:rPr>
          <w:highlight w:val="none"/>
        </w:rPr>
      </w:pP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储存温度：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-40</w:t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>~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60</w:t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>℃；储存湿度: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10</w:t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>~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90</w:t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%RH。 </w:t>
      </w:r>
    </w:p>
    <w:p>
      <w:pPr>
        <w:pStyle w:val="3"/>
        <w:spacing w:before="269" w:after="269" w:line="384" w:lineRule="auto"/>
        <w:ind w:left="12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32"/>
          <w:highlight w:val="none"/>
        </w:rPr>
        <w:t>六、技术文件</w:t>
      </w:r>
    </w:p>
    <w:p>
      <w:pPr>
        <w:spacing w:before="269" w:after="269" w:line="257" w:lineRule="auto"/>
        <w:ind w:left="120"/>
        <w:jc w:val="left"/>
        <w:rPr>
          <w:rFonts w:ascii="宋体" w:hAnsi="宋体" w:eastAsia="宋体" w:cs="宋体"/>
          <w:b w:val="0"/>
          <w:i w:val="0"/>
          <w:color w:val="000000"/>
          <w:sz w:val="21"/>
          <w:highlight w:val="none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  <w:highlight w:val="none"/>
        </w:rPr>
        <w:t>1．技术联络与响应，卖方在接到买方通知24小时内给予答复，48小时到达</w:t>
      </w:r>
      <w:r>
        <w:rPr>
          <w:rFonts w:hint="eastAsia" w:ascii="宋体" w:hAnsi="宋体" w:eastAsia="宋体" w:cs="宋体"/>
          <w:b w:val="0"/>
          <w:i w:val="0"/>
          <w:color w:val="000000"/>
          <w:sz w:val="21"/>
          <w:highlight w:val="none"/>
          <w:lang w:val="en-US" w:eastAsia="zh-CN"/>
        </w:rPr>
        <w:t>送货现场：工业防护工程中心、惠州市大亚湾石化区场地</w:t>
      </w:r>
      <w:r>
        <w:rPr>
          <w:rFonts w:ascii="宋体" w:hAnsi="宋体" w:eastAsia="宋体" w:cs="宋体"/>
          <w:b w:val="0"/>
          <w:i w:val="0"/>
          <w:color w:val="000000"/>
          <w:sz w:val="21"/>
          <w:highlight w:val="none"/>
        </w:rPr>
        <w:t>。</w:t>
      </w:r>
    </w:p>
    <w:p>
      <w:pPr>
        <w:spacing w:before="269" w:after="269" w:line="257" w:lineRule="auto"/>
        <w:ind w:left="120"/>
        <w:jc w:val="left"/>
        <w:rPr>
          <w:rFonts w:hint="default" w:ascii="宋体" w:hAnsi="宋体" w:eastAsia="宋体" w:cs="宋体"/>
          <w:b w:val="0"/>
          <w:i w:val="0"/>
          <w:color w:val="000000"/>
          <w:sz w:val="21"/>
          <w:highlight w:val="none"/>
          <w:lang w:val="en-US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  <w:highlight w:val="none"/>
        </w:rPr>
        <w:t>2．产品交付验收合格后提供技术文件包含：产品合格证、产品说明书、</w:t>
      </w:r>
      <w:r>
        <w:rPr>
          <w:rFonts w:hint="eastAsia" w:ascii="宋体" w:hAnsi="宋体" w:eastAsia="宋体" w:cs="宋体"/>
          <w:b w:val="0"/>
          <w:i w:val="0"/>
          <w:color w:val="000000"/>
          <w:sz w:val="21"/>
          <w:highlight w:val="none"/>
          <w:lang w:val="en-US" w:eastAsia="zh-CN"/>
        </w:rPr>
        <w:t>使用说明书、标定（检测）证书。</w:t>
      </w:r>
    </w:p>
    <w:p>
      <w:pPr>
        <w:pStyle w:val="3"/>
        <w:spacing w:before="269" w:after="269" w:line="384" w:lineRule="auto"/>
        <w:ind w:left="12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32"/>
          <w:highlight w:val="none"/>
        </w:rPr>
        <w:t>七、工作进度、监造和现场验收</w:t>
      </w:r>
    </w:p>
    <w:p>
      <w:pPr>
        <w:spacing w:before="269" w:after="269" w:line="384" w:lineRule="auto"/>
        <w:ind w:left="300"/>
        <w:jc w:val="left"/>
        <w:rPr>
          <w:highlight w:val="none"/>
        </w:rPr>
      </w:pPr>
      <w:r>
        <w:rPr>
          <w:rFonts w:ascii="宋体" w:hAnsi="宋体" w:eastAsia="宋体" w:cs="宋体"/>
          <w:b/>
          <w:i w:val="0"/>
          <w:color w:val="000000"/>
          <w:sz w:val="26"/>
          <w:highlight w:val="none"/>
        </w:rPr>
        <w:t>1.产品验收要求</w:t>
      </w:r>
    </w:p>
    <w:p>
      <w:pPr>
        <w:spacing w:before="0" w:after="0" w:line="384" w:lineRule="auto"/>
        <w:ind w:left="360"/>
        <w:jc w:val="left"/>
        <w:rPr>
          <w:highlight w:val="none"/>
        </w:rPr>
      </w:pP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合同签订后</w:t>
      </w:r>
      <w:r>
        <w:rPr>
          <w:rFonts w:hint="eastAsia" w:ascii="宋体" w:hAnsi="宋体" w:eastAsia="宋体" w:cs="宋体"/>
          <w:b w:val="0"/>
          <w:i w:val="0"/>
          <w:color w:val="000000"/>
          <w:sz w:val="24"/>
          <w:highlight w:val="none"/>
          <w:lang w:val="en-US" w:eastAsia="zh-CN"/>
        </w:rPr>
        <w:t>60</w:t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天内到货，到货验收不合格，无条件退货。 </w:t>
      </w:r>
    </w:p>
    <w:p>
      <w:pPr>
        <w:spacing w:before="0" w:after="0" w:line="384" w:lineRule="auto"/>
        <w:jc w:val="left"/>
        <w:rPr>
          <w:highlight w:val="none"/>
        </w:rPr>
      </w:pPr>
      <w:bookmarkStart w:id="0" w:name="_GoBack"/>
      <w:bookmarkEnd w:id="0"/>
      <w:r>
        <w:rPr>
          <w:rFonts w:ascii="宋体" w:hAnsi="宋体" w:eastAsia="宋体" w:cs="宋体"/>
          <w:highlight w:val="none"/>
        </w:rPr>
        <w:br w:type="textWrapping"/>
      </w:r>
      <w:r>
        <w:rPr>
          <w:rFonts w:ascii="宋体" w:hAnsi="宋体" w:eastAsia="宋体" w:cs="宋体"/>
          <w:b w:val="0"/>
          <w:i w:val="0"/>
          <w:color w:val="000000"/>
          <w:sz w:val="24"/>
          <w:highlight w:val="none"/>
        </w:rPr>
        <w:t xml:space="preserve"> </w:t>
      </w:r>
    </w:p>
    <w:p>
      <w:pPr>
        <w:numPr>
          <w:ilvl w:val="0"/>
          <w:numId w:val="0"/>
        </w:num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7F" w:usb3="00000000" w:csb0="203F01FF" w:csb1="D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77200"/>
    <w:rsid w:val="00336663"/>
    <w:rsid w:val="00897072"/>
    <w:rsid w:val="012A136D"/>
    <w:rsid w:val="013F7A9A"/>
    <w:rsid w:val="015C2B0C"/>
    <w:rsid w:val="017017B5"/>
    <w:rsid w:val="017C1D4E"/>
    <w:rsid w:val="019571A4"/>
    <w:rsid w:val="01975F2A"/>
    <w:rsid w:val="01CF1907"/>
    <w:rsid w:val="01F81447"/>
    <w:rsid w:val="02125874"/>
    <w:rsid w:val="02246E13"/>
    <w:rsid w:val="024378BF"/>
    <w:rsid w:val="036803A4"/>
    <w:rsid w:val="038B3DDC"/>
    <w:rsid w:val="03F902A5"/>
    <w:rsid w:val="042848D4"/>
    <w:rsid w:val="056D5499"/>
    <w:rsid w:val="059F10DD"/>
    <w:rsid w:val="05FD5DDE"/>
    <w:rsid w:val="06301A67"/>
    <w:rsid w:val="06930341"/>
    <w:rsid w:val="069A31C5"/>
    <w:rsid w:val="06D11BA3"/>
    <w:rsid w:val="06D14EBD"/>
    <w:rsid w:val="06E22BD9"/>
    <w:rsid w:val="074C4807"/>
    <w:rsid w:val="07576C98"/>
    <w:rsid w:val="07B553B3"/>
    <w:rsid w:val="08036534"/>
    <w:rsid w:val="0828546F"/>
    <w:rsid w:val="082E144A"/>
    <w:rsid w:val="088E0696"/>
    <w:rsid w:val="08B408D6"/>
    <w:rsid w:val="08C2566D"/>
    <w:rsid w:val="09DF25C2"/>
    <w:rsid w:val="09F46CE4"/>
    <w:rsid w:val="0A0D1E0C"/>
    <w:rsid w:val="0A583185"/>
    <w:rsid w:val="0A9917C4"/>
    <w:rsid w:val="0AEB5F77"/>
    <w:rsid w:val="0B280657"/>
    <w:rsid w:val="0B51119F"/>
    <w:rsid w:val="0BA01EE2"/>
    <w:rsid w:val="0BFE4B3A"/>
    <w:rsid w:val="0C8E2094"/>
    <w:rsid w:val="0CE748BF"/>
    <w:rsid w:val="0D116417"/>
    <w:rsid w:val="0D4912D9"/>
    <w:rsid w:val="0D647905"/>
    <w:rsid w:val="0E4208C1"/>
    <w:rsid w:val="0E864564"/>
    <w:rsid w:val="0E922575"/>
    <w:rsid w:val="0EEA2E73"/>
    <w:rsid w:val="0F1A3753"/>
    <w:rsid w:val="0F6428CD"/>
    <w:rsid w:val="0FE75EA3"/>
    <w:rsid w:val="109E7152"/>
    <w:rsid w:val="10C2608D"/>
    <w:rsid w:val="1114630A"/>
    <w:rsid w:val="11205004"/>
    <w:rsid w:val="112E585D"/>
    <w:rsid w:val="11F0327C"/>
    <w:rsid w:val="11F93B8B"/>
    <w:rsid w:val="12B94EC3"/>
    <w:rsid w:val="12E75305"/>
    <w:rsid w:val="13430DBE"/>
    <w:rsid w:val="136D082B"/>
    <w:rsid w:val="136F116E"/>
    <w:rsid w:val="137E23C0"/>
    <w:rsid w:val="139E496D"/>
    <w:rsid w:val="147C16AC"/>
    <w:rsid w:val="14B33D84"/>
    <w:rsid w:val="14E05B4D"/>
    <w:rsid w:val="1539643C"/>
    <w:rsid w:val="16B77F90"/>
    <w:rsid w:val="17203D70"/>
    <w:rsid w:val="17411E34"/>
    <w:rsid w:val="17B018A1"/>
    <w:rsid w:val="17CA5F63"/>
    <w:rsid w:val="17FC2567"/>
    <w:rsid w:val="18186614"/>
    <w:rsid w:val="183E6268"/>
    <w:rsid w:val="18912A5B"/>
    <w:rsid w:val="18B10D91"/>
    <w:rsid w:val="1A84594F"/>
    <w:rsid w:val="1AA23F12"/>
    <w:rsid w:val="1AB363E6"/>
    <w:rsid w:val="1AE47A2C"/>
    <w:rsid w:val="1B1E2F5A"/>
    <w:rsid w:val="1B9133C8"/>
    <w:rsid w:val="1B9C71DA"/>
    <w:rsid w:val="1BF530EC"/>
    <w:rsid w:val="1C1E2582"/>
    <w:rsid w:val="1C2A5B45"/>
    <w:rsid w:val="1C60279C"/>
    <w:rsid w:val="1C864BDA"/>
    <w:rsid w:val="1CB86B02"/>
    <w:rsid w:val="1CCD26AD"/>
    <w:rsid w:val="1CF56512"/>
    <w:rsid w:val="1D474DEC"/>
    <w:rsid w:val="1DF50633"/>
    <w:rsid w:val="1E2C4126"/>
    <w:rsid w:val="1E6D744B"/>
    <w:rsid w:val="1EF43B84"/>
    <w:rsid w:val="1F2F70B6"/>
    <w:rsid w:val="1F600A03"/>
    <w:rsid w:val="1FBB471C"/>
    <w:rsid w:val="202C5CD5"/>
    <w:rsid w:val="203E4CF5"/>
    <w:rsid w:val="20412C66"/>
    <w:rsid w:val="205A0DA2"/>
    <w:rsid w:val="20C96E58"/>
    <w:rsid w:val="20D35459"/>
    <w:rsid w:val="21477726"/>
    <w:rsid w:val="21585442"/>
    <w:rsid w:val="216721D9"/>
    <w:rsid w:val="216B71B2"/>
    <w:rsid w:val="219D46C7"/>
    <w:rsid w:val="21B300DA"/>
    <w:rsid w:val="225B79E4"/>
    <w:rsid w:val="22610ACF"/>
    <w:rsid w:val="228161A9"/>
    <w:rsid w:val="22C24A14"/>
    <w:rsid w:val="235D2694"/>
    <w:rsid w:val="23A32E08"/>
    <w:rsid w:val="23F752FE"/>
    <w:rsid w:val="241035B6"/>
    <w:rsid w:val="24173970"/>
    <w:rsid w:val="241C0078"/>
    <w:rsid w:val="244D5C42"/>
    <w:rsid w:val="247C7268"/>
    <w:rsid w:val="25010F46"/>
    <w:rsid w:val="25A2150E"/>
    <w:rsid w:val="25A634D3"/>
    <w:rsid w:val="25D423E4"/>
    <w:rsid w:val="26384FC0"/>
    <w:rsid w:val="26E63E5F"/>
    <w:rsid w:val="26E8125A"/>
    <w:rsid w:val="277B2154"/>
    <w:rsid w:val="27DD41B2"/>
    <w:rsid w:val="285476C5"/>
    <w:rsid w:val="28657B53"/>
    <w:rsid w:val="28C049EA"/>
    <w:rsid w:val="28EC32AF"/>
    <w:rsid w:val="28F43F3F"/>
    <w:rsid w:val="28F72945"/>
    <w:rsid w:val="2916491E"/>
    <w:rsid w:val="294C32E2"/>
    <w:rsid w:val="29862181"/>
    <w:rsid w:val="299D30D3"/>
    <w:rsid w:val="299F1E59"/>
    <w:rsid w:val="29FF2A13"/>
    <w:rsid w:val="2A055081"/>
    <w:rsid w:val="2A5A2BEE"/>
    <w:rsid w:val="2ACD7048"/>
    <w:rsid w:val="2B2C25B5"/>
    <w:rsid w:val="2B3F4859"/>
    <w:rsid w:val="2BAE6336"/>
    <w:rsid w:val="2C257FE0"/>
    <w:rsid w:val="2CDF1F2B"/>
    <w:rsid w:val="2DB8258C"/>
    <w:rsid w:val="2E25003C"/>
    <w:rsid w:val="2E2F0953"/>
    <w:rsid w:val="2E304434"/>
    <w:rsid w:val="2E32632E"/>
    <w:rsid w:val="2E32735A"/>
    <w:rsid w:val="2E4E71B8"/>
    <w:rsid w:val="2F1A3DD4"/>
    <w:rsid w:val="2FC32F68"/>
    <w:rsid w:val="3025300D"/>
    <w:rsid w:val="3039453C"/>
    <w:rsid w:val="305118D2"/>
    <w:rsid w:val="3057125D"/>
    <w:rsid w:val="306674F3"/>
    <w:rsid w:val="30DD4D3A"/>
    <w:rsid w:val="313708CB"/>
    <w:rsid w:val="318873D1"/>
    <w:rsid w:val="31E96171"/>
    <w:rsid w:val="32121DCB"/>
    <w:rsid w:val="322977CF"/>
    <w:rsid w:val="323507EE"/>
    <w:rsid w:val="32740F70"/>
    <w:rsid w:val="3285666D"/>
    <w:rsid w:val="32914017"/>
    <w:rsid w:val="32C61DA3"/>
    <w:rsid w:val="3315128F"/>
    <w:rsid w:val="33507E0C"/>
    <w:rsid w:val="336453F7"/>
    <w:rsid w:val="33D5066E"/>
    <w:rsid w:val="344F68DF"/>
    <w:rsid w:val="345D6EFA"/>
    <w:rsid w:val="34841AB2"/>
    <w:rsid w:val="34A053E5"/>
    <w:rsid w:val="34CB144B"/>
    <w:rsid w:val="351F4CE7"/>
    <w:rsid w:val="35E71C6E"/>
    <w:rsid w:val="35F63798"/>
    <w:rsid w:val="360836B2"/>
    <w:rsid w:val="3657582F"/>
    <w:rsid w:val="367A5F70"/>
    <w:rsid w:val="36991053"/>
    <w:rsid w:val="36D345AA"/>
    <w:rsid w:val="37033653"/>
    <w:rsid w:val="37A774B2"/>
    <w:rsid w:val="37AB38CA"/>
    <w:rsid w:val="38096119"/>
    <w:rsid w:val="38957564"/>
    <w:rsid w:val="38B971D9"/>
    <w:rsid w:val="39756BD2"/>
    <w:rsid w:val="39F94C2D"/>
    <w:rsid w:val="3A2F1883"/>
    <w:rsid w:val="3A9B4436"/>
    <w:rsid w:val="3B071567"/>
    <w:rsid w:val="3B3A743F"/>
    <w:rsid w:val="3B59226A"/>
    <w:rsid w:val="3B8B3D3E"/>
    <w:rsid w:val="3BEF3A63"/>
    <w:rsid w:val="3C217AB5"/>
    <w:rsid w:val="3C4A02C0"/>
    <w:rsid w:val="3C6C46B1"/>
    <w:rsid w:val="3C75173D"/>
    <w:rsid w:val="3D80297F"/>
    <w:rsid w:val="3D926692"/>
    <w:rsid w:val="3DF01D34"/>
    <w:rsid w:val="3E987DCF"/>
    <w:rsid w:val="3F0F6E83"/>
    <w:rsid w:val="3F495D63"/>
    <w:rsid w:val="3F6C7EC6"/>
    <w:rsid w:val="3FA931F6"/>
    <w:rsid w:val="3FF638FD"/>
    <w:rsid w:val="401D72EA"/>
    <w:rsid w:val="40430899"/>
    <w:rsid w:val="40536215"/>
    <w:rsid w:val="405C4927"/>
    <w:rsid w:val="411D5844"/>
    <w:rsid w:val="41382DA1"/>
    <w:rsid w:val="4181362E"/>
    <w:rsid w:val="41A527BB"/>
    <w:rsid w:val="42202B46"/>
    <w:rsid w:val="42557F64"/>
    <w:rsid w:val="426446D1"/>
    <w:rsid w:val="43120317"/>
    <w:rsid w:val="431902E2"/>
    <w:rsid w:val="432A0DD9"/>
    <w:rsid w:val="432B1DA5"/>
    <w:rsid w:val="43484F6E"/>
    <w:rsid w:val="43667DA2"/>
    <w:rsid w:val="43A16F68"/>
    <w:rsid w:val="43EE0F7F"/>
    <w:rsid w:val="440A7D01"/>
    <w:rsid w:val="44261BEB"/>
    <w:rsid w:val="4459453E"/>
    <w:rsid w:val="44734967"/>
    <w:rsid w:val="44923C8C"/>
    <w:rsid w:val="449811F2"/>
    <w:rsid w:val="449B5A9D"/>
    <w:rsid w:val="44BD0DAC"/>
    <w:rsid w:val="44EC4CB0"/>
    <w:rsid w:val="45154265"/>
    <w:rsid w:val="4517124A"/>
    <w:rsid w:val="452E61AE"/>
    <w:rsid w:val="4536479A"/>
    <w:rsid w:val="458F3F2F"/>
    <w:rsid w:val="45DA5EDC"/>
    <w:rsid w:val="45DF786A"/>
    <w:rsid w:val="4606235E"/>
    <w:rsid w:val="46251C0A"/>
    <w:rsid w:val="469B78E4"/>
    <w:rsid w:val="46AA04FD"/>
    <w:rsid w:val="46B46290"/>
    <w:rsid w:val="47691236"/>
    <w:rsid w:val="47F16F56"/>
    <w:rsid w:val="4806697A"/>
    <w:rsid w:val="480B0A3F"/>
    <w:rsid w:val="486E56F3"/>
    <w:rsid w:val="48C743EE"/>
    <w:rsid w:val="48DD78E0"/>
    <w:rsid w:val="49973A49"/>
    <w:rsid w:val="49E06DB6"/>
    <w:rsid w:val="49F316C5"/>
    <w:rsid w:val="4A127688"/>
    <w:rsid w:val="4A323C48"/>
    <w:rsid w:val="4A5C7D43"/>
    <w:rsid w:val="4A637C9A"/>
    <w:rsid w:val="4A8E6560"/>
    <w:rsid w:val="4ACB63C5"/>
    <w:rsid w:val="4B6F27A2"/>
    <w:rsid w:val="4B745559"/>
    <w:rsid w:val="4BE524B8"/>
    <w:rsid w:val="4C193319"/>
    <w:rsid w:val="4CCC358C"/>
    <w:rsid w:val="4DCB1CF1"/>
    <w:rsid w:val="4E0D7F95"/>
    <w:rsid w:val="4E376061"/>
    <w:rsid w:val="4E9563FB"/>
    <w:rsid w:val="4F201FB5"/>
    <w:rsid w:val="4FB24DE8"/>
    <w:rsid w:val="4FFD07B7"/>
    <w:rsid w:val="501B74FB"/>
    <w:rsid w:val="505A4A62"/>
    <w:rsid w:val="5060696B"/>
    <w:rsid w:val="50B96CDF"/>
    <w:rsid w:val="516E10A7"/>
    <w:rsid w:val="51901536"/>
    <w:rsid w:val="51C65F7F"/>
    <w:rsid w:val="52B25CC2"/>
    <w:rsid w:val="52D50B58"/>
    <w:rsid w:val="52FE6D48"/>
    <w:rsid w:val="530449C0"/>
    <w:rsid w:val="533571E9"/>
    <w:rsid w:val="53475BEE"/>
    <w:rsid w:val="53581ECC"/>
    <w:rsid w:val="53E804B6"/>
    <w:rsid w:val="54D17E9B"/>
    <w:rsid w:val="54D624A2"/>
    <w:rsid w:val="551321A2"/>
    <w:rsid w:val="557B66CE"/>
    <w:rsid w:val="55A45A17"/>
    <w:rsid w:val="55CA2D47"/>
    <w:rsid w:val="563E3822"/>
    <w:rsid w:val="5640190F"/>
    <w:rsid w:val="57250C88"/>
    <w:rsid w:val="5795090C"/>
    <w:rsid w:val="58456B61"/>
    <w:rsid w:val="584C7B7F"/>
    <w:rsid w:val="58582281"/>
    <w:rsid w:val="58E9186D"/>
    <w:rsid w:val="58F70B83"/>
    <w:rsid w:val="590F1AAD"/>
    <w:rsid w:val="594C3B10"/>
    <w:rsid w:val="597109A8"/>
    <w:rsid w:val="59C67F57"/>
    <w:rsid w:val="5A920EFF"/>
    <w:rsid w:val="5A9F7C3A"/>
    <w:rsid w:val="5AF21A1B"/>
    <w:rsid w:val="5AF42BC7"/>
    <w:rsid w:val="5AFC7FD4"/>
    <w:rsid w:val="5B486A0F"/>
    <w:rsid w:val="5B6974CE"/>
    <w:rsid w:val="5BA05EA1"/>
    <w:rsid w:val="5C140AA0"/>
    <w:rsid w:val="5C525882"/>
    <w:rsid w:val="5CB47325"/>
    <w:rsid w:val="5CD72D5D"/>
    <w:rsid w:val="5CF86B15"/>
    <w:rsid w:val="5D5779E5"/>
    <w:rsid w:val="5D730F99"/>
    <w:rsid w:val="5D8579FD"/>
    <w:rsid w:val="5DAD3767"/>
    <w:rsid w:val="5DF16D2C"/>
    <w:rsid w:val="5E145FE7"/>
    <w:rsid w:val="5E680ADA"/>
    <w:rsid w:val="5ECE56F7"/>
    <w:rsid w:val="5F737229"/>
    <w:rsid w:val="5F75492A"/>
    <w:rsid w:val="5FA7097C"/>
    <w:rsid w:val="5FCF6D05"/>
    <w:rsid w:val="60156A32"/>
    <w:rsid w:val="60A76893"/>
    <w:rsid w:val="61512891"/>
    <w:rsid w:val="617C7681"/>
    <w:rsid w:val="61FE3D16"/>
    <w:rsid w:val="626A2B60"/>
    <w:rsid w:val="62896BE4"/>
    <w:rsid w:val="62CE18DC"/>
    <w:rsid w:val="63116A91"/>
    <w:rsid w:val="63685B24"/>
    <w:rsid w:val="640C0996"/>
    <w:rsid w:val="6416360F"/>
    <w:rsid w:val="642207D6"/>
    <w:rsid w:val="64B774B8"/>
    <w:rsid w:val="64E01E8E"/>
    <w:rsid w:val="64E4079E"/>
    <w:rsid w:val="650859DA"/>
    <w:rsid w:val="654805B8"/>
    <w:rsid w:val="656D07F8"/>
    <w:rsid w:val="65705EF9"/>
    <w:rsid w:val="6585261B"/>
    <w:rsid w:val="65FC5ADD"/>
    <w:rsid w:val="66A41299"/>
    <w:rsid w:val="66BC5264"/>
    <w:rsid w:val="66CA64D2"/>
    <w:rsid w:val="672636AE"/>
    <w:rsid w:val="672C5CA9"/>
    <w:rsid w:val="67336E5F"/>
    <w:rsid w:val="674705BA"/>
    <w:rsid w:val="675A6D1E"/>
    <w:rsid w:val="688E5E17"/>
    <w:rsid w:val="68B56F16"/>
    <w:rsid w:val="69386EBE"/>
    <w:rsid w:val="6A1F52A8"/>
    <w:rsid w:val="6A6D4BA8"/>
    <w:rsid w:val="6A727EA6"/>
    <w:rsid w:val="6A7E0B45"/>
    <w:rsid w:val="6A903A3D"/>
    <w:rsid w:val="6B794260"/>
    <w:rsid w:val="6B7B7763"/>
    <w:rsid w:val="6C006C33"/>
    <w:rsid w:val="6C425EEE"/>
    <w:rsid w:val="6CF027C8"/>
    <w:rsid w:val="6D010864"/>
    <w:rsid w:val="6DE830E0"/>
    <w:rsid w:val="6DFF39AC"/>
    <w:rsid w:val="6ED36561"/>
    <w:rsid w:val="6F1063C6"/>
    <w:rsid w:val="6F1375F1"/>
    <w:rsid w:val="6F3F3691"/>
    <w:rsid w:val="6F4028A5"/>
    <w:rsid w:val="6F7A21F2"/>
    <w:rsid w:val="6F93728D"/>
    <w:rsid w:val="6FDD5663"/>
    <w:rsid w:val="6FF808C2"/>
    <w:rsid w:val="70427A3C"/>
    <w:rsid w:val="71581782"/>
    <w:rsid w:val="71EB4575"/>
    <w:rsid w:val="72083B25"/>
    <w:rsid w:val="72232150"/>
    <w:rsid w:val="72CD12E4"/>
    <w:rsid w:val="72DE6DD1"/>
    <w:rsid w:val="73F73350"/>
    <w:rsid w:val="741A525B"/>
    <w:rsid w:val="742D382A"/>
    <w:rsid w:val="74570DEB"/>
    <w:rsid w:val="74D02D73"/>
    <w:rsid w:val="74E5480E"/>
    <w:rsid w:val="75611D9B"/>
    <w:rsid w:val="756338A7"/>
    <w:rsid w:val="75645AA5"/>
    <w:rsid w:val="756F65F9"/>
    <w:rsid w:val="75AE5A32"/>
    <w:rsid w:val="75C03C40"/>
    <w:rsid w:val="76047BAD"/>
    <w:rsid w:val="76C86090"/>
    <w:rsid w:val="76C94CF4"/>
    <w:rsid w:val="76FE5846"/>
    <w:rsid w:val="77A01265"/>
    <w:rsid w:val="77B265EF"/>
    <w:rsid w:val="77E67D42"/>
    <w:rsid w:val="785E5E68"/>
    <w:rsid w:val="78CA53DF"/>
    <w:rsid w:val="78D00FC5"/>
    <w:rsid w:val="78D366C6"/>
    <w:rsid w:val="792C3DC4"/>
    <w:rsid w:val="796D46C6"/>
    <w:rsid w:val="79AB6D75"/>
    <w:rsid w:val="7AA2343E"/>
    <w:rsid w:val="7AC9574D"/>
    <w:rsid w:val="7AFA59A4"/>
    <w:rsid w:val="7B780783"/>
    <w:rsid w:val="7BCF062D"/>
    <w:rsid w:val="7C61599E"/>
    <w:rsid w:val="7CEB0571"/>
    <w:rsid w:val="7D1C4721"/>
    <w:rsid w:val="7D564FB1"/>
    <w:rsid w:val="7D7D15ED"/>
    <w:rsid w:val="7D8212F8"/>
    <w:rsid w:val="7E446E38"/>
    <w:rsid w:val="7EB365FE"/>
    <w:rsid w:val="7F7E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zh-CN" w:eastAsia="zh-CN"/>
    </w:rPr>
  </w:style>
  <w:style w:type="paragraph" w:styleId="2">
    <w:name w:val="heading 2"/>
    <w:basedOn w:val="3"/>
    <w:next w:val="1"/>
    <w:qFormat/>
    <w:uiPriority w:val="1"/>
    <w:pPr>
      <w:spacing w:line="479" w:lineRule="exact"/>
      <w:outlineLvl w:val="1"/>
    </w:pPr>
    <w:rPr>
      <w:rFonts w:ascii="Microsoft YaHei UI" w:hAnsi="Microsoft YaHei UI" w:eastAsia="Microsoft YaHei UI"/>
      <w:spacing w:val="2"/>
      <w:sz w:val="32"/>
      <w:szCs w:val="32"/>
      <w:lang w:eastAsia="zh-CN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420"/>
    </w:pPr>
    <w:rPr>
      <w:szCs w:val="21"/>
    </w:rPr>
  </w:style>
  <w:style w:type="paragraph" w:styleId="5">
    <w:name w:val="toa heading"/>
    <w:basedOn w:val="1"/>
    <w:next w:val="1"/>
    <w:qFormat/>
    <w:uiPriority w:val="0"/>
    <w:pPr>
      <w:spacing w:before="120"/>
    </w:pPr>
    <w:rPr>
      <w:rFonts w:ascii="Cambria" w:hAnsi="Cambria"/>
    </w:rPr>
  </w:style>
  <w:style w:type="paragraph" w:styleId="6">
    <w:name w:val="Body Text"/>
    <w:basedOn w:val="1"/>
    <w:next w:val="1"/>
    <w:unhideWhenUsed/>
    <w:qFormat/>
    <w:uiPriority w:val="99"/>
    <w:pPr>
      <w:autoSpaceDE w:val="0"/>
      <w:autoSpaceDN w:val="0"/>
      <w:adjustRightInd w:val="0"/>
      <w:jc w:val="left"/>
    </w:pPr>
    <w:rPr>
      <w:rFonts w:ascii="宋体" w:cs="宋体"/>
      <w:sz w:val="22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paragraph" w:styleId="12">
    <w:name w:val="List Paragraph"/>
    <w:basedOn w:val="1"/>
    <w:qFormat/>
    <w:uiPriority w:val="99"/>
    <w:pPr>
      <w:ind w:firstLine="420" w:firstLineChars="200"/>
    </w:pPr>
    <w:rPr>
      <w:rFonts w:ascii="Times New Roman" w:hAnsi="Times New Roman" w:eastAsia="宋体" w:cs="Times New Roman"/>
      <w:kern w:val="2"/>
      <w:szCs w:val="20"/>
    </w:rPr>
  </w:style>
  <w:style w:type="table" w:customStyle="1" w:styleId="13">
    <w:name w:val="网格型5"/>
    <w:basedOn w:val="8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Table Paragraph"/>
    <w:basedOn w:val="1"/>
    <w:qFormat/>
    <w:uiPriority w:val="1"/>
    <w:rPr>
      <w:rFonts w:ascii="宋体" w:hAnsi="宋体" w:eastAsia="宋体" w:cs="宋体"/>
    </w:rPr>
  </w:style>
  <w:style w:type="paragraph" w:customStyle="1" w:styleId="15">
    <w:name w:val="MSG_EN_FONT_STYLE_NAME_TEMPLATE_ROLE_NUMBER MSG_EN_FONT_STYLE_NAME_BY_ROLE_TEXT 211"/>
    <w:qFormat/>
    <w:uiPriority w:val="0"/>
    <w:pPr>
      <w:widowControl w:val="0"/>
      <w:shd w:val="clear" w:color="auto" w:fill="FFFFFF"/>
      <w:spacing w:after="480" w:line="210" w:lineRule="exact"/>
      <w:ind w:hanging="440"/>
    </w:pPr>
    <w:rPr>
      <w:rFonts w:ascii="宋体" w:hAnsi="宋体" w:eastAsia="宋体" w:cs="宋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2023-05-05T01:25:00Z</dcterms:created>
  <dc:creator>ex_dingjing</dc:creator>
  <cp:lastModifiedBy>田苗</cp:lastModifiedBy>
  <dcterms:modified xsi:type="dcterms:W3CDTF">2026-08-28T06:50:53Z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7CB47D5F354B46C0B520ACDF23C8C115</vt:lpwstr>
  </property>
</Properties>
</file>