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hint="eastAsia" w:ascii="Times New Roman" w:hAnsi="Times New Roman" w:eastAsia="方正小标宋简体" w:cs="Times New Roman"/>
          <w:bCs/>
          <w:kern w:val="44"/>
          <w:sz w:val="44"/>
          <w:szCs w:val="44"/>
          <w:lang w:eastAsia="zh-CN"/>
        </w:rPr>
      </w:pPr>
      <w:r>
        <w:rPr>
          <w:rFonts w:ascii="Times New Roman" w:hAnsi="Times New Roman" w:eastAsia="方正小标宋简体" w:cs="Times New Roman"/>
          <w:bCs/>
          <w:kern w:val="44"/>
          <w:sz w:val="44"/>
          <w:szCs w:val="44"/>
        </w:rPr>
        <w:t>采办计划公告</w:t>
      </w:r>
    </w:p>
    <w:p>
      <w:pPr>
        <w:spacing w:line="560" w:lineRule="exact"/>
        <w:rPr>
          <w:rFonts w:ascii="Times New Roman" w:hAnsi="Times New Roman" w:eastAsia="等线" w:cs="Times New Roman"/>
          <w:sz w:val="32"/>
        </w:r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为便于供应商及时了解项目采办信息，现将</w:t>
      </w:r>
      <w:r>
        <w:rPr>
          <w:rFonts w:hint="eastAsia" w:ascii="Times New Roman" w:hAnsi="Times New Roman" w:eastAsia="仿宋_GB2312" w:cs="Times New Roman"/>
          <w:sz w:val="32"/>
          <w:szCs w:val="32"/>
          <w:u w:val="single"/>
          <w:lang w:val="en-US" w:eastAsia="zh-CN"/>
        </w:rPr>
        <w:t>配餐公司海洋石油大厦杂货梯评估服务</w:t>
      </w:r>
      <w:r>
        <w:rPr>
          <w:rFonts w:ascii="Times New Roman" w:hAnsi="Times New Roman" w:eastAsia="仿宋_GB2312" w:cs="Times New Roman"/>
          <w:sz w:val="32"/>
          <w:szCs w:val="32"/>
        </w:rPr>
        <w:t>的采办计划公开如下：</w:t>
      </w:r>
    </w:p>
    <w:tbl>
      <w:tblPr>
        <w:tblStyle w:val="20"/>
        <w:tblW w:w="9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044"/>
        <w:gridCol w:w="2040"/>
        <w:gridCol w:w="1170"/>
        <w:gridCol w:w="3858"/>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vAlign w:val="center"/>
          </w:tcPr>
          <w:p>
            <w:pPr>
              <w:spacing w:line="240" w:lineRule="auto"/>
              <w:jc w:val="center"/>
              <w:rPr>
                <w:rFonts w:hint="eastAsia" w:ascii="仿宋" w:hAnsi="仿宋" w:eastAsia="仿宋" w:cs="仿宋"/>
                <w:kern w:val="0"/>
                <w:sz w:val="21"/>
                <w:szCs w:val="21"/>
              </w:rPr>
            </w:pPr>
            <w:r>
              <w:rPr>
                <w:rFonts w:hint="eastAsia" w:ascii="仿宋" w:hAnsi="仿宋" w:eastAsia="仿宋" w:cs="仿宋"/>
                <w:kern w:val="0"/>
                <w:sz w:val="21"/>
                <w:szCs w:val="21"/>
              </w:rPr>
              <w:t>序号</w:t>
            </w:r>
          </w:p>
        </w:tc>
        <w:tc>
          <w:tcPr>
            <w:tcW w:w="1044" w:type="dxa"/>
            <w:vAlign w:val="center"/>
          </w:tcPr>
          <w:p>
            <w:pPr>
              <w:spacing w:line="240" w:lineRule="auto"/>
              <w:jc w:val="center"/>
              <w:rPr>
                <w:rFonts w:hint="eastAsia" w:ascii="仿宋" w:hAnsi="仿宋" w:eastAsia="仿宋" w:cs="仿宋"/>
                <w:kern w:val="0"/>
                <w:sz w:val="21"/>
                <w:szCs w:val="21"/>
              </w:rPr>
            </w:pPr>
            <w:r>
              <w:rPr>
                <w:rFonts w:hint="eastAsia" w:ascii="仿宋" w:hAnsi="仿宋" w:eastAsia="仿宋" w:cs="仿宋"/>
                <w:kern w:val="0"/>
                <w:sz w:val="21"/>
                <w:szCs w:val="21"/>
              </w:rPr>
              <w:t>采办包</w:t>
            </w:r>
          </w:p>
          <w:p>
            <w:pPr>
              <w:spacing w:line="240" w:lineRule="auto"/>
              <w:jc w:val="center"/>
              <w:rPr>
                <w:rFonts w:hint="eastAsia" w:ascii="仿宋" w:hAnsi="仿宋" w:eastAsia="仿宋" w:cs="仿宋"/>
                <w:kern w:val="0"/>
                <w:sz w:val="21"/>
                <w:szCs w:val="21"/>
              </w:rPr>
            </w:pPr>
            <w:r>
              <w:rPr>
                <w:rFonts w:hint="eastAsia" w:ascii="仿宋" w:hAnsi="仿宋" w:eastAsia="仿宋" w:cs="仿宋"/>
                <w:kern w:val="0"/>
                <w:sz w:val="21"/>
                <w:szCs w:val="21"/>
              </w:rPr>
              <w:t>名称</w:t>
            </w:r>
          </w:p>
        </w:tc>
        <w:tc>
          <w:tcPr>
            <w:tcW w:w="2040" w:type="dxa"/>
            <w:vAlign w:val="center"/>
          </w:tcPr>
          <w:p>
            <w:pPr>
              <w:spacing w:line="240" w:lineRule="auto"/>
              <w:jc w:val="center"/>
              <w:rPr>
                <w:rFonts w:hint="eastAsia" w:ascii="仿宋" w:hAnsi="仿宋" w:eastAsia="仿宋" w:cs="仿宋"/>
                <w:kern w:val="0"/>
                <w:sz w:val="21"/>
                <w:szCs w:val="21"/>
              </w:rPr>
            </w:pPr>
            <w:r>
              <w:rPr>
                <w:rFonts w:hint="eastAsia" w:ascii="仿宋" w:hAnsi="仿宋" w:eastAsia="仿宋" w:cs="仿宋"/>
                <w:kern w:val="0"/>
                <w:sz w:val="21"/>
                <w:szCs w:val="21"/>
              </w:rPr>
              <w:t>采购范围与主要技术指标</w:t>
            </w:r>
          </w:p>
        </w:tc>
        <w:tc>
          <w:tcPr>
            <w:tcW w:w="1170" w:type="dxa"/>
            <w:vAlign w:val="center"/>
          </w:tcPr>
          <w:p>
            <w:pPr>
              <w:spacing w:line="240" w:lineRule="auto"/>
              <w:jc w:val="center"/>
              <w:rPr>
                <w:rFonts w:hint="eastAsia" w:ascii="仿宋" w:hAnsi="仿宋" w:eastAsia="仿宋" w:cs="仿宋"/>
                <w:kern w:val="0"/>
                <w:sz w:val="21"/>
                <w:szCs w:val="21"/>
              </w:rPr>
            </w:pPr>
            <w:r>
              <w:rPr>
                <w:rFonts w:hint="eastAsia" w:ascii="仿宋" w:hAnsi="仿宋" w:eastAsia="仿宋" w:cs="仿宋"/>
                <w:kern w:val="0"/>
                <w:sz w:val="21"/>
                <w:szCs w:val="21"/>
              </w:rPr>
              <w:t>预计发标时间</w:t>
            </w:r>
          </w:p>
        </w:tc>
        <w:tc>
          <w:tcPr>
            <w:tcW w:w="3858" w:type="dxa"/>
            <w:vAlign w:val="center"/>
          </w:tcPr>
          <w:p>
            <w:pPr>
              <w:spacing w:line="240" w:lineRule="auto"/>
              <w:jc w:val="center"/>
              <w:rPr>
                <w:rFonts w:hint="eastAsia" w:ascii="仿宋" w:hAnsi="仿宋" w:eastAsia="仿宋" w:cs="仿宋"/>
                <w:kern w:val="0"/>
                <w:sz w:val="21"/>
                <w:szCs w:val="21"/>
              </w:rPr>
            </w:pPr>
            <w:r>
              <w:rPr>
                <w:rFonts w:hint="eastAsia" w:ascii="仿宋" w:hAnsi="仿宋" w:eastAsia="仿宋" w:cs="仿宋"/>
                <w:kern w:val="0"/>
                <w:sz w:val="21"/>
                <w:szCs w:val="21"/>
              </w:rPr>
              <w:t>供应商资质基本要求</w:t>
            </w:r>
          </w:p>
        </w:tc>
        <w:tc>
          <w:tcPr>
            <w:tcW w:w="1166" w:type="dxa"/>
            <w:vAlign w:val="center"/>
          </w:tcPr>
          <w:p>
            <w:pPr>
              <w:spacing w:line="240" w:lineRule="auto"/>
              <w:jc w:val="center"/>
              <w:rPr>
                <w:rFonts w:hint="eastAsia" w:ascii="仿宋" w:hAnsi="仿宋" w:eastAsia="仿宋" w:cs="仿宋"/>
                <w:kern w:val="0"/>
                <w:sz w:val="21"/>
                <w:szCs w:val="21"/>
              </w:rPr>
            </w:pPr>
            <w:r>
              <w:rPr>
                <w:rFonts w:hint="eastAsia" w:ascii="仿宋" w:hAnsi="仿宋" w:eastAsia="仿宋" w:cs="仿宋"/>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568" w:type="dxa"/>
            <w:vAlign w:val="center"/>
          </w:tcPr>
          <w:p>
            <w:pPr>
              <w:numPr>
                <w:ilvl w:val="0"/>
                <w:numId w:val="0"/>
              </w:numPr>
              <w:spacing w:line="240" w:lineRule="auto"/>
              <w:rPr>
                <w:rFonts w:hint="eastAsia" w:ascii="仿宋" w:hAnsi="仿宋" w:eastAsia="仿宋" w:cs="仿宋"/>
                <w:kern w:val="0"/>
                <w:sz w:val="21"/>
                <w:szCs w:val="21"/>
                <w:u w:val="none"/>
                <w:lang w:val="en-US" w:eastAsia="zh-CN"/>
              </w:rPr>
            </w:pPr>
            <w:r>
              <w:rPr>
                <w:rFonts w:hint="eastAsia" w:ascii="仿宋" w:hAnsi="仿宋" w:eastAsia="仿宋" w:cs="仿宋"/>
                <w:kern w:val="0"/>
                <w:sz w:val="21"/>
                <w:szCs w:val="21"/>
                <w:u w:val="none"/>
                <w:lang w:val="en-US" w:eastAsia="zh-CN"/>
              </w:rPr>
              <w:t>1</w:t>
            </w:r>
          </w:p>
        </w:tc>
        <w:tc>
          <w:tcPr>
            <w:tcW w:w="1044" w:type="dxa"/>
            <w:vAlign w:val="center"/>
          </w:tcPr>
          <w:p>
            <w:pPr>
              <w:spacing w:line="240" w:lineRule="auto"/>
              <w:rPr>
                <w:rFonts w:hint="eastAsia" w:ascii="仿宋" w:hAnsi="仿宋" w:eastAsia="仿宋" w:cs="仿宋"/>
                <w:kern w:val="0"/>
                <w:sz w:val="21"/>
                <w:szCs w:val="21"/>
                <w:u w:val="none"/>
              </w:rPr>
            </w:pPr>
            <w:r>
              <w:rPr>
                <w:rFonts w:hint="eastAsia" w:ascii="仿宋" w:hAnsi="仿宋" w:eastAsia="仿宋" w:cs="仿宋"/>
                <w:kern w:val="0"/>
                <w:sz w:val="21"/>
                <w:szCs w:val="21"/>
                <w:u w:val="none"/>
                <w:lang w:val="en-US" w:eastAsia="zh-CN"/>
              </w:rPr>
              <w:t>配餐公司海洋石油大厦杂货梯评估服务</w:t>
            </w:r>
          </w:p>
        </w:tc>
        <w:tc>
          <w:tcPr>
            <w:tcW w:w="2040" w:type="dxa"/>
            <w:vAlign w:val="center"/>
          </w:tcPr>
          <w:p>
            <w:pPr>
              <w:keepNext w:val="0"/>
              <w:keepLines w:val="0"/>
              <w:widowControl w:val="0"/>
              <w:suppressLineNumbers w:val="0"/>
              <w:spacing w:before="0" w:beforeAutospacing="0" w:after="0" w:afterAutospacing="0" w:line="240" w:lineRule="auto"/>
              <w:ind w:left="0" w:right="11" w:firstLine="420" w:firstLineChars="200"/>
              <w:jc w:val="left"/>
              <w:rPr>
                <w:rFonts w:hint="eastAsia" w:ascii="仿宋" w:hAnsi="仿宋" w:eastAsia="仿宋" w:cs="仿宋"/>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u w:val="none"/>
                <w:lang w:val="en-US" w:eastAsia="zh-CN" w:bidi="ar"/>
              </w:rPr>
              <w:t>中海油能源发展股份有限公司配餐服务分公司的办公楼宇有一台杂货电梯，已经使用多年，今年计划进行一次安全评估工作。根据国家及政府发布及更新的各类与电梯相关的法律法规要求，对招标方指定的杂物电梯开展安全评估工作。投标方需在接到招标方评估通知30日内完成安全评估工作并提供《电梯安全评估报告》。</w:t>
            </w:r>
          </w:p>
          <w:p>
            <w:pPr>
              <w:pStyle w:val="10"/>
              <w:spacing w:line="257" w:lineRule="auto"/>
              <w:ind w:right="115" w:rightChars="55" w:firstLine="199" w:firstLineChars="95"/>
              <w:rPr>
                <w:rFonts w:hint="default" w:ascii="仿宋" w:hAnsi="仿宋" w:eastAsia="仿宋" w:cs="仿宋"/>
                <w:kern w:val="0"/>
                <w:sz w:val="21"/>
                <w:szCs w:val="21"/>
                <w:u w:val="none"/>
                <w:lang w:val="en-US" w:eastAsia="zh-CN"/>
              </w:rPr>
            </w:pPr>
          </w:p>
        </w:tc>
        <w:tc>
          <w:tcPr>
            <w:tcW w:w="1170" w:type="dxa"/>
            <w:vAlign w:val="center"/>
          </w:tcPr>
          <w:p>
            <w:pPr>
              <w:spacing w:line="240" w:lineRule="auto"/>
              <w:rPr>
                <w:rFonts w:hint="eastAsia" w:ascii="仿宋" w:hAnsi="仿宋" w:eastAsia="仿宋" w:cs="仿宋"/>
                <w:kern w:val="0"/>
                <w:sz w:val="21"/>
                <w:szCs w:val="21"/>
                <w:u w:val="single"/>
                <w:lang w:val="en-US" w:eastAsia="zh-CN"/>
              </w:rPr>
            </w:pPr>
            <w:r>
              <w:rPr>
                <w:rFonts w:hint="eastAsia" w:ascii="仿宋" w:hAnsi="仿宋" w:eastAsia="仿宋" w:cs="仿宋"/>
                <w:kern w:val="0"/>
                <w:sz w:val="21"/>
                <w:szCs w:val="21"/>
                <w:u w:val="single"/>
                <w:lang w:val="en-US" w:eastAsia="zh-CN"/>
              </w:rPr>
              <w:t>2026-07</w:t>
            </w:r>
          </w:p>
        </w:tc>
        <w:tc>
          <w:tcPr>
            <w:tcW w:w="3858" w:type="dxa"/>
            <w:vAlign w:val="center"/>
          </w:tcPr>
          <w:p>
            <w:pPr>
              <w:pStyle w:val="17"/>
              <w:keepNext w:val="0"/>
              <w:keepLines w:val="0"/>
              <w:widowControl w:val="0"/>
              <w:suppressLineNumbers w:val="0"/>
              <w:spacing w:before="0" w:beforeAutospacing="0" w:after="120" w:afterAutospacing="0" w:line="240" w:lineRule="auto"/>
              <w:ind w:left="0" w:right="0" w:firstLine="422" w:firstLineChars="200"/>
              <w:jc w:val="both"/>
              <w:rPr>
                <w:rFonts w:hint="eastAsia" w:ascii="仿宋" w:hAnsi="仿宋" w:eastAsia="仿宋" w:cs="仿宋"/>
                <w:b/>
                <w:bCs w:val="0"/>
                <w:color w:val="auto"/>
                <w:sz w:val="21"/>
                <w:szCs w:val="21"/>
                <w:highlight w:val="none"/>
              </w:rPr>
            </w:pPr>
            <w:bookmarkStart w:id="0" w:name="_Toc22804"/>
            <w:r>
              <w:rPr>
                <w:rFonts w:hint="eastAsia" w:ascii="仿宋" w:hAnsi="仿宋" w:eastAsia="仿宋" w:cs="仿宋"/>
                <w:b/>
                <w:bCs w:val="0"/>
                <w:color w:val="auto"/>
                <w:kern w:val="0"/>
                <w:sz w:val="21"/>
                <w:szCs w:val="21"/>
                <w:highlight w:val="none"/>
                <w:u w:val="none"/>
                <w:lang w:val="en-US" w:eastAsia="zh-CN" w:bidi="ar"/>
              </w:rPr>
              <w:t>1. 营业执照要求：</w:t>
            </w:r>
          </w:p>
          <w:bookmarkEnd w:id="0"/>
          <w:p>
            <w:pPr>
              <w:keepNext w:val="0"/>
              <w:keepLines w:val="0"/>
              <w:widowControl w:val="0"/>
              <w:suppressLineNumbers w:val="0"/>
              <w:spacing w:before="0" w:beforeAutospacing="0" w:after="0" w:afterAutospacing="0" w:line="240" w:lineRule="auto"/>
              <w:ind w:left="0" w:right="11" w:firstLine="420" w:firstLineChars="200"/>
              <w:jc w:val="left"/>
              <w:rPr>
                <w:rFonts w:hint="eastAsia" w:ascii="仿宋" w:hAnsi="仿宋" w:eastAsia="仿宋" w:cs="仿宋"/>
                <w:color w:val="auto"/>
                <w:kern w:val="2"/>
                <w:sz w:val="21"/>
                <w:szCs w:val="21"/>
                <w:highlight w:val="none"/>
                <w:u w:val="none"/>
                <w:lang w:val="en-US" w:eastAsia="zh-CN" w:bidi="ar"/>
              </w:rPr>
            </w:pPr>
            <w:bookmarkStart w:id="1" w:name="_Toc19049"/>
            <w:r>
              <w:rPr>
                <w:rFonts w:hint="eastAsia" w:ascii="仿宋" w:hAnsi="仿宋" w:eastAsia="仿宋" w:cs="仿宋"/>
                <w:color w:val="auto"/>
                <w:kern w:val="2"/>
                <w:sz w:val="21"/>
                <w:szCs w:val="21"/>
                <w:highlight w:val="none"/>
                <w:u w:val="none"/>
                <w:lang w:val="en-US" w:eastAsia="zh-CN" w:bidi="ar"/>
              </w:rPr>
              <w:t>应答人须是中华人民共和国境内具有独立承担民事责任能力的法人，或具备国家认可经营资格的其他组织。</w:t>
            </w:r>
          </w:p>
          <w:p>
            <w:pPr>
              <w:keepNext w:val="0"/>
              <w:keepLines w:val="0"/>
              <w:widowControl w:val="0"/>
              <w:suppressLineNumbers w:val="0"/>
              <w:spacing w:before="0" w:beforeAutospacing="0" w:after="0" w:afterAutospacing="0" w:line="240" w:lineRule="auto"/>
              <w:ind w:left="0" w:right="11" w:firstLine="420" w:firstLineChars="200"/>
              <w:jc w:val="left"/>
              <w:rPr>
                <w:rFonts w:hint="eastAsia" w:ascii="仿宋" w:hAnsi="仿宋" w:eastAsia="仿宋" w:cs="仿宋"/>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u w:val="none"/>
                <w:lang w:val="en-US" w:eastAsia="zh-CN" w:bidi="ar"/>
              </w:rPr>
              <w:t>（1）应答人为企业的，应具有合法有效的企业法人营业执照、税务登记证及组织机构代码证或证照合一的营业执照；</w:t>
            </w:r>
          </w:p>
          <w:p>
            <w:pPr>
              <w:keepNext w:val="0"/>
              <w:keepLines w:val="0"/>
              <w:widowControl w:val="0"/>
              <w:suppressLineNumbers w:val="0"/>
              <w:spacing w:before="0" w:beforeAutospacing="0" w:after="0" w:afterAutospacing="0" w:line="240" w:lineRule="auto"/>
              <w:ind w:left="0" w:right="11" w:firstLine="420" w:firstLineChars="200"/>
              <w:jc w:val="left"/>
              <w:rPr>
                <w:rFonts w:hint="eastAsia" w:ascii="仿宋" w:hAnsi="仿宋" w:eastAsia="仿宋" w:cs="仿宋"/>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u w:val="none"/>
                <w:lang w:val="en-US" w:eastAsia="zh-CN" w:bidi="ar"/>
              </w:rPr>
              <w:t>（2）应答人为分公司的，应具有合法有效的营业执照、税务登记证及组织机构代码证或证照合一的营业执照和母公司合法授权书。总公司与分支机构只可一家参与投标，同时参与投标视为投标无效；</w:t>
            </w:r>
          </w:p>
          <w:p>
            <w:pPr>
              <w:keepNext w:val="0"/>
              <w:keepLines w:val="0"/>
              <w:widowControl w:val="0"/>
              <w:suppressLineNumbers w:val="0"/>
              <w:spacing w:before="0" w:beforeAutospacing="0" w:after="0" w:afterAutospacing="0" w:line="240" w:lineRule="auto"/>
              <w:ind w:left="0" w:right="11" w:firstLine="420" w:firstLineChars="200"/>
              <w:jc w:val="left"/>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u w:val="none"/>
                <w:lang w:val="en-US" w:eastAsia="zh-CN" w:bidi="ar"/>
              </w:rPr>
              <w:t>（3）应答人为事业单位的，应答人应经全国各级事业单位登记管理机关核准登记或者备案，具有合法有效的事业单位法人证书。</w:t>
            </w:r>
          </w:p>
          <w:bookmarkEnd w:id="1"/>
          <w:p>
            <w:pPr>
              <w:keepNext w:val="0"/>
              <w:keepLines w:val="0"/>
              <w:pageBreakBefore w:val="0"/>
              <w:numPr>
                <w:ilvl w:val="0"/>
                <w:numId w:val="0"/>
              </w:numPr>
              <w:shd w:val="clear" w:color="auto" w:fill="auto"/>
              <w:kinsoku/>
              <w:wordWrap/>
              <w:overflowPunct/>
              <w:topLinePunct w:val="0"/>
              <w:autoSpaceDE/>
              <w:autoSpaceDN/>
              <w:bidi w:val="0"/>
              <w:spacing w:line="240" w:lineRule="auto"/>
              <w:ind w:right="11" w:rightChars="0" w:firstLine="422" w:firstLineChars="200"/>
              <w:jc w:val="both"/>
              <w:outlineLvl w:val="1"/>
              <w:rPr>
                <w:rFonts w:hint="eastAsia" w:ascii="仿宋" w:hAnsi="仿宋" w:eastAsia="仿宋" w:cs="仿宋"/>
                <w:b/>
                <w:bCs/>
                <w:color w:val="auto"/>
                <w:sz w:val="21"/>
                <w:szCs w:val="21"/>
                <w:highlight w:val="none"/>
              </w:rPr>
            </w:pPr>
            <w:bookmarkStart w:id="2" w:name="_Toc29095"/>
            <w:bookmarkStart w:id="3" w:name="_Toc7289"/>
            <w:r>
              <w:rPr>
                <w:rFonts w:hint="eastAsia" w:ascii="仿宋" w:hAnsi="仿宋" w:eastAsia="仿宋" w:cs="仿宋"/>
                <w:b/>
                <w:bCs w:val="0"/>
                <w:color w:val="auto"/>
                <w:kern w:val="2"/>
                <w:sz w:val="21"/>
                <w:szCs w:val="21"/>
                <w:highlight w:val="none"/>
                <w:u w:val="none"/>
                <w:lang w:val="en-US" w:eastAsia="zh-CN" w:bidi="ar"/>
              </w:rPr>
              <w:t>2.业绩要求</w:t>
            </w:r>
            <w:bookmarkEnd w:id="2"/>
            <w:bookmarkEnd w:id="3"/>
            <w:r>
              <w:rPr>
                <w:rFonts w:hint="eastAsia" w:ascii="仿宋" w:hAnsi="仿宋" w:eastAsia="仿宋" w:cs="仿宋"/>
                <w:b/>
                <w:bCs w:val="0"/>
                <w:color w:val="auto"/>
                <w:kern w:val="2"/>
                <w:sz w:val="21"/>
                <w:szCs w:val="21"/>
                <w:highlight w:val="none"/>
                <w:u w:val="none"/>
                <w:lang w:val="en-US" w:eastAsia="zh-CN" w:bidi="ar"/>
              </w:rPr>
              <w:t>：</w:t>
            </w:r>
          </w:p>
          <w:p>
            <w:pPr>
              <w:keepNext w:val="0"/>
              <w:keepLines w:val="0"/>
              <w:pageBreakBefore w:val="0"/>
              <w:kinsoku/>
              <w:wordWrap/>
              <w:overflowPunct/>
              <w:topLinePunct w:val="0"/>
              <w:autoSpaceDE/>
              <w:autoSpaceDN/>
              <w:bidi w:val="0"/>
              <w:adjustRightInd/>
              <w:spacing w:line="360" w:lineRule="auto"/>
              <w:ind w:right="10" w:firstLine="210" w:firstLineChars="100"/>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应答人</w:t>
            </w:r>
            <w:r>
              <w:rPr>
                <w:rFonts w:hint="eastAsia" w:ascii="仿宋" w:hAnsi="仿宋" w:eastAsia="仿宋" w:cs="仿宋"/>
                <w:sz w:val="21"/>
                <w:szCs w:val="21"/>
                <w:highlight w:val="none"/>
              </w:rPr>
              <w:t>在20</w:t>
            </w:r>
            <w:r>
              <w:rPr>
                <w:rFonts w:hint="eastAsia" w:ascii="仿宋" w:hAnsi="仿宋" w:eastAsia="仿宋" w:cs="仿宋"/>
                <w:sz w:val="21"/>
                <w:szCs w:val="21"/>
                <w:highlight w:val="none"/>
                <w:lang w:val="en-US" w:eastAsia="zh-CN"/>
              </w:rPr>
              <w:t>23年1月1日至递交响应文件截止日内，至少具有1项已完成服务的电梯评估服务业绩，并提供相应业绩证明文件。</w:t>
            </w:r>
          </w:p>
          <w:p>
            <w:pPr>
              <w:keepNext w:val="0"/>
              <w:keepLines w:val="0"/>
              <w:pageBreakBefore w:val="0"/>
              <w:numPr>
                <w:ilvl w:val="0"/>
                <w:numId w:val="0"/>
              </w:numPr>
              <w:shd w:val="clear" w:color="auto" w:fill="auto"/>
              <w:kinsoku/>
              <w:wordWrap/>
              <w:overflowPunct/>
              <w:topLinePunct w:val="0"/>
              <w:autoSpaceDE/>
              <w:autoSpaceDN/>
              <w:bidi w:val="0"/>
              <w:spacing w:line="240" w:lineRule="auto"/>
              <w:ind w:right="11" w:rightChars="0" w:firstLine="210" w:firstLineChars="100"/>
              <w:jc w:val="both"/>
              <w:outlineLvl w:val="1"/>
              <w:rPr>
                <w:rFonts w:hint="eastAsia" w:ascii="仿宋" w:hAnsi="仿宋" w:eastAsia="仿宋" w:cs="仿宋"/>
                <w:b/>
                <w:bCs w:val="0"/>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u w:val="none"/>
                <w:lang w:val="en-US" w:eastAsia="zh-CN" w:bidi="ar"/>
              </w:rPr>
              <w:t xml:space="preserve"> </w:t>
            </w:r>
            <w:r>
              <w:rPr>
                <w:rFonts w:hint="eastAsia" w:ascii="仿宋" w:hAnsi="仿宋" w:eastAsia="仿宋" w:cs="仿宋"/>
                <w:b/>
                <w:bCs w:val="0"/>
                <w:color w:val="auto"/>
                <w:kern w:val="0"/>
                <w:sz w:val="21"/>
                <w:szCs w:val="21"/>
                <w:highlight w:val="none"/>
                <w:u w:val="none"/>
                <w:lang w:val="en-US" w:eastAsia="zh-CN" w:bidi="ar"/>
              </w:rPr>
              <w:t>3.资质要求：</w:t>
            </w:r>
          </w:p>
          <w:p>
            <w:pPr>
              <w:pStyle w:val="17"/>
              <w:keepNext w:val="0"/>
              <w:keepLines w:val="0"/>
              <w:pageBreakBefore w:val="0"/>
              <w:widowControl w:val="0"/>
              <w:numPr>
                <w:ilvl w:val="0"/>
                <w:numId w:val="0"/>
              </w:numPr>
              <w:shd w:val="clear" w:color="auto" w:fill="auto"/>
              <w:tabs>
                <w:tab w:val="left" w:pos="0"/>
              </w:tabs>
              <w:kinsoku/>
              <w:wordWrap/>
              <w:overflowPunct/>
              <w:topLinePunct w:val="0"/>
              <w:autoSpaceDE/>
              <w:autoSpaceDN/>
              <w:bidi w:val="0"/>
              <w:adjustRightInd/>
              <w:snapToGrid/>
              <w:spacing w:before="0" w:beforeAutospacing="0" w:after="120" w:afterAutospacing="0" w:line="240" w:lineRule="auto"/>
              <w:ind w:firstLine="420" w:firstLineChars="200"/>
              <w:jc w:val="both"/>
              <w:textAlignment w:val="auto"/>
              <w:outlineLvl w:val="9"/>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应具备《中华人民共和国特种设备检验检测机构核准证》（核准项目为TD1或TC）</w:t>
            </w:r>
          </w:p>
          <w:p>
            <w:pPr>
              <w:pStyle w:val="17"/>
              <w:keepNext w:val="0"/>
              <w:keepLines w:val="0"/>
              <w:pageBreakBefore w:val="0"/>
              <w:widowControl w:val="0"/>
              <w:numPr>
                <w:ilvl w:val="0"/>
                <w:numId w:val="0"/>
              </w:numPr>
              <w:shd w:val="clear" w:color="auto" w:fill="auto"/>
              <w:tabs>
                <w:tab w:val="left" w:pos="0"/>
              </w:tabs>
              <w:kinsoku/>
              <w:wordWrap/>
              <w:overflowPunct/>
              <w:topLinePunct w:val="0"/>
              <w:autoSpaceDE/>
              <w:autoSpaceDN/>
              <w:bidi w:val="0"/>
              <w:adjustRightInd/>
              <w:snapToGrid/>
              <w:spacing w:before="0" w:beforeAutospacing="0" w:after="120" w:afterAutospacing="0" w:line="240" w:lineRule="auto"/>
              <w:ind w:firstLine="422" w:firstLineChars="200"/>
              <w:jc w:val="both"/>
              <w:textAlignment w:val="auto"/>
              <w:outlineLvl w:val="9"/>
              <w:rPr>
                <w:rFonts w:hint="eastAsia" w:ascii="仿宋" w:hAnsi="仿宋" w:eastAsia="仿宋" w:cs="仿宋"/>
                <w:b/>
                <w:bCs w:val="0"/>
                <w:color w:val="auto"/>
                <w:kern w:val="2"/>
                <w:sz w:val="21"/>
                <w:szCs w:val="21"/>
                <w:highlight w:val="none"/>
                <w:u w:val="none"/>
                <w:lang w:val="en-US" w:eastAsia="zh-CN" w:bidi="ar"/>
              </w:rPr>
            </w:pPr>
            <w:r>
              <w:rPr>
                <w:rFonts w:hint="eastAsia" w:ascii="仿宋" w:hAnsi="仿宋" w:eastAsia="仿宋" w:cs="仿宋"/>
                <w:b/>
                <w:bCs w:val="0"/>
                <w:color w:val="auto"/>
                <w:kern w:val="2"/>
                <w:sz w:val="21"/>
                <w:szCs w:val="21"/>
                <w:highlight w:val="none"/>
                <w:u w:val="none"/>
                <w:lang w:val="en-US" w:eastAsia="zh-CN" w:bidi="ar"/>
              </w:rPr>
              <w:t>4、其他要求：</w:t>
            </w:r>
          </w:p>
          <w:p>
            <w:pPr>
              <w:pStyle w:val="17"/>
              <w:keepNext w:val="0"/>
              <w:keepLines w:val="0"/>
              <w:pageBreakBefore w:val="0"/>
              <w:widowControl w:val="0"/>
              <w:numPr>
                <w:ilvl w:val="0"/>
                <w:numId w:val="0"/>
              </w:numPr>
              <w:shd w:val="clear" w:color="auto" w:fill="auto"/>
              <w:tabs>
                <w:tab w:val="left" w:pos="0"/>
              </w:tabs>
              <w:kinsoku/>
              <w:wordWrap/>
              <w:overflowPunct/>
              <w:topLinePunct w:val="0"/>
              <w:autoSpaceDE/>
              <w:autoSpaceDN/>
              <w:bidi w:val="0"/>
              <w:adjustRightInd/>
              <w:snapToGrid/>
              <w:spacing w:before="0" w:beforeAutospacing="0" w:after="120" w:afterAutospacing="0" w:line="240" w:lineRule="auto"/>
              <w:ind w:firstLine="420" w:firstLineChars="200"/>
              <w:jc w:val="both"/>
              <w:textAlignment w:val="auto"/>
              <w:outlineLvl w:val="9"/>
              <w:rPr>
                <w:rFonts w:hint="eastAsia" w:ascii="仿宋" w:hAnsi="仿宋" w:eastAsia="仿宋" w:cs="仿宋"/>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u w:val="none"/>
                <w:lang w:val="en-US" w:eastAsia="zh-CN" w:bidi="ar"/>
              </w:rPr>
              <w:t>1）</w:t>
            </w:r>
            <w:r>
              <w:rPr>
                <w:rFonts w:hint="eastAsia" w:ascii="仿宋" w:hAnsi="仿宋" w:eastAsia="仿宋" w:cs="仿宋"/>
                <w:kern w:val="2"/>
                <w:sz w:val="21"/>
                <w:szCs w:val="21"/>
                <w:highlight w:val="none"/>
                <w:lang w:val="en-US" w:eastAsia="zh-CN" w:bidi="ar-SA"/>
              </w:rPr>
              <w:t>员工缴纳社保人数不为0，可提供近三月连续社保证明；</w:t>
            </w:r>
          </w:p>
          <w:p>
            <w:pPr>
              <w:pStyle w:val="17"/>
              <w:keepNext w:val="0"/>
              <w:keepLines w:val="0"/>
              <w:pageBreakBefore w:val="0"/>
              <w:widowControl w:val="0"/>
              <w:numPr>
                <w:ilvl w:val="0"/>
                <w:numId w:val="0"/>
              </w:numPr>
              <w:shd w:val="clear" w:color="auto" w:fill="auto"/>
              <w:tabs>
                <w:tab w:val="left" w:pos="0"/>
              </w:tabs>
              <w:kinsoku/>
              <w:wordWrap/>
              <w:overflowPunct/>
              <w:topLinePunct w:val="0"/>
              <w:autoSpaceDE/>
              <w:autoSpaceDN/>
              <w:bidi w:val="0"/>
              <w:adjustRightInd/>
              <w:snapToGrid/>
              <w:spacing w:before="0" w:beforeAutospacing="0" w:after="120" w:afterAutospacing="0" w:line="240" w:lineRule="auto"/>
              <w:ind w:left="420" w:leftChars="200" w:firstLine="0" w:firstLineChars="0"/>
              <w:jc w:val="both"/>
              <w:textAlignment w:val="auto"/>
              <w:outlineLvl w:val="9"/>
              <w:rPr>
                <w:rFonts w:hint="eastAsia" w:ascii="仿宋" w:hAnsi="仿宋" w:eastAsia="仿宋" w:cs="仿宋"/>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u w:val="none"/>
                <w:lang w:val="en-US" w:eastAsia="zh-CN" w:bidi="ar"/>
              </w:rPr>
              <w:t>2）不得将中国海油作为唯一服务客户，具有中国海油外业绩，且为近三年内已完成业绩，并可提供原件合同及发票备查。</w:t>
            </w:r>
          </w:p>
          <w:p>
            <w:pPr>
              <w:pStyle w:val="17"/>
              <w:keepNext w:val="0"/>
              <w:keepLines w:val="0"/>
              <w:pageBreakBefore w:val="0"/>
              <w:widowControl w:val="0"/>
              <w:numPr>
                <w:ilvl w:val="0"/>
                <w:numId w:val="0"/>
              </w:numPr>
              <w:shd w:val="clear" w:color="auto" w:fill="auto"/>
              <w:tabs>
                <w:tab w:val="left" w:pos="0"/>
              </w:tabs>
              <w:kinsoku/>
              <w:wordWrap/>
              <w:overflowPunct/>
              <w:topLinePunct w:val="0"/>
              <w:autoSpaceDE/>
              <w:autoSpaceDN/>
              <w:bidi w:val="0"/>
              <w:adjustRightInd/>
              <w:snapToGrid/>
              <w:spacing w:before="0" w:beforeAutospacing="0" w:after="120" w:afterAutospacing="0" w:line="240" w:lineRule="auto"/>
              <w:ind w:left="420" w:leftChars="200" w:firstLine="0" w:firstLineChars="0"/>
              <w:jc w:val="both"/>
              <w:textAlignment w:val="auto"/>
              <w:outlineLvl w:val="9"/>
              <w:rPr>
                <w:rFonts w:hint="default" w:ascii="仿宋" w:hAnsi="仿宋" w:eastAsia="仿宋" w:cs="仿宋"/>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u w:val="none"/>
                <w:lang w:val="en-US" w:eastAsia="zh-CN" w:bidi="ar"/>
              </w:rPr>
              <w:t>3）投标方应具备至少3名人员专业电梯检测人员。人员应持有《中华人民共和国特种设备检验检测人员证》资格证书（代号为DT-1或DTY）。</w:t>
            </w:r>
          </w:p>
          <w:p>
            <w:pPr>
              <w:keepNext w:val="0"/>
              <w:keepLines w:val="0"/>
              <w:widowControl w:val="0"/>
              <w:suppressLineNumbers w:val="0"/>
              <w:spacing w:before="0" w:beforeAutospacing="0" w:after="50" w:afterAutospacing="0" w:line="240" w:lineRule="auto"/>
              <w:ind w:left="0" w:right="0" w:firstLine="420" w:firstLineChars="200"/>
              <w:jc w:val="left"/>
              <w:rPr>
                <w:rFonts w:hint="eastAsia" w:ascii="仿宋" w:hAnsi="仿宋" w:eastAsia="仿宋" w:cs="仿宋"/>
                <w:sz w:val="21"/>
                <w:szCs w:val="21"/>
              </w:rPr>
            </w:pPr>
          </w:p>
        </w:tc>
        <w:tc>
          <w:tcPr>
            <w:tcW w:w="1166" w:type="dxa"/>
            <w:vAlign w:val="center"/>
          </w:tcPr>
          <w:p>
            <w:pPr>
              <w:spacing w:line="240" w:lineRule="auto"/>
              <w:rPr>
                <w:rFonts w:hint="eastAsia" w:ascii="仿宋" w:hAnsi="仿宋" w:eastAsia="仿宋" w:cs="仿宋"/>
                <w:kern w:val="0"/>
                <w:sz w:val="21"/>
                <w:szCs w:val="21"/>
                <w:u w:val="single"/>
              </w:rPr>
            </w:pPr>
          </w:p>
        </w:tc>
      </w:tr>
    </w:tbl>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本次公开的采办计划是本项目采办工作的初步安排，实际采购应以相关采购公告和采购文件为准，所有提供和反馈的信息只作为项目采办参考。</w:t>
      </w:r>
      <w:r>
        <w:rPr>
          <w:rFonts w:hint="eastAsia" w:ascii="Times New Roman" w:hAnsi="Times New Roman" w:eastAsia="仿宋_GB2312" w:cs="Times New Roman"/>
          <w:color w:val="FF0000"/>
          <w:sz w:val="32"/>
          <w:szCs w:val="32"/>
          <w:lang w:val="en-US" w:eastAsia="zh-CN"/>
        </w:rPr>
        <w:t>反馈时请提供资质证书扫描件、3名人员资格证书扫描件。</w:t>
      </w: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本次公告有效期是（</w:t>
      </w:r>
      <w:r>
        <w:rPr>
          <w:rFonts w:hint="eastAsia" w:ascii="Times New Roman" w:hAnsi="Times New Roman" w:eastAsia="仿宋_GB2312" w:cs="Times New Roman"/>
          <w:sz w:val="32"/>
          <w:szCs w:val="32"/>
          <w:lang w:val="en-US" w:eastAsia="zh-CN"/>
        </w:rPr>
        <w:t>2026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07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09</w:t>
      </w:r>
      <w:r>
        <w:rPr>
          <w:rFonts w:ascii="Times New Roman" w:hAnsi="Times New Roman" w:eastAsia="仿宋_GB2312" w:cs="Times New Roman"/>
          <w:sz w:val="32"/>
          <w:szCs w:val="32"/>
        </w:rPr>
        <w:t>日）至（</w:t>
      </w:r>
      <w:r>
        <w:rPr>
          <w:rFonts w:hint="eastAsia" w:ascii="Times New Roman" w:hAnsi="Times New Roman" w:eastAsia="仿宋_GB2312" w:cs="Times New Roman"/>
          <w:sz w:val="32"/>
          <w:szCs w:val="32"/>
          <w:lang w:val="en-US" w:eastAsia="zh-CN"/>
        </w:rPr>
        <w:t>2026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07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日）止。在此期间，有意参与</w:t>
      </w:r>
      <w:r>
        <w:rPr>
          <w:rFonts w:hint="eastAsia" w:ascii="Times New Roman" w:hAnsi="Times New Roman" w:eastAsia="仿宋_GB2312" w:cs="Times New Roman"/>
          <w:sz w:val="32"/>
          <w:szCs w:val="32"/>
          <w:lang w:val="en-US" w:eastAsia="zh-CN"/>
        </w:rPr>
        <w:t>本</w:t>
      </w:r>
      <w:r>
        <w:rPr>
          <w:rFonts w:ascii="Times New Roman" w:hAnsi="Times New Roman" w:eastAsia="仿宋_GB2312" w:cs="Times New Roman"/>
          <w:sz w:val="32"/>
          <w:szCs w:val="32"/>
        </w:rPr>
        <w:t>采办包的系统用户可在集团公司采办系统中提交反馈材料。</w:t>
      </w:r>
    </w:p>
    <w:p>
      <w:pPr>
        <w:tabs>
          <w:tab w:val="left" w:pos="993"/>
          <w:tab w:val="left" w:pos="1134"/>
          <w:tab w:val="left" w:pos="1418"/>
        </w:tabs>
        <w:spacing w:line="560"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如对上述公开内容真实、有效性存疑，请拨打社会监督电话：022-25802262，其他事项不受理</w:t>
      </w:r>
      <w:r>
        <w:rPr>
          <w:rFonts w:hint="eastAsia" w:ascii="Times New Roman" w:hAnsi="Times New Roman" w:eastAsia="仿宋_GB2312" w:cs="Times New Roman"/>
          <w:sz w:val="32"/>
          <w:szCs w:val="32"/>
          <w:lang w:eastAsia="zh-CN"/>
        </w:rPr>
        <w:t>。</w:t>
      </w:r>
    </w:p>
    <w:p>
      <w:pPr>
        <w:tabs>
          <w:tab w:val="left" w:pos="993"/>
          <w:tab w:val="left" w:pos="1134"/>
          <w:tab w:val="left" w:pos="1418"/>
        </w:tabs>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联系人：梁庆钱，联系电话：022-25802269。</w:t>
      </w:r>
    </w:p>
    <w:p>
      <w:pPr>
        <w:tabs>
          <w:tab w:val="left" w:pos="993"/>
          <w:tab w:val="left" w:pos="1134"/>
          <w:tab w:val="left" w:pos="1418"/>
        </w:tabs>
        <w:spacing w:line="600" w:lineRule="exact"/>
        <w:rPr>
          <w:rFonts w:ascii="Times New Roman" w:hAnsi="Times New Roman" w:eastAsia="仿宋" w:cs="Times New Roman"/>
          <w:sz w:val="28"/>
          <w:szCs w:val="28"/>
        </w:rPr>
      </w:pPr>
    </w:p>
    <w:p>
      <w:pPr>
        <w:tabs>
          <w:tab w:val="left" w:pos="993"/>
          <w:tab w:val="left" w:pos="1134"/>
          <w:tab w:val="left" w:pos="1418"/>
        </w:tabs>
        <w:spacing w:line="600" w:lineRule="exact"/>
        <w:ind w:right="320" w:firstLine="960" w:firstLineChars="300"/>
        <w:jc w:val="righ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中海油能源发展股份有限公司采办共享中心</w:t>
      </w:r>
    </w:p>
    <w:p>
      <w:pPr>
        <w:tabs>
          <w:tab w:val="left" w:pos="993"/>
          <w:tab w:val="left" w:pos="1134"/>
          <w:tab w:val="left" w:pos="1418"/>
        </w:tabs>
        <w:spacing w:line="600" w:lineRule="exact"/>
        <w:ind w:right="320" w:firstLine="960" w:firstLineChars="300"/>
        <w:jc w:val="right"/>
        <w:rPr>
          <w:rFonts w:ascii="Times New Roman" w:hAnsi="Times New Roman" w:eastAsia="仿宋_GB2312" w:cs="Times New Roman"/>
          <w:b/>
          <w:sz w:val="32"/>
          <w:szCs w:val="32"/>
        </w:rPr>
      </w:pPr>
      <w:r>
        <w:rPr>
          <w:rFonts w:hint="eastAsia" w:ascii="Times New Roman" w:hAnsi="Times New Roman" w:eastAsia="仿宋_GB2312" w:cs="Times New Roman"/>
          <w:sz w:val="32"/>
          <w:szCs w:val="32"/>
          <w:lang w:val="en-US" w:eastAsia="zh-CN"/>
        </w:rPr>
        <w:t>2026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07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09</w:t>
      </w:r>
      <w:bookmarkStart w:id="4" w:name="_GoBack"/>
      <w:bookmarkEnd w:id="4"/>
      <w:r>
        <w:rPr>
          <w:rFonts w:ascii="Times New Roman" w:hAnsi="Times New Roman" w:eastAsia="仿宋_GB2312" w:cs="Times New Roman"/>
          <w:sz w:val="32"/>
          <w:szCs w:val="32"/>
        </w:rPr>
        <w:t xml:space="preserve">日  </w:t>
      </w:r>
    </w:p>
    <w:p>
      <w:pPr>
        <w:pStyle w:val="2"/>
        <w:ind w:left="0" w:leftChars="0" w:firstLine="0" w:firstLineChars="0"/>
        <w:rPr>
          <w:rFonts w:hint="eastAsia"/>
        </w:rPr>
      </w:pPr>
    </w:p>
    <w:p>
      <w:pPr>
        <w:pStyle w:val="2"/>
        <w:rPr>
          <w:rFonts w:hint="eastAsia"/>
        </w:rPr>
      </w:pPr>
    </w:p>
    <w:p>
      <w:pPr>
        <w:pStyle w:val="2"/>
        <w:ind w:left="0" w:leftChars="0" w:firstLine="0" w:firstLineChars="0"/>
        <w:rPr>
          <w:rFonts w:hint="eastAsi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jc w:val="center"/>
      <w:rPr>
        <w:rFonts w:ascii="Times New Roman" w:hAnsi="Times New Roman"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ind w:right="360"/>
                            <w:jc w:val="center"/>
                            <w:rPr>
                              <w:rFonts w:ascii="Calibri" w:hAnsi="Calibri" w:eastAsia="宋体" w:cs="Times New Roman"/>
                              <w:kern w:val="2"/>
                              <w:sz w:val="18"/>
                              <w:szCs w:val="18"/>
                              <w:lang w:val="en-US" w:eastAsia="zh-CN" w:bidi="ar-SA"/>
                            </w:rPr>
                          </w:pPr>
                          <w:r>
                            <w:rPr>
                              <w:rFonts w:ascii="Times New Roman" w:hAnsi="Times New Roman" w:eastAsia="宋体" w:cs="Times New Roman"/>
                              <w:kern w:val="0"/>
                              <w:sz w:val="18"/>
                              <w:szCs w:val="21"/>
                              <w:lang w:val="en-US" w:eastAsia="zh-CN" w:bidi="ar-SA"/>
                            </w:rPr>
                            <w:fldChar w:fldCharType="begin"/>
                          </w:r>
                          <w:r>
                            <w:rPr>
                              <w:rFonts w:ascii="Times New Roman" w:hAnsi="Times New Roman" w:eastAsia="宋体" w:cs="Times New Roman"/>
                              <w:kern w:val="0"/>
                              <w:sz w:val="18"/>
                              <w:szCs w:val="21"/>
                              <w:lang w:val="en-US" w:eastAsia="zh-CN" w:bidi="ar-SA"/>
                            </w:rPr>
                            <w:instrText xml:space="preserve"> PAGE </w:instrText>
                          </w:r>
                          <w:r>
                            <w:rPr>
                              <w:rFonts w:ascii="Times New Roman" w:hAnsi="Times New Roman" w:eastAsia="宋体" w:cs="Times New Roman"/>
                              <w:kern w:val="0"/>
                              <w:sz w:val="18"/>
                              <w:szCs w:val="21"/>
                              <w:lang w:val="en-US" w:eastAsia="zh-CN" w:bidi="ar-SA"/>
                            </w:rPr>
                            <w:fldChar w:fldCharType="separate"/>
                          </w:r>
                          <w:r>
                            <w:rPr>
                              <w:rFonts w:ascii="Times New Roman" w:hAnsi="Times New Roman" w:eastAsia="宋体" w:cs="Times New Roman"/>
                              <w:kern w:val="0"/>
                              <w:sz w:val="18"/>
                              <w:szCs w:val="21"/>
                              <w:lang w:val="en-US" w:eastAsia="zh-CN" w:bidi="ar-SA"/>
                            </w:rPr>
                            <w:t>82</w:t>
                          </w:r>
                          <w:r>
                            <w:rPr>
                              <w:rFonts w:ascii="Times New Roman" w:hAnsi="Times New Roman" w:eastAsia="宋体" w:cs="Times New Roman"/>
                              <w:kern w:val="0"/>
                              <w:sz w:val="18"/>
                              <w:szCs w:val="21"/>
                              <w:lang w:val="en-US" w:eastAsia="zh-CN" w:bidi="ar-SA"/>
                            </w:rPr>
                            <w:fldChar w:fldCharType="end"/>
                          </w:r>
                          <w:r>
                            <w:rPr>
                              <w:rFonts w:ascii="Times New Roman" w:hAnsi="Times New Roman" w:eastAsia="宋体" w:cs="Times New Roman"/>
                              <w:kern w:val="0"/>
                              <w:sz w:val="18"/>
                              <w:szCs w:val="21"/>
                              <w:lang w:val="en-US" w:eastAsia="zh-CN"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4AZccoBAACb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dvKX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4AZccoBAACbAwAADgAAAAAAAAABACAAAAAeAQAAZHJzL2Uyb0Rv&#10;Yy54bWxQSwUGAAAAAAYABgBZAQAAWgUAAAAA&#10;">
              <v:fill on="f" focussize="0,0"/>
              <v:stroke on="f"/>
              <v:imagedata o:title=""/>
              <o:lock v:ext="edit" aspectratio="f"/>
              <v:textbox inset="0mm,0mm,0mm,0mm" style="mso-fit-shape-to-text:t;">
                <w:txbxContent>
                  <w:p>
                    <w:pPr>
                      <w:widowControl w:val="0"/>
                      <w:snapToGrid w:val="0"/>
                      <w:ind w:right="360"/>
                      <w:jc w:val="center"/>
                      <w:rPr>
                        <w:rFonts w:ascii="Calibri" w:hAnsi="Calibri" w:eastAsia="宋体" w:cs="Times New Roman"/>
                        <w:kern w:val="2"/>
                        <w:sz w:val="18"/>
                        <w:szCs w:val="18"/>
                        <w:lang w:val="en-US" w:eastAsia="zh-CN" w:bidi="ar-SA"/>
                      </w:rPr>
                    </w:pPr>
                    <w:r>
                      <w:rPr>
                        <w:rFonts w:ascii="Times New Roman" w:hAnsi="Times New Roman" w:eastAsia="宋体" w:cs="Times New Roman"/>
                        <w:kern w:val="0"/>
                        <w:sz w:val="18"/>
                        <w:szCs w:val="21"/>
                        <w:lang w:val="en-US" w:eastAsia="zh-CN" w:bidi="ar-SA"/>
                      </w:rPr>
                      <w:fldChar w:fldCharType="begin"/>
                    </w:r>
                    <w:r>
                      <w:rPr>
                        <w:rFonts w:ascii="Times New Roman" w:hAnsi="Times New Roman" w:eastAsia="宋体" w:cs="Times New Roman"/>
                        <w:kern w:val="0"/>
                        <w:sz w:val="18"/>
                        <w:szCs w:val="21"/>
                        <w:lang w:val="en-US" w:eastAsia="zh-CN" w:bidi="ar-SA"/>
                      </w:rPr>
                      <w:instrText xml:space="preserve"> PAGE </w:instrText>
                    </w:r>
                    <w:r>
                      <w:rPr>
                        <w:rFonts w:ascii="Times New Roman" w:hAnsi="Times New Roman" w:eastAsia="宋体" w:cs="Times New Roman"/>
                        <w:kern w:val="0"/>
                        <w:sz w:val="18"/>
                        <w:szCs w:val="21"/>
                        <w:lang w:val="en-US" w:eastAsia="zh-CN" w:bidi="ar-SA"/>
                      </w:rPr>
                      <w:fldChar w:fldCharType="separate"/>
                    </w:r>
                    <w:r>
                      <w:rPr>
                        <w:rFonts w:ascii="Times New Roman" w:hAnsi="Times New Roman" w:eastAsia="宋体" w:cs="Times New Roman"/>
                        <w:kern w:val="0"/>
                        <w:sz w:val="18"/>
                        <w:szCs w:val="21"/>
                        <w:lang w:val="en-US" w:eastAsia="zh-CN" w:bidi="ar-SA"/>
                      </w:rPr>
                      <w:t>82</w:t>
                    </w:r>
                    <w:r>
                      <w:rPr>
                        <w:rFonts w:ascii="Times New Roman" w:hAnsi="Times New Roman" w:eastAsia="宋体" w:cs="Times New Roman"/>
                        <w:kern w:val="0"/>
                        <w:sz w:val="18"/>
                        <w:szCs w:val="21"/>
                        <w:lang w:val="en-US" w:eastAsia="zh-CN" w:bidi="ar-SA"/>
                      </w:rPr>
                      <w:fldChar w:fldCharType="end"/>
                    </w:r>
                    <w:r>
                      <w:rPr>
                        <w:rFonts w:ascii="Times New Roman" w:hAnsi="Times New Roman" w:eastAsia="宋体" w:cs="Times New Roman"/>
                        <w:kern w:val="0"/>
                        <w:sz w:val="18"/>
                        <w:szCs w:val="21"/>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both"/>
      <w:rPr>
        <w:rFonts w:hint="eastAsia" w:ascii="Calibri" w:hAnsi="Calibri"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2YTc2NGZiNTFhOTY1MWVjZGQxNTYzZjljMTZhM2MifQ=="/>
  </w:docVars>
  <w:rsids>
    <w:rsidRoot w:val="00AE20AB"/>
    <w:rsid w:val="002E3C4A"/>
    <w:rsid w:val="004029A6"/>
    <w:rsid w:val="00AE20AB"/>
    <w:rsid w:val="00ED277A"/>
    <w:rsid w:val="01931B09"/>
    <w:rsid w:val="03644768"/>
    <w:rsid w:val="06994D63"/>
    <w:rsid w:val="09D40332"/>
    <w:rsid w:val="0B3B53D5"/>
    <w:rsid w:val="0C9752EC"/>
    <w:rsid w:val="0EE4513B"/>
    <w:rsid w:val="10A802E2"/>
    <w:rsid w:val="121644A4"/>
    <w:rsid w:val="12EA03C3"/>
    <w:rsid w:val="1424395D"/>
    <w:rsid w:val="165F01EE"/>
    <w:rsid w:val="16A404B1"/>
    <w:rsid w:val="17E259CB"/>
    <w:rsid w:val="1B0674F2"/>
    <w:rsid w:val="1BD77A4E"/>
    <w:rsid w:val="1C787F80"/>
    <w:rsid w:val="1D8C2998"/>
    <w:rsid w:val="224B5515"/>
    <w:rsid w:val="232C7D97"/>
    <w:rsid w:val="243475CF"/>
    <w:rsid w:val="24C6090C"/>
    <w:rsid w:val="25735A02"/>
    <w:rsid w:val="27C91524"/>
    <w:rsid w:val="288806AE"/>
    <w:rsid w:val="2C1A0E4B"/>
    <w:rsid w:val="2C746602"/>
    <w:rsid w:val="2D9A63AC"/>
    <w:rsid w:val="2E101B90"/>
    <w:rsid w:val="2F3708EB"/>
    <w:rsid w:val="32A10DB2"/>
    <w:rsid w:val="32A44990"/>
    <w:rsid w:val="370803EE"/>
    <w:rsid w:val="373662EF"/>
    <w:rsid w:val="3A3E27D3"/>
    <w:rsid w:val="3A4E0CC9"/>
    <w:rsid w:val="3B9B3104"/>
    <w:rsid w:val="3CE15C0F"/>
    <w:rsid w:val="3E7A44E9"/>
    <w:rsid w:val="3EA21203"/>
    <w:rsid w:val="3EC242E2"/>
    <w:rsid w:val="41BA2348"/>
    <w:rsid w:val="46367FA9"/>
    <w:rsid w:val="46A91913"/>
    <w:rsid w:val="4C072F02"/>
    <w:rsid w:val="4CFA6659"/>
    <w:rsid w:val="5199576E"/>
    <w:rsid w:val="51CA3018"/>
    <w:rsid w:val="533A7C22"/>
    <w:rsid w:val="5546462F"/>
    <w:rsid w:val="55B94AC7"/>
    <w:rsid w:val="57645638"/>
    <w:rsid w:val="594702AE"/>
    <w:rsid w:val="59710E0B"/>
    <w:rsid w:val="5A91184D"/>
    <w:rsid w:val="5B4B7D53"/>
    <w:rsid w:val="5CCB5128"/>
    <w:rsid w:val="5D3D7A2C"/>
    <w:rsid w:val="5D4744AA"/>
    <w:rsid w:val="5DC42F51"/>
    <w:rsid w:val="5DD15771"/>
    <w:rsid w:val="5E775DAA"/>
    <w:rsid w:val="5F513441"/>
    <w:rsid w:val="61794CE7"/>
    <w:rsid w:val="61F56D34"/>
    <w:rsid w:val="621B7C00"/>
    <w:rsid w:val="64AA43D6"/>
    <w:rsid w:val="66671611"/>
    <w:rsid w:val="67B808AD"/>
    <w:rsid w:val="6A373D35"/>
    <w:rsid w:val="6A6D5FA2"/>
    <w:rsid w:val="6FAE050C"/>
    <w:rsid w:val="6FFC3779"/>
    <w:rsid w:val="754C1864"/>
    <w:rsid w:val="75B42BA8"/>
    <w:rsid w:val="761C619C"/>
    <w:rsid w:val="79327DB0"/>
    <w:rsid w:val="79877900"/>
    <w:rsid w:val="79C82D3D"/>
    <w:rsid w:val="79C93D0C"/>
    <w:rsid w:val="7B6A1701"/>
    <w:rsid w:val="7DB11C72"/>
    <w:rsid w:val="7EAA2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jc w:val="both"/>
      <w:outlineLvl w:val="0"/>
    </w:pPr>
    <w:rPr>
      <w:rFonts w:ascii="Calibri" w:hAnsi="Calibri" w:eastAsia="宋体" w:cs="Times New Roman"/>
      <w:b/>
      <w:bCs/>
      <w:kern w:val="44"/>
      <w:sz w:val="44"/>
      <w:szCs w:val="44"/>
      <w:lang w:val="en-US" w:eastAsia="zh-CN" w:bidi="ar-SA"/>
    </w:rPr>
  </w:style>
  <w:style w:type="paragraph" w:styleId="5">
    <w:name w:val="heading 2"/>
    <w:basedOn w:val="1"/>
    <w:next w:val="1"/>
    <w:link w:val="28"/>
    <w:qFormat/>
    <w:uiPriority w:val="1"/>
    <w:pPr>
      <w:spacing w:line="479" w:lineRule="exact"/>
      <w:outlineLvl w:val="1"/>
    </w:pPr>
    <w:rPr>
      <w:rFonts w:ascii="Microsoft YaHei UI" w:hAnsi="Microsoft YaHei UI" w:eastAsia="Microsoft YaHei UI"/>
      <w:spacing w:val="2"/>
      <w:sz w:val="32"/>
      <w:szCs w:val="32"/>
      <w:lang w:eastAsia="zh-CN"/>
    </w:rPr>
  </w:style>
  <w:style w:type="paragraph" w:styleId="6">
    <w:name w:val="heading 3"/>
    <w:next w:val="1"/>
    <w:link w:val="27"/>
    <w:qFormat/>
    <w:uiPriority w:val="0"/>
    <w:pPr>
      <w:keepNext/>
      <w:widowControl/>
      <w:overflowPunct w:val="0"/>
      <w:autoSpaceDE w:val="0"/>
      <w:autoSpaceDN w:val="0"/>
      <w:adjustRightInd w:val="0"/>
      <w:spacing w:before="240" w:after="60"/>
      <w:jc w:val="left"/>
      <w:textAlignment w:val="baseline"/>
      <w:outlineLvl w:val="2"/>
    </w:pPr>
    <w:rPr>
      <w:rFonts w:ascii="Calibri" w:hAnsi="Calibri" w:eastAsia="宋体" w:cs="Times New Roman"/>
      <w:b/>
      <w:kern w:val="0"/>
      <w:sz w:val="24"/>
      <w:szCs w:val="20"/>
      <w:lang w:val="en-US" w:eastAsia="en-US" w:bidi="ar-SA"/>
    </w:rPr>
  </w:style>
  <w:style w:type="paragraph" w:styleId="7">
    <w:name w:val="heading 4"/>
    <w:next w:val="1"/>
    <w:qFormat/>
    <w:uiPriority w:val="0"/>
    <w:pPr>
      <w:keepNext/>
      <w:keepLines/>
      <w:widowControl w:val="0"/>
      <w:adjustRightInd w:val="0"/>
      <w:spacing w:before="280" w:after="290" w:line="376" w:lineRule="atLeast"/>
      <w:jc w:val="both"/>
      <w:textAlignment w:val="baseline"/>
      <w:outlineLvl w:val="3"/>
    </w:pPr>
    <w:rPr>
      <w:rFonts w:ascii="Arial" w:hAnsi="Arial" w:eastAsia="黑体" w:cs="Times New Roman"/>
      <w:b/>
      <w:bCs/>
      <w:kern w:val="0"/>
      <w:sz w:val="28"/>
      <w:szCs w:val="28"/>
      <w:lang w:val="en-US" w:eastAsia="zh-CN" w:bidi="ar-SA"/>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8">
    <w:name w:val="Normal Indent"/>
    <w:basedOn w:val="1"/>
    <w:qFormat/>
    <w:uiPriority w:val="0"/>
    <w:pPr>
      <w:ind w:firstLine="420" w:firstLineChars="200"/>
    </w:pPr>
    <w:rPr>
      <w:rFonts w:ascii="Times New Roman" w:hAnsi="Times New Roman"/>
      <w:szCs w:val="24"/>
    </w:rPr>
  </w:style>
  <w:style w:type="paragraph" w:styleId="9">
    <w:name w:val="annotation text"/>
    <w:basedOn w:val="1"/>
    <w:qFormat/>
    <w:uiPriority w:val="0"/>
    <w:pPr>
      <w:widowControl w:val="0"/>
      <w:jc w:val="left"/>
    </w:pPr>
    <w:rPr>
      <w:rFonts w:ascii="Calibri" w:hAnsi="Calibri" w:eastAsia="宋体" w:cs="Times New Roman"/>
      <w:kern w:val="2"/>
      <w:sz w:val="21"/>
      <w:szCs w:val="22"/>
      <w:lang w:val="en-US" w:eastAsia="zh-CN" w:bidi="ar-SA"/>
    </w:rPr>
  </w:style>
  <w:style w:type="paragraph" w:styleId="10">
    <w:name w:val="Body Text"/>
    <w:basedOn w:val="1"/>
    <w:next w:val="11"/>
    <w:qFormat/>
    <w:uiPriority w:val="0"/>
    <w:pPr>
      <w:ind w:firstLine="200" w:firstLineChars="200"/>
      <w:jc w:val="both"/>
    </w:pPr>
    <w:rPr>
      <w:rFonts w:ascii="Microsoft YaHei UI" w:hAnsi="Microsoft YaHei UI" w:eastAsia="Microsoft YaHei UI"/>
      <w:sz w:val="21"/>
      <w:szCs w:val="21"/>
    </w:rPr>
  </w:style>
  <w:style w:type="paragraph" w:customStyle="1" w:styleId="11">
    <w:name w:val="Body Text 21"/>
    <w:basedOn w:val="1"/>
    <w:qFormat/>
    <w:uiPriority w:val="0"/>
    <w:pPr>
      <w:snapToGrid w:val="0"/>
      <w:spacing w:before="0" w:after="120" w:line="480" w:lineRule="auto"/>
      <w:ind w:firstLine="480"/>
    </w:pPr>
    <w:rPr>
      <w:sz w:val="28"/>
      <w:szCs w:val="21"/>
    </w:rPr>
  </w:style>
  <w:style w:type="paragraph" w:styleId="12">
    <w:name w:val="toc 3"/>
    <w:basedOn w:val="1"/>
    <w:next w:val="1"/>
    <w:unhideWhenUsed/>
    <w:qFormat/>
    <w:uiPriority w:val="39"/>
    <w:pPr>
      <w:widowControl/>
      <w:spacing w:after="100" w:line="259" w:lineRule="auto"/>
      <w:ind w:left="440"/>
    </w:pPr>
    <w:rPr>
      <w:rFonts w:cs="Times New Roman"/>
      <w:lang w:eastAsia="zh-CN"/>
    </w:rPr>
  </w:style>
  <w:style w:type="paragraph" w:styleId="13">
    <w:name w:val="footer"/>
    <w:basedOn w:val="1"/>
    <w:link w:val="24"/>
    <w:unhideWhenUsed/>
    <w:qFormat/>
    <w:uiPriority w:val="99"/>
    <w:pPr>
      <w:tabs>
        <w:tab w:val="center" w:pos="4153"/>
        <w:tab w:val="right" w:pos="8306"/>
      </w:tabs>
      <w:snapToGrid w:val="0"/>
      <w:jc w:val="left"/>
    </w:pPr>
    <w:rPr>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next w:val="1"/>
    <w:qFormat/>
    <w:uiPriority w:val="39"/>
    <w:pPr>
      <w:widowControl/>
      <w:overflowPunct w:val="0"/>
      <w:autoSpaceDE w:val="0"/>
      <w:autoSpaceDN w:val="0"/>
      <w:adjustRightInd w:val="0"/>
      <w:spacing w:before="120" w:after="120"/>
      <w:jc w:val="left"/>
      <w:textAlignment w:val="baseline"/>
    </w:pPr>
    <w:rPr>
      <w:rFonts w:ascii="Calibri" w:hAnsi="Calibri" w:eastAsia="宋体" w:cs="Times New Roman"/>
      <w:caps/>
      <w:kern w:val="0"/>
      <w:sz w:val="28"/>
      <w:szCs w:val="20"/>
      <w:lang w:val="en-US" w:eastAsia="en-US" w:bidi="ar-SA"/>
    </w:rPr>
  </w:style>
  <w:style w:type="paragraph" w:styleId="16">
    <w:name w:val="toc 2"/>
    <w:next w:val="1"/>
    <w:qFormat/>
    <w:uiPriority w:val="39"/>
    <w:pPr>
      <w:widowControl/>
      <w:overflowPunct w:val="0"/>
      <w:autoSpaceDE w:val="0"/>
      <w:autoSpaceDN w:val="0"/>
      <w:adjustRightInd w:val="0"/>
      <w:ind w:left="200"/>
      <w:jc w:val="left"/>
      <w:textAlignment w:val="baseline"/>
    </w:pPr>
    <w:rPr>
      <w:rFonts w:ascii="Calibri" w:hAnsi="Calibri" w:eastAsia="宋体" w:cs="Times New Roman"/>
      <w:smallCaps/>
      <w:kern w:val="0"/>
      <w:sz w:val="20"/>
      <w:szCs w:val="20"/>
      <w:lang w:val="en-US" w:eastAsia="en-US" w:bidi="ar-SA"/>
    </w:rPr>
  </w:style>
  <w:style w:type="paragraph" w:styleId="1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8">
    <w:name w:val="Body Text First Indent"/>
    <w:qFormat/>
    <w:uiPriority w:val="0"/>
    <w:pPr>
      <w:widowControl w:val="0"/>
      <w:ind w:firstLine="420" w:firstLineChars="100"/>
      <w:jc w:val="both"/>
    </w:pPr>
    <w:rPr>
      <w:rFonts w:ascii="宋体" w:hAnsi="Microsoft YaHei UI" w:eastAsia="Microsoft YaHei UI" w:cs="宋体"/>
      <w:sz w:val="21"/>
      <w:szCs w:val="21"/>
      <w:lang w:val="en-US" w:eastAsia="en-US" w:bidi="ar-SA"/>
    </w:rPr>
  </w:style>
  <w:style w:type="table" w:styleId="20">
    <w:name w:val="Table Grid"/>
    <w:basedOn w:val="19"/>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annotation reference"/>
    <w:qFormat/>
    <w:uiPriority w:val="0"/>
    <w:rPr>
      <w:sz w:val="21"/>
      <w:szCs w:val="21"/>
    </w:rPr>
  </w:style>
  <w:style w:type="character" w:customStyle="1" w:styleId="23">
    <w:name w:val="页眉 字符"/>
    <w:basedOn w:val="21"/>
    <w:link w:val="14"/>
    <w:qFormat/>
    <w:uiPriority w:val="99"/>
    <w:rPr>
      <w:sz w:val="18"/>
      <w:szCs w:val="18"/>
    </w:rPr>
  </w:style>
  <w:style w:type="character" w:customStyle="1" w:styleId="24">
    <w:name w:val="页脚 字符"/>
    <w:basedOn w:val="21"/>
    <w:link w:val="13"/>
    <w:qFormat/>
    <w:uiPriority w:val="99"/>
    <w:rPr>
      <w:sz w:val="18"/>
      <w:szCs w:val="18"/>
    </w:rPr>
  </w:style>
  <w:style w:type="paragraph" w:customStyle="1" w:styleId="25">
    <w:name w:val="Table Paragraph"/>
    <w:basedOn w:val="1"/>
    <w:qFormat/>
    <w:uiPriority w:val="0"/>
    <w:pPr>
      <w:jc w:val="left"/>
    </w:pPr>
    <w:rPr>
      <w:kern w:val="0"/>
      <w:sz w:val="22"/>
      <w:lang w:eastAsia="en-US"/>
    </w:rPr>
  </w:style>
  <w:style w:type="paragraph" w:customStyle="1" w:styleId="26">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character" w:customStyle="1" w:styleId="27">
    <w:name w:val="标题 3 字符"/>
    <w:link w:val="6"/>
    <w:qFormat/>
    <w:uiPriority w:val="0"/>
    <w:rPr>
      <w:rFonts w:ascii="Calibri" w:hAnsi="Calibri"/>
      <w:b/>
      <w:kern w:val="0"/>
      <w:sz w:val="24"/>
      <w:szCs w:val="20"/>
      <w:lang w:val="en-US" w:eastAsia="en-US" w:bidi="ar-SA"/>
    </w:rPr>
  </w:style>
  <w:style w:type="character" w:customStyle="1" w:styleId="28">
    <w:name w:val="标题 2 字符"/>
    <w:link w:val="5"/>
    <w:qFormat/>
    <w:uiPriority w:val="0"/>
    <w:rPr>
      <w:rFonts w:ascii="Microsoft YaHei UI" w:hAnsi="Microsoft YaHei UI" w:eastAsia="Microsoft YaHei UI"/>
      <w:spacing w:val="2"/>
      <w:sz w:val="32"/>
      <w:szCs w:val="32"/>
      <w:lang w:eastAsia="zh-CN"/>
    </w:rPr>
  </w:style>
  <w:style w:type="paragraph" w:styleId="29">
    <w:name w:val="List Paragraph"/>
    <w:basedOn w:val="1"/>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30">
    <w:name w:val="正文_1_0"/>
    <w:next w:val="31"/>
    <w:qFormat/>
    <w:uiPriority w:val="1"/>
    <w:pPr>
      <w:widowControl w:val="0"/>
    </w:pPr>
    <w:rPr>
      <w:rFonts w:ascii="Times New Roman" w:hAnsi="Times New Roman" w:eastAsia="宋体" w:cs="Times New Roman"/>
      <w:sz w:val="22"/>
      <w:szCs w:val="21"/>
      <w:lang w:val="en-US" w:eastAsia="zh-CN" w:bidi="ar-SA"/>
    </w:rPr>
  </w:style>
  <w:style w:type="paragraph" w:customStyle="1" w:styleId="31">
    <w:name w:val="正文_17"/>
    <w:qFormat/>
    <w:uiPriority w:val="0"/>
    <w:pPr>
      <w:widowControl w:val="0"/>
      <w:jc w:val="both"/>
    </w:pPr>
    <w:rPr>
      <w:rFonts w:ascii="Calibri" w:hAnsi="Calibri" w:eastAsia="宋体" w:cs="Times New Roman"/>
      <w:kern w:val="2"/>
      <w:sz w:val="21"/>
      <w:szCs w:val="22"/>
      <w:lang w:val="en-US" w:eastAsia="zh-CN" w:bidi="ar-SA"/>
    </w:rPr>
  </w:style>
  <w:style w:type="character" w:customStyle="1" w:styleId="32">
    <w:name w:val="font11"/>
    <w:qFormat/>
    <w:uiPriority w:val="0"/>
    <w:rPr>
      <w:rFonts w:hint="eastAsia" w:ascii="宋体" w:hAnsi="宋体" w:eastAsia="宋体" w:cs="宋体"/>
      <w:color w:val="000000"/>
      <w:sz w:val="18"/>
      <w:szCs w:val="18"/>
      <w:u w:val="none"/>
    </w:rPr>
  </w:style>
  <w:style w:type="character" w:customStyle="1" w:styleId="33">
    <w:name w:val="font21"/>
    <w:qFormat/>
    <w:uiPriority w:val="99"/>
    <w:rPr>
      <w:rFonts w:ascii="宋体" w:hAnsi="宋体" w:eastAsia="宋体" w:cs="宋体"/>
      <w:color w:val="000000"/>
      <w:sz w:val="18"/>
      <w:szCs w:val="18"/>
      <w:u w:val="none"/>
    </w:rPr>
  </w:style>
  <w:style w:type="paragraph" w:customStyle="1" w:styleId="34">
    <w:name w:val="样式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36">
    <w:name w:val="15"/>
    <w:qFormat/>
    <w:uiPriority w:val="0"/>
    <w:rPr>
      <w:rFonts w:hint="default" w:ascii="Arial" w:hAnsi="Arial" w:cs="Arial"/>
      <w:b/>
      <w:color w:val="000000"/>
      <w:sz w:val="48"/>
      <w:szCs w:val="48"/>
    </w:rPr>
  </w:style>
  <w:style w:type="character" w:customStyle="1" w:styleId="37">
    <w:name w:val="font41"/>
    <w:qFormat/>
    <w:uiPriority w:val="0"/>
    <w:rPr>
      <w:rFonts w:hint="eastAsia" w:ascii="黑体" w:hAnsi="宋体" w:eastAsia="黑体" w:cs="黑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69670</Words>
  <Characters>78850</Characters>
  <Lines>2</Lines>
  <Paragraphs>1</Paragraphs>
  <TotalTime>2</TotalTime>
  <ScaleCrop>false</ScaleCrop>
  <LinksUpToDate>false</LinksUpToDate>
  <CharactersWithSpaces>79599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2021-04-29T03:47:00Z</dcterms:created>
  <dc:creator>季云峰/采办项目组/集团公司机关</dc:creator>
  <cp:lastModifiedBy>梁庆钱</cp:lastModifiedBy>
  <dcterms:modified xsi:type="dcterms:W3CDTF">2026-07-09T05:53:16Z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067B530CFBA543CD8788B31C4008A834</vt:lpwstr>
  </property>
</Properties>
</file>