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tabs>
          <w:tab w:val="left" w:pos="0"/>
          <w:tab w:val="left" w:pos="420"/>
          <w:tab w:val="center" w:pos="4153"/>
        </w:tabs>
        <w:autoSpaceDE w:val="0"/>
        <w:autoSpaceDN w:val="0"/>
        <w:adjustRightInd w:val="0"/>
        <w:spacing w:line="360" w:lineRule="auto"/>
        <w:jc w:val="center"/>
        <w:outlineLvl w:val="0"/>
        <w:rPr>
          <w:rFonts w:hint="eastAsia" w:ascii="仿宋" w:hAnsi="仿宋" w:eastAsia="仿宋" w:cs="仿宋"/>
          <w:b w:val="0"/>
          <w:bCs/>
          <w:i w:val="0"/>
          <w:iCs w:val="0"/>
          <w:kern w:val="44"/>
          <w:sz w:val="44"/>
          <w:szCs w:val="44"/>
        </w:rPr>
      </w:pPr>
      <w:r>
        <w:rPr>
          <w:rFonts w:hint="eastAsia" w:ascii="仿宋" w:hAnsi="仿宋" w:eastAsia="仿宋" w:cs="仿宋"/>
          <w:b w:val="0"/>
          <w:bCs/>
          <w:i w:val="0"/>
          <w:iCs w:val="0"/>
          <w:kern w:val="44"/>
          <w:sz w:val="44"/>
          <w:szCs w:val="44"/>
        </w:rPr>
        <w:t>采办计划公告</w:t>
      </w:r>
    </w:p>
    <w:p>
      <w:pPr>
        <w:spacing w:line="360" w:lineRule="auto"/>
        <w:rPr>
          <w:rFonts w:hint="eastAsia" w:ascii="仿宋" w:hAnsi="仿宋" w:eastAsia="仿宋" w:cs="仿宋"/>
          <w:b w:val="0"/>
          <w:bCs/>
          <w:i w:val="0"/>
          <w:iCs w:val="0"/>
          <w:sz w:val="32"/>
        </w:rPr>
      </w:pPr>
    </w:p>
    <w:p>
      <w:pPr>
        <w:tabs>
          <w:tab w:val="left" w:pos="993"/>
          <w:tab w:val="left" w:pos="1134"/>
          <w:tab w:val="left" w:pos="1418"/>
        </w:tabs>
        <w:spacing w:line="360" w:lineRule="auto"/>
        <w:ind w:firstLine="640" w:firstLineChars="200"/>
        <w:rPr>
          <w:rFonts w:hint="eastAsia" w:ascii="仿宋" w:hAnsi="仿宋" w:eastAsia="仿宋" w:cs="仿宋"/>
          <w:b w:val="0"/>
          <w:bCs/>
          <w:i w:val="0"/>
          <w:iCs w:val="0"/>
          <w:sz w:val="32"/>
          <w:szCs w:val="32"/>
        </w:rPr>
      </w:pPr>
      <w:r>
        <w:rPr>
          <w:rFonts w:hint="eastAsia" w:ascii="仿宋" w:hAnsi="仿宋" w:eastAsia="仿宋" w:cs="仿宋"/>
          <w:b w:val="0"/>
          <w:bCs/>
          <w:i w:val="0"/>
          <w:iCs w:val="0"/>
          <w:sz w:val="32"/>
          <w:szCs w:val="32"/>
        </w:rPr>
        <w:t>为便于</w:t>
      </w:r>
      <w:r>
        <w:rPr>
          <w:rFonts w:hint="eastAsia" w:ascii="仿宋" w:hAnsi="仿宋" w:eastAsia="仿宋" w:cs="仿宋"/>
          <w:b w:val="0"/>
          <w:bCs/>
          <w:i w:val="0"/>
          <w:iCs w:val="0"/>
          <w:sz w:val="32"/>
          <w:szCs w:val="32"/>
          <w:lang w:eastAsia="zh-CN"/>
        </w:rPr>
        <w:t>卖方</w:t>
      </w:r>
      <w:r>
        <w:rPr>
          <w:rFonts w:hint="eastAsia" w:ascii="仿宋" w:hAnsi="仿宋" w:eastAsia="仿宋" w:cs="仿宋"/>
          <w:b w:val="0"/>
          <w:bCs/>
          <w:i w:val="0"/>
          <w:iCs w:val="0"/>
          <w:sz w:val="32"/>
          <w:szCs w:val="32"/>
        </w:rPr>
        <w:t>及时了解项目采办信息，现将</w:t>
      </w:r>
      <w:r>
        <w:rPr>
          <w:rFonts w:hint="eastAsia" w:ascii="仿宋" w:hAnsi="仿宋" w:eastAsia="仿宋" w:cs="仿宋"/>
          <w:b w:val="0"/>
          <w:bCs/>
          <w:i w:val="0"/>
          <w:iCs w:val="0"/>
          <w:sz w:val="32"/>
          <w:szCs w:val="32"/>
          <w:u w:val="single"/>
        </w:rPr>
        <w:t>（</w:t>
      </w:r>
      <w:r>
        <w:rPr>
          <w:rFonts w:hint="eastAsia" w:ascii="仿宋" w:hAnsi="仿宋" w:eastAsia="仿宋" w:cs="仿宋"/>
          <w:b w:val="0"/>
          <w:bCs/>
          <w:i w:val="0"/>
          <w:iCs w:val="0"/>
          <w:sz w:val="32"/>
          <w:szCs w:val="32"/>
          <w:u w:val="single"/>
          <w:lang w:val="en-US" w:eastAsia="zh-CN"/>
        </w:rPr>
        <w:t>工程技术公司移动变频控制站箱体采购</w:t>
      </w:r>
      <w:r>
        <w:rPr>
          <w:rFonts w:hint="eastAsia" w:ascii="仿宋" w:hAnsi="仿宋" w:eastAsia="仿宋" w:cs="仿宋"/>
          <w:b w:val="0"/>
          <w:bCs/>
          <w:i w:val="0"/>
          <w:iCs w:val="0"/>
          <w:sz w:val="32"/>
          <w:szCs w:val="32"/>
          <w:u w:val="single"/>
        </w:rPr>
        <w:t>）</w:t>
      </w:r>
      <w:r>
        <w:rPr>
          <w:rFonts w:hint="eastAsia" w:ascii="仿宋" w:hAnsi="仿宋" w:eastAsia="仿宋" w:cs="仿宋"/>
          <w:b w:val="0"/>
          <w:bCs/>
          <w:i w:val="0"/>
          <w:iCs w:val="0"/>
          <w:sz w:val="32"/>
          <w:szCs w:val="32"/>
        </w:rPr>
        <w:t>的采办计划公开如下：</w:t>
      </w:r>
    </w:p>
    <w:tbl>
      <w:tblPr>
        <w:tblStyle w:val="28"/>
        <w:tblW w:w="507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297"/>
        <w:gridCol w:w="1081"/>
        <w:gridCol w:w="5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pct"/>
            <w:vAlign w:val="center"/>
          </w:tcPr>
          <w:p>
            <w:pPr>
              <w:spacing w:line="240" w:lineRule="auto"/>
              <w:jc w:val="center"/>
              <w:rPr>
                <w:rFonts w:hint="eastAsia" w:ascii="仿宋" w:hAnsi="仿宋" w:eastAsia="仿宋" w:cs="仿宋"/>
                <w:b w:val="0"/>
                <w:bCs/>
                <w:i w:val="0"/>
                <w:iCs w:val="0"/>
                <w:kern w:val="0"/>
                <w:sz w:val="21"/>
                <w:szCs w:val="21"/>
              </w:rPr>
            </w:pPr>
            <w:r>
              <w:rPr>
                <w:rFonts w:hint="eastAsia" w:ascii="仿宋" w:hAnsi="仿宋" w:eastAsia="仿宋" w:cs="仿宋"/>
                <w:b w:val="0"/>
                <w:bCs/>
                <w:i w:val="0"/>
                <w:iCs w:val="0"/>
                <w:kern w:val="0"/>
                <w:sz w:val="21"/>
                <w:szCs w:val="21"/>
              </w:rPr>
              <w:t>采办包</w:t>
            </w:r>
          </w:p>
          <w:p>
            <w:pPr>
              <w:spacing w:line="240" w:lineRule="auto"/>
              <w:jc w:val="center"/>
              <w:rPr>
                <w:rFonts w:hint="eastAsia" w:ascii="仿宋" w:hAnsi="仿宋" w:eastAsia="仿宋" w:cs="仿宋"/>
                <w:b w:val="0"/>
                <w:bCs/>
                <w:i w:val="0"/>
                <w:iCs w:val="0"/>
                <w:kern w:val="0"/>
                <w:sz w:val="21"/>
                <w:szCs w:val="21"/>
              </w:rPr>
            </w:pPr>
            <w:r>
              <w:rPr>
                <w:rFonts w:hint="eastAsia" w:ascii="仿宋" w:hAnsi="仿宋" w:eastAsia="仿宋" w:cs="仿宋"/>
                <w:b w:val="0"/>
                <w:bCs/>
                <w:i w:val="0"/>
                <w:iCs w:val="0"/>
                <w:kern w:val="0"/>
                <w:sz w:val="21"/>
                <w:szCs w:val="21"/>
              </w:rPr>
              <w:t>名称</w:t>
            </w:r>
          </w:p>
        </w:tc>
        <w:tc>
          <w:tcPr>
            <w:tcW w:w="749" w:type="pct"/>
            <w:vAlign w:val="center"/>
          </w:tcPr>
          <w:p>
            <w:pPr>
              <w:spacing w:line="240" w:lineRule="auto"/>
              <w:jc w:val="center"/>
              <w:rPr>
                <w:rFonts w:hint="eastAsia" w:ascii="仿宋" w:hAnsi="仿宋" w:eastAsia="仿宋" w:cs="仿宋"/>
                <w:b w:val="0"/>
                <w:bCs/>
                <w:i w:val="0"/>
                <w:iCs w:val="0"/>
                <w:kern w:val="0"/>
                <w:sz w:val="21"/>
                <w:szCs w:val="21"/>
              </w:rPr>
            </w:pPr>
            <w:r>
              <w:rPr>
                <w:rFonts w:hint="eastAsia" w:ascii="仿宋" w:hAnsi="仿宋" w:eastAsia="仿宋" w:cs="仿宋"/>
                <w:b w:val="0"/>
                <w:bCs/>
                <w:i w:val="0"/>
                <w:iCs w:val="0"/>
                <w:kern w:val="0"/>
                <w:sz w:val="21"/>
                <w:szCs w:val="21"/>
              </w:rPr>
              <w:t>采购范围与主要技术指标</w:t>
            </w:r>
          </w:p>
        </w:tc>
        <w:tc>
          <w:tcPr>
            <w:tcW w:w="624" w:type="pct"/>
            <w:vAlign w:val="center"/>
          </w:tcPr>
          <w:p>
            <w:pPr>
              <w:spacing w:line="240" w:lineRule="auto"/>
              <w:jc w:val="center"/>
              <w:rPr>
                <w:rFonts w:hint="eastAsia" w:ascii="仿宋" w:hAnsi="仿宋" w:eastAsia="仿宋" w:cs="仿宋"/>
                <w:b w:val="0"/>
                <w:bCs/>
                <w:i w:val="0"/>
                <w:iCs w:val="0"/>
                <w:kern w:val="0"/>
                <w:sz w:val="21"/>
                <w:szCs w:val="21"/>
                <w:lang w:val="en-US" w:eastAsia="zh-CN"/>
              </w:rPr>
            </w:pPr>
            <w:r>
              <w:rPr>
                <w:rFonts w:hint="eastAsia" w:ascii="仿宋" w:hAnsi="仿宋" w:eastAsia="仿宋" w:cs="仿宋"/>
                <w:b w:val="0"/>
                <w:bCs/>
                <w:i w:val="0"/>
                <w:iCs w:val="0"/>
                <w:kern w:val="0"/>
                <w:sz w:val="21"/>
                <w:szCs w:val="21"/>
                <w:lang w:val="en-US" w:eastAsia="zh-CN"/>
              </w:rPr>
              <w:t>内容</w:t>
            </w:r>
          </w:p>
        </w:tc>
        <w:tc>
          <w:tcPr>
            <w:tcW w:w="3229" w:type="pct"/>
            <w:vAlign w:val="center"/>
          </w:tcPr>
          <w:p>
            <w:pPr>
              <w:spacing w:line="240" w:lineRule="auto"/>
              <w:jc w:val="center"/>
              <w:rPr>
                <w:rFonts w:hint="eastAsia" w:ascii="仿宋" w:hAnsi="仿宋" w:eastAsia="仿宋" w:cs="仿宋"/>
                <w:b w:val="0"/>
                <w:bCs/>
                <w:i w:val="0"/>
                <w:iCs w:val="0"/>
                <w:kern w:val="0"/>
                <w:sz w:val="21"/>
                <w:szCs w:val="21"/>
              </w:rPr>
            </w:pPr>
            <w:r>
              <w:rPr>
                <w:rFonts w:hint="eastAsia" w:ascii="仿宋" w:hAnsi="仿宋" w:eastAsia="仿宋" w:cs="仿宋"/>
                <w:b w:val="0"/>
                <w:bCs/>
                <w:i w:val="0"/>
                <w:iCs w:val="0"/>
                <w:kern w:val="0"/>
                <w:sz w:val="21"/>
                <w:szCs w:val="21"/>
              </w:rPr>
              <w:t>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6" w:type="pct"/>
            <w:vMerge w:val="restart"/>
            <w:vAlign w:val="center"/>
          </w:tcPr>
          <w:p>
            <w:pPr>
              <w:spacing w:line="240" w:lineRule="auto"/>
              <w:rPr>
                <w:rFonts w:hint="eastAsia" w:ascii="仿宋" w:hAnsi="仿宋" w:eastAsia="仿宋" w:cs="仿宋"/>
                <w:b w:val="0"/>
                <w:bCs/>
                <w:i w:val="0"/>
                <w:iCs w:val="0"/>
                <w:kern w:val="0"/>
                <w:sz w:val="21"/>
                <w:szCs w:val="21"/>
                <w:u w:val="single"/>
                <w:lang w:eastAsia="zh-CN"/>
              </w:rPr>
            </w:pPr>
            <w:r>
              <w:rPr>
                <w:rFonts w:hint="eastAsia" w:ascii="仿宋" w:hAnsi="仿宋" w:eastAsia="仿宋" w:cs="仿宋"/>
                <w:b w:val="0"/>
                <w:bCs/>
                <w:i w:val="0"/>
                <w:iCs w:val="0"/>
                <w:kern w:val="0"/>
                <w:sz w:val="21"/>
                <w:szCs w:val="21"/>
                <w:u w:val="single"/>
                <w:lang w:val="en-US" w:eastAsia="zh-CN"/>
              </w:rPr>
              <w:t>工程技术公司移动变频控制站箱体采购</w:t>
            </w:r>
          </w:p>
        </w:tc>
        <w:tc>
          <w:tcPr>
            <w:tcW w:w="749" w:type="pct"/>
            <w:vMerge w:val="restart"/>
            <w:vAlign w:val="center"/>
          </w:tcPr>
          <w:p>
            <w:pPr>
              <w:widowControl/>
              <w:numPr>
                <w:ilvl w:val="0"/>
                <w:numId w:val="0"/>
              </w:numPr>
              <w:spacing w:line="240" w:lineRule="auto"/>
              <w:jc w:val="left"/>
              <w:rPr>
                <w:rFonts w:hint="eastAsia" w:ascii="仿宋" w:hAnsi="仿宋" w:eastAsia="仿宋" w:cs="仿宋"/>
                <w:b w:val="0"/>
                <w:bCs/>
                <w:i w:val="0"/>
                <w:iCs w:val="0"/>
                <w:sz w:val="21"/>
                <w:szCs w:val="21"/>
                <w:lang w:val="en-US" w:eastAsia="zh-CN" w:bidi="ar"/>
              </w:rPr>
            </w:pPr>
            <w:r>
              <w:rPr>
                <w:rFonts w:hint="eastAsia" w:ascii="仿宋" w:hAnsi="仿宋" w:eastAsia="仿宋" w:cs="仿宋"/>
                <w:b w:val="0"/>
                <w:bCs/>
                <w:i w:val="0"/>
                <w:iCs w:val="0"/>
                <w:sz w:val="21"/>
                <w:szCs w:val="21"/>
                <w:lang w:val="en-US" w:eastAsia="zh-CN"/>
              </w:rPr>
              <w:t>应答人需提供符合技术要求的产品</w:t>
            </w:r>
            <w:r>
              <w:rPr>
                <w:rFonts w:hint="eastAsia" w:ascii="仿宋" w:hAnsi="仿宋" w:eastAsia="仿宋" w:cs="仿宋"/>
                <w:b w:val="0"/>
                <w:bCs/>
                <w:i w:val="0"/>
                <w:iCs w:val="0"/>
                <w:sz w:val="21"/>
                <w:szCs w:val="21"/>
                <w:lang w:eastAsia="zh-CN" w:bidi="ar"/>
              </w:rPr>
              <w:t>。</w:t>
            </w:r>
          </w:p>
          <w:p>
            <w:pPr>
              <w:widowControl/>
              <w:numPr>
                <w:ilvl w:val="0"/>
                <w:numId w:val="0"/>
              </w:numPr>
              <w:spacing w:line="240" w:lineRule="auto"/>
              <w:jc w:val="left"/>
              <w:rPr>
                <w:rFonts w:hint="eastAsia" w:ascii="仿宋" w:hAnsi="仿宋" w:eastAsia="仿宋" w:cs="仿宋"/>
                <w:b w:val="0"/>
                <w:bCs/>
                <w:i w:val="0"/>
                <w:iCs w:val="0"/>
                <w:sz w:val="21"/>
                <w:szCs w:val="21"/>
                <w:lang w:val="en-US" w:eastAsia="zh-CN"/>
              </w:rPr>
            </w:pPr>
            <w:r>
              <w:rPr>
                <w:rFonts w:hint="eastAsia" w:ascii="仿宋" w:hAnsi="仿宋" w:eastAsia="仿宋" w:cs="仿宋"/>
                <w:b w:val="0"/>
                <w:bCs/>
                <w:i w:val="0"/>
                <w:iCs w:val="0"/>
                <w:sz w:val="21"/>
                <w:szCs w:val="21"/>
                <w:lang w:val="en-US" w:eastAsia="zh-CN"/>
              </w:rPr>
              <w:t>预计发标时间2026年7月。</w:t>
            </w:r>
          </w:p>
          <w:p>
            <w:pPr>
              <w:pStyle w:val="8"/>
              <w:spacing w:line="240" w:lineRule="auto"/>
              <w:ind w:left="0" w:leftChars="0" w:firstLine="0" w:firstLineChars="0"/>
              <w:rPr>
                <w:rFonts w:hint="eastAsia" w:ascii="仿宋" w:hAnsi="仿宋" w:eastAsia="仿宋" w:cs="仿宋"/>
                <w:b w:val="0"/>
                <w:bCs/>
                <w:i w:val="0"/>
                <w:iCs w:val="0"/>
                <w:sz w:val="21"/>
                <w:szCs w:val="21"/>
                <w:lang w:val="en-US" w:eastAsia="zh-CN"/>
              </w:rPr>
            </w:pPr>
            <w:r>
              <w:rPr>
                <w:rFonts w:hint="eastAsia" w:ascii="仿宋" w:hAnsi="仿宋" w:eastAsia="仿宋" w:cs="仿宋"/>
                <w:b w:val="0"/>
                <w:bCs/>
                <w:i w:val="0"/>
                <w:iCs w:val="0"/>
                <w:sz w:val="21"/>
                <w:szCs w:val="21"/>
                <w:lang w:val="en-US" w:eastAsia="zh-CN"/>
              </w:rPr>
              <w:t>产品清单、</w:t>
            </w:r>
            <w:r>
              <w:rPr>
                <w:rFonts w:hint="eastAsia" w:ascii="仿宋" w:hAnsi="仿宋" w:eastAsia="仿宋" w:cs="仿宋"/>
                <w:b w:val="0"/>
                <w:bCs/>
                <w:i w:val="0"/>
                <w:iCs w:val="0"/>
                <w:sz w:val="21"/>
                <w:szCs w:val="21"/>
                <w:highlight w:val="none"/>
                <w:lang w:val="en-US" w:eastAsia="zh-CN"/>
              </w:rPr>
              <w:t>技术要求详见附件。</w:t>
            </w:r>
          </w:p>
        </w:tc>
        <w:tc>
          <w:tcPr>
            <w:tcW w:w="624" w:type="pct"/>
            <w:vAlign w:val="center"/>
          </w:tcPr>
          <w:p>
            <w:pPr>
              <w:pStyle w:val="59"/>
              <w:spacing w:line="240" w:lineRule="auto"/>
              <w:jc w:val="center"/>
              <w:rPr>
                <w:rFonts w:hint="eastAsia" w:ascii="仿宋" w:hAnsi="仿宋" w:eastAsia="仿宋" w:cs="仿宋"/>
                <w:b w:val="0"/>
                <w:bCs/>
                <w:i w:val="0"/>
                <w:iCs w:val="0"/>
                <w:kern w:val="2"/>
                <w:sz w:val="21"/>
                <w:szCs w:val="21"/>
                <w:highlight w:val="none"/>
                <w:lang w:val="en-US" w:eastAsia="zh-CN" w:bidi="ar-SA"/>
              </w:rPr>
            </w:pPr>
            <w:r>
              <w:rPr>
                <w:rFonts w:hint="eastAsia" w:ascii="仿宋" w:hAnsi="仿宋" w:eastAsia="仿宋" w:cs="仿宋"/>
                <w:b w:val="0"/>
                <w:bCs/>
                <w:i w:val="0"/>
                <w:iCs w:val="0"/>
                <w:sz w:val="21"/>
                <w:szCs w:val="21"/>
                <w:lang w:val="en-US" w:eastAsia="zh-CN"/>
              </w:rPr>
              <w:t>★营业执照</w:t>
            </w:r>
          </w:p>
        </w:tc>
        <w:tc>
          <w:tcPr>
            <w:tcW w:w="3229" w:type="pct"/>
            <w:vAlign w:val="center"/>
          </w:tcPr>
          <w:p>
            <w:pPr>
              <w:pStyle w:val="59"/>
              <w:spacing w:line="240" w:lineRule="auto"/>
              <w:jc w:val="both"/>
              <w:rPr>
                <w:rFonts w:hint="eastAsia" w:ascii="仿宋" w:hAnsi="仿宋" w:eastAsia="仿宋" w:cs="仿宋"/>
                <w:b w:val="0"/>
                <w:bCs/>
                <w:i w:val="0"/>
                <w:iCs w:val="0"/>
                <w:kern w:val="0"/>
                <w:sz w:val="21"/>
                <w:szCs w:val="21"/>
                <w:u w:val="single"/>
              </w:rPr>
            </w:pPr>
            <w:r>
              <w:rPr>
                <w:rFonts w:hint="eastAsia" w:ascii="仿宋" w:hAnsi="仿宋" w:eastAsia="仿宋" w:cs="仿宋"/>
                <w:b w:val="0"/>
                <w:bCs/>
                <w:i w:val="0"/>
                <w:iCs w:val="0"/>
                <w:sz w:val="21"/>
                <w:szCs w:val="21"/>
                <w:lang w:eastAsia="zh-CN"/>
              </w:rPr>
              <w:t>应答人具有合法有效的企业法人营业执照、税务登记证及组织机构代码证或证照合一的营业执照，投标时需提供原件扫描件（原件备查）。 应答人为事业单位的，应具有合法有效的事业单位法人证书，投标时需提供原件扫描件（原件备查）。应答人为分公司的，应具有合法有效的营业执照和上级法人单位授权书，分公司与上级法人单位只可一家参与投标，同时参与投标的，投标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396" w:type="pct"/>
            <w:vMerge w:val="continue"/>
            <w:vAlign w:val="center"/>
          </w:tcPr>
          <w:p>
            <w:pPr>
              <w:spacing w:line="240" w:lineRule="auto"/>
              <w:rPr>
                <w:rFonts w:hint="eastAsia" w:ascii="仿宋" w:hAnsi="仿宋" w:eastAsia="仿宋" w:cs="仿宋"/>
                <w:b w:val="0"/>
                <w:bCs/>
                <w:i w:val="0"/>
                <w:iCs w:val="0"/>
                <w:sz w:val="21"/>
                <w:szCs w:val="21"/>
                <w:u w:val="single"/>
                <w:lang w:eastAsia="zh-CN"/>
              </w:rPr>
            </w:pPr>
          </w:p>
        </w:tc>
        <w:tc>
          <w:tcPr>
            <w:tcW w:w="749" w:type="pct"/>
            <w:vMerge w:val="continue"/>
            <w:vAlign w:val="center"/>
          </w:tcPr>
          <w:p>
            <w:pPr>
              <w:spacing w:line="240" w:lineRule="auto"/>
              <w:rPr>
                <w:rFonts w:hint="eastAsia" w:ascii="仿宋" w:hAnsi="仿宋" w:eastAsia="仿宋" w:cs="仿宋"/>
                <w:b w:val="0"/>
                <w:bCs/>
                <w:i w:val="0"/>
                <w:iCs w:val="0"/>
                <w:sz w:val="21"/>
                <w:szCs w:val="21"/>
                <w:u w:val="single"/>
              </w:rPr>
            </w:pPr>
          </w:p>
        </w:tc>
        <w:tc>
          <w:tcPr>
            <w:tcW w:w="624" w:type="pct"/>
            <w:vAlign w:val="center"/>
          </w:tcPr>
          <w:p>
            <w:pPr>
              <w:pStyle w:val="59"/>
              <w:spacing w:line="240" w:lineRule="auto"/>
              <w:jc w:val="center"/>
              <w:rPr>
                <w:rFonts w:hint="eastAsia" w:ascii="仿宋" w:hAnsi="仿宋" w:eastAsia="仿宋" w:cs="仿宋"/>
                <w:b w:val="0"/>
                <w:bCs/>
                <w:i w:val="0"/>
                <w:iCs w:val="0"/>
                <w:sz w:val="21"/>
                <w:szCs w:val="21"/>
                <w:highlight w:val="none"/>
                <w:lang w:eastAsia="zh-CN"/>
              </w:rPr>
            </w:pPr>
            <w:r>
              <w:rPr>
                <w:rFonts w:hint="eastAsia" w:ascii="仿宋" w:hAnsi="仿宋" w:eastAsia="仿宋" w:cs="仿宋"/>
                <w:b w:val="0"/>
                <w:bCs/>
                <w:i w:val="0"/>
                <w:iCs w:val="0"/>
                <w:sz w:val="21"/>
                <w:szCs w:val="21"/>
                <w:lang w:val="en-US" w:eastAsia="zh-CN"/>
              </w:rPr>
              <w:t>★</w:t>
            </w:r>
            <w:r>
              <w:rPr>
                <w:rFonts w:hint="eastAsia" w:ascii="仿宋" w:hAnsi="仿宋" w:eastAsia="仿宋" w:cs="仿宋"/>
                <w:b w:val="0"/>
                <w:bCs/>
                <w:i w:val="0"/>
                <w:iCs w:val="0"/>
                <w:sz w:val="21"/>
                <w:szCs w:val="21"/>
                <w:lang w:eastAsia="zh-CN"/>
              </w:rPr>
              <w:t>信誉要求</w:t>
            </w:r>
          </w:p>
        </w:tc>
        <w:tc>
          <w:tcPr>
            <w:tcW w:w="3229" w:type="pct"/>
            <w:vAlign w:val="center"/>
          </w:tcPr>
          <w:p>
            <w:pPr>
              <w:pStyle w:val="59"/>
              <w:spacing w:line="240" w:lineRule="auto"/>
              <w:jc w:val="both"/>
              <w:rPr>
                <w:rFonts w:hint="eastAsia" w:ascii="仿宋" w:hAnsi="仿宋" w:eastAsia="仿宋" w:cs="仿宋"/>
                <w:b w:val="0"/>
                <w:bCs/>
                <w:i w:val="0"/>
                <w:iCs w:val="0"/>
                <w:sz w:val="21"/>
                <w:szCs w:val="21"/>
                <w:lang w:eastAsia="zh-CN"/>
              </w:rPr>
            </w:pPr>
            <w:r>
              <w:rPr>
                <w:rFonts w:hint="eastAsia" w:ascii="仿宋" w:hAnsi="仿宋" w:eastAsia="仿宋" w:cs="仿宋"/>
                <w:b w:val="0"/>
                <w:bCs/>
                <w:i w:val="0"/>
                <w:iCs w:val="0"/>
                <w:sz w:val="21"/>
                <w:szCs w:val="21"/>
                <w:lang w:eastAsia="zh-CN"/>
              </w:rPr>
              <w:t>1.应答人不得是最高人民法院在“信用中国”网站（www.creditchina.gov.cn）或</w:t>
            </w:r>
          </w:p>
          <w:p>
            <w:pPr>
              <w:pStyle w:val="59"/>
              <w:spacing w:line="240" w:lineRule="auto"/>
              <w:jc w:val="both"/>
              <w:rPr>
                <w:rFonts w:hint="eastAsia" w:ascii="仿宋" w:hAnsi="仿宋" w:eastAsia="仿宋" w:cs="仿宋"/>
                <w:b w:val="0"/>
                <w:bCs/>
                <w:i w:val="0"/>
                <w:iCs w:val="0"/>
                <w:sz w:val="21"/>
                <w:szCs w:val="21"/>
                <w:lang w:eastAsia="zh-CN"/>
              </w:rPr>
            </w:pPr>
            <w:r>
              <w:rPr>
                <w:rFonts w:hint="eastAsia" w:ascii="仿宋" w:hAnsi="仿宋" w:eastAsia="仿宋" w:cs="仿宋"/>
                <w:b w:val="0"/>
                <w:bCs/>
                <w:i w:val="0"/>
                <w:iCs w:val="0"/>
                <w:sz w:val="21"/>
                <w:szCs w:val="21"/>
                <w:lang w:eastAsia="zh-CN"/>
              </w:rPr>
              <w:t>“中国执行信息公开网”（http://zxgk.court.gov.cn/）列入失信被执行人名单；</w:t>
            </w:r>
          </w:p>
          <w:p>
            <w:pPr>
              <w:pStyle w:val="59"/>
              <w:spacing w:line="240" w:lineRule="auto"/>
              <w:jc w:val="both"/>
              <w:rPr>
                <w:rFonts w:hint="eastAsia" w:ascii="仿宋" w:hAnsi="仿宋" w:eastAsia="仿宋" w:cs="仿宋"/>
                <w:b w:val="0"/>
                <w:bCs/>
                <w:i w:val="0"/>
                <w:iCs w:val="0"/>
                <w:sz w:val="21"/>
                <w:szCs w:val="21"/>
                <w:lang w:eastAsia="zh-CN"/>
              </w:rPr>
            </w:pPr>
            <w:r>
              <w:rPr>
                <w:rFonts w:hint="eastAsia" w:ascii="仿宋" w:hAnsi="仿宋" w:eastAsia="仿宋" w:cs="仿宋"/>
                <w:b w:val="0"/>
                <w:bCs/>
                <w:i w:val="0"/>
                <w:iCs w:val="0"/>
                <w:sz w:val="21"/>
                <w:szCs w:val="21"/>
                <w:lang w:eastAsia="zh-CN"/>
              </w:rPr>
              <w:t>2.近3年（202</w:t>
            </w:r>
            <w:r>
              <w:rPr>
                <w:rFonts w:hint="eastAsia" w:ascii="仿宋" w:hAnsi="仿宋" w:eastAsia="仿宋" w:cs="仿宋"/>
                <w:b w:val="0"/>
                <w:bCs/>
                <w:i w:val="0"/>
                <w:iCs w:val="0"/>
                <w:sz w:val="21"/>
                <w:szCs w:val="21"/>
                <w:lang w:val="en-US" w:eastAsia="zh-CN"/>
              </w:rPr>
              <w:t>3</w:t>
            </w:r>
            <w:r>
              <w:rPr>
                <w:rFonts w:hint="eastAsia" w:ascii="仿宋" w:hAnsi="仿宋" w:eastAsia="仿宋" w:cs="仿宋"/>
                <w:b w:val="0"/>
                <w:bCs/>
                <w:i w:val="0"/>
                <w:iCs w:val="0"/>
                <w:sz w:val="21"/>
                <w:szCs w:val="21"/>
                <w:lang w:eastAsia="zh-CN"/>
              </w:rPr>
              <w:t>年1月1日-报价截止日前）内应答人或其法定代表人、拟委任的项目负责人不得有行贿犯罪行为，查询网站为“中国裁判文书网”http://wenshu.court.gov.cn）；</w:t>
            </w:r>
          </w:p>
          <w:p>
            <w:pPr>
              <w:pStyle w:val="59"/>
              <w:spacing w:line="240" w:lineRule="auto"/>
              <w:jc w:val="both"/>
              <w:rPr>
                <w:rFonts w:hint="eastAsia" w:ascii="仿宋" w:hAnsi="仿宋" w:eastAsia="仿宋" w:cs="仿宋"/>
                <w:b w:val="0"/>
                <w:bCs/>
                <w:i w:val="0"/>
                <w:iCs w:val="0"/>
                <w:sz w:val="21"/>
                <w:szCs w:val="21"/>
                <w:lang w:eastAsia="zh-CN"/>
              </w:rPr>
            </w:pPr>
            <w:r>
              <w:rPr>
                <w:rFonts w:hint="eastAsia" w:ascii="仿宋" w:hAnsi="仿宋" w:eastAsia="仿宋" w:cs="仿宋"/>
                <w:b w:val="0"/>
                <w:bCs/>
                <w:i w:val="0"/>
                <w:iCs w:val="0"/>
                <w:sz w:val="21"/>
                <w:szCs w:val="21"/>
                <w:lang w:eastAsia="zh-CN"/>
              </w:rPr>
              <w:t>3.应答人不得被工商行政管理机关在全国企业信用信息公示系统（http://www.gsxt.gov.cn）中列入严重违法失信企业名单。事业单位、大学除外。</w:t>
            </w:r>
          </w:p>
          <w:p>
            <w:pPr>
              <w:pStyle w:val="59"/>
              <w:spacing w:line="240" w:lineRule="auto"/>
              <w:jc w:val="both"/>
              <w:rPr>
                <w:rFonts w:hint="eastAsia" w:ascii="仿宋" w:hAnsi="仿宋" w:eastAsia="仿宋" w:cs="仿宋"/>
                <w:b w:val="0"/>
                <w:bCs/>
                <w:i w:val="0"/>
                <w:iCs w:val="0"/>
                <w:sz w:val="21"/>
                <w:szCs w:val="21"/>
                <w:lang w:eastAsia="zh-CN"/>
              </w:rPr>
            </w:pPr>
            <w:r>
              <w:rPr>
                <w:rFonts w:hint="eastAsia" w:ascii="仿宋" w:hAnsi="仿宋" w:eastAsia="仿宋" w:cs="仿宋"/>
                <w:b w:val="0"/>
                <w:bCs/>
                <w:i w:val="0"/>
                <w:iCs w:val="0"/>
                <w:sz w:val="21"/>
                <w:szCs w:val="21"/>
                <w:lang w:eastAsia="zh-CN"/>
              </w:rPr>
              <w:t>4.应答人与本采购项目其他应答人不得存在控股关系或管理关系、单位负责人为同一人的情形。在非公开采购项目中，严禁存在控股关系或管理关系、单位负责人为同一人、同一自然人同时持有两家公司非公开上市股份的情形。</w:t>
            </w:r>
          </w:p>
          <w:p>
            <w:pPr>
              <w:pStyle w:val="59"/>
              <w:spacing w:line="240" w:lineRule="auto"/>
              <w:jc w:val="both"/>
              <w:rPr>
                <w:rFonts w:hint="eastAsia" w:ascii="仿宋" w:hAnsi="仿宋" w:eastAsia="仿宋" w:cs="仿宋"/>
                <w:b w:val="0"/>
                <w:bCs/>
                <w:i w:val="0"/>
                <w:iCs w:val="0"/>
                <w:sz w:val="21"/>
                <w:szCs w:val="21"/>
                <w:lang w:eastAsia="zh-CN"/>
              </w:rPr>
            </w:pPr>
            <w:r>
              <w:rPr>
                <w:rFonts w:hint="eastAsia" w:ascii="仿宋" w:hAnsi="仿宋" w:eastAsia="仿宋" w:cs="仿宋"/>
                <w:b w:val="0"/>
                <w:bCs/>
                <w:i w:val="0"/>
                <w:iCs w:val="0"/>
                <w:sz w:val="21"/>
                <w:szCs w:val="21"/>
                <w:lang w:eastAsia="zh-CN"/>
              </w:rPr>
              <w:t>5.应答人应在应答文件中提供其公司章程或其他能够体现出资人、股东信息的法定文件，作为评标/评审时的依据。</w:t>
            </w:r>
          </w:p>
          <w:p>
            <w:pPr>
              <w:pStyle w:val="59"/>
              <w:spacing w:line="240" w:lineRule="auto"/>
              <w:jc w:val="both"/>
              <w:rPr>
                <w:rFonts w:hint="eastAsia" w:ascii="仿宋" w:hAnsi="仿宋" w:eastAsia="仿宋" w:cs="仿宋"/>
                <w:b w:val="0"/>
                <w:bCs/>
                <w:i w:val="0"/>
                <w:iCs w:val="0"/>
                <w:sz w:val="21"/>
                <w:szCs w:val="21"/>
                <w:lang w:eastAsia="zh-CN"/>
              </w:rPr>
            </w:pPr>
            <w:r>
              <w:rPr>
                <w:rFonts w:hint="eastAsia" w:ascii="仿宋" w:hAnsi="仿宋" w:eastAsia="仿宋" w:cs="仿宋"/>
                <w:b w:val="0"/>
                <w:bCs/>
                <w:i w:val="0"/>
                <w:iCs w:val="0"/>
                <w:sz w:val="21"/>
                <w:szCs w:val="21"/>
                <w:lang w:eastAsia="zh-CN"/>
              </w:rPr>
              <w:t>6.应答人承诺：中国海油在职员工（不含正式派出的）未有在应答人单位担任股东、法人代表、董事、监事和其他任职人员的情形。</w:t>
            </w:r>
          </w:p>
          <w:p>
            <w:pPr>
              <w:pStyle w:val="59"/>
              <w:spacing w:line="240" w:lineRule="auto"/>
              <w:jc w:val="both"/>
              <w:rPr>
                <w:rFonts w:hint="eastAsia" w:ascii="仿宋" w:hAnsi="仿宋" w:eastAsia="仿宋" w:cs="仿宋"/>
                <w:b w:val="0"/>
                <w:bCs/>
                <w:i w:val="0"/>
                <w:iCs w:val="0"/>
                <w:sz w:val="21"/>
                <w:szCs w:val="21"/>
                <w:lang w:val="en-US" w:eastAsia="zh-CN"/>
              </w:rPr>
            </w:pPr>
            <w:r>
              <w:rPr>
                <w:rFonts w:hint="eastAsia" w:ascii="仿宋" w:hAnsi="仿宋" w:eastAsia="仿宋" w:cs="仿宋"/>
                <w:b w:val="0"/>
                <w:bCs/>
                <w:i w:val="0"/>
                <w:iCs w:val="0"/>
                <w:color w:val="C00000"/>
                <w:kern w:val="2"/>
                <w:sz w:val="21"/>
                <w:szCs w:val="21"/>
                <w:highlight w:val="none"/>
                <w:lang w:val="en-US" w:eastAsia="zh-CN" w:bidi="ar-SA"/>
              </w:rPr>
              <w:t>上述要求应答人投标时应提供卖方承诺书。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396" w:type="pct"/>
            <w:vMerge w:val="continue"/>
            <w:vAlign w:val="center"/>
          </w:tcPr>
          <w:p>
            <w:pPr>
              <w:pStyle w:val="10"/>
              <w:spacing w:line="240" w:lineRule="auto"/>
              <w:rPr>
                <w:rFonts w:hint="eastAsia" w:ascii="仿宋" w:hAnsi="仿宋" w:eastAsia="仿宋" w:cs="仿宋"/>
                <w:b w:val="0"/>
                <w:bCs/>
                <w:i w:val="0"/>
                <w:iCs w:val="0"/>
                <w:sz w:val="21"/>
                <w:szCs w:val="21"/>
                <w:lang w:eastAsia="zh-CN"/>
              </w:rPr>
            </w:pPr>
          </w:p>
        </w:tc>
        <w:tc>
          <w:tcPr>
            <w:tcW w:w="749" w:type="pct"/>
            <w:vMerge w:val="continue"/>
            <w:vAlign w:val="center"/>
          </w:tcPr>
          <w:p>
            <w:pPr>
              <w:spacing w:line="240" w:lineRule="auto"/>
              <w:rPr>
                <w:rFonts w:hint="eastAsia" w:ascii="仿宋" w:hAnsi="仿宋" w:eastAsia="仿宋" w:cs="仿宋"/>
                <w:b w:val="0"/>
                <w:bCs/>
                <w:i w:val="0"/>
                <w:iCs w:val="0"/>
                <w:kern w:val="0"/>
                <w:sz w:val="21"/>
                <w:szCs w:val="21"/>
                <w:u w:val="single"/>
                <w:lang w:val="en-US" w:eastAsia="zh-CN"/>
              </w:rPr>
            </w:pPr>
          </w:p>
        </w:tc>
        <w:tc>
          <w:tcPr>
            <w:tcW w:w="624" w:type="pct"/>
            <w:vAlign w:val="center"/>
          </w:tcPr>
          <w:p>
            <w:pPr>
              <w:pStyle w:val="59"/>
              <w:spacing w:line="240" w:lineRule="auto"/>
              <w:jc w:val="center"/>
              <w:rPr>
                <w:rFonts w:hint="eastAsia" w:ascii="仿宋" w:hAnsi="仿宋" w:eastAsia="仿宋" w:cs="仿宋"/>
                <w:b w:val="0"/>
                <w:bCs/>
                <w:i w:val="0"/>
                <w:iCs w:val="0"/>
                <w:kern w:val="2"/>
                <w:sz w:val="21"/>
                <w:szCs w:val="21"/>
                <w:highlight w:val="none"/>
                <w:lang w:val="en-US" w:eastAsia="zh-CN" w:bidi="ar-SA"/>
              </w:rPr>
            </w:pPr>
            <w:r>
              <w:rPr>
                <w:rFonts w:hint="eastAsia" w:ascii="仿宋" w:hAnsi="仿宋" w:eastAsia="仿宋" w:cs="仿宋"/>
                <w:b w:val="0"/>
                <w:bCs/>
                <w:i w:val="0"/>
                <w:iCs w:val="0"/>
                <w:sz w:val="21"/>
                <w:szCs w:val="21"/>
                <w:lang w:eastAsia="zh-CN"/>
              </w:rPr>
              <w:t>★应答人或应答人所提供的第三方不得存在的其他情形</w:t>
            </w:r>
          </w:p>
        </w:tc>
        <w:tc>
          <w:tcPr>
            <w:tcW w:w="3229" w:type="pct"/>
            <w:vAlign w:val="center"/>
          </w:tcPr>
          <w:p>
            <w:pPr>
              <w:pStyle w:val="59"/>
              <w:spacing w:line="240" w:lineRule="auto"/>
              <w:jc w:val="both"/>
              <w:rPr>
                <w:rFonts w:hint="eastAsia" w:ascii="仿宋" w:hAnsi="仿宋" w:eastAsia="仿宋" w:cs="仿宋"/>
                <w:b w:val="0"/>
                <w:bCs/>
                <w:i w:val="0"/>
                <w:iCs w:val="0"/>
                <w:sz w:val="21"/>
                <w:szCs w:val="21"/>
                <w:lang w:eastAsia="zh-CN"/>
              </w:rPr>
            </w:pPr>
            <w:r>
              <w:rPr>
                <w:rFonts w:hint="eastAsia" w:ascii="仿宋" w:hAnsi="仿宋" w:eastAsia="仿宋" w:cs="仿宋"/>
                <w:b w:val="0"/>
                <w:bCs/>
                <w:i w:val="0"/>
                <w:iCs w:val="0"/>
                <w:sz w:val="21"/>
                <w:szCs w:val="21"/>
                <w:lang w:eastAsia="zh-CN"/>
              </w:rPr>
              <w:t>1.被中国海洋石油集团有限公司在集团范围内进行风险提示，且在中国海洋石油集团有限公司《中国海油供应链数字化平台》中被采购冻结，进入调查程序的；</w:t>
            </w:r>
          </w:p>
          <w:p>
            <w:pPr>
              <w:pStyle w:val="59"/>
              <w:spacing w:line="240" w:lineRule="auto"/>
              <w:jc w:val="both"/>
              <w:rPr>
                <w:rFonts w:hint="eastAsia" w:ascii="仿宋" w:hAnsi="仿宋" w:eastAsia="仿宋" w:cs="仿宋"/>
                <w:b w:val="0"/>
                <w:bCs/>
                <w:i w:val="0"/>
                <w:iCs w:val="0"/>
                <w:sz w:val="21"/>
                <w:szCs w:val="21"/>
                <w:lang w:eastAsia="zh-CN"/>
              </w:rPr>
            </w:pPr>
            <w:r>
              <w:rPr>
                <w:rFonts w:hint="eastAsia" w:ascii="仿宋" w:hAnsi="仿宋" w:eastAsia="仿宋" w:cs="仿宋"/>
                <w:b w:val="0"/>
                <w:bCs/>
                <w:i w:val="0"/>
                <w:iCs w:val="0"/>
                <w:sz w:val="21"/>
                <w:szCs w:val="21"/>
                <w:lang w:eastAsia="zh-CN"/>
              </w:rPr>
              <w:t>2.被中国海洋石油集团有限公司处以“取消投标资格”及以上处罚，且仍在处罚期内或处罚期满但在系统中的卖方档案中的“档案状态”为“采购冻结”、“业务状态”为“冻结”的；</w:t>
            </w:r>
          </w:p>
          <w:p>
            <w:pPr>
              <w:pStyle w:val="59"/>
              <w:spacing w:line="240" w:lineRule="auto"/>
              <w:jc w:val="both"/>
              <w:rPr>
                <w:rFonts w:hint="eastAsia" w:ascii="仿宋" w:hAnsi="仿宋" w:eastAsia="仿宋" w:cs="仿宋"/>
                <w:b w:val="0"/>
                <w:bCs/>
                <w:i w:val="0"/>
                <w:iCs w:val="0"/>
                <w:kern w:val="2"/>
                <w:sz w:val="21"/>
                <w:szCs w:val="21"/>
                <w:highlight w:val="none"/>
                <w:lang w:val="en-US" w:eastAsia="zh-CN" w:bidi="ar-SA"/>
              </w:rPr>
            </w:pPr>
            <w:r>
              <w:rPr>
                <w:rFonts w:hint="eastAsia" w:ascii="仿宋" w:hAnsi="仿宋" w:eastAsia="仿宋" w:cs="仿宋"/>
                <w:b w:val="0"/>
                <w:bCs/>
                <w:i w:val="0"/>
                <w:iCs w:val="0"/>
                <w:sz w:val="21"/>
                <w:szCs w:val="21"/>
                <w:lang w:eastAsia="zh-CN"/>
              </w:rPr>
              <w:t>3.被采购人所属单位处以“取消投标资格”及以上处罚，且仍在处罚期内或处罚期满但在系统中的卖方档案中的“业务状态”为冻结的；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396" w:type="pct"/>
            <w:vMerge w:val="continue"/>
            <w:vAlign w:val="center"/>
          </w:tcPr>
          <w:p>
            <w:pPr>
              <w:pStyle w:val="10"/>
              <w:spacing w:line="240" w:lineRule="auto"/>
              <w:rPr>
                <w:rFonts w:hint="eastAsia" w:ascii="仿宋" w:hAnsi="仿宋" w:eastAsia="仿宋" w:cs="仿宋"/>
                <w:b w:val="0"/>
                <w:bCs/>
                <w:i w:val="0"/>
                <w:iCs w:val="0"/>
                <w:sz w:val="21"/>
                <w:szCs w:val="21"/>
                <w:lang w:eastAsia="zh-CN"/>
              </w:rPr>
            </w:pPr>
          </w:p>
        </w:tc>
        <w:tc>
          <w:tcPr>
            <w:tcW w:w="749" w:type="pct"/>
            <w:vMerge w:val="continue"/>
            <w:vAlign w:val="center"/>
          </w:tcPr>
          <w:p>
            <w:pPr>
              <w:spacing w:line="240" w:lineRule="auto"/>
              <w:rPr>
                <w:rFonts w:hint="eastAsia" w:ascii="仿宋" w:hAnsi="仿宋" w:eastAsia="仿宋" w:cs="仿宋"/>
                <w:b w:val="0"/>
                <w:bCs/>
                <w:i w:val="0"/>
                <w:iCs w:val="0"/>
                <w:kern w:val="0"/>
                <w:sz w:val="21"/>
                <w:szCs w:val="21"/>
                <w:u w:val="single"/>
                <w:lang w:val="en-US" w:eastAsia="zh-CN"/>
              </w:rPr>
            </w:pPr>
          </w:p>
        </w:tc>
        <w:tc>
          <w:tcPr>
            <w:tcW w:w="624" w:type="pct"/>
            <w:vAlign w:val="center"/>
          </w:tcPr>
          <w:p>
            <w:pPr>
              <w:pStyle w:val="59"/>
              <w:spacing w:line="240" w:lineRule="auto"/>
              <w:jc w:val="center"/>
              <w:rPr>
                <w:rFonts w:hint="eastAsia" w:ascii="仿宋" w:hAnsi="仿宋" w:eastAsia="仿宋" w:cs="仿宋"/>
                <w:b w:val="0"/>
                <w:bCs/>
                <w:i w:val="0"/>
                <w:iCs w:val="0"/>
                <w:sz w:val="21"/>
                <w:szCs w:val="21"/>
                <w:lang w:val="en-US" w:eastAsia="zh-CN"/>
              </w:rPr>
            </w:pPr>
            <w:r>
              <w:rPr>
                <w:rFonts w:hint="eastAsia" w:ascii="仿宋" w:hAnsi="仿宋" w:eastAsia="仿宋" w:cs="仿宋"/>
                <w:b w:val="0"/>
                <w:bCs/>
                <w:i w:val="0"/>
                <w:iCs w:val="0"/>
                <w:sz w:val="21"/>
                <w:szCs w:val="21"/>
                <w:lang w:eastAsia="zh-CN"/>
              </w:rPr>
              <w:t>★</w:t>
            </w:r>
            <w:r>
              <w:rPr>
                <w:rFonts w:hint="eastAsia" w:ascii="仿宋" w:hAnsi="仿宋" w:eastAsia="仿宋" w:cs="仿宋"/>
                <w:b w:val="0"/>
                <w:bCs/>
                <w:i w:val="0"/>
                <w:iCs w:val="0"/>
                <w:sz w:val="21"/>
                <w:szCs w:val="21"/>
                <w:lang w:val="en-US" w:eastAsia="zh-CN"/>
              </w:rPr>
              <w:t>应答人属性</w:t>
            </w:r>
          </w:p>
        </w:tc>
        <w:tc>
          <w:tcPr>
            <w:tcW w:w="3229" w:type="pct"/>
            <w:vAlign w:val="center"/>
          </w:tcPr>
          <w:p>
            <w:pPr>
              <w:pStyle w:val="59"/>
              <w:spacing w:line="240" w:lineRule="auto"/>
              <w:jc w:val="both"/>
              <w:rPr>
                <w:rFonts w:hint="eastAsia" w:ascii="仿宋" w:hAnsi="仿宋" w:eastAsia="仿宋" w:cs="仿宋"/>
                <w:b w:val="0"/>
                <w:bCs/>
                <w:i w:val="0"/>
                <w:iCs w:val="0"/>
                <w:sz w:val="21"/>
                <w:szCs w:val="21"/>
                <w:highlight w:val="none"/>
                <w:lang w:val="en-US" w:eastAsia="zh-CN"/>
              </w:rPr>
            </w:pPr>
            <w:r>
              <w:rPr>
                <w:rFonts w:hint="eastAsia" w:ascii="仿宋" w:hAnsi="仿宋" w:eastAsia="仿宋" w:cs="仿宋"/>
                <w:b w:val="0"/>
                <w:bCs/>
                <w:i w:val="0"/>
                <w:iCs w:val="0"/>
                <w:sz w:val="21"/>
                <w:szCs w:val="21"/>
                <w:highlight w:val="none"/>
                <w:lang w:eastAsia="zh-CN"/>
              </w:rPr>
              <w:t>本项</w:t>
            </w:r>
            <w:r>
              <w:rPr>
                <w:rFonts w:hint="eastAsia" w:ascii="仿宋" w:hAnsi="仿宋" w:eastAsia="仿宋" w:cs="仿宋"/>
                <w:b w:val="0"/>
                <w:bCs/>
                <w:i w:val="0"/>
                <w:iCs w:val="0"/>
                <w:sz w:val="21"/>
                <w:szCs w:val="21"/>
                <w:highlight w:val="none"/>
                <w:lang w:val="en-US" w:eastAsia="zh-CN"/>
              </w:rPr>
              <w:t>目仅允许所投货物的</w:t>
            </w:r>
            <w:r>
              <w:rPr>
                <w:rFonts w:hint="eastAsia" w:ascii="仿宋" w:hAnsi="仿宋" w:eastAsia="仿宋" w:cs="仿宋"/>
                <w:b w:val="0"/>
                <w:bCs/>
                <w:i w:val="0"/>
                <w:iCs w:val="0"/>
                <w:sz w:val="21"/>
                <w:szCs w:val="21"/>
                <w:highlight w:val="cyan"/>
                <w:lang w:val="en-US" w:eastAsia="zh-CN"/>
              </w:rPr>
              <w:t>制造商</w:t>
            </w:r>
            <w:r>
              <w:rPr>
                <w:rFonts w:hint="eastAsia" w:ascii="仿宋" w:hAnsi="仿宋" w:eastAsia="仿宋" w:cs="仿宋"/>
                <w:b w:val="0"/>
                <w:bCs/>
                <w:i w:val="0"/>
                <w:iCs w:val="0"/>
                <w:sz w:val="21"/>
                <w:szCs w:val="21"/>
                <w:highlight w:val="none"/>
                <w:lang w:val="en-US" w:eastAsia="zh-CN"/>
              </w:rPr>
              <w:t>参与。</w:t>
            </w:r>
          </w:p>
          <w:p>
            <w:pPr>
              <w:pStyle w:val="59"/>
              <w:spacing w:line="240" w:lineRule="auto"/>
              <w:jc w:val="both"/>
              <w:rPr>
                <w:rFonts w:hint="default" w:ascii="仿宋" w:hAnsi="仿宋" w:eastAsia="仿宋" w:cs="仿宋"/>
                <w:b w:val="0"/>
                <w:bCs/>
                <w:i w:val="0"/>
                <w:iCs w:val="0"/>
                <w:sz w:val="21"/>
                <w:szCs w:val="21"/>
                <w:highlight w:val="none"/>
                <w:lang w:val="en-US" w:eastAsia="zh-CN"/>
              </w:rPr>
            </w:pPr>
            <w:r>
              <w:rPr>
                <w:rFonts w:hint="eastAsia" w:ascii="仿宋" w:hAnsi="仿宋" w:eastAsia="仿宋" w:cs="仿宋"/>
                <w:b w:val="0"/>
                <w:bCs/>
                <w:i w:val="0"/>
                <w:iCs w:val="0"/>
                <w:sz w:val="21"/>
                <w:szCs w:val="21"/>
                <w:highlight w:val="none"/>
                <w:lang w:val="en-US" w:eastAsia="zh-CN"/>
              </w:rPr>
              <w:t>应答人投标时须提供《制造商承诺书》原件扫描件。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96" w:type="pct"/>
            <w:vMerge w:val="continue"/>
            <w:vAlign w:val="center"/>
          </w:tcPr>
          <w:p>
            <w:pPr>
              <w:pStyle w:val="10"/>
              <w:spacing w:line="240" w:lineRule="auto"/>
              <w:rPr>
                <w:rFonts w:hint="eastAsia" w:ascii="仿宋" w:hAnsi="仿宋" w:eastAsia="仿宋" w:cs="仿宋"/>
                <w:b w:val="0"/>
                <w:bCs/>
                <w:i w:val="0"/>
                <w:iCs w:val="0"/>
                <w:sz w:val="21"/>
                <w:szCs w:val="21"/>
                <w:lang w:eastAsia="zh-CN"/>
              </w:rPr>
            </w:pPr>
          </w:p>
        </w:tc>
        <w:tc>
          <w:tcPr>
            <w:tcW w:w="749" w:type="pct"/>
            <w:vMerge w:val="continue"/>
            <w:vAlign w:val="center"/>
          </w:tcPr>
          <w:p>
            <w:pPr>
              <w:spacing w:line="240" w:lineRule="auto"/>
              <w:rPr>
                <w:rFonts w:hint="eastAsia" w:ascii="仿宋" w:hAnsi="仿宋" w:eastAsia="仿宋" w:cs="仿宋"/>
                <w:b w:val="0"/>
                <w:bCs/>
                <w:i w:val="0"/>
                <w:iCs w:val="0"/>
                <w:kern w:val="0"/>
                <w:sz w:val="21"/>
                <w:szCs w:val="21"/>
                <w:u w:val="single"/>
                <w:lang w:val="en-US" w:eastAsia="zh-CN"/>
              </w:rPr>
            </w:pPr>
          </w:p>
        </w:tc>
        <w:tc>
          <w:tcPr>
            <w:tcW w:w="624" w:type="pct"/>
            <w:vAlign w:val="center"/>
          </w:tcPr>
          <w:p>
            <w:pPr>
              <w:pStyle w:val="59"/>
              <w:spacing w:line="300" w:lineRule="exact"/>
              <w:jc w:val="both"/>
              <w:rPr>
                <w:rFonts w:hint="default" w:ascii="仿宋" w:hAnsi="仿宋" w:eastAsia="仿宋" w:cs="仿宋"/>
                <w:b w:val="0"/>
                <w:bCs/>
                <w:i w:val="0"/>
                <w:iCs w:val="0"/>
                <w:kern w:val="2"/>
                <w:sz w:val="21"/>
                <w:szCs w:val="21"/>
                <w:lang w:val="en-US" w:eastAsia="zh-CN"/>
              </w:rPr>
            </w:pPr>
            <w:r>
              <w:rPr>
                <w:rFonts w:hint="eastAsia" w:ascii="仿宋" w:hAnsi="仿宋" w:eastAsia="仿宋" w:cs="仿宋"/>
                <w:color w:val="auto"/>
                <w:sz w:val="21"/>
                <w:szCs w:val="21"/>
                <w:highlight w:val="none"/>
                <w:lang w:val="en-US" w:eastAsia="zh-CN"/>
              </w:rPr>
              <w:t>★</w:t>
            </w:r>
            <w:r>
              <w:rPr>
                <w:rFonts w:hint="eastAsia" w:ascii="仿宋" w:hAnsi="仿宋" w:eastAsia="仿宋" w:cs="仿宋"/>
                <w:b w:val="0"/>
                <w:bCs/>
                <w:color w:val="000000" w:themeColor="text1"/>
                <w:sz w:val="21"/>
                <w:szCs w:val="21"/>
                <w:highlight w:val="none"/>
                <w:lang w:val="en-US" w:eastAsia="zh-CN"/>
                <w14:textFill>
                  <w14:solidFill>
                    <w14:schemeClr w14:val="tx1"/>
                  </w14:solidFill>
                </w14:textFill>
              </w:rPr>
              <w:t>业绩要求</w:t>
            </w:r>
          </w:p>
        </w:tc>
        <w:tc>
          <w:tcPr>
            <w:tcW w:w="3229" w:type="pct"/>
            <w:vAlign w:val="center"/>
          </w:tcPr>
          <w:p>
            <w:pPr>
              <w:spacing w:line="240" w:lineRule="auto"/>
              <w:rPr>
                <w:rFonts w:hint="eastAsia" w:ascii="仿宋" w:hAnsi="仿宋" w:eastAsia="仿宋" w:cs="仿宋"/>
                <w:b/>
                <w:bCs/>
                <w:i/>
                <w:iCs/>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t>1）2023年1月1日至应答截止日</w:t>
            </w:r>
            <w:r>
              <w:rPr>
                <w:rFonts w:hint="eastAsia" w:ascii="仿宋" w:hAnsi="仿宋" w:eastAsia="仿宋" w:cs="仿宋"/>
                <w:color w:val="FF0000"/>
                <w:kern w:val="2"/>
                <w:sz w:val="21"/>
                <w:szCs w:val="21"/>
                <w:highlight w:val="none"/>
                <w:lang w:val="en-US" w:eastAsia="zh-CN" w:bidi="ar-SA"/>
              </w:rPr>
              <w:t>（以合同签署时间为准）</w:t>
            </w:r>
            <w:r>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t>，应答人应提交1个合同的</w:t>
            </w:r>
            <w:r>
              <w:rPr>
                <w:rFonts w:hint="eastAsia" w:ascii="仿宋" w:hAnsi="仿宋" w:eastAsia="仿宋" w:cs="仿宋"/>
                <w:color w:val="000000" w:themeColor="text1"/>
                <w:kern w:val="2"/>
                <w:sz w:val="21"/>
                <w:szCs w:val="21"/>
                <w:highlight w:val="cyan"/>
                <w:lang w:val="en-US" w:eastAsia="zh-CN" w:bidi="ar-SA"/>
                <w14:textFill>
                  <w14:solidFill>
                    <w14:schemeClr w14:val="tx1"/>
                  </w14:solidFill>
                </w14:textFill>
              </w:rPr>
              <w:t>移动控制站箱体</w:t>
            </w:r>
            <w:r>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t>产品的已完成的供货业绩。</w:t>
            </w:r>
          </w:p>
          <w:p>
            <w:pPr>
              <w:numPr>
                <w:ilvl w:val="0"/>
                <w:numId w:val="0"/>
              </w:numPr>
              <w:spacing w:line="240" w:lineRule="auto"/>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t>2）应答人须按规定格式提交业绩，并提交相关业绩证明文件。业绩证明文件必须至少体现以下内容：①业绩合同复印件，包括：合同首页、合同签署时间、合同签署页（应有双方签字或盖章）、供货内容等内容</w:t>
            </w:r>
            <w:r>
              <w:rPr>
                <w:rFonts w:hint="eastAsia" w:ascii="仿宋" w:hAnsi="仿宋" w:eastAsia="仿宋" w:cs="仿宋"/>
                <w:color w:val="auto"/>
                <w:kern w:val="2"/>
                <w:sz w:val="21"/>
                <w:szCs w:val="21"/>
                <w:highlight w:val="none"/>
                <w:lang w:val="en-US" w:eastAsia="zh-CN" w:bidi="ar-SA"/>
              </w:rPr>
              <w:t>；</w:t>
            </w:r>
            <w:r>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t>②</w:t>
            </w:r>
            <w:r>
              <w:rPr>
                <w:rFonts w:hint="eastAsia" w:ascii="仿宋" w:hAnsi="仿宋" w:eastAsia="仿宋" w:cs="仿宋"/>
                <w:color w:val="000000" w:themeColor="text1"/>
                <w:sz w:val="21"/>
                <w:szCs w:val="21"/>
                <w:highlight w:val="none"/>
                <w:lang w:val="en-US" w:eastAsia="zh-CN"/>
                <w14:textFill>
                  <w14:solidFill>
                    <w14:schemeClr w14:val="tx1"/>
                  </w14:solidFill>
                </w14:textFill>
              </w:rPr>
              <w:t>合同</w:t>
            </w:r>
            <w:r>
              <w:rPr>
                <w:rFonts w:hint="eastAsia" w:ascii="仿宋" w:hAnsi="仿宋" w:eastAsia="仿宋" w:cs="仿宋"/>
                <w:color w:val="000000" w:themeColor="text1"/>
                <w:sz w:val="21"/>
                <w:szCs w:val="21"/>
                <w:highlight w:val="none"/>
                <w14:textFill>
                  <w14:solidFill>
                    <w14:schemeClr w14:val="tx1"/>
                  </w14:solidFill>
                </w14:textFill>
              </w:rPr>
              <w:t>所对应的结算</w:t>
            </w:r>
            <w:r>
              <w:rPr>
                <w:rFonts w:hint="eastAsia" w:ascii="仿宋" w:hAnsi="仿宋" w:eastAsia="仿宋" w:cs="仿宋"/>
                <w:b/>
                <w:bCs/>
                <w:color w:val="FF0000"/>
                <w:sz w:val="21"/>
                <w:szCs w:val="21"/>
                <w:highlight w:val="yellow"/>
                <w:lang w:val="en-US" w:eastAsia="zh-CN"/>
              </w:rPr>
              <w:t>全额发票</w:t>
            </w:r>
            <w:r>
              <w:rPr>
                <w:rFonts w:hint="eastAsia" w:ascii="仿宋" w:hAnsi="仿宋" w:eastAsia="仿宋" w:cs="仿宋"/>
                <w:color w:val="000000" w:themeColor="text1"/>
                <w:sz w:val="21"/>
                <w:szCs w:val="21"/>
                <w:highlight w:val="none"/>
                <w:lang w:eastAsia="zh-CN"/>
                <w14:textFill>
                  <w14:solidFill>
                    <w14:schemeClr w14:val="tx1"/>
                  </w14:solidFill>
                </w14:textFill>
              </w:rPr>
              <w:t>。（</w:t>
            </w:r>
            <w:r>
              <w:rPr>
                <w:rFonts w:hint="eastAsia" w:ascii="仿宋" w:hAnsi="仿宋" w:eastAsia="仿宋" w:cs="仿宋"/>
                <w:b/>
                <w:bCs/>
                <w:color w:val="000000" w:themeColor="text1"/>
                <w:sz w:val="21"/>
                <w:szCs w:val="21"/>
                <w:highlight w:val="none"/>
                <w:lang w:eastAsia="zh-CN"/>
                <w14:textFill>
                  <w14:solidFill>
                    <w14:schemeClr w14:val="tx1"/>
                  </w14:solidFill>
                </w14:textFill>
              </w:rPr>
              <w:t>备注：上述两项资料都需要提供，否则可能影响评审结果</w:t>
            </w:r>
            <w:r>
              <w:rPr>
                <w:rFonts w:hint="eastAsia" w:ascii="仿宋" w:hAnsi="仿宋" w:eastAsia="仿宋" w:cs="仿宋"/>
                <w:color w:val="000000" w:themeColor="text1"/>
                <w:sz w:val="21"/>
                <w:szCs w:val="21"/>
                <w:highlight w:val="none"/>
                <w:lang w:eastAsia="zh-CN"/>
                <w14:textFill>
                  <w14:solidFill>
                    <w14:schemeClr w14:val="tx1"/>
                  </w14:solidFill>
                </w14:textFill>
              </w:rPr>
              <w:t>）</w:t>
            </w:r>
          </w:p>
          <w:p>
            <w:pPr>
              <w:numPr>
                <w:ilvl w:val="0"/>
                <w:numId w:val="0"/>
              </w:numPr>
              <w:spacing w:line="240" w:lineRule="auto"/>
              <w:rPr>
                <w:rFonts w:hint="eastAsia" w:ascii="仿宋" w:hAnsi="仿宋" w:eastAsia="仿宋" w:cs="仿宋"/>
                <w:b/>
                <w:bCs/>
                <w:strike w:val="0"/>
                <w:dstrike w:val="0"/>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3）</w:t>
            </w:r>
            <w:r>
              <w:rPr>
                <w:rFonts w:hint="eastAsia" w:ascii="仿宋" w:hAnsi="仿宋" w:eastAsia="仿宋" w:cs="仿宋"/>
                <w:color w:val="000000" w:themeColor="text1"/>
                <w:sz w:val="21"/>
                <w:szCs w:val="21"/>
                <w:highlight w:val="none"/>
                <w:lang w:eastAsia="zh-CN"/>
                <w14:textFill>
                  <w14:solidFill>
                    <w14:schemeClr w14:val="tx1"/>
                  </w14:solidFill>
                </w14:textFill>
              </w:rPr>
              <w:t>若业绩合同为框架协议，还应至少提供1项完成订单，要求订单编号或者内容要与框架协议相关联，并提供相应的发票。同一个年协合同提供1项及以上订单的均算为1个有效业绩。</w:t>
            </w:r>
          </w:p>
          <w:p>
            <w:pPr>
              <w:pStyle w:val="3"/>
              <w:ind w:left="0" w:leftChars="0" w:firstLine="0" w:firstLineChars="0"/>
              <w:rPr>
                <w:rFonts w:hint="eastAsia"/>
                <w:lang w:eastAsia="zh-CN"/>
              </w:rPr>
            </w:pPr>
            <w:r>
              <w:rPr>
                <w:rFonts w:hint="eastAsia" w:ascii="仿宋" w:hAnsi="仿宋" w:eastAsia="仿宋" w:cs="仿宋"/>
                <w:b/>
                <w:bCs/>
                <w:color w:val="auto"/>
                <w:kern w:val="2"/>
                <w:sz w:val="21"/>
                <w:szCs w:val="21"/>
                <w:highlight w:val="none"/>
                <w:lang w:val="en-US" w:eastAsia="zh-CN" w:bidi="ar-SA"/>
              </w:rPr>
              <w:t>4）</w:t>
            </w:r>
            <w:r>
              <w:rPr>
                <w:rFonts w:hint="eastAsia" w:ascii="仿宋" w:hAnsi="仿宋" w:eastAsia="仿宋" w:cs="仿宋"/>
                <w:b/>
                <w:bCs/>
                <w:color w:val="000000" w:themeColor="text1"/>
                <w:kern w:val="2"/>
                <w:sz w:val="21"/>
                <w:szCs w:val="21"/>
                <w:highlight w:val="none"/>
                <w:lang w:val="en-US" w:eastAsia="zh-CN" w:bidi="ar-SA"/>
                <w14:textFill>
                  <w14:solidFill>
                    <w14:schemeClr w14:val="tx1"/>
                  </w14:solidFill>
                </w14:textFill>
              </w:rPr>
              <w:t>没有提供业绩证明文件或部分业绩证明文件，均视为未响应。</w:t>
            </w:r>
            <w:r>
              <w:rPr>
                <w:rFonts w:hint="eastAsia" w:ascii="仿宋" w:hAnsi="仿宋" w:eastAsia="仿宋" w:cs="仿宋"/>
                <w:b/>
                <w:bCs/>
                <w:color w:val="auto"/>
                <w:kern w:val="2"/>
                <w:sz w:val="21"/>
                <w:szCs w:val="21"/>
                <w:highlight w:val="none"/>
                <w:lang w:val="en-US" w:eastAsia="zh-CN" w:bidi="ar-SA"/>
              </w:rPr>
              <w:t>应答人所提供的业绩须为合格且有效的业绩，全部发票不得出现因质量等问题导致的退票、作废、红冲等情况。</w:t>
            </w: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评审时评委通过网上查询发票真伪，</w:t>
            </w:r>
            <w:r>
              <w:rPr>
                <w:rFonts w:hint="eastAsia" w:ascii="仿宋" w:hAnsi="仿宋" w:eastAsia="仿宋" w:cs="仿宋"/>
                <w:b/>
                <w:bCs/>
                <w:strike w:val="0"/>
                <w:dstrike w:val="0"/>
                <w:color w:val="000000" w:themeColor="text1"/>
                <w:highlight w:val="none"/>
                <w:lang w:val="en-US" w:eastAsia="zh-CN"/>
                <w14:textFill>
                  <w14:solidFill>
                    <w14:schemeClr w14:val="tx1"/>
                  </w14:solidFill>
                </w14:textFill>
              </w:rPr>
              <w:t>如查询发票</w:t>
            </w:r>
            <w:r>
              <w:rPr>
                <w:rFonts w:hint="eastAsia" w:ascii="仿宋" w:hAnsi="仿宋" w:eastAsia="仿宋" w:cs="仿宋"/>
                <w:b/>
                <w:bCs/>
                <w:color w:val="auto"/>
                <w:kern w:val="2"/>
                <w:sz w:val="21"/>
                <w:szCs w:val="21"/>
                <w:highlight w:val="none"/>
                <w:lang w:val="en-US" w:eastAsia="zh-CN" w:bidi="ar-SA"/>
              </w:rPr>
              <w:t>出现退票、作废、红冲等情况，</w:t>
            </w:r>
            <w:r>
              <w:rPr>
                <w:rFonts w:hint="eastAsia" w:ascii="仿宋" w:hAnsi="仿宋" w:eastAsia="仿宋" w:cs="仿宋"/>
                <w:b/>
                <w:bCs/>
                <w:color w:val="auto"/>
                <w:kern w:val="2"/>
                <w:sz w:val="21"/>
                <w:szCs w:val="21"/>
                <w:highlight w:val="yellow"/>
                <w:lang w:val="en-US" w:eastAsia="zh-CN" w:bidi="ar-SA"/>
              </w:rPr>
              <w:t>本项业绩将直接评审为不合格</w:t>
            </w:r>
            <w:r>
              <w:rPr>
                <w:rFonts w:hint="eastAsia" w:ascii="仿宋" w:hAnsi="仿宋" w:eastAsia="仿宋" w:cs="仿宋"/>
                <w:b/>
                <w:bCs/>
                <w:color w:val="000000" w:themeColor="text1"/>
                <w:sz w:val="21"/>
                <w:szCs w:val="21"/>
                <w:highlight w:val="yellow"/>
                <w:lang w:val="en-US" w:eastAsia="zh-CN"/>
                <w14:textFill>
                  <w14:solidFill>
                    <w14:schemeClr w14:val="tx1"/>
                  </w14:solidFill>
                </w14:textFill>
              </w:rPr>
              <w:t>。如包含多项业绩，每项业绩均按照以上要求评审，如所有业绩评审均不合格，则此项将直接评审为不合格。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96" w:type="pct"/>
            <w:vMerge w:val="continue"/>
            <w:vAlign w:val="center"/>
          </w:tcPr>
          <w:p>
            <w:pPr>
              <w:pStyle w:val="10"/>
              <w:spacing w:line="240" w:lineRule="auto"/>
              <w:rPr>
                <w:rFonts w:hint="eastAsia" w:ascii="仿宋" w:hAnsi="仿宋" w:eastAsia="仿宋" w:cs="仿宋"/>
                <w:b w:val="0"/>
                <w:bCs/>
                <w:i w:val="0"/>
                <w:iCs w:val="0"/>
                <w:sz w:val="21"/>
                <w:szCs w:val="21"/>
                <w:lang w:eastAsia="zh-CN"/>
              </w:rPr>
            </w:pPr>
          </w:p>
        </w:tc>
        <w:tc>
          <w:tcPr>
            <w:tcW w:w="749" w:type="pct"/>
            <w:vMerge w:val="continue"/>
            <w:vAlign w:val="center"/>
          </w:tcPr>
          <w:p>
            <w:pPr>
              <w:spacing w:line="240" w:lineRule="auto"/>
              <w:rPr>
                <w:rFonts w:hint="eastAsia" w:ascii="仿宋" w:hAnsi="仿宋" w:eastAsia="仿宋" w:cs="仿宋"/>
                <w:b w:val="0"/>
                <w:bCs/>
                <w:i w:val="0"/>
                <w:iCs w:val="0"/>
                <w:kern w:val="0"/>
                <w:sz w:val="21"/>
                <w:szCs w:val="21"/>
                <w:u w:val="single"/>
                <w:lang w:val="en-US" w:eastAsia="zh-CN"/>
              </w:rPr>
            </w:pPr>
          </w:p>
        </w:tc>
        <w:tc>
          <w:tcPr>
            <w:tcW w:w="624" w:type="pct"/>
            <w:vAlign w:val="center"/>
          </w:tcPr>
          <w:p>
            <w:pPr>
              <w:pStyle w:val="59"/>
              <w:spacing w:line="240" w:lineRule="auto"/>
              <w:jc w:val="both"/>
              <w:rPr>
                <w:rFonts w:hint="eastAsia" w:ascii="仿宋" w:hAnsi="仿宋" w:eastAsia="仿宋" w:cs="仿宋"/>
                <w:b w:val="0"/>
                <w:bCs/>
                <w:i w:val="0"/>
                <w:iCs w:val="0"/>
                <w:kern w:val="2"/>
                <w:sz w:val="21"/>
                <w:szCs w:val="21"/>
                <w:lang w:eastAsia="zh-CN"/>
              </w:rPr>
            </w:pPr>
            <w:r>
              <w:rPr>
                <w:rFonts w:hint="eastAsia" w:ascii="仿宋" w:hAnsi="仿宋" w:eastAsia="仿宋" w:cs="仿宋"/>
                <w:b w:val="0"/>
                <w:bCs/>
                <w:i w:val="0"/>
                <w:iCs w:val="0"/>
                <w:kern w:val="2"/>
                <w:sz w:val="21"/>
                <w:szCs w:val="21"/>
                <w:lang w:eastAsia="zh-CN"/>
              </w:rPr>
              <w:t>★付款条款</w:t>
            </w:r>
          </w:p>
        </w:tc>
        <w:tc>
          <w:tcPr>
            <w:tcW w:w="3229" w:type="pct"/>
            <w:vAlign w:val="center"/>
          </w:tcPr>
          <w:p>
            <w:pPr>
              <w:pStyle w:val="39"/>
              <w:spacing w:line="240" w:lineRule="auto"/>
              <w:rPr>
                <w:rFonts w:hint="eastAsia" w:ascii="仿宋" w:hAnsi="仿宋" w:eastAsia="仿宋" w:cs="仿宋"/>
                <w:b w:val="0"/>
                <w:bCs/>
                <w:i w:val="0"/>
                <w:iCs w:val="0"/>
                <w:lang w:eastAsia="zh-CN"/>
              </w:rPr>
            </w:pPr>
            <w:r>
              <w:rPr>
                <w:rFonts w:ascii="仿宋" w:hAnsi="仿宋" w:eastAsia="仿宋" w:cs="仿宋"/>
                <w:bCs/>
                <w:kern w:val="0"/>
                <w:szCs w:val="21"/>
                <w:lang w:val="en-US" w:eastAsia="zh-CN"/>
              </w:rPr>
              <w:t>卖方在合同规定的期限内将货物运至交货地点，双方检验正常，并调试完成后，经买方签字确认验收合格后，卖方向买方提供满足要求的全额增值税专用发票，买方四十五（45）日内向卖方支付合同总价的【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96" w:type="pct"/>
            <w:vMerge w:val="continue"/>
            <w:vAlign w:val="center"/>
          </w:tcPr>
          <w:p>
            <w:pPr>
              <w:pStyle w:val="10"/>
              <w:spacing w:line="240" w:lineRule="auto"/>
              <w:rPr>
                <w:rFonts w:hint="eastAsia" w:ascii="仿宋" w:hAnsi="仿宋" w:eastAsia="仿宋" w:cs="仿宋"/>
                <w:b w:val="0"/>
                <w:bCs/>
                <w:i w:val="0"/>
                <w:iCs w:val="0"/>
                <w:sz w:val="21"/>
                <w:szCs w:val="21"/>
                <w:lang w:eastAsia="zh-CN"/>
              </w:rPr>
            </w:pPr>
          </w:p>
        </w:tc>
        <w:tc>
          <w:tcPr>
            <w:tcW w:w="749" w:type="pct"/>
            <w:vMerge w:val="continue"/>
            <w:vAlign w:val="center"/>
          </w:tcPr>
          <w:p>
            <w:pPr>
              <w:spacing w:line="240" w:lineRule="auto"/>
              <w:rPr>
                <w:rFonts w:hint="eastAsia" w:ascii="仿宋" w:hAnsi="仿宋" w:eastAsia="仿宋" w:cs="仿宋"/>
                <w:b w:val="0"/>
                <w:bCs/>
                <w:i w:val="0"/>
                <w:iCs w:val="0"/>
                <w:kern w:val="0"/>
                <w:sz w:val="21"/>
                <w:szCs w:val="21"/>
                <w:u w:val="single"/>
                <w:lang w:val="en-US" w:eastAsia="zh-CN"/>
              </w:rPr>
            </w:pPr>
          </w:p>
        </w:tc>
        <w:tc>
          <w:tcPr>
            <w:tcW w:w="624" w:type="pct"/>
            <w:vAlign w:val="center"/>
          </w:tcPr>
          <w:p>
            <w:pPr>
              <w:pStyle w:val="59"/>
              <w:spacing w:line="240" w:lineRule="auto"/>
              <w:jc w:val="both"/>
              <w:rPr>
                <w:rFonts w:hint="eastAsia" w:ascii="仿宋" w:hAnsi="仿宋" w:eastAsia="仿宋" w:cs="仿宋"/>
                <w:b w:val="0"/>
                <w:bCs/>
                <w:i w:val="0"/>
                <w:iCs w:val="0"/>
                <w:kern w:val="2"/>
                <w:sz w:val="21"/>
                <w:szCs w:val="21"/>
                <w:highlight w:val="none"/>
                <w:lang w:val="en-US" w:eastAsia="zh-CN" w:bidi="ar-SA"/>
              </w:rPr>
            </w:pPr>
            <w:r>
              <w:rPr>
                <w:rFonts w:hint="eastAsia" w:ascii="仿宋" w:hAnsi="仿宋" w:eastAsia="仿宋" w:cs="仿宋"/>
                <w:b w:val="0"/>
                <w:bCs/>
                <w:i w:val="0"/>
                <w:iCs w:val="0"/>
                <w:kern w:val="2"/>
                <w:sz w:val="21"/>
                <w:szCs w:val="21"/>
                <w:lang w:eastAsia="zh-CN"/>
              </w:rPr>
              <w:t>★</w:t>
            </w:r>
            <w:r>
              <w:rPr>
                <w:rFonts w:hint="eastAsia" w:ascii="仿宋" w:hAnsi="仿宋" w:eastAsia="仿宋" w:cs="仿宋"/>
                <w:b w:val="0"/>
                <w:bCs/>
                <w:i w:val="0"/>
                <w:iCs w:val="0"/>
                <w:kern w:val="2"/>
                <w:sz w:val="21"/>
                <w:szCs w:val="21"/>
                <w:lang w:val="en-US" w:eastAsia="zh-CN"/>
              </w:rPr>
              <w:t>交货地点</w:t>
            </w:r>
          </w:p>
        </w:tc>
        <w:tc>
          <w:tcPr>
            <w:tcW w:w="3229" w:type="pct"/>
            <w:vAlign w:val="center"/>
          </w:tcPr>
          <w:p>
            <w:pPr>
              <w:pStyle w:val="59"/>
              <w:spacing w:line="240" w:lineRule="auto"/>
              <w:jc w:val="both"/>
              <w:rPr>
                <w:rFonts w:hint="default" w:ascii="仿宋" w:hAnsi="仿宋" w:eastAsia="仿宋" w:cs="仿宋"/>
                <w:b w:val="0"/>
                <w:bCs/>
                <w:i w:val="0"/>
                <w:iCs w:val="0"/>
                <w:sz w:val="21"/>
                <w:szCs w:val="21"/>
                <w:lang w:val="en-US" w:eastAsia="zh-CN"/>
              </w:rPr>
            </w:pPr>
            <w:r>
              <w:rPr>
                <w:rFonts w:hint="default" w:ascii="仿宋" w:hAnsi="仿宋" w:eastAsia="仿宋" w:cs="仿宋"/>
                <w:b w:val="0"/>
                <w:bCs/>
                <w:i w:val="0"/>
                <w:iCs w:val="0"/>
                <w:sz w:val="21"/>
                <w:szCs w:val="21"/>
                <w:lang w:val="en-US" w:eastAsia="zh-CN"/>
              </w:rPr>
              <w:t>天津市滨海新区临港经济区渤海二十三路与黄河道交叉口海油发展天津海洋装备智能制造基地电气厂库房收货人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96" w:type="pct"/>
            <w:vMerge w:val="continue"/>
            <w:vAlign w:val="center"/>
          </w:tcPr>
          <w:p>
            <w:pPr>
              <w:pStyle w:val="10"/>
              <w:spacing w:line="240" w:lineRule="auto"/>
              <w:rPr>
                <w:rFonts w:hint="eastAsia" w:ascii="仿宋" w:hAnsi="仿宋" w:eastAsia="仿宋" w:cs="仿宋"/>
                <w:b w:val="0"/>
                <w:bCs/>
                <w:i w:val="0"/>
                <w:iCs w:val="0"/>
                <w:sz w:val="21"/>
                <w:szCs w:val="21"/>
                <w:lang w:eastAsia="zh-CN"/>
              </w:rPr>
            </w:pPr>
          </w:p>
        </w:tc>
        <w:tc>
          <w:tcPr>
            <w:tcW w:w="749" w:type="pct"/>
            <w:vMerge w:val="continue"/>
            <w:vAlign w:val="center"/>
          </w:tcPr>
          <w:p>
            <w:pPr>
              <w:spacing w:line="240" w:lineRule="auto"/>
              <w:rPr>
                <w:rFonts w:hint="eastAsia" w:ascii="仿宋" w:hAnsi="仿宋" w:eastAsia="仿宋" w:cs="仿宋"/>
                <w:b w:val="0"/>
                <w:bCs/>
                <w:i w:val="0"/>
                <w:iCs w:val="0"/>
                <w:kern w:val="0"/>
                <w:sz w:val="21"/>
                <w:szCs w:val="21"/>
                <w:u w:val="single"/>
                <w:lang w:val="en-US" w:eastAsia="zh-CN"/>
              </w:rPr>
            </w:pPr>
          </w:p>
        </w:tc>
        <w:tc>
          <w:tcPr>
            <w:tcW w:w="624" w:type="pct"/>
            <w:vAlign w:val="center"/>
          </w:tcPr>
          <w:p>
            <w:pPr>
              <w:widowControl/>
              <w:spacing w:line="240" w:lineRule="auto"/>
              <w:ind w:right="11" w:rightChars="0"/>
              <w:jc w:val="center"/>
              <w:rPr>
                <w:rFonts w:hint="eastAsia" w:ascii="仿宋" w:hAnsi="仿宋" w:eastAsia="仿宋" w:cs="仿宋"/>
                <w:b w:val="0"/>
                <w:bCs/>
                <w:i w:val="0"/>
                <w:iCs w:val="0"/>
                <w:kern w:val="2"/>
                <w:sz w:val="21"/>
                <w:szCs w:val="21"/>
                <w:lang w:val="en-US" w:eastAsia="zh-CN"/>
              </w:rPr>
            </w:pPr>
            <w:r>
              <w:rPr>
                <w:rFonts w:hint="eastAsia" w:ascii="仿宋" w:hAnsi="仿宋" w:eastAsia="仿宋" w:cs="仿宋"/>
                <w:b w:val="0"/>
                <w:bCs/>
                <w:i w:val="0"/>
                <w:iCs w:val="0"/>
                <w:kern w:val="2"/>
                <w:sz w:val="21"/>
                <w:szCs w:val="21"/>
                <w:lang w:eastAsia="zh-CN"/>
              </w:rPr>
              <w:t>★</w:t>
            </w:r>
            <w:r>
              <w:rPr>
                <w:rFonts w:hint="eastAsia" w:ascii="仿宋" w:hAnsi="仿宋" w:eastAsia="仿宋" w:cs="仿宋"/>
                <w:b w:val="0"/>
                <w:bCs/>
                <w:i w:val="0"/>
                <w:iCs w:val="0"/>
                <w:kern w:val="0"/>
                <w:sz w:val="21"/>
                <w:szCs w:val="21"/>
              </w:rPr>
              <w:t>交货期</w:t>
            </w:r>
          </w:p>
        </w:tc>
        <w:tc>
          <w:tcPr>
            <w:tcW w:w="3229" w:type="pct"/>
            <w:vAlign w:val="center"/>
          </w:tcPr>
          <w:p>
            <w:pPr>
              <w:pStyle w:val="59"/>
              <w:spacing w:line="240" w:lineRule="auto"/>
              <w:jc w:val="both"/>
              <w:rPr>
                <w:rFonts w:hint="default" w:ascii="仿宋" w:hAnsi="仿宋" w:eastAsia="仿宋" w:cs="仿宋"/>
                <w:b w:val="0"/>
                <w:bCs/>
                <w:i w:val="0"/>
                <w:iCs w:val="0"/>
                <w:kern w:val="0"/>
                <w:sz w:val="21"/>
                <w:szCs w:val="21"/>
                <w:lang w:val="en-US" w:eastAsia="zh-CN" w:bidi="ar-SA"/>
              </w:rPr>
            </w:pPr>
            <w:r>
              <w:rPr>
                <w:rFonts w:hint="default" w:ascii="仿宋" w:hAnsi="仿宋" w:eastAsia="仿宋" w:cs="仿宋"/>
                <w:b w:val="0"/>
                <w:bCs/>
                <w:i w:val="0"/>
                <w:iCs w:val="0"/>
                <w:kern w:val="0"/>
                <w:sz w:val="21"/>
                <w:szCs w:val="21"/>
                <w:lang w:val="en-US" w:eastAsia="zh-CN" w:bidi="ar-SA"/>
              </w:rPr>
              <w:t>合同签订后90日内完成物资交付，具体交付日期请见联络函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96" w:type="pct"/>
            <w:vMerge w:val="continue"/>
            <w:vAlign w:val="center"/>
          </w:tcPr>
          <w:p>
            <w:pPr>
              <w:pStyle w:val="10"/>
              <w:spacing w:line="240" w:lineRule="auto"/>
              <w:rPr>
                <w:rFonts w:hint="eastAsia" w:ascii="仿宋" w:hAnsi="仿宋" w:eastAsia="仿宋" w:cs="仿宋"/>
                <w:b w:val="0"/>
                <w:bCs/>
                <w:i w:val="0"/>
                <w:iCs w:val="0"/>
                <w:sz w:val="21"/>
                <w:szCs w:val="21"/>
                <w:lang w:eastAsia="zh-CN"/>
              </w:rPr>
            </w:pPr>
          </w:p>
        </w:tc>
        <w:tc>
          <w:tcPr>
            <w:tcW w:w="749" w:type="pct"/>
            <w:vMerge w:val="continue"/>
            <w:vAlign w:val="center"/>
          </w:tcPr>
          <w:p>
            <w:pPr>
              <w:spacing w:line="240" w:lineRule="auto"/>
              <w:rPr>
                <w:rFonts w:hint="eastAsia" w:ascii="仿宋" w:hAnsi="仿宋" w:eastAsia="仿宋" w:cs="仿宋"/>
                <w:b w:val="0"/>
                <w:bCs/>
                <w:i w:val="0"/>
                <w:iCs w:val="0"/>
                <w:kern w:val="0"/>
                <w:sz w:val="21"/>
                <w:szCs w:val="21"/>
                <w:u w:val="single"/>
                <w:lang w:val="en-US" w:eastAsia="zh-CN"/>
              </w:rPr>
            </w:pPr>
          </w:p>
        </w:tc>
        <w:tc>
          <w:tcPr>
            <w:tcW w:w="624" w:type="pct"/>
            <w:vAlign w:val="center"/>
          </w:tcPr>
          <w:p>
            <w:pPr>
              <w:widowControl/>
              <w:spacing w:line="240" w:lineRule="auto"/>
              <w:ind w:right="11" w:rightChars="0"/>
              <w:jc w:val="center"/>
              <w:rPr>
                <w:rFonts w:hint="default" w:ascii="仿宋" w:hAnsi="仿宋" w:eastAsia="仿宋" w:cs="仿宋"/>
                <w:b w:val="0"/>
                <w:bCs/>
                <w:i w:val="0"/>
                <w:iCs w:val="0"/>
                <w:kern w:val="2"/>
                <w:sz w:val="21"/>
                <w:szCs w:val="21"/>
                <w:lang w:val="en-US" w:eastAsia="zh-CN"/>
              </w:rPr>
            </w:pPr>
            <w:r>
              <w:rPr>
                <w:rFonts w:hint="eastAsia" w:ascii="仿宋" w:hAnsi="仿宋" w:eastAsia="仿宋" w:cs="仿宋"/>
                <w:b w:val="0"/>
                <w:bCs/>
                <w:i w:val="0"/>
                <w:iCs w:val="0"/>
                <w:kern w:val="2"/>
                <w:sz w:val="21"/>
                <w:szCs w:val="21"/>
                <w:lang w:eastAsia="zh-CN"/>
              </w:rPr>
              <w:t>★</w:t>
            </w:r>
            <w:r>
              <w:rPr>
                <w:rFonts w:hint="eastAsia" w:ascii="仿宋" w:hAnsi="仿宋" w:eastAsia="仿宋" w:cs="仿宋"/>
                <w:b w:val="0"/>
                <w:bCs/>
                <w:i w:val="0"/>
                <w:iCs w:val="0"/>
                <w:kern w:val="2"/>
                <w:sz w:val="21"/>
                <w:szCs w:val="21"/>
                <w:lang w:val="en-US" w:eastAsia="zh-CN"/>
              </w:rPr>
              <w:t>质量保证</w:t>
            </w:r>
          </w:p>
        </w:tc>
        <w:tc>
          <w:tcPr>
            <w:tcW w:w="3229" w:type="pct"/>
            <w:vAlign w:val="center"/>
          </w:tcPr>
          <w:p>
            <w:pPr>
              <w:widowControl/>
              <w:spacing w:line="240" w:lineRule="auto"/>
              <w:ind w:right="11" w:rightChars="0"/>
              <w:jc w:val="both"/>
              <w:rPr>
                <w:rFonts w:hint="default" w:ascii="仿宋" w:hAnsi="仿宋" w:eastAsia="仿宋" w:cs="仿宋"/>
                <w:b w:val="0"/>
                <w:bCs/>
                <w:i w:val="0"/>
                <w:iCs w:val="0"/>
                <w:kern w:val="2"/>
                <w:sz w:val="21"/>
                <w:szCs w:val="21"/>
                <w:lang w:val="en-US" w:eastAsia="zh-CN"/>
              </w:rPr>
            </w:pPr>
            <w:r>
              <w:rPr>
                <w:rFonts w:hint="default" w:ascii="仿宋" w:hAnsi="仿宋" w:eastAsia="仿宋" w:cs="仿宋"/>
                <w:b w:val="0"/>
                <w:bCs/>
                <w:i w:val="0"/>
                <w:iCs w:val="0"/>
                <w:kern w:val="2"/>
                <w:sz w:val="21"/>
                <w:szCs w:val="21"/>
                <w:lang w:val="en-US" w:eastAsia="zh-CN"/>
              </w:rPr>
              <w:t>质保期为检验合格交付后18个月，收取合同总金额3%的质保金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396" w:type="pct"/>
            <w:vMerge w:val="continue"/>
            <w:vAlign w:val="center"/>
          </w:tcPr>
          <w:p>
            <w:pPr>
              <w:spacing w:line="240" w:lineRule="auto"/>
              <w:rPr>
                <w:rFonts w:hint="eastAsia" w:ascii="仿宋" w:hAnsi="仿宋" w:eastAsia="仿宋" w:cs="仿宋"/>
                <w:b w:val="0"/>
                <w:bCs/>
                <w:i w:val="0"/>
                <w:iCs w:val="0"/>
                <w:sz w:val="21"/>
                <w:szCs w:val="21"/>
                <w:u w:val="single"/>
                <w:lang w:eastAsia="zh-CN"/>
              </w:rPr>
            </w:pPr>
          </w:p>
        </w:tc>
        <w:tc>
          <w:tcPr>
            <w:tcW w:w="749" w:type="pct"/>
            <w:vMerge w:val="continue"/>
            <w:vAlign w:val="center"/>
          </w:tcPr>
          <w:p>
            <w:pPr>
              <w:spacing w:line="240" w:lineRule="auto"/>
              <w:rPr>
                <w:rFonts w:hint="eastAsia" w:ascii="仿宋" w:hAnsi="仿宋" w:eastAsia="仿宋" w:cs="仿宋"/>
                <w:b w:val="0"/>
                <w:bCs/>
                <w:i w:val="0"/>
                <w:iCs w:val="0"/>
                <w:kern w:val="0"/>
                <w:sz w:val="21"/>
                <w:szCs w:val="21"/>
                <w:u w:val="single"/>
                <w:lang w:val="en-US" w:eastAsia="zh-CN"/>
              </w:rPr>
            </w:pPr>
          </w:p>
        </w:tc>
        <w:tc>
          <w:tcPr>
            <w:tcW w:w="624" w:type="pct"/>
            <w:vAlign w:val="center"/>
          </w:tcPr>
          <w:p>
            <w:pPr>
              <w:pStyle w:val="59"/>
              <w:spacing w:line="240" w:lineRule="auto"/>
              <w:jc w:val="center"/>
              <w:rPr>
                <w:rFonts w:hint="eastAsia" w:ascii="仿宋" w:hAnsi="仿宋" w:eastAsia="仿宋" w:cs="仿宋"/>
                <w:b w:val="0"/>
                <w:bCs/>
                <w:i w:val="0"/>
                <w:iCs w:val="0"/>
                <w:kern w:val="0"/>
                <w:sz w:val="21"/>
                <w:szCs w:val="21"/>
                <w:highlight w:val="none"/>
                <w:lang w:val="en-US" w:eastAsia="zh-CN" w:bidi="ar-SA"/>
              </w:rPr>
            </w:pPr>
            <w:r>
              <w:rPr>
                <w:rFonts w:hint="eastAsia" w:ascii="仿宋" w:hAnsi="仿宋" w:eastAsia="仿宋" w:cs="仿宋"/>
                <w:b w:val="0"/>
                <w:bCs/>
                <w:i w:val="0"/>
                <w:iCs w:val="0"/>
                <w:kern w:val="0"/>
                <w:sz w:val="21"/>
                <w:szCs w:val="21"/>
                <w:highlight w:val="none"/>
                <w:lang w:val="en-US" w:eastAsia="zh-CN" w:bidi="ar-SA"/>
              </w:rPr>
              <w:t>技术指标</w:t>
            </w:r>
          </w:p>
        </w:tc>
        <w:tc>
          <w:tcPr>
            <w:tcW w:w="3229" w:type="pct"/>
            <w:vAlign w:val="center"/>
          </w:tcPr>
          <w:p>
            <w:pPr>
              <w:pStyle w:val="59"/>
              <w:spacing w:line="240" w:lineRule="auto"/>
              <w:jc w:val="both"/>
              <w:rPr>
                <w:rFonts w:hint="eastAsia" w:ascii="仿宋" w:hAnsi="仿宋" w:eastAsia="仿宋" w:cs="仿宋"/>
                <w:b w:val="0"/>
                <w:bCs/>
                <w:i w:val="0"/>
                <w:iCs w:val="0"/>
                <w:kern w:val="0"/>
                <w:sz w:val="21"/>
                <w:szCs w:val="21"/>
                <w:highlight w:val="none"/>
                <w:lang w:val="en-US" w:eastAsia="zh-CN" w:bidi="ar-SA"/>
              </w:rPr>
            </w:pPr>
            <w:r>
              <w:rPr>
                <w:rFonts w:hint="eastAsia" w:ascii="仿宋" w:hAnsi="仿宋" w:eastAsia="仿宋" w:cs="仿宋"/>
                <w:b w:val="0"/>
                <w:bCs/>
                <w:i w:val="0"/>
                <w:iCs w:val="0"/>
                <w:kern w:val="0"/>
                <w:sz w:val="21"/>
                <w:szCs w:val="21"/>
                <w:highlight w:val="none"/>
                <w:lang w:val="en-US" w:eastAsia="zh-CN" w:bidi="ar-SA"/>
              </w:rPr>
              <w:t>应答人承诺满足全部技术要求。</w:t>
            </w:r>
          </w:p>
        </w:tc>
      </w:tr>
    </w:tbl>
    <w:p>
      <w:pPr>
        <w:tabs>
          <w:tab w:val="left" w:pos="993"/>
          <w:tab w:val="left" w:pos="1134"/>
          <w:tab w:val="left" w:pos="1418"/>
        </w:tabs>
        <w:spacing w:line="360" w:lineRule="auto"/>
        <w:ind w:firstLine="640" w:firstLineChars="200"/>
        <w:rPr>
          <w:rFonts w:hint="eastAsia" w:ascii="仿宋" w:hAnsi="仿宋" w:eastAsia="仿宋" w:cs="仿宋"/>
          <w:b w:val="0"/>
          <w:bCs/>
          <w:i w:val="0"/>
          <w:iCs w:val="0"/>
          <w:sz w:val="32"/>
          <w:szCs w:val="32"/>
        </w:rPr>
      </w:pPr>
      <w:r>
        <w:rPr>
          <w:rFonts w:hint="eastAsia" w:ascii="仿宋" w:hAnsi="仿宋" w:eastAsia="仿宋" w:cs="仿宋"/>
          <w:b w:val="0"/>
          <w:bCs/>
          <w:i w:val="0"/>
          <w:iCs w:val="0"/>
          <w:sz w:val="32"/>
          <w:szCs w:val="32"/>
        </w:rPr>
        <w:t>本次公开的采办计划是本项目采办工作的初步安排，实际采购应以相关采购公告和采购文件为准，所有提供和反馈的信息只作为项目采办参考。</w:t>
      </w:r>
    </w:p>
    <w:p>
      <w:pPr>
        <w:tabs>
          <w:tab w:val="left" w:pos="993"/>
          <w:tab w:val="left" w:pos="1134"/>
          <w:tab w:val="left" w:pos="1418"/>
        </w:tabs>
        <w:spacing w:line="360" w:lineRule="auto"/>
        <w:ind w:firstLine="640" w:firstLineChars="200"/>
        <w:rPr>
          <w:rFonts w:hint="default" w:ascii="仿宋" w:hAnsi="仿宋" w:eastAsia="仿宋" w:cs="仿宋"/>
          <w:b w:val="0"/>
          <w:bCs/>
          <w:i w:val="0"/>
          <w:iCs w:val="0"/>
          <w:sz w:val="32"/>
          <w:szCs w:val="32"/>
          <w:lang w:val="en-US" w:eastAsia="zh-CN"/>
        </w:rPr>
      </w:pPr>
      <w:r>
        <w:rPr>
          <w:rFonts w:hint="eastAsia" w:ascii="仿宋" w:hAnsi="仿宋" w:eastAsia="仿宋" w:cs="仿宋"/>
          <w:b w:val="0"/>
          <w:bCs/>
          <w:i w:val="0"/>
          <w:iCs w:val="0"/>
          <w:sz w:val="32"/>
          <w:szCs w:val="32"/>
        </w:rPr>
        <w:t>本次公告有效期是（</w:t>
      </w:r>
      <w:r>
        <w:rPr>
          <w:rFonts w:hint="eastAsia" w:ascii="仿宋" w:hAnsi="仿宋" w:eastAsia="仿宋" w:cs="仿宋"/>
          <w:b w:val="0"/>
          <w:bCs/>
          <w:i w:val="0"/>
          <w:iCs w:val="0"/>
          <w:sz w:val="32"/>
          <w:szCs w:val="32"/>
          <w:lang w:val="en-US" w:eastAsia="zh-CN"/>
        </w:rPr>
        <w:t>2026</w:t>
      </w:r>
      <w:r>
        <w:rPr>
          <w:rFonts w:hint="eastAsia" w:ascii="仿宋" w:hAnsi="仿宋" w:eastAsia="仿宋" w:cs="仿宋"/>
          <w:b w:val="0"/>
          <w:bCs/>
          <w:i w:val="0"/>
          <w:iCs w:val="0"/>
          <w:sz w:val="32"/>
          <w:szCs w:val="32"/>
        </w:rPr>
        <w:t>年</w:t>
      </w:r>
      <w:r>
        <w:rPr>
          <w:rFonts w:hint="eastAsia" w:ascii="仿宋" w:hAnsi="仿宋" w:eastAsia="仿宋" w:cs="仿宋"/>
          <w:b w:val="0"/>
          <w:bCs/>
          <w:i w:val="0"/>
          <w:iCs w:val="0"/>
          <w:sz w:val="32"/>
          <w:szCs w:val="32"/>
          <w:lang w:val="en-US" w:eastAsia="zh-CN"/>
        </w:rPr>
        <w:t>7</w:t>
      </w:r>
      <w:r>
        <w:rPr>
          <w:rFonts w:hint="eastAsia" w:ascii="仿宋" w:hAnsi="仿宋" w:eastAsia="仿宋" w:cs="仿宋"/>
          <w:b w:val="0"/>
          <w:bCs/>
          <w:i w:val="0"/>
          <w:iCs w:val="0"/>
          <w:sz w:val="32"/>
          <w:szCs w:val="32"/>
        </w:rPr>
        <w:t>月</w:t>
      </w:r>
      <w:r>
        <w:rPr>
          <w:rFonts w:hint="eastAsia" w:ascii="仿宋" w:hAnsi="仿宋" w:eastAsia="仿宋" w:cs="仿宋"/>
          <w:b w:val="0"/>
          <w:bCs/>
          <w:i w:val="0"/>
          <w:iCs w:val="0"/>
          <w:sz w:val="32"/>
          <w:szCs w:val="32"/>
          <w:lang w:val="en-US" w:eastAsia="zh-CN"/>
        </w:rPr>
        <w:t>15</w:t>
      </w:r>
      <w:r>
        <w:rPr>
          <w:rFonts w:hint="eastAsia" w:ascii="仿宋" w:hAnsi="仿宋" w:eastAsia="仿宋" w:cs="仿宋"/>
          <w:b w:val="0"/>
          <w:bCs/>
          <w:i w:val="0"/>
          <w:iCs w:val="0"/>
          <w:sz w:val="32"/>
          <w:szCs w:val="32"/>
        </w:rPr>
        <w:t>日）至（</w:t>
      </w:r>
      <w:r>
        <w:rPr>
          <w:rFonts w:hint="eastAsia" w:ascii="仿宋" w:hAnsi="仿宋" w:eastAsia="仿宋" w:cs="仿宋"/>
          <w:b w:val="0"/>
          <w:bCs/>
          <w:i w:val="0"/>
          <w:iCs w:val="0"/>
          <w:sz w:val="32"/>
          <w:szCs w:val="32"/>
          <w:lang w:val="en-US" w:eastAsia="zh-CN"/>
        </w:rPr>
        <w:t>2026</w:t>
      </w:r>
      <w:r>
        <w:rPr>
          <w:rFonts w:hint="eastAsia" w:ascii="仿宋" w:hAnsi="仿宋" w:eastAsia="仿宋" w:cs="仿宋"/>
          <w:b w:val="0"/>
          <w:bCs/>
          <w:i w:val="0"/>
          <w:iCs w:val="0"/>
          <w:sz w:val="32"/>
          <w:szCs w:val="32"/>
        </w:rPr>
        <w:t>年</w:t>
      </w:r>
      <w:r>
        <w:rPr>
          <w:rFonts w:hint="eastAsia" w:ascii="仿宋" w:hAnsi="仿宋" w:eastAsia="仿宋" w:cs="仿宋"/>
          <w:b w:val="0"/>
          <w:bCs/>
          <w:i w:val="0"/>
          <w:iCs w:val="0"/>
          <w:sz w:val="32"/>
          <w:szCs w:val="32"/>
          <w:lang w:val="en-US" w:eastAsia="zh-CN"/>
        </w:rPr>
        <w:t>7</w:t>
      </w:r>
      <w:r>
        <w:rPr>
          <w:rFonts w:hint="eastAsia" w:ascii="仿宋" w:hAnsi="仿宋" w:eastAsia="仿宋" w:cs="仿宋"/>
          <w:b w:val="0"/>
          <w:bCs/>
          <w:i w:val="0"/>
          <w:iCs w:val="0"/>
          <w:sz w:val="32"/>
          <w:szCs w:val="32"/>
        </w:rPr>
        <w:t>月</w:t>
      </w:r>
      <w:r>
        <w:rPr>
          <w:rFonts w:hint="eastAsia" w:ascii="仿宋" w:hAnsi="仿宋" w:eastAsia="仿宋" w:cs="仿宋"/>
          <w:b w:val="0"/>
          <w:bCs/>
          <w:i w:val="0"/>
          <w:iCs w:val="0"/>
          <w:sz w:val="32"/>
          <w:szCs w:val="32"/>
          <w:lang w:val="en-US" w:eastAsia="zh-CN"/>
        </w:rPr>
        <w:t>22</w:t>
      </w:r>
      <w:r>
        <w:rPr>
          <w:rFonts w:hint="eastAsia" w:ascii="仿宋" w:hAnsi="仿宋" w:eastAsia="仿宋" w:cs="仿宋"/>
          <w:b w:val="0"/>
          <w:bCs/>
          <w:i w:val="0"/>
          <w:iCs w:val="0"/>
          <w:sz w:val="32"/>
          <w:szCs w:val="32"/>
        </w:rPr>
        <w:t>日）止。在此期间，有意参与</w:t>
      </w:r>
      <w:bookmarkStart w:id="2" w:name="_GoBack"/>
      <w:bookmarkEnd w:id="2"/>
      <w:r>
        <w:rPr>
          <w:rFonts w:hint="eastAsia" w:ascii="仿宋" w:hAnsi="仿宋" w:eastAsia="仿宋" w:cs="仿宋"/>
          <w:b w:val="0"/>
          <w:bCs/>
          <w:i w:val="0"/>
          <w:iCs w:val="0"/>
          <w:sz w:val="32"/>
          <w:szCs w:val="32"/>
        </w:rPr>
        <w:t>某采办包的系统用户可在集团公司采办系统中提交反馈材料</w:t>
      </w:r>
      <w:r>
        <w:rPr>
          <w:rFonts w:hint="eastAsia" w:ascii="仿宋" w:hAnsi="仿宋" w:eastAsia="仿宋" w:cs="仿宋"/>
          <w:b w:val="0"/>
          <w:bCs/>
          <w:i w:val="0"/>
          <w:iCs w:val="0"/>
          <w:sz w:val="32"/>
          <w:szCs w:val="32"/>
          <w:lang w:eastAsia="zh-CN"/>
        </w:rPr>
        <w:t>（</w:t>
      </w:r>
      <w:r>
        <w:rPr>
          <w:rFonts w:hint="eastAsia" w:ascii="仿宋" w:hAnsi="仿宋" w:eastAsia="仿宋" w:cs="仿宋"/>
          <w:b w:val="0"/>
          <w:bCs/>
          <w:i w:val="0"/>
          <w:iCs w:val="0"/>
          <w:sz w:val="32"/>
          <w:szCs w:val="32"/>
          <w:highlight w:val="yellow"/>
          <w:lang w:val="en-US" w:eastAsia="zh-CN"/>
        </w:rPr>
        <w:t>是否具有</w:t>
      </w:r>
      <w:r>
        <w:rPr>
          <w:rFonts w:hint="eastAsia" w:ascii="仿宋" w:hAnsi="仿宋" w:eastAsia="仿宋" w:cs="仿宋"/>
          <w:b w:val="0"/>
          <w:bCs/>
          <w:i w:val="0"/>
          <w:iCs w:val="0"/>
          <w:sz w:val="32"/>
          <w:szCs w:val="32"/>
          <w:highlight w:val="yellow"/>
        </w:rPr>
        <w:t>参与意向</w:t>
      </w:r>
      <w:r>
        <w:rPr>
          <w:rFonts w:hint="eastAsia" w:ascii="仿宋" w:hAnsi="仿宋" w:eastAsia="仿宋" w:cs="仿宋"/>
          <w:b w:val="0"/>
          <w:bCs/>
          <w:i w:val="0"/>
          <w:iCs w:val="0"/>
          <w:sz w:val="32"/>
          <w:szCs w:val="32"/>
          <w:highlight w:val="yellow"/>
          <w:lang w:eastAsia="zh-CN"/>
        </w:rPr>
        <w:t>？</w:t>
      </w:r>
      <w:r>
        <w:rPr>
          <w:rFonts w:hint="eastAsia" w:ascii="仿宋" w:hAnsi="仿宋" w:eastAsia="仿宋" w:cs="仿宋"/>
          <w:b w:val="0"/>
          <w:bCs/>
          <w:i w:val="0"/>
          <w:iCs w:val="0"/>
          <w:sz w:val="32"/>
          <w:szCs w:val="32"/>
          <w:highlight w:val="yellow"/>
        </w:rPr>
        <w:t>技术指标、资质要求等</w:t>
      </w:r>
      <w:r>
        <w:rPr>
          <w:rFonts w:hint="eastAsia" w:ascii="仿宋" w:hAnsi="仿宋" w:eastAsia="仿宋" w:cs="仿宋"/>
          <w:b w:val="0"/>
          <w:bCs/>
          <w:i w:val="0"/>
          <w:iCs w:val="0"/>
          <w:sz w:val="32"/>
          <w:szCs w:val="32"/>
          <w:highlight w:val="yellow"/>
          <w:lang w:val="en-US" w:eastAsia="zh-CN"/>
        </w:rPr>
        <w:t>是否有</w:t>
      </w:r>
      <w:r>
        <w:rPr>
          <w:rFonts w:hint="eastAsia" w:ascii="仿宋" w:hAnsi="仿宋" w:eastAsia="仿宋" w:cs="仿宋"/>
          <w:b w:val="0"/>
          <w:bCs/>
          <w:i w:val="0"/>
          <w:iCs w:val="0"/>
          <w:sz w:val="32"/>
          <w:szCs w:val="32"/>
          <w:highlight w:val="yellow"/>
        </w:rPr>
        <w:t>修改建议</w:t>
      </w:r>
      <w:r>
        <w:rPr>
          <w:rFonts w:hint="eastAsia" w:ascii="仿宋" w:hAnsi="仿宋" w:eastAsia="仿宋" w:cs="仿宋"/>
          <w:b w:val="0"/>
          <w:bCs/>
          <w:i w:val="0"/>
          <w:iCs w:val="0"/>
          <w:sz w:val="32"/>
          <w:szCs w:val="32"/>
          <w:highlight w:val="yellow"/>
          <w:lang w:eastAsia="zh-CN"/>
        </w:rPr>
        <w:t>？</w:t>
      </w:r>
      <w:r>
        <w:rPr>
          <w:rFonts w:hint="eastAsia" w:ascii="仿宋" w:hAnsi="仿宋" w:eastAsia="仿宋" w:cs="仿宋"/>
          <w:b w:val="0"/>
          <w:bCs/>
          <w:i w:val="0"/>
          <w:iCs w:val="0"/>
          <w:sz w:val="32"/>
          <w:szCs w:val="32"/>
          <w:highlight w:val="yellow"/>
          <w:lang w:val="en-US" w:eastAsia="zh-CN"/>
        </w:rPr>
        <w:t>是否满足商务要求和技术指标？</w:t>
      </w:r>
      <w:r>
        <w:rPr>
          <w:rFonts w:hint="eastAsia" w:ascii="仿宋" w:hAnsi="仿宋" w:eastAsia="仿宋" w:cs="仿宋"/>
          <w:b w:val="0"/>
          <w:bCs/>
          <w:i w:val="0"/>
          <w:iCs w:val="0"/>
          <w:sz w:val="24"/>
          <w:lang w:eastAsia="zh-CN"/>
        </w:rPr>
        <w:t>）</w:t>
      </w:r>
      <w:r>
        <w:rPr>
          <w:rFonts w:hint="eastAsia" w:ascii="仿宋" w:hAnsi="仿宋" w:eastAsia="仿宋" w:cs="仿宋"/>
          <w:b w:val="0"/>
          <w:bCs/>
          <w:i w:val="0"/>
          <w:iCs w:val="0"/>
          <w:sz w:val="32"/>
          <w:szCs w:val="32"/>
        </w:rPr>
        <w:t>。</w:t>
      </w:r>
    </w:p>
    <w:p>
      <w:pPr>
        <w:tabs>
          <w:tab w:val="left" w:pos="993"/>
          <w:tab w:val="left" w:pos="1134"/>
          <w:tab w:val="left" w:pos="1418"/>
        </w:tabs>
        <w:spacing w:line="360" w:lineRule="auto"/>
        <w:rPr>
          <w:rFonts w:hint="eastAsia" w:ascii="仿宋" w:hAnsi="仿宋" w:eastAsia="仿宋" w:cs="仿宋"/>
          <w:b w:val="0"/>
          <w:bCs/>
          <w:i w:val="0"/>
          <w:iCs w:val="0"/>
          <w:sz w:val="28"/>
          <w:szCs w:val="28"/>
          <w:lang w:eastAsia="zh-CN"/>
        </w:rPr>
      </w:pPr>
      <w:r>
        <w:rPr>
          <w:rFonts w:hint="eastAsia" w:ascii="仿宋" w:hAnsi="仿宋" w:eastAsia="仿宋" w:cs="仿宋"/>
          <w:b w:val="0"/>
          <w:bCs/>
          <w:i w:val="0"/>
          <w:iCs w:val="0"/>
          <w:sz w:val="28"/>
          <w:szCs w:val="28"/>
        </w:rPr>
        <w:t>如对上述公开内容真实、有效性存疑，请拨打社会监督电话：022-25802262，其他事项不受理</w:t>
      </w:r>
      <w:r>
        <w:rPr>
          <w:rFonts w:hint="eastAsia" w:ascii="仿宋" w:hAnsi="仿宋" w:eastAsia="仿宋" w:cs="仿宋"/>
          <w:b w:val="0"/>
          <w:bCs/>
          <w:i w:val="0"/>
          <w:iCs w:val="0"/>
          <w:sz w:val="28"/>
          <w:szCs w:val="28"/>
          <w:lang w:eastAsia="zh-CN"/>
        </w:rPr>
        <w:t>。</w:t>
      </w:r>
    </w:p>
    <w:p>
      <w:pPr>
        <w:tabs>
          <w:tab w:val="left" w:pos="993"/>
          <w:tab w:val="left" w:pos="1134"/>
          <w:tab w:val="left" w:pos="1418"/>
        </w:tabs>
        <w:spacing w:line="360" w:lineRule="auto"/>
        <w:ind w:right="320" w:firstLine="960" w:firstLineChars="300"/>
        <w:jc w:val="right"/>
        <w:rPr>
          <w:rFonts w:hint="eastAsia" w:ascii="仿宋" w:hAnsi="仿宋" w:eastAsia="仿宋" w:cs="仿宋"/>
          <w:b w:val="0"/>
          <w:bCs/>
          <w:i w:val="0"/>
          <w:iCs w:val="0"/>
          <w:sz w:val="32"/>
          <w:szCs w:val="32"/>
          <w:lang w:val="en-US" w:eastAsia="zh-CN"/>
        </w:rPr>
      </w:pPr>
      <w:r>
        <w:rPr>
          <w:rFonts w:hint="eastAsia" w:ascii="仿宋" w:hAnsi="仿宋" w:eastAsia="仿宋" w:cs="仿宋"/>
          <w:b w:val="0"/>
          <w:bCs/>
          <w:i w:val="0"/>
          <w:iCs w:val="0"/>
          <w:sz w:val="32"/>
          <w:szCs w:val="32"/>
          <w:lang w:val="en-US" w:eastAsia="zh-CN"/>
        </w:rPr>
        <w:t>海油发展采办共享中心</w:t>
      </w:r>
    </w:p>
    <w:p>
      <w:pPr>
        <w:tabs>
          <w:tab w:val="left" w:pos="993"/>
          <w:tab w:val="left" w:pos="1134"/>
          <w:tab w:val="left" w:pos="1418"/>
        </w:tabs>
        <w:spacing w:line="360" w:lineRule="auto"/>
        <w:ind w:right="480" w:firstLine="960" w:firstLineChars="300"/>
        <w:jc w:val="right"/>
        <w:rPr>
          <w:rFonts w:hint="eastAsia" w:ascii="仿宋" w:hAnsi="仿宋" w:eastAsia="仿宋" w:cs="仿宋"/>
          <w:b w:val="0"/>
          <w:bCs/>
          <w:i w:val="0"/>
          <w:iCs w:val="0"/>
          <w:sz w:val="32"/>
          <w:szCs w:val="32"/>
        </w:rPr>
      </w:pPr>
      <w:r>
        <w:rPr>
          <w:rFonts w:hint="eastAsia" w:ascii="仿宋" w:hAnsi="仿宋" w:eastAsia="仿宋" w:cs="仿宋"/>
          <w:b w:val="0"/>
          <w:bCs/>
          <w:i w:val="0"/>
          <w:iCs w:val="0"/>
          <w:sz w:val="32"/>
          <w:szCs w:val="32"/>
          <w:lang w:val="en-US" w:eastAsia="zh-CN"/>
        </w:rPr>
        <w:t>2026</w:t>
      </w:r>
      <w:r>
        <w:rPr>
          <w:rFonts w:hint="eastAsia" w:ascii="仿宋" w:hAnsi="仿宋" w:eastAsia="仿宋" w:cs="仿宋"/>
          <w:b w:val="0"/>
          <w:bCs/>
          <w:i w:val="0"/>
          <w:iCs w:val="0"/>
          <w:sz w:val="32"/>
          <w:szCs w:val="32"/>
        </w:rPr>
        <w:t>年</w:t>
      </w:r>
      <w:r>
        <w:rPr>
          <w:rFonts w:hint="eastAsia" w:ascii="仿宋" w:hAnsi="仿宋" w:eastAsia="仿宋" w:cs="仿宋"/>
          <w:b w:val="0"/>
          <w:bCs/>
          <w:i w:val="0"/>
          <w:iCs w:val="0"/>
          <w:sz w:val="32"/>
          <w:szCs w:val="32"/>
          <w:lang w:val="en-US" w:eastAsia="zh-CN"/>
        </w:rPr>
        <w:tab/>
      </w:r>
      <w:r>
        <w:rPr>
          <w:rFonts w:hint="eastAsia" w:ascii="仿宋" w:hAnsi="仿宋" w:eastAsia="仿宋" w:cs="仿宋"/>
          <w:b w:val="0"/>
          <w:bCs/>
          <w:i w:val="0"/>
          <w:iCs w:val="0"/>
          <w:sz w:val="32"/>
          <w:szCs w:val="32"/>
          <w:lang w:val="en-US" w:eastAsia="zh-CN"/>
        </w:rPr>
        <w:t>7</w:t>
      </w:r>
      <w:r>
        <w:rPr>
          <w:rFonts w:hint="eastAsia" w:ascii="仿宋" w:hAnsi="仿宋" w:eastAsia="仿宋" w:cs="仿宋"/>
          <w:b w:val="0"/>
          <w:bCs/>
          <w:i w:val="0"/>
          <w:iCs w:val="0"/>
          <w:sz w:val="32"/>
          <w:szCs w:val="32"/>
        </w:rPr>
        <w:t>月</w:t>
      </w:r>
      <w:r>
        <w:rPr>
          <w:rFonts w:hint="eastAsia" w:ascii="仿宋" w:hAnsi="仿宋" w:eastAsia="仿宋" w:cs="仿宋"/>
          <w:b w:val="0"/>
          <w:bCs/>
          <w:i w:val="0"/>
          <w:iCs w:val="0"/>
          <w:sz w:val="32"/>
          <w:szCs w:val="32"/>
          <w:lang w:val="en-US" w:eastAsia="zh-CN"/>
        </w:rPr>
        <w:t>15</w:t>
      </w:r>
      <w:r>
        <w:rPr>
          <w:rFonts w:hint="eastAsia" w:ascii="仿宋" w:hAnsi="仿宋" w:eastAsia="仿宋" w:cs="仿宋"/>
          <w:b w:val="0"/>
          <w:bCs/>
          <w:i w:val="0"/>
          <w:iCs w:val="0"/>
          <w:sz w:val="32"/>
          <w:szCs w:val="32"/>
        </w:rPr>
        <w:t xml:space="preserve">日  </w:t>
      </w:r>
    </w:p>
    <w:p>
      <w:pPr>
        <w:spacing w:line="360" w:lineRule="auto"/>
        <w:ind w:firstLine="480" w:firstLineChars="200"/>
        <w:rPr>
          <w:rFonts w:hint="eastAsia" w:ascii="仿宋" w:hAnsi="仿宋" w:eastAsia="仿宋" w:cs="仿宋"/>
          <w:b w:val="0"/>
          <w:bCs/>
          <w:i w:val="0"/>
          <w:iCs w:val="0"/>
          <w:sz w:val="24"/>
          <w:szCs w:val="24"/>
        </w:rPr>
      </w:pPr>
      <w:r>
        <w:rPr>
          <w:rFonts w:hint="eastAsia" w:ascii="仿宋" w:hAnsi="仿宋" w:eastAsia="仿宋" w:cs="仿宋"/>
          <w:b w:val="0"/>
          <w:bCs/>
          <w:i w:val="0"/>
          <w:iCs w:val="0"/>
          <w:sz w:val="24"/>
          <w:szCs w:val="24"/>
        </w:rPr>
        <w:t>联系单位：中海油能源发展股份有限公司采办共享中心</w:t>
      </w:r>
    </w:p>
    <w:p>
      <w:pPr>
        <w:spacing w:line="360" w:lineRule="auto"/>
        <w:ind w:firstLine="480" w:firstLineChars="200"/>
        <w:rPr>
          <w:rFonts w:hint="eastAsia" w:ascii="仿宋" w:hAnsi="仿宋" w:eastAsia="仿宋" w:cs="仿宋"/>
          <w:b w:val="0"/>
          <w:bCs/>
          <w:i w:val="0"/>
          <w:iCs w:val="0"/>
          <w:sz w:val="24"/>
          <w:szCs w:val="24"/>
          <w:lang w:eastAsia="zh-CN"/>
        </w:rPr>
      </w:pPr>
      <w:r>
        <w:rPr>
          <w:rFonts w:hint="eastAsia" w:ascii="仿宋" w:hAnsi="仿宋" w:eastAsia="仿宋" w:cs="仿宋"/>
          <w:b w:val="0"/>
          <w:bCs/>
          <w:i w:val="0"/>
          <w:iCs w:val="0"/>
          <w:sz w:val="24"/>
          <w:szCs w:val="24"/>
        </w:rPr>
        <w:t>联系人：</w:t>
      </w:r>
      <w:r>
        <w:rPr>
          <w:rFonts w:hint="eastAsia" w:ascii="仿宋" w:hAnsi="仿宋" w:eastAsia="仿宋" w:cs="仿宋"/>
          <w:b w:val="0"/>
          <w:bCs/>
          <w:i w:val="0"/>
          <w:iCs w:val="0"/>
          <w:sz w:val="24"/>
          <w:szCs w:val="24"/>
          <w:lang w:val="en-US" w:eastAsia="zh-CN"/>
        </w:rPr>
        <w:t>杨怡倩</w:t>
      </w:r>
    </w:p>
    <w:p>
      <w:pPr>
        <w:spacing w:line="360" w:lineRule="auto"/>
        <w:ind w:firstLine="480" w:firstLineChars="200"/>
        <w:rPr>
          <w:rFonts w:hint="eastAsia" w:ascii="仿宋" w:hAnsi="仿宋" w:eastAsia="仿宋" w:cs="仿宋"/>
          <w:b w:val="0"/>
          <w:bCs/>
          <w:i w:val="0"/>
          <w:iCs w:val="0"/>
          <w:sz w:val="24"/>
          <w:szCs w:val="24"/>
          <w:lang w:val="en-US" w:eastAsia="zh-CN"/>
        </w:rPr>
      </w:pPr>
      <w:r>
        <w:rPr>
          <w:rFonts w:hint="eastAsia" w:ascii="仿宋" w:hAnsi="仿宋" w:eastAsia="仿宋" w:cs="仿宋"/>
          <w:b w:val="0"/>
          <w:bCs/>
          <w:i w:val="0"/>
          <w:iCs w:val="0"/>
          <w:sz w:val="24"/>
          <w:szCs w:val="24"/>
        </w:rPr>
        <w:t>联系电话：</w:t>
      </w:r>
      <w:r>
        <w:rPr>
          <w:rFonts w:hint="eastAsia" w:ascii="仿宋" w:hAnsi="仿宋" w:eastAsia="仿宋" w:cs="仿宋"/>
          <w:b w:val="0"/>
          <w:bCs/>
          <w:i w:val="0"/>
          <w:iCs w:val="0"/>
          <w:sz w:val="24"/>
          <w:szCs w:val="24"/>
          <w:lang w:val="en-US" w:eastAsia="zh-CN"/>
        </w:rPr>
        <w:t>022-25800638</w:t>
      </w:r>
    </w:p>
    <w:p>
      <w:pPr>
        <w:spacing w:line="360" w:lineRule="auto"/>
        <w:ind w:firstLine="480" w:firstLineChars="200"/>
        <w:rPr>
          <w:rFonts w:hint="eastAsia" w:ascii="仿宋" w:hAnsi="仿宋" w:eastAsia="仿宋" w:cs="仿宋"/>
          <w:b w:val="0"/>
          <w:bCs/>
          <w:i w:val="0"/>
          <w:iCs w:val="0"/>
          <w:sz w:val="24"/>
          <w:szCs w:val="24"/>
          <w:lang w:val="en-US" w:eastAsia="zh-CN"/>
        </w:rPr>
      </w:pPr>
      <w:r>
        <w:rPr>
          <w:rFonts w:hint="eastAsia" w:ascii="仿宋" w:hAnsi="仿宋" w:eastAsia="仿宋" w:cs="仿宋"/>
          <w:b w:val="0"/>
          <w:bCs/>
          <w:i w:val="0"/>
          <w:iCs w:val="0"/>
          <w:sz w:val="24"/>
          <w:szCs w:val="24"/>
        </w:rPr>
        <w:t>邮  箱：</w:t>
      </w:r>
      <w:r>
        <w:rPr>
          <w:rFonts w:hint="eastAsia" w:ascii="仿宋" w:hAnsi="仿宋" w:eastAsia="仿宋" w:cs="仿宋"/>
          <w:b w:val="0"/>
          <w:bCs/>
          <w:i w:val="0"/>
          <w:iCs w:val="0"/>
          <w:sz w:val="24"/>
          <w:szCs w:val="24"/>
          <w:lang w:val="en-US" w:eastAsia="zh-CN"/>
        </w:rPr>
        <w:t>yangyq26@cnooc.com.cn</w:t>
      </w:r>
    </w:p>
    <w:p>
      <w:pPr>
        <w:pStyle w:val="8"/>
        <w:spacing w:line="360" w:lineRule="auto"/>
        <w:ind w:left="0" w:leftChars="0" w:firstLine="0" w:firstLineChars="0"/>
        <w:jc w:val="center"/>
        <w:rPr>
          <w:rFonts w:hint="eastAsia" w:ascii="仿宋" w:hAnsi="仿宋" w:eastAsia="仿宋" w:cs="仿宋"/>
          <w:b w:val="0"/>
          <w:bCs/>
          <w:i w:val="0"/>
          <w:iCs w:val="0"/>
          <w:sz w:val="32"/>
          <w:szCs w:val="32"/>
          <w:lang w:val="en-US" w:eastAsia="zh-CN"/>
        </w:rPr>
        <w:sectPr>
          <w:footerReference r:id="rId3" w:type="default"/>
          <w:pgSz w:w="11906" w:h="16838"/>
          <w:pgMar w:top="1440" w:right="1800" w:bottom="1440" w:left="1800" w:header="851" w:footer="992" w:gutter="0"/>
          <w:cols w:space="425" w:num="1"/>
          <w:docGrid w:type="lines" w:linePitch="312" w:charSpace="0"/>
        </w:sectPr>
      </w:pPr>
    </w:p>
    <w:p>
      <w:pPr>
        <w:pStyle w:val="8"/>
        <w:spacing w:line="360" w:lineRule="auto"/>
        <w:ind w:left="0" w:leftChars="0" w:firstLine="0" w:firstLineChars="0"/>
        <w:jc w:val="center"/>
        <w:rPr>
          <w:rFonts w:hint="eastAsia" w:ascii="微软雅黑" w:hAnsi="微软雅黑" w:eastAsia="微软雅黑" w:cs="微软雅黑"/>
          <w:b/>
          <w:bCs w:val="0"/>
          <w:i w:val="0"/>
          <w:iCs w:val="0"/>
          <w:spacing w:val="2"/>
          <w:w w:val="99"/>
          <w:sz w:val="44"/>
          <w:szCs w:val="44"/>
          <w:lang w:val="en-US" w:eastAsia="zh-CN"/>
        </w:rPr>
      </w:pPr>
      <w:r>
        <w:rPr>
          <w:rFonts w:hint="eastAsia" w:ascii="微软雅黑" w:hAnsi="微软雅黑" w:eastAsia="微软雅黑" w:cs="微软雅黑"/>
          <w:b/>
          <w:bCs w:val="0"/>
          <w:i w:val="0"/>
          <w:iCs w:val="0"/>
          <w:sz w:val="32"/>
          <w:szCs w:val="32"/>
          <w:lang w:val="en-US" w:eastAsia="zh-CN"/>
        </w:rPr>
        <w:t>采购技术要求</w:t>
      </w:r>
    </w:p>
    <w:p>
      <w:pPr>
        <w:widowControl w:val="0"/>
        <w:numPr>
          <w:ilvl w:val="0"/>
          <w:numId w:val="4"/>
        </w:numPr>
        <w:autoSpaceDE w:val="0"/>
        <w:autoSpaceDN w:val="0"/>
        <w:adjustRightInd w:val="0"/>
        <w:spacing w:before="120" w:after="120" w:line="360" w:lineRule="auto"/>
        <w:ind w:left="420" w:hanging="420"/>
        <w:outlineLvl w:val="0"/>
        <w:rPr>
          <w:rFonts w:hint="eastAsia" w:ascii="宋体" w:hAnsi="宋体" w:eastAsia="宋体" w:cs="Times New Roman"/>
          <w:b/>
          <w:bCs w:val="0"/>
          <w:color w:val="auto"/>
          <w:kern w:val="0"/>
          <w:sz w:val="28"/>
          <w:szCs w:val="28"/>
          <w:highlight w:val="none"/>
          <w:lang w:val="en-US" w:eastAsia="zh-CN" w:bidi="ar-SA"/>
        </w:rPr>
      </w:pPr>
      <w:r>
        <w:rPr>
          <w:rFonts w:hint="eastAsia" w:ascii="宋体" w:hAnsi="宋体" w:eastAsia="宋体" w:cs="Times New Roman"/>
          <w:b/>
          <w:bCs w:val="0"/>
          <w:color w:val="auto"/>
          <w:kern w:val="0"/>
          <w:sz w:val="28"/>
          <w:szCs w:val="28"/>
          <w:highlight w:val="none"/>
          <w:lang w:val="en-US" w:eastAsia="zh-CN" w:bidi="ar-SA"/>
        </w:rPr>
        <w:t>项目概况及总体要求</w:t>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本技术要求描述了中海油能源发展股份有限公司工程技术分公司对机采公司移动控制站箱体设备购置项目的最低要求，卖方在报价、制造、调试及后续质量保障工作中应严格遵循，本次提请设备购买协议，具体按照下述要求时间交货。</w:t>
      </w:r>
    </w:p>
    <w:p>
      <w:pPr>
        <w:widowControl w:val="0"/>
        <w:numPr>
          <w:ilvl w:val="0"/>
          <w:numId w:val="4"/>
        </w:numPr>
        <w:autoSpaceDE w:val="0"/>
        <w:autoSpaceDN w:val="0"/>
        <w:adjustRightInd w:val="0"/>
        <w:spacing w:before="120" w:after="120" w:line="360" w:lineRule="auto"/>
        <w:ind w:left="420" w:hanging="420"/>
        <w:outlineLvl w:val="0"/>
        <w:rPr>
          <w:rFonts w:hint="eastAsia" w:ascii="宋体" w:hAnsi="宋体" w:eastAsia="宋体" w:cs="Times New Roman"/>
          <w:b/>
          <w:bCs w:val="0"/>
          <w:color w:val="auto"/>
          <w:kern w:val="0"/>
          <w:sz w:val="28"/>
          <w:szCs w:val="28"/>
          <w:highlight w:val="none"/>
          <w:lang w:val="en-US" w:eastAsia="zh-CN" w:bidi="ar-SA"/>
        </w:rPr>
      </w:pPr>
      <w:r>
        <w:rPr>
          <w:rFonts w:hint="eastAsia" w:ascii="宋体" w:hAnsi="宋体" w:eastAsia="宋体" w:cs="Times New Roman"/>
          <w:b/>
          <w:bCs w:val="0"/>
          <w:color w:val="auto"/>
          <w:kern w:val="0"/>
          <w:sz w:val="28"/>
          <w:szCs w:val="28"/>
          <w:highlight w:val="none"/>
          <w:lang w:val="en-US" w:eastAsia="zh-CN" w:bidi="ar-SA"/>
        </w:rPr>
        <w:t>需求一览表</w:t>
      </w:r>
    </w:p>
    <w:tbl>
      <w:tblPr>
        <w:tblStyle w:val="28"/>
        <w:tblW w:w="9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2100"/>
        <w:gridCol w:w="1368"/>
        <w:gridCol w:w="2472"/>
        <w:gridCol w:w="1560"/>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tcPr>
          <w:p>
            <w:pPr>
              <w:widowControl w:val="0"/>
              <w:adjustRightInd w:val="0"/>
              <w:snapToGrid w:val="0"/>
              <w:spacing w:line="240" w:lineRule="auto"/>
              <w:jc w:val="center"/>
              <w:outlineLvl w:val="1"/>
              <w:rPr>
                <w:rFonts w:hint="eastAsia" w:ascii="仿宋" w:hAnsi="仿宋" w:eastAsia="仿宋" w:cs="仿宋"/>
                <w:b/>
                <w:bCs/>
                <w:color w:val="auto"/>
                <w:spacing w:val="0"/>
                <w:kern w:val="0"/>
                <w:sz w:val="24"/>
                <w:szCs w:val="24"/>
                <w:highlight w:val="none"/>
                <w:lang w:val="en-US" w:eastAsia="zh-CN" w:bidi="ar-SA"/>
              </w:rPr>
            </w:pPr>
            <w:r>
              <w:rPr>
                <w:rFonts w:hint="eastAsia" w:ascii="仿宋" w:hAnsi="仿宋" w:eastAsia="仿宋" w:cs="仿宋"/>
                <w:b/>
                <w:bCs/>
                <w:color w:val="auto"/>
                <w:spacing w:val="0"/>
                <w:kern w:val="0"/>
                <w:sz w:val="24"/>
                <w:szCs w:val="24"/>
                <w:highlight w:val="none"/>
                <w:lang w:val="en-US" w:eastAsia="zh-CN" w:bidi="ar-SA"/>
              </w:rPr>
              <w:t>序号</w:t>
            </w:r>
          </w:p>
        </w:tc>
        <w:tc>
          <w:tcPr>
            <w:tcW w:w="2100" w:type="dxa"/>
          </w:tcPr>
          <w:p>
            <w:pPr>
              <w:widowControl w:val="0"/>
              <w:adjustRightInd w:val="0"/>
              <w:snapToGrid w:val="0"/>
              <w:spacing w:line="240" w:lineRule="auto"/>
              <w:jc w:val="center"/>
              <w:outlineLvl w:val="1"/>
              <w:rPr>
                <w:rFonts w:hint="eastAsia" w:ascii="仿宋" w:hAnsi="仿宋" w:eastAsia="仿宋" w:cs="仿宋"/>
                <w:b/>
                <w:bCs/>
                <w:color w:val="auto"/>
                <w:spacing w:val="0"/>
                <w:kern w:val="0"/>
                <w:sz w:val="24"/>
                <w:szCs w:val="24"/>
                <w:highlight w:val="none"/>
                <w:lang w:val="en-US" w:eastAsia="zh-CN" w:bidi="ar-SA"/>
              </w:rPr>
            </w:pPr>
            <w:r>
              <w:rPr>
                <w:rFonts w:hint="eastAsia" w:ascii="仿宋" w:hAnsi="仿宋" w:eastAsia="仿宋" w:cs="仿宋"/>
                <w:b/>
                <w:bCs/>
                <w:color w:val="auto"/>
                <w:spacing w:val="0"/>
                <w:kern w:val="0"/>
                <w:sz w:val="24"/>
                <w:szCs w:val="24"/>
                <w:highlight w:val="none"/>
                <w:lang w:val="en-US" w:eastAsia="zh-CN" w:bidi="ar-SA"/>
              </w:rPr>
              <w:t>物资名称</w:t>
            </w:r>
          </w:p>
        </w:tc>
        <w:tc>
          <w:tcPr>
            <w:tcW w:w="1368" w:type="dxa"/>
          </w:tcPr>
          <w:p>
            <w:pPr>
              <w:widowControl w:val="0"/>
              <w:adjustRightInd w:val="0"/>
              <w:snapToGrid w:val="0"/>
              <w:spacing w:line="240" w:lineRule="auto"/>
              <w:jc w:val="center"/>
              <w:outlineLvl w:val="1"/>
              <w:rPr>
                <w:rFonts w:hint="eastAsia" w:ascii="仿宋" w:hAnsi="仿宋" w:eastAsia="仿宋" w:cs="仿宋"/>
                <w:b/>
                <w:bCs/>
                <w:color w:val="auto"/>
                <w:spacing w:val="0"/>
                <w:kern w:val="0"/>
                <w:sz w:val="24"/>
                <w:szCs w:val="24"/>
                <w:highlight w:val="none"/>
                <w:lang w:val="en-US" w:eastAsia="zh-CN" w:bidi="ar-SA"/>
              </w:rPr>
            </w:pPr>
            <w:r>
              <w:rPr>
                <w:rFonts w:hint="eastAsia" w:ascii="仿宋" w:hAnsi="仿宋" w:eastAsia="仿宋" w:cs="仿宋"/>
                <w:b/>
                <w:bCs/>
                <w:color w:val="auto"/>
                <w:spacing w:val="0"/>
                <w:kern w:val="0"/>
                <w:sz w:val="24"/>
                <w:szCs w:val="24"/>
                <w:highlight w:val="none"/>
                <w:lang w:val="en-US" w:eastAsia="zh-CN" w:bidi="ar-SA"/>
              </w:rPr>
              <w:t>物料编码</w:t>
            </w:r>
          </w:p>
        </w:tc>
        <w:tc>
          <w:tcPr>
            <w:tcW w:w="2472" w:type="dxa"/>
          </w:tcPr>
          <w:p>
            <w:pPr>
              <w:widowControl w:val="0"/>
              <w:adjustRightInd w:val="0"/>
              <w:snapToGrid w:val="0"/>
              <w:spacing w:line="240" w:lineRule="auto"/>
              <w:jc w:val="center"/>
              <w:outlineLvl w:val="1"/>
              <w:rPr>
                <w:rFonts w:hint="eastAsia" w:ascii="仿宋" w:hAnsi="仿宋" w:eastAsia="仿宋" w:cs="仿宋"/>
                <w:b/>
                <w:bCs/>
                <w:color w:val="auto"/>
                <w:spacing w:val="0"/>
                <w:kern w:val="0"/>
                <w:sz w:val="24"/>
                <w:szCs w:val="24"/>
                <w:highlight w:val="none"/>
                <w:lang w:val="en-US" w:eastAsia="zh-CN" w:bidi="ar-SA"/>
              </w:rPr>
            </w:pPr>
            <w:r>
              <w:rPr>
                <w:rFonts w:hint="eastAsia" w:ascii="仿宋" w:hAnsi="仿宋" w:eastAsia="仿宋" w:cs="仿宋"/>
                <w:b/>
                <w:bCs/>
                <w:color w:val="auto"/>
                <w:spacing w:val="0"/>
                <w:kern w:val="0"/>
                <w:sz w:val="24"/>
                <w:szCs w:val="24"/>
                <w:highlight w:val="none"/>
                <w:lang w:val="en-US" w:eastAsia="zh-CN" w:bidi="ar-SA"/>
              </w:rPr>
              <w:t>规格型号</w:t>
            </w:r>
          </w:p>
        </w:tc>
        <w:tc>
          <w:tcPr>
            <w:tcW w:w="1560" w:type="dxa"/>
          </w:tcPr>
          <w:p>
            <w:pPr>
              <w:widowControl w:val="0"/>
              <w:adjustRightInd w:val="0"/>
              <w:snapToGrid w:val="0"/>
              <w:spacing w:line="240" w:lineRule="auto"/>
              <w:jc w:val="center"/>
              <w:outlineLvl w:val="1"/>
              <w:rPr>
                <w:rFonts w:hint="eastAsia" w:ascii="仿宋" w:hAnsi="仿宋" w:eastAsia="仿宋" w:cs="仿宋"/>
                <w:b/>
                <w:bCs/>
                <w:color w:val="auto"/>
                <w:spacing w:val="0"/>
                <w:kern w:val="0"/>
                <w:sz w:val="24"/>
                <w:szCs w:val="24"/>
                <w:highlight w:val="none"/>
                <w:lang w:val="en-US" w:eastAsia="zh-CN" w:bidi="ar-SA"/>
              </w:rPr>
            </w:pPr>
            <w:r>
              <w:rPr>
                <w:rFonts w:hint="eastAsia" w:ascii="仿宋" w:hAnsi="仿宋" w:eastAsia="仿宋" w:cs="仿宋"/>
                <w:b/>
                <w:bCs/>
                <w:color w:val="auto"/>
                <w:spacing w:val="0"/>
                <w:kern w:val="0"/>
                <w:sz w:val="24"/>
                <w:szCs w:val="24"/>
                <w:highlight w:val="none"/>
                <w:lang w:val="en-US" w:eastAsia="zh-CN" w:bidi="ar-SA"/>
              </w:rPr>
              <w:t>数量</w:t>
            </w:r>
          </w:p>
        </w:tc>
        <w:tc>
          <w:tcPr>
            <w:tcW w:w="1140" w:type="dxa"/>
          </w:tcPr>
          <w:p>
            <w:pPr>
              <w:widowControl w:val="0"/>
              <w:adjustRightInd w:val="0"/>
              <w:snapToGrid w:val="0"/>
              <w:spacing w:line="240" w:lineRule="auto"/>
              <w:jc w:val="center"/>
              <w:outlineLvl w:val="1"/>
              <w:rPr>
                <w:rFonts w:hint="eastAsia" w:ascii="仿宋" w:hAnsi="仿宋" w:eastAsia="仿宋" w:cs="仿宋"/>
                <w:b/>
                <w:bCs/>
                <w:color w:val="auto"/>
                <w:spacing w:val="0"/>
                <w:kern w:val="0"/>
                <w:sz w:val="24"/>
                <w:szCs w:val="24"/>
                <w:highlight w:val="none"/>
                <w:lang w:val="en-US" w:eastAsia="zh-CN" w:bidi="ar-SA"/>
              </w:rPr>
            </w:pPr>
            <w:r>
              <w:rPr>
                <w:rFonts w:hint="eastAsia" w:ascii="仿宋" w:hAnsi="仿宋" w:eastAsia="仿宋" w:cs="仿宋"/>
                <w:b/>
                <w:bCs/>
                <w:color w:val="auto"/>
                <w:spacing w:val="0"/>
                <w:kern w:val="0"/>
                <w:sz w:val="24"/>
                <w:szCs w:val="24"/>
                <w:highlight w:val="none"/>
                <w:lang w:val="en-US" w:eastAsia="zh-CN" w:bidi="ar-SA"/>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5" w:type="dxa"/>
            <w:vAlign w:val="center"/>
          </w:tcPr>
          <w:p>
            <w:pPr>
              <w:spacing w:line="240" w:lineRule="auto"/>
              <w:ind w:left="0" w:leftChars="0"/>
              <w:jc w:val="center"/>
              <w:rPr>
                <w:rFonts w:hint="eastAsia" w:ascii="仿宋" w:hAnsi="仿宋" w:eastAsia="仿宋" w:cs="仿宋"/>
                <w:color w:val="auto"/>
                <w:sz w:val="21"/>
                <w:highlight w:val="none"/>
                <w:lang w:val="en-US" w:eastAsia="zh-CN"/>
              </w:rPr>
            </w:pPr>
            <w:r>
              <w:rPr>
                <w:rFonts w:hint="eastAsia" w:ascii="仿宋" w:hAnsi="仿宋" w:eastAsia="仿宋" w:cs="仿宋"/>
                <w:color w:val="auto"/>
                <w:sz w:val="21"/>
                <w:highlight w:val="none"/>
                <w:lang w:val="en-US" w:eastAsia="zh-CN"/>
              </w:rPr>
              <w:t>1</w:t>
            </w:r>
          </w:p>
        </w:tc>
        <w:tc>
          <w:tcPr>
            <w:tcW w:w="2100" w:type="dxa"/>
            <w:vAlign w:val="center"/>
          </w:tcPr>
          <w:p>
            <w:pPr>
              <w:spacing w:line="240" w:lineRule="auto"/>
              <w:ind w:left="0" w:leftChars="0"/>
              <w:jc w:val="center"/>
              <w:rPr>
                <w:rFonts w:hint="eastAsia" w:ascii="仿宋" w:hAnsi="仿宋" w:eastAsia="仿宋" w:cs="仿宋"/>
                <w:color w:val="auto"/>
                <w:sz w:val="21"/>
                <w:highlight w:val="none"/>
                <w:lang w:val="en-US" w:eastAsia="zh-CN"/>
              </w:rPr>
            </w:pPr>
            <w:r>
              <w:rPr>
                <w:rFonts w:hint="eastAsia" w:ascii="仿宋" w:hAnsi="仿宋" w:eastAsia="仿宋" w:cs="仿宋"/>
                <w:color w:val="auto"/>
                <w:sz w:val="21"/>
                <w:highlight w:val="none"/>
                <w:lang w:val="en-US" w:eastAsia="zh-CN"/>
              </w:rPr>
              <w:t>金属箱</w:t>
            </w:r>
          </w:p>
        </w:tc>
        <w:tc>
          <w:tcPr>
            <w:tcW w:w="1368" w:type="dxa"/>
            <w:vAlign w:val="center"/>
          </w:tcPr>
          <w:p>
            <w:pPr>
              <w:spacing w:line="240" w:lineRule="auto"/>
              <w:ind w:left="0" w:leftChars="0"/>
              <w:jc w:val="center"/>
              <w:rPr>
                <w:rFonts w:hint="default" w:ascii="仿宋" w:hAnsi="仿宋" w:eastAsia="仿宋" w:cs="仿宋"/>
                <w:color w:val="auto"/>
                <w:sz w:val="21"/>
                <w:highlight w:val="none"/>
                <w:lang w:val="en-US" w:eastAsia="zh-CN"/>
              </w:rPr>
            </w:pPr>
            <w:r>
              <w:rPr>
                <w:rFonts w:hint="eastAsia" w:ascii="仿宋" w:hAnsi="仿宋" w:eastAsia="仿宋" w:cs="仿宋"/>
                <w:color w:val="auto"/>
                <w:sz w:val="21"/>
                <w:highlight w:val="none"/>
                <w:lang w:val="en-US" w:eastAsia="zh-CN"/>
              </w:rPr>
              <w:t>85160152</w:t>
            </w:r>
          </w:p>
        </w:tc>
        <w:tc>
          <w:tcPr>
            <w:tcW w:w="2472" w:type="dxa"/>
            <w:vAlign w:val="center"/>
          </w:tcPr>
          <w:p>
            <w:pPr>
              <w:spacing w:line="240" w:lineRule="auto"/>
              <w:ind w:left="0" w:leftChars="0"/>
              <w:jc w:val="center"/>
              <w:rPr>
                <w:rFonts w:hint="eastAsia" w:ascii="等线" w:hAnsi="等线" w:eastAsia="等线" w:cs="Times New Roman"/>
                <w:lang w:val="en-US" w:eastAsia="zh-CN"/>
              </w:rPr>
            </w:pPr>
            <w:r>
              <w:rPr>
                <w:rFonts w:hint="eastAsia" w:ascii="仿宋" w:hAnsi="仿宋" w:eastAsia="仿宋" w:cs="仿宋"/>
                <w:color w:val="auto"/>
                <w:sz w:val="21"/>
                <w:highlight w:val="none"/>
                <w:lang w:val="en-US" w:eastAsia="zh-CN"/>
              </w:rPr>
              <w:t>金属箱\5mX2.5mX2.5m\9t</w:t>
            </w:r>
          </w:p>
        </w:tc>
        <w:tc>
          <w:tcPr>
            <w:tcW w:w="1560" w:type="dxa"/>
            <w:vAlign w:val="center"/>
          </w:tcPr>
          <w:p>
            <w:pPr>
              <w:spacing w:line="240" w:lineRule="auto"/>
              <w:ind w:left="0" w:leftChars="0"/>
              <w:jc w:val="center"/>
              <w:rPr>
                <w:rFonts w:hint="eastAsia" w:ascii="仿宋" w:hAnsi="仿宋" w:eastAsia="仿宋" w:cs="仿宋"/>
                <w:color w:val="auto"/>
                <w:sz w:val="21"/>
                <w:highlight w:val="none"/>
                <w:lang w:val="en-US" w:eastAsia="zh-CN"/>
              </w:rPr>
            </w:pPr>
            <w:r>
              <w:rPr>
                <w:rFonts w:hint="eastAsia" w:ascii="仿宋" w:hAnsi="仿宋" w:eastAsia="仿宋" w:cs="仿宋"/>
                <w:color w:val="auto"/>
                <w:sz w:val="21"/>
                <w:highlight w:val="none"/>
                <w:lang w:val="en-US" w:eastAsia="zh-CN"/>
              </w:rPr>
              <w:t>2</w:t>
            </w:r>
          </w:p>
        </w:tc>
        <w:tc>
          <w:tcPr>
            <w:tcW w:w="1140" w:type="dxa"/>
            <w:vAlign w:val="center"/>
          </w:tcPr>
          <w:p>
            <w:pPr>
              <w:spacing w:line="240" w:lineRule="auto"/>
              <w:ind w:left="0" w:leftChars="0"/>
              <w:jc w:val="center"/>
              <w:rPr>
                <w:rFonts w:hint="eastAsia" w:ascii="仿宋" w:hAnsi="仿宋" w:eastAsia="仿宋" w:cs="仿宋"/>
                <w:color w:val="auto"/>
                <w:sz w:val="21"/>
                <w:highlight w:val="none"/>
                <w:lang w:val="en-US" w:eastAsia="zh-CN"/>
              </w:rPr>
            </w:pPr>
            <w:r>
              <w:rPr>
                <w:rFonts w:hint="eastAsia" w:ascii="仿宋" w:hAnsi="仿宋" w:eastAsia="仿宋" w:cs="仿宋"/>
                <w:color w:val="auto"/>
                <w:sz w:val="21"/>
                <w:highlight w:val="none"/>
                <w:lang w:val="en-US" w:eastAsia="zh-CN"/>
              </w:rPr>
              <w:t>台</w:t>
            </w:r>
          </w:p>
        </w:tc>
      </w:tr>
    </w:tbl>
    <w:p>
      <w:pPr>
        <w:pageBreakBefore w:val="0"/>
        <w:kinsoku/>
        <w:wordWrap/>
        <w:topLinePunct w:val="0"/>
        <w:bidi w:val="0"/>
        <w:spacing w:line="360" w:lineRule="auto"/>
        <w:jc w:val="left"/>
        <w:rPr>
          <w:rFonts w:hint="eastAsia" w:ascii="等线" w:hAnsi="宋体" w:eastAsia="等线" w:cs="Times New Roman"/>
          <w:b/>
          <w:bCs w:val="0"/>
          <w:color w:val="auto"/>
          <w:kern w:val="0"/>
          <w:sz w:val="28"/>
          <w:szCs w:val="28"/>
          <w:highlight w:val="none"/>
          <w:lang w:val="en-US" w:eastAsia="zh-CN"/>
        </w:rPr>
      </w:pPr>
      <w:r>
        <w:rPr>
          <w:rFonts w:hint="eastAsia" w:ascii="宋体" w:hAnsi="宋体" w:eastAsia="宋体" w:cs="宋体"/>
          <w:color w:val="000000"/>
          <w:kern w:val="0"/>
          <w:sz w:val="22"/>
          <w:szCs w:val="22"/>
          <w:highlight w:val="none"/>
          <w:lang w:val="en-US" w:eastAsia="zh-CN"/>
        </w:rPr>
        <w:t>备注：金属箱即为移动控制站箱体。</w:t>
      </w:r>
    </w:p>
    <w:p>
      <w:pPr>
        <w:widowControl w:val="0"/>
        <w:numPr>
          <w:ilvl w:val="0"/>
          <w:numId w:val="4"/>
        </w:numPr>
        <w:autoSpaceDE w:val="0"/>
        <w:autoSpaceDN w:val="0"/>
        <w:adjustRightInd w:val="0"/>
        <w:spacing w:before="120" w:after="120" w:line="360" w:lineRule="auto"/>
        <w:ind w:left="420" w:hanging="420"/>
        <w:outlineLvl w:val="0"/>
        <w:rPr>
          <w:rFonts w:hint="eastAsia" w:ascii="宋体" w:hAnsi="宋体" w:eastAsia="宋体" w:cs="Times New Roman"/>
          <w:b/>
          <w:bCs w:val="0"/>
          <w:color w:val="auto"/>
          <w:kern w:val="0"/>
          <w:sz w:val="28"/>
          <w:szCs w:val="28"/>
          <w:highlight w:val="none"/>
          <w:lang w:val="en-US" w:eastAsia="zh-CN" w:bidi="ar-SA"/>
        </w:rPr>
      </w:pPr>
      <w:r>
        <w:rPr>
          <w:rFonts w:hint="eastAsia" w:ascii="宋体" w:hAnsi="宋体" w:eastAsia="宋体" w:cs="Times New Roman"/>
          <w:b/>
          <w:bCs w:val="0"/>
          <w:color w:val="auto"/>
          <w:kern w:val="0"/>
          <w:sz w:val="28"/>
          <w:szCs w:val="28"/>
          <w:highlight w:val="none"/>
          <w:lang w:val="en-US" w:eastAsia="zh-CN" w:bidi="ar-SA"/>
        </w:rPr>
        <w:t>执行标准/规范</w:t>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GB/T 35549-2017     无压干散货集装箱散货运输技术规范</w:t>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GB 2894-2025        安全标志及其使用导则</w:t>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GB/T 3836.5-2021    爆炸性环境 第5部分：由正压外壳“p”保护的设备</w:t>
      </w:r>
    </w:p>
    <w:p>
      <w:pPr>
        <w:widowControl w:val="0"/>
        <w:numPr>
          <w:ilvl w:val="0"/>
          <w:numId w:val="4"/>
        </w:numPr>
        <w:autoSpaceDE w:val="0"/>
        <w:autoSpaceDN w:val="0"/>
        <w:adjustRightInd w:val="0"/>
        <w:spacing w:before="120" w:after="120" w:line="360" w:lineRule="auto"/>
        <w:ind w:left="420" w:hanging="420"/>
        <w:outlineLvl w:val="0"/>
        <w:rPr>
          <w:rFonts w:hint="eastAsia" w:ascii="宋体" w:hAnsi="宋体" w:eastAsia="宋体" w:cs="Times New Roman"/>
          <w:b/>
          <w:bCs w:val="0"/>
          <w:color w:val="auto"/>
          <w:kern w:val="0"/>
          <w:sz w:val="28"/>
          <w:szCs w:val="28"/>
          <w:highlight w:val="none"/>
          <w:lang w:val="en-US" w:eastAsia="zh-CN" w:bidi="ar-SA"/>
        </w:rPr>
      </w:pPr>
      <w:r>
        <w:rPr>
          <w:rFonts w:hint="eastAsia" w:ascii="宋体" w:hAnsi="宋体" w:eastAsia="宋体" w:cs="Times New Roman"/>
          <w:b/>
          <w:bCs w:val="0"/>
          <w:color w:val="auto"/>
          <w:kern w:val="0"/>
          <w:sz w:val="28"/>
          <w:szCs w:val="28"/>
          <w:highlight w:val="none"/>
          <w:lang w:val="en-US" w:eastAsia="zh-CN" w:bidi="ar-SA"/>
        </w:rPr>
        <w:t>设计/使用条件</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正压钣金设计要求：</w:t>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箱体承载能力应满足所有设备及产品的荷载，该技术要求书内所有产品，焊接部分均为满焊；</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使用地点：</w:t>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渤海、南海等海上石油平台；</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作业环境要求：</w:t>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作业温度：-40℃～45℃；</w:t>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空气相对湿度：满足（1）最大相对湿度：94%；（2）最小相对湿度：10%；</w:t>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有凝露、油雾、盐雾和霉菌的影响；</w:t>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有平台作业时所产生的振动和晃动。</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下述所有设备涉及到锁具的统一要求如下：</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卖方需提供与该设备配套的吊锁具，且该吊索具有第三方CCS\CCSI\中海检测的检验证书（</w:t>
      </w:r>
      <w:r>
        <w:rPr>
          <w:rFonts w:hint="eastAsia"/>
          <w:lang w:val="en-US" w:eastAsia="zh-CN"/>
        </w:rPr>
        <w:t>满足其一即可</w:t>
      </w:r>
      <w:r>
        <w:rPr>
          <w:rFonts w:hint="eastAsia" w:ascii="宋体" w:hAnsi="宋体" w:eastAsia="宋体" w:cs="宋体"/>
          <w:color w:val="000000"/>
          <w:kern w:val="0"/>
          <w:sz w:val="22"/>
          <w:szCs w:val="22"/>
          <w:highlight w:val="none"/>
          <w:lang w:val="en-US" w:eastAsia="zh-CN"/>
        </w:rPr>
        <w:t>），并索具上挂第三方检测公司的安检牌。</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下述所有设备涉及到的喷漆统一要求如下：</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所有待涂装的金属构件（如设备外壳、管道支架、钢结构框架等）的油漆统一采用聚氨酯防腐漆，且需严格按照相关施工规范进行基层处理（如除锈、除油、打磨至规定粗糙度）、涂刷作业（保证涂层厚度均匀且达到设计要求）及后期养护，以确保其具备优异的耐腐蚀性、耐候性和附着性，满足长期潮湿环境下的防护需求。</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喷涂底漆时，钢材基层处理完后应在4～6h内喷涂第一道底漆。在正式喷涂前，应检测金属表面的温度并在样板上进行试喷，直到一次性喷涂（避免重复喷涂）漆膜厚度达到设计要求方可正式喷涂。</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喷涂油漆时，将配置好的油漆装入喷壶内，保持喷壶喷嘴距离金属表面 200mm～250mm，然后在金属表面做匀速移动，移动的速度应控制在 100mm～200mm/s 之内，直到金属表面完全被油漆所覆盖。采用环氧富锌底漆按以上参数喷涂油漆的干膜厚度应达到60-80μm。</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漆膜厚度</w:t>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漆膜厚度检测采用漆膜测厚仪检测，厚度偏差为±5μm。</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中间漆、面漆喷涂料</w:t>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喷涂中间漆时，采用环氧云铁中间漆，在金属表面匀速喷涂，直到金属表面完全被油漆所覆盖，油漆的干膜厚度应达到100-120μm；</w:t>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喷涂面漆1时，采用厚浆型环氧面漆，在金属表面匀速喷涂，直到金属表面完全被油漆所覆盖，油漆的干膜厚度应达到60-80μm；</w:t>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喷涂面漆2时，采用聚硅氧烷面漆，在金属表面匀速喷涂，直到金属表面完全被油漆所覆盖，油漆的干膜厚度应达到40-60μm；</w:t>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中间漆及两遍面漆全部完成，表面再喷涂相关要求文字。</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喷漆色卡要求：</w:t>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油漆蓝色为 Pantone 301C。</w:t>
      </w:r>
      <w:r>
        <w:rPr>
          <w:rFonts w:hint="eastAsia" w:ascii="宋体" w:hAnsi="宋体" w:eastAsia="宋体" w:cs="宋体"/>
          <w:color w:val="000000"/>
          <w:kern w:val="0"/>
          <w:sz w:val="22"/>
          <w:szCs w:val="22"/>
          <w:highlight w:val="none"/>
          <w:lang w:val="en-US" w:eastAsia="zh-CN"/>
        </w:rPr>
        <w:drawing>
          <wp:inline distT="0" distB="0" distL="114300" distR="114300">
            <wp:extent cx="1231900" cy="342900"/>
            <wp:effectExtent l="0" t="0" r="6350" b="0"/>
            <wp:docPr id="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
                    <pic:cNvPicPr>
                      <a:picLocks noChangeAspect="1"/>
                    </pic:cNvPicPr>
                  </pic:nvPicPr>
                  <pic:blipFill>
                    <a:blip r:embed="rId5"/>
                    <a:stretch>
                      <a:fillRect/>
                    </a:stretch>
                  </pic:blipFill>
                  <pic:spPr>
                    <a:xfrm>
                      <a:off x="0" y="0"/>
                      <a:ext cx="1231900" cy="342900"/>
                    </a:xfrm>
                    <a:prstGeom prst="rect">
                      <a:avLst/>
                    </a:prstGeom>
                    <a:noFill/>
                    <a:ln>
                      <a:noFill/>
                    </a:ln>
                  </pic:spPr>
                </pic:pic>
              </a:graphicData>
            </a:graphic>
          </wp:inline>
        </w:drawing>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油漆红色为 Pantone 186C。</w:t>
      </w:r>
      <w:r>
        <w:rPr>
          <w:rFonts w:hint="eastAsia" w:ascii="宋体" w:hAnsi="宋体" w:eastAsia="宋体" w:cs="宋体"/>
          <w:color w:val="000000"/>
          <w:kern w:val="0"/>
          <w:sz w:val="22"/>
          <w:szCs w:val="22"/>
          <w:highlight w:val="none"/>
          <w:lang w:val="en-US" w:eastAsia="zh-CN"/>
        </w:rPr>
        <w:drawing>
          <wp:inline distT="0" distB="0" distL="114300" distR="114300">
            <wp:extent cx="1217295" cy="326390"/>
            <wp:effectExtent l="0" t="0" r="1905" b="16510"/>
            <wp:docPr id="10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2"/>
                    <pic:cNvPicPr>
                      <a:picLocks noChangeAspect="1"/>
                    </pic:cNvPicPr>
                  </pic:nvPicPr>
                  <pic:blipFill>
                    <a:blip r:embed="rId6"/>
                    <a:stretch>
                      <a:fillRect/>
                    </a:stretch>
                  </pic:blipFill>
                  <pic:spPr>
                    <a:xfrm>
                      <a:off x="0" y="0"/>
                      <a:ext cx="1217295" cy="326390"/>
                    </a:xfrm>
                    <a:prstGeom prst="rect">
                      <a:avLst/>
                    </a:prstGeom>
                    <a:noFill/>
                    <a:ln>
                      <a:noFill/>
                    </a:ln>
                  </pic:spPr>
                </pic:pic>
              </a:graphicData>
            </a:graphic>
          </wp:inline>
        </w:drawing>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因软件色域差异问题，技术要求书中示意图有色差，喷漆所有颜色必须遵守上述色标。</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所有设备铭牌制作及本体喷涂，不允许出现生产卖方字样。</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采用上白下蓝的方式，比例详见移动控制站主要技术参数。</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需在箱体顶部喷涂上海龙LOGO占满工具箱顶部；</w:t>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海龙LOGO如图</w:t>
      </w:r>
      <w:r>
        <w:rPr>
          <w:rFonts w:hint="eastAsia" w:ascii="宋体" w:hAnsi="宋体" w:eastAsia="宋体" w:cs="宋体"/>
          <w:color w:val="000000"/>
          <w:kern w:val="0"/>
          <w:sz w:val="22"/>
          <w:szCs w:val="22"/>
          <w:highlight w:val="none"/>
          <w:lang w:val="en-US" w:eastAsia="zh-CN"/>
        </w:rPr>
        <w:drawing>
          <wp:inline distT="0" distB="0" distL="114300" distR="114300">
            <wp:extent cx="688340" cy="366395"/>
            <wp:effectExtent l="0" t="0" r="16510" b="1460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7">
                      <a:clrChange>
                        <a:clrFrom>
                          <a:srgbClr val="FFFFFF">
                            <a:alpha val="100000"/>
                          </a:srgbClr>
                        </a:clrFrom>
                        <a:clrTo>
                          <a:srgbClr val="FFFFFF">
                            <a:alpha val="100000"/>
                            <a:alpha val="0"/>
                          </a:srgbClr>
                        </a:clrTo>
                      </a:clrChange>
                    </a:blip>
                    <a:stretch>
                      <a:fillRect/>
                    </a:stretch>
                  </pic:blipFill>
                  <pic:spPr>
                    <a:xfrm>
                      <a:off x="0" y="0"/>
                      <a:ext cx="688340" cy="366395"/>
                    </a:xfrm>
                    <a:prstGeom prst="rect">
                      <a:avLst/>
                    </a:prstGeom>
                    <a:noFill/>
                    <a:ln>
                      <a:noFill/>
                    </a:ln>
                  </pic:spPr>
                </pic:pic>
              </a:graphicData>
            </a:graphic>
          </wp:inline>
        </w:drawing>
      </w:r>
      <w:r>
        <w:rPr>
          <w:rFonts w:hint="eastAsia" w:ascii="宋体" w:hAnsi="宋体" w:eastAsia="宋体" w:cs="宋体"/>
          <w:color w:val="000000"/>
          <w:kern w:val="0"/>
          <w:sz w:val="22"/>
          <w:szCs w:val="22"/>
          <w:highlight w:val="none"/>
          <w:lang w:val="en-US" w:eastAsia="zh-CN"/>
        </w:rPr>
        <w:t>所示，卖方给出的喷涂方案要由甲方签字确认后实施。</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不锈钢设备需在海龙LOGO喷漆位置，满焊一块与海龙LOGO大小相同的铁牌，利于油漆附着。</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箱体外侧标识要求如下图所示，该技术要求书中所有箱体喷漆大小遵循该比例。</w:t>
      </w:r>
    </w:p>
    <w:p>
      <w:pPr>
        <w:keepNext w:val="0"/>
        <w:keepLines w:val="0"/>
        <w:pageBreakBefore w:val="0"/>
        <w:widowControl w:val="0"/>
        <w:numPr>
          <w:ilvl w:val="0"/>
          <w:numId w:val="0"/>
        </w:numPr>
        <w:kinsoku/>
        <w:wordWrap/>
        <w:overflowPunct/>
        <w:topLinePunct w:val="0"/>
        <w:autoSpaceDE/>
        <w:autoSpaceDN/>
        <w:bidi w:val="0"/>
        <w:adjustRightInd/>
        <w:snapToGrid/>
        <w:spacing w:line="257" w:lineRule="auto"/>
        <w:ind w:right="0" w:rightChars="0"/>
        <w:jc w:val="center"/>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4"/>
          <w:szCs w:val="24"/>
          <w:highlight w:val="none"/>
          <w:lang w:val="en-US" w:eastAsia="zh-CN" w:bidi="ar-SA"/>
        </w:rPr>
        <w:drawing>
          <wp:inline distT="0" distB="0" distL="114300" distR="114300">
            <wp:extent cx="4053840" cy="1955800"/>
            <wp:effectExtent l="0" t="0" r="3810" b="6350"/>
            <wp:docPr id="4" name="图片 4" descr="1741315062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41315062926"/>
                    <pic:cNvPicPr>
                      <a:picLocks noChangeAspect="1"/>
                    </pic:cNvPicPr>
                  </pic:nvPicPr>
                  <pic:blipFill>
                    <a:blip r:embed="rId8"/>
                    <a:stretch>
                      <a:fillRect/>
                    </a:stretch>
                  </pic:blipFill>
                  <pic:spPr>
                    <a:xfrm>
                      <a:off x="0" y="0"/>
                      <a:ext cx="4053840" cy="1955800"/>
                    </a:xfrm>
                    <a:prstGeom prst="rect">
                      <a:avLst/>
                    </a:prstGeom>
                  </pic:spPr>
                </pic:pic>
              </a:graphicData>
            </a:graphic>
          </wp:inline>
        </w:drawing>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本技术要求书中移动控制站内部结构专为油井地面设备设计，加工时必须严格按照技术要求书中结构与尺寸进行加工，对结构尺寸有疑问或需要修改的必须联系甲方，在甲方正式同意后才能进行修改，不得私自修改参数与结构。</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所有编号焊接使用激光焊接，且必须满焊。</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箱体横梁必须有三组以上的拉筋。</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42"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b/>
          <w:bCs/>
          <w:color w:val="000000"/>
          <w:kern w:val="0"/>
          <w:sz w:val="22"/>
          <w:szCs w:val="22"/>
          <w:highlight w:val="none"/>
          <w:lang w:val="en-US" w:eastAsia="zh-CN"/>
        </w:rPr>
        <w:t>★承包商应按照《机械安全 设计通则 风险评估与风险减小》要求，采取有效措施消除使用危险或减少危险伴随的风险（GB/T 15706-2012）。</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移动控制站箱体清单总览：</w:t>
      </w:r>
    </w:p>
    <w:tbl>
      <w:tblPr>
        <w:tblStyle w:val="27"/>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59"/>
        <w:gridCol w:w="3870"/>
        <w:gridCol w:w="1774"/>
        <w:gridCol w:w="959"/>
        <w:gridCol w:w="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b/>
                <w:kern w:val="0"/>
                <w:sz w:val="28"/>
                <w:szCs w:val="28"/>
                <w:highlight w:val="none"/>
                <w:lang w:val="en-US" w:eastAsia="zh-CN" w:bidi="ar-SA"/>
              </w:rPr>
            </w:pPr>
            <w:r>
              <w:rPr>
                <w:rFonts w:hint="eastAsia" w:ascii="仿宋" w:hAnsi="仿宋" w:eastAsia="仿宋" w:cs="仿宋"/>
                <w:b/>
                <w:kern w:val="0"/>
                <w:sz w:val="28"/>
                <w:szCs w:val="28"/>
                <w:highlight w:val="none"/>
                <w:lang w:val="en-US" w:eastAsia="zh-CN" w:bidi="ar-SA"/>
              </w:rPr>
              <w:t>序号</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b/>
                <w:kern w:val="0"/>
                <w:sz w:val="28"/>
                <w:szCs w:val="28"/>
                <w:highlight w:val="none"/>
                <w:lang w:val="en-US" w:eastAsia="zh-CN" w:bidi="ar-SA"/>
              </w:rPr>
            </w:pPr>
            <w:r>
              <w:rPr>
                <w:rFonts w:hint="eastAsia" w:ascii="仿宋" w:hAnsi="仿宋" w:eastAsia="仿宋" w:cs="仿宋"/>
                <w:b/>
                <w:kern w:val="0"/>
                <w:sz w:val="28"/>
                <w:szCs w:val="28"/>
                <w:highlight w:val="none"/>
                <w:lang w:val="en-US" w:eastAsia="zh-CN" w:bidi="ar-SA"/>
              </w:rPr>
              <w:t>名称</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b/>
                <w:kern w:val="0"/>
                <w:sz w:val="28"/>
                <w:szCs w:val="28"/>
                <w:highlight w:val="none"/>
                <w:lang w:val="en-US" w:eastAsia="zh-CN" w:bidi="ar-SA"/>
              </w:rPr>
            </w:pPr>
            <w:r>
              <w:rPr>
                <w:rFonts w:hint="eastAsia" w:ascii="仿宋" w:hAnsi="仿宋" w:eastAsia="仿宋" w:cs="仿宋"/>
                <w:b/>
                <w:kern w:val="0"/>
                <w:sz w:val="28"/>
                <w:szCs w:val="28"/>
                <w:highlight w:val="none"/>
                <w:lang w:val="en-US" w:eastAsia="zh-CN" w:bidi="ar-SA"/>
              </w:rPr>
              <w:t>材质</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b/>
                <w:kern w:val="0"/>
                <w:sz w:val="28"/>
                <w:szCs w:val="28"/>
                <w:highlight w:val="none"/>
                <w:lang w:val="en-US" w:eastAsia="zh-CN" w:bidi="ar-SA"/>
              </w:rPr>
            </w:pPr>
            <w:r>
              <w:rPr>
                <w:rFonts w:hint="eastAsia" w:ascii="仿宋" w:hAnsi="仿宋" w:eastAsia="仿宋" w:cs="仿宋"/>
                <w:b/>
                <w:kern w:val="0"/>
                <w:sz w:val="28"/>
                <w:szCs w:val="28"/>
                <w:highlight w:val="none"/>
                <w:lang w:val="en-US" w:eastAsia="zh-CN" w:bidi="ar-SA"/>
              </w:rPr>
              <w:t>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b/>
                <w:kern w:val="0"/>
                <w:sz w:val="28"/>
                <w:szCs w:val="28"/>
                <w:highlight w:val="none"/>
                <w:lang w:val="en-US" w:eastAsia="zh-CN" w:bidi="ar-SA"/>
              </w:rPr>
            </w:pPr>
            <w:r>
              <w:rPr>
                <w:rFonts w:hint="eastAsia" w:ascii="仿宋" w:hAnsi="仿宋" w:eastAsia="仿宋" w:cs="仿宋"/>
                <w:b/>
                <w:kern w:val="0"/>
                <w:sz w:val="28"/>
                <w:szCs w:val="28"/>
                <w:highlight w:val="none"/>
                <w:lang w:val="en-US" w:eastAsia="zh-CN" w:bidi="ar-SA"/>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移动控制站箱体</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Q345B</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件</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舾装板</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防火门</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A60</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件</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空调</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5P</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件</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防爆智能控制箱</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含PLC、电器</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硫化氢探测器、烟感、温感、火焰探</w:t>
            </w:r>
            <w:r>
              <w:rPr>
                <w:rFonts w:hint="eastAsia" w:ascii="仿宋" w:hAnsi="仿宋" w:eastAsia="仿宋" w:cs="仿宋"/>
                <w:kern w:val="0"/>
                <w:sz w:val="28"/>
                <w:szCs w:val="28"/>
                <w:highlight w:val="none"/>
                <w:lang w:val="en-US" w:eastAsia="zh-CN" w:bidi="ar-SA"/>
              </w:rPr>
              <w:br w:type="textWrapping"/>
            </w:r>
            <w:r>
              <w:rPr>
                <w:rFonts w:hint="eastAsia" w:ascii="仿宋" w:hAnsi="仿宋" w:eastAsia="仿宋" w:cs="仿宋"/>
                <w:kern w:val="0"/>
                <w:sz w:val="28"/>
                <w:szCs w:val="28"/>
                <w:highlight w:val="none"/>
                <w:lang w:val="en-US" w:eastAsia="zh-CN" w:bidi="ar-SA"/>
              </w:rPr>
              <w:t>测器、微差压传感器等</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灯具、开关、插座</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8</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防爆风闸</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件</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9</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防爆风机</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件</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10</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电缆</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11</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变压器</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12</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打砂喷涂</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13</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防爆合格证</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14</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船级社检测、出证</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15</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吊索</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件</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16</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吊点检测、探伤</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17</w:t>
            </w: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箱体布线、设备安装</w:t>
            </w: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r>
              <w:rPr>
                <w:rFonts w:hint="eastAsia" w:ascii="仿宋" w:hAnsi="仿宋" w:eastAsia="仿宋" w:cs="仿宋"/>
                <w:kern w:val="0"/>
                <w:sz w:val="28"/>
                <w:szCs w:val="28"/>
                <w:highlight w:val="none"/>
                <w:lang w:val="en-US" w:eastAsia="zh-CN" w:bidi="ar-SA"/>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p>
        </w:tc>
        <w:tc>
          <w:tcPr>
            <w:tcW w:w="3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p>
        </w:tc>
        <w:tc>
          <w:tcPr>
            <w:tcW w:w="17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left"/>
              <w:rPr>
                <w:rFonts w:hint="eastAsia" w:ascii="仿宋" w:hAnsi="仿宋" w:eastAsia="仿宋" w:cs="仿宋"/>
                <w:kern w:val="0"/>
                <w:sz w:val="28"/>
                <w:szCs w:val="28"/>
                <w:highlight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val="0"/>
              <w:snapToGrid w:val="0"/>
              <w:spacing w:line="240" w:lineRule="auto"/>
              <w:ind w:left="0" w:leftChars="0" w:right="0" w:rightChars="0" w:firstLine="0" w:firstLineChars="0"/>
              <w:jc w:val="center"/>
              <w:rPr>
                <w:rFonts w:hint="eastAsia" w:ascii="仿宋" w:hAnsi="仿宋" w:eastAsia="仿宋" w:cs="仿宋"/>
                <w:kern w:val="0"/>
                <w:sz w:val="28"/>
                <w:szCs w:val="28"/>
                <w:highlight w:val="none"/>
                <w:lang w:val="en-US" w:eastAsia="zh-CN" w:bidi="ar-SA"/>
              </w:rPr>
            </w:pPr>
          </w:p>
        </w:tc>
      </w:tr>
    </w:tbl>
    <w:p>
      <w:pPr>
        <w:widowControl w:val="0"/>
        <w:numPr>
          <w:ilvl w:val="0"/>
          <w:numId w:val="4"/>
        </w:numPr>
        <w:autoSpaceDE w:val="0"/>
        <w:autoSpaceDN w:val="0"/>
        <w:adjustRightInd w:val="0"/>
        <w:spacing w:before="120" w:after="120" w:line="360" w:lineRule="auto"/>
        <w:ind w:left="420" w:hanging="420"/>
        <w:outlineLvl w:val="0"/>
        <w:rPr>
          <w:rFonts w:hint="eastAsia" w:ascii="宋体" w:hAnsi="宋体" w:eastAsia="宋体" w:cs="Times New Roman"/>
          <w:b/>
          <w:bCs w:val="0"/>
          <w:color w:val="auto"/>
          <w:kern w:val="0"/>
          <w:sz w:val="28"/>
          <w:szCs w:val="28"/>
          <w:highlight w:val="none"/>
          <w:lang w:val="en-US" w:eastAsia="zh-CN" w:bidi="ar-SA"/>
        </w:rPr>
      </w:pPr>
      <w:r>
        <w:rPr>
          <w:rFonts w:hint="eastAsia" w:ascii="宋体" w:hAnsi="宋体" w:eastAsia="宋体" w:cs="Times New Roman"/>
          <w:b/>
          <w:bCs w:val="0"/>
          <w:color w:val="auto"/>
          <w:kern w:val="0"/>
          <w:sz w:val="28"/>
          <w:szCs w:val="28"/>
          <w:highlight w:val="none"/>
          <w:lang w:val="en-US" w:eastAsia="zh-CN" w:bidi="ar-SA"/>
        </w:rPr>
        <w:t>技术要求</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正压防爆箱体整体应符合《爆炸性环境 第1部分：设备 通用要求》(GB3836.1-2021)</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正压防爆箱体涂装工艺应符合中海石油（中国）有限公司防爆房验收要求（2004）和CCS海上固定平台入籍与建造规定的要求。</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正压防爆箱体焊接工艺应符合中国船级社CCS海上固定平台入籍与建造规定（1992）的要求。</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正压防爆箱体外形长宽高均不大于各自要求：5m×2.5m×2.5m（长×宽×高）。</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正压防爆箱体要求有过渡间、逃生门、密封透气孔和正压防爆合格证</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移动控制站设备防爆要求：Ex db IIB T6 Gb。</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正压防爆箱体四个吊点上安装船级社认可的合格吊索具，如果整个箱体的重心不在箱体的中心上，要求吊索配找重心。</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底撬上的插车孔位置，根据箱体重心位置确定。</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要求安装空调器 (冷、热型)，满足设备散热量（400kW变频器散热量约为12kW，500kVA变压器散热量约为10kW，其他散热合计约为2.5kW），提供满足要求的计算依据，室外机安装要求内置式，开孔外侧加装防护栏。</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要求安装两台能满足本箱体室内正压要求（根据正压防爆标准GB/T 3836.5-2021）的防爆增压送风机，安装要求内置式，开孔外侧加装防护栏。（一台吹升压变压器间，加装进出风通道。一台吹变频器操作间，加装进出风口。）</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要求安装内置式不锈钢防爆接线盒，不锈钢防爆接线盒露在箱体外侧的底部安装5个不锈钢填填料函和一个带防护罩的单向阀，一个380V 20A防爆接线盒，一个不锈钢接地螺钉，一个压力探头。露在箱体内侧的底部安装两个不锈钢填料涵，并焊一个不锈钢接地螺钉。门上喷高、低压电符号（3600V、380V）。另外加3个备用高压缆填料涵2个备用低压缆填料涵和3个变径接头，具体规格待定。提供拆卸填料涵专用扳手一套和拆卸盒盖螺钉的专用工具一套。</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在变压器舱室门上安装温度显示面板（变压器自带温度探头）。</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要求安装内置式梯子，安装要求内置式。</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箱体至少满足A级（GB8624-2012）防火等级要求，乙方需提供相应的证明材料(国家级检测机构或五大船级社出具的第三方检验报告（</w:t>
      </w:r>
      <w:r>
        <w:rPr>
          <w:rFonts w:hint="eastAsia"/>
          <w:lang w:val="en-US" w:eastAsia="zh-CN"/>
        </w:rPr>
        <w:t>满足一项即可</w:t>
      </w:r>
      <w:r>
        <w:rPr>
          <w:rFonts w:hint="eastAsia" w:ascii="宋体" w:hAnsi="宋体" w:eastAsia="宋体" w:cs="宋体"/>
          <w:color w:val="000000"/>
          <w:kern w:val="0"/>
          <w:sz w:val="22"/>
          <w:szCs w:val="22"/>
          <w:highlight w:val="none"/>
          <w:lang w:val="en-US" w:eastAsia="zh-CN"/>
        </w:rPr>
        <w:t>），报告中体现防火等级A级。）。</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箱体配防火舾装，装饰板采用 B15级材料，乙方需提供相应的证明材料(国家级检测机构或五大船级社出具的第三方检验报告（</w:t>
      </w:r>
      <w:r>
        <w:rPr>
          <w:rFonts w:hint="eastAsia"/>
          <w:lang w:val="en-US" w:eastAsia="zh-CN"/>
        </w:rPr>
        <w:t>满足一项即可</w:t>
      </w:r>
      <w:r>
        <w:rPr>
          <w:rFonts w:hint="eastAsia" w:ascii="宋体" w:hAnsi="宋体" w:eastAsia="宋体" w:cs="宋体"/>
          <w:color w:val="000000"/>
          <w:kern w:val="0"/>
          <w:sz w:val="22"/>
          <w:szCs w:val="22"/>
          <w:highlight w:val="none"/>
          <w:lang w:val="en-US" w:eastAsia="zh-CN"/>
        </w:rPr>
        <w:t>），报告中体现 B15 级材料)。</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箱体需设计配置保温层，符合保温设计要求，乙方需提供相应的计算书。</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default"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变压器室内部粘贴玄武岩岩棉（覆 PTFE），环保胶粘贴（黏结强度≥0.2MPa），接缝处重叠 50mm 并用铝箔胶带密封</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升压变压器前门上方安装两扇门，将空调室外机盒挡在里面，变压器顶盖用40#角钢作加强骨架与四周固定。</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要求安装开关控制箱，安装在过渡间内门上方。</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要求在箱体内墙上安装火灾报警控制器。</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升压变压器左前门上开一个800A空气开关小门，尺寸、位置根据实物待定，需要焊一个空气开关安装架。</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升压变压器前门内，左下角地面上安装一台隔离控制变压器，要求有安装架，具体尺寸、位置根据实物待定。</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升压变压器前门外左下角靠墙的地面上安装电缆槽至控制柜处，具体尺寸待定。</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升压变压器前门、空气开关小门、变压器前门上方门的门轴为暗门轴。</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变频器间设置封闭的门厅并配置照明，门厅与变频器间之间设置密封门。</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箱体的所有室外门必须能够在内部和外部上锁。</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要求在箱体内安装荧光灯和消防自动应急照明灯，墙上安装两个（三孔和两孔多用式）插座，要求室内电线暗铺设，地面铺高压绝缘橡胶板（6000V）要求环保型。</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要求在箱体内部安装配备荧光照明灯，设备需满足正压防爆标准。</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要求在箱体内部安装配备消防自动应急照明灯，需满足正压防爆标准。</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要求在箱体内装安装一折叠式办公桌，安装在逃生门侧的墙上，可以向上折起并固定，尺寸为850×420mm，并配置一把折叠椅。</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要求在过渡间处安装两个小型干粉灭火器。</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箱体四周焊3块不锈钢板标记牌（300×200×2</w:t>
      </w:r>
      <w:r>
        <w:rPr>
          <w:rFonts w:hint="eastAsia"/>
          <w:lang w:val="en-US" w:eastAsia="zh-CN"/>
        </w:rPr>
        <w:t>mm</w:t>
      </w:r>
      <w:r>
        <w:rPr>
          <w:rFonts w:hint="eastAsia" w:ascii="宋体" w:hAnsi="宋体" w:eastAsia="宋体" w:cs="宋体"/>
          <w:color w:val="000000"/>
          <w:kern w:val="0"/>
          <w:sz w:val="22"/>
          <w:szCs w:val="22"/>
          <w:highlight w:val="none"/>
          <w:lang w:val="en-US" w:eastAsia="zh-CN"/>
        </w:rPr>
        <w:t>）。</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箱体门正上方标明正压防爆箱体的最大外形尺寸（长×宽×高），重量。</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箱体顶部及箱体正面喷上醒目标记，相关内容与甲方确认后喷涂。</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箱体内主要安装设备如下：</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1382"/>
        <w:gridCol w:w="1368"/>
        <w:gridCol w:w="1138"/>
        <w:gridCol w:w="3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pPr>
              <w:numPr>
                <w:ilvl w:val="0"/>
                <w:numId w:val="0"/>
              </w:numPr>
              <w:spacing w:line="360" w:lineRule="auto"/>
              <w:jc w:val="center"/>
              <w:rPr>
                <w:rFonts w:hint="eastAsia" w:ascii="仿宋" w:hAnsi="仿宋" w:eastAsia="仿宋" w:cs="仿宋"/>
                <w:color w:val="auto"/>
                <w:kern w:val="2"/>
                <w:sz w:val="21"/>
                <w:szCs w:val="21"/>
                <w:highlight w:val="none"/>
                <w:vertAlign w:val="baseline"/>
                <w:lang w:val="en-US" w:eastAsia="zh-CN"/>
              </w:rPr>
            </w:pPr>
            <w:r>
              <w:rPr>
                <w:rFonts w:hint="eastAsia" w:ascii="仿宋" w:hAnsi="仿宋" w:eastAsia="仿宋" w:cs="仿宋"/>
                <w:color w:val="auto"/>
                <w:kern w:val="2"/>
                <w:sz w:val="21"/>
                <w:szCs w:val="21"/>
                <w:highlight w:val="none"/>
                <w:vertAlign w:val="baseline"/>
                <w:lang w:val="en-US" w:eastAsia="zh-CN"/>
              </w:rPr>
              <w:t>型号</w:t>
            </w:r>
          </w:p>
        </w:tc>
        <w:tc>
          <w:tcPr>
            <w:tcW w:w="1382" w:type="dxa"/>
            <w:vAlign w:val="center"/>
          </w:tcPr>
          <w:p>
            <w:pPr>
              <w:numPr>
                <w:ilvl w:val="0"/>
                <w:numId w:val="0"/>
              </w:numPr>
              <w:spacing w:line="360" w:lineRule="auto"/>
              <w:jc w:val="center"/>
              <w:rPr>
                <w:rFonts w:hint="eastAsia" w:ascii="仿宋" w:hAnsi="仿宋" w:eastAsia="仿宋" w:cs="仿宋"/>
                <w:color w:val="auto"/>
                <w:kern w:val="2"/>
                <w:sz w:val="21"/>
                <w:szCs w:val="21"/>
                <w:highlight w:val="none"/>
                <w:vertAlign w:val="baseline"/>
                <w:lang w:val="en-US" w:eastAsia="zh-CN"/>
              </w:rPr>
            </w:pPr>
            <w:r>
              <w:rPr>
                <w:rFonts w:hint="eastAsia" w:ascii="仿宋" w:hAnsi="仿宋" w:eastAsia="仿宋" w:cs="仿宋"/>
                <w:color w:val="auto"/>
                <w:kern w:val="2"/>
                <w:sz w:val="21"/>
                <w:szCs w:val="21"/>
                <w:highlight w:val="none"/>
                <w:vertAlign w:val="baseline"/>
                <w:lang w:val="en-US" w:eastAsia="zh-CN"/>
              </w:rPr>
              <w:t>功率</w:t>
            </w:r>
          </w:p>
        </w:tc>
        <w:tc>
          <w:tcPr>
            <w:tcW w:w="1368" w:type="dxa"/>
            <w:vAlign w:val="center"/>
          </w:tcPr>
          <w:p>
            <w:pPr>
              <w:numPr>
                <w:ilvl w:val="0"/>
                <w:numId w:val="0"/>
              </w:numPr>
              <w:spacing w:line="360" w:lineRule="auto"/>
              <w:jc w:val="center"/>
              <w:rPr>
                <w:rFonts w:hint="eastAsia" w:ascii="仿宋" w:hAnsi="仿宋" w:eastAsia="仿宋" w:cs="仿宋"/>
                <w:color w:val="auto"/>
                <w:kern w:val="2"/>
                <w:sz w:val="21"/>
                <w:szCs w:val="21"/>
                <w:highlight w:val="none"/>
                <w:vertAlign w:val="baseline"/>
                <w:lang w:val="en-US" w:eastAsia="zh-CN"/>
              </w:rPr>
            </w:pPr>
            <w:r>
              <w:rPr>
                <w:rFonts w:hint="eastAsia" w:ascii="仿宋" w:hAnsi="仿宋" w:eastAsia="仿宋" w:cs="仿宋"/>
                <w:color w:val="auto"/>
                <w:kern w:val="2"/>
                <w:sz w:val="21"/>
                <w:szCs w:val="21"/>
                <w:highlight w:val="none"/>
                <w:vertAlign w:val="baseline"/>
                <w:lang w:val="en-US" w:eastAsia="zh-CN"/>
              </w:rPr>
              <w:t>防护等级</w:t>
            </w:r>
          </w:p>
        </w:tc>
        <w:tc>
          <w:tcPr>
            <w:tcW w:w="1138" w:type="dxa"/>
            <w:vAlign w:val="center"/>
          </w:tcPr>
          <w:p>
            <w:pPr>
              <w:numPr>
                <w:ilvl w:val="0"/>
                <w:numId w:val="0"/>
              </w:numPr>
              <w:spacing w:line="360" w:lineRule="auto"/>
              <w:jc w:val="center"/>
              <w:rPr>
                <w:rFonts w:hint="eastAsia" w:ascii="仿宋" w:hAnsi="仿宋" w:eastAsia="仿宋" w:cs="仿宋"/>
                <w:color w:val="auto"/>
                <w:kern w:val="2"/>
                <w:sz w:val="21"/>
                <w:szCs w:val="21"/>
                <w:highlight w:val="none"/>
                <w:vertAlign w:val="baseline"/>
                <w:lang w:val="en-US" w:eastAsia="zh-CN"/>
              </w:rPr>
            </w:pPr>
            <w:r>
              <w:rPr>
                <w:rFonts w:hint="eastAsia" w:ascii="仿宋" w:hAnsi="仿宋" w:eastAsia="仿宋" w:cs="仿宋"/>
                <w:color w:val="auto"/>
                <w:kern w:val="2"/>
                <w:sz w:val="21"/>
                <w:szCs w:val="21"/>
                <w:highlight w:val="none"/>
                <w:vertAlign w:val="baseline"/>
                <w:lang w:val="en-US" w:eastAsia="zh-CN"/>
              </w:rPr>
              <w:t>进出线</w:t>
            </w:r>
          </w:p>
        </w:tc>
        <w:tc>
          <w:tcPr>
            <w:tcW w:w="3250" w:type="dxa"/>
            <w:vAlign w:val="center"/>
          </w:tcPr>
          <w:p>
            <w:pPr>
              <w:numPr>
                <w:ilvl w:val="0"/>
                <w:numId w:val="0"/>
              </w:numPr>
              <w:spacing w:line="360" w:lineRule="auto"/>
              <w:jc w:val="center"/>
              <w:rPr>
                <w:rFonts w:hint="eastAsia" w:ascii="仿宋" w:hAnsi="仿宋" w:eastAsia="仿宋" w:cs="仿宋"/>
                <w:color w:val="auto"/>
                <w:highlight w:val="none"/>
                <w:lang w:val="en-US" w:eastAsia="zh-CN"/>
              </w:rPr>
            </w:pPr>
            <w:r>
              <w:rPr>
                <w:rFonts w:hint="eastAsia" w:ascii="仿宋" w:hAnsi="仿宋" w:eastAsia="仿宋" w:cs="仿宋"/>
                <w:color w:val="auto"/>
                <w:kern w:val="2"/>
                <w:sz w:val="21"/>
                <w:szCs w:val="21"/>
                <w:highlight w:val="none"/>
                <w:vertAlign w:val="baseline"/>
                <w:lang w:val="en-US" w:eastAsia="zh-CN"/>
              </w:rPr>
              <w:t>最大外形尺寸</w:t>
            </w:r>
            <w:r>
              <w:rPr>
                <w:rFonts w:hint="eastAsia"/>
                <w:lang w:val="en-US" w:eastAsia="zh-CN"/>
              </w:rPr>
              <w:t>mm</w:t>
            </w:r>
            <w:r>
              <w:rPr>
                <w:rFonts w:hint="eastAsia" w:ascii="仿宋" w:hAnsi="仿宋" w:eastAsia="仿宋" w:cs="仿宋"/>
                <w:color w:val="auto"/>
                <w:kern w:val="2"/>
                <w:sz w:val="21"/>
                <w:szCs w:val="21"/>
                <w:highlight w:val="none"/>
                <w:vertAlign w:val="baseline"/>
                <w:lang w:val="en-US" w:eastAsia="zh-CN"/>
              </w:rPr>
              <w:t>（W×D×H）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pPr>
              <w:numPr>
                <w:ilvl w:val="0"/>
                <w:numId w:val="0"/>
              </w:numPr>
              <w:spacing w:line="360" w:lineRule="auto"/>
              <w:jc w:val="center"/>
              <w:rPr>
                <w:rFonts w:hint="eastAsia" w:ascii="仿宋" w:hAnsi="仿宋" w:eastAsia="仿宋" w:cs="仿宋"/>
                <w:color w:val="auto"/>
                <w:kern w:val="2"/>
                <w:sz w:val="21"/>
                <w:szCs w:val="21"/>
                <w:highlight w:val="none"/>
                <w:vertAlign w:val="baseline"/>
                <w:lang w:val="en-US" w:eastAsia="zh-CN"/>
              </w:rPr>
            </w:pPr>
            <w:r>
              <w:rPr>
                <w:rFonts w:hint="eastAsia" w:ascii="仿宋" w:hAnsi="仿宋" w:eastAsia="仿宋" w:cs="仿宋"/>
                <w:color w:val="auto"/>
                <w:kern w:val="2"/>
                <w:sz w:val="21"/>
                <w:szCs w:val="21"/>
                <w:highlight w:val="none"/>
                <w:vertAlign w:val="baseline"/>
                <w:lang w:val="en-US" w:eastAsia="zh-CN"/>
              </w:rPr>
              <w:t>低压变频柜</w:t>
            </w:r>
          </w:p>
        </w:tc>
        <w:tc>
          <w:tcPr>
            <w:tcW w:w="1382" w:type="dxa"/>
            <w:vAlign w:val="center"/>
          </w:tcPr>
          <w:p>
            <w:pPr>
              <w:numPr>
                <w:ilvl w:val="0"/>
                <w:numId w:val="0"/>
              </w:numPr>
              <w:spacing w:line="360" w:lineRule="auto"/>
              <w:jc w:val="center"/>
              <w:rPr>
                <w:rFonts w:hint="eastAsia" w:ascii="仿宋" w:hAnsi="仿宋" w:eastAsia="仿宋" w:cs="仿宋"/>
                <w:color w:val="auto"/>
                <w:kern w:val="2"/>
                <w:sz w:val="21"/>
                <w:szCs w:val="21"/>
                <w:highlight w:val="none"/>
                <w:vertAlign w:val="baseline"/>
                <w:lang w:val="en-US" w:eastAsia="zh-CN"/>
              </w:rPr>
            </w:pPr>
            <w:r>
              <w:rPr>
                <w:rFonts w:hint="eastAsia" w:ascii="仿宋" w:hAnsi="仿宋" w:eastAsia="仿宋" w:cs="仿宋"/>
                <w:color w:val="auto"/>
                <w:kern w:val="2"/>
                <w:sz w:val="21"/>
                <w:szCs w:val="21"/>
                <w:highlight w:val="none"/>
                <w:vertAlign w:val="baseline"/>
                <w:lang w:val="en-US" w:eastAsia="zh-CN"/>
              </w:rPr>
              <w:t>400kW</w:t>
            </w:r>
          </w:p>
        </w:tc>
        <w:tc>
          <w:tcPr>
            <w:tcW w:w="1368" w:type="dxa"/>
            <w:vAlign w:val="center"/>
          </w:tcPr>
          <w:p>
            <w:pPr>
              <w:numPr>
                <w:ilvl w:val="0"/>
                <w:numId w:val="0"/>
              </w:numPr>
              <w:spacing w:line="360" w:lineRule="auto"/>
              <w:jc w:val="center"/>
              <w:rPr>
                <w:rFonts w:hint="eastAsia" w:ascii="仿宋" w:hAnsi="仿宋" w:eastAsia="仿宋" w:cs="仿宋"/>
                <w:color w:val="auto"/>
                <w:kern w:val="2"/>
                <w:sz w:val="21"/>
                <w:szCs w:val="21"/>
                <w:highlight w:val="none"/>
                <w:vertAlign w:val="baseline"/>
                <w:lang w:val="en-US" w:eastAsia="zh-CN"/>
              </w:rPr>
            </w:pPr>
            <w:r>
              <w:rPr>
                <w:rFonts w:hint="eastAsia" w:ascii="仿宋" w:hAnsi="仿宋" w:eastAsia="仿宋" w:cs="仿宋"/>
                <w:color w:val="auto"/>
                <w:kern w:val="2"/>
                <w:sz w:val="21"/>
                <w:szCs w:val="21"/>
                <w:highlight w:val="none"/>
                <w:vertAlign w:val="baseline"/>
                <w:lang w:val="en-US" w:eastAsia="zh-CN"/>
              </w:rPr>
              <w:t>IP23</w:t>
            </w:r>
          </w:p>
        </w:tc>
        <w:tc>
          <w:tcPr>
            <w:tcW w:w="1138" w:type="dxa"/>
            <w:vAlign w:val="center"/>
          </w:tcPr>
          <w:p>
            <w:pPr>
              <w:numPr>
                <w:ilvl w:val="0"/>
                <w:numId w:val="0"/>
              </w:numPr>
              <w:spacing w:line="360" w:lineRule="auto"/>
              <w:jc w:val="center"/>
              <w:rPr>
                <w:rFonts w:hint="eastAsia" w:ascii="仿宋" w:hAnsi="仿宋" w:eastAsia="仿宋" w:cs="仿宋"/>
                <w:color w:val="auto"/>
                <w:kern w:val="2"/>
                <w:sz w:val="21"/>
                <w:szCs w:val="21"/>
                <w:highlight w:val="none"/>
                <w:vertAlign w:val="baseline"/>
                <w:lang w:val="en-US" w:eastAsia="zh-CN"/>
              </w:rPr>
            </w:pPr>
            <w:r>
              <w:rPr>
                <w:rFonts w:hint="eastAsia" w:ascii="仿宋" w:hAnsi="仿宋" w:eastAsia="仿宋" w:cs="仿宋"/>
                <w:color w:val="auto"/>
                <w:kern w:val="2"/>
                <w:sz w:val="21"/>
                <w:szCs w:val="21"/>
                <w:highlight w:val="none"/>
                <w:vertAlign w:val="baseline"/>
                <w:lang w:val="en-US" w:eastAsia="zh-CN"/>
              </w:rPr>
              <w:t>下进下出</w:t>
            </w:r>
          </w:p>
        </w:tc>
        <w:tc>
          <w:tcPr>
            <w:tcW w:w="3250" w:type="dxa"/>
            <w:vAlign w:val="center"/>
          </w:tcPr>
          <w:p>
            <w:pPr>
              <w:numPr>
                <w:ilvl w:val="0"/>
                <w:numId w:val="0"/>
              </w:numPr>
              <w:spacing w:line="360" w:lineRule="auto"/>
              <w:jc w:val="center"/>
              <w:rPr>
                <w:rFonts w:hint="eastAsia" w:ascii="仿宋" w:hAnsi="仿宋" w:eastAsia="仿宋" w:cs="仿宋"/>
                <w:color w:val="auto"/>
                <w:kern w:val="2"/>
                <w:sz w:val="21"/>
                <w:szCs w:val="21"/>
                <w:highlight w:val="none"/>
                <w:vertAlign w:val="baseline"/>
                <w:lang w:val="en-US" w:eastAsia="zh-CN"/>
              </w:rPr>
            </w:pPr>
            <w:r>
              <w:rPr>
                <w:rFonts w:hint="eastAsia" w:ascii="仿宋" w:hAnsi="仿宋" w:eastAsia="仿宋" w:cs="仿宋"/>
                <w:color w:val="auto"/>
                <w:kern w:val="2"/>
                <w:sz w:val="21"/>
                <w:szCs w:val="21"/>
                <w:highlight w:val="none"/>
                <w:vertAlign w:val="baseline"/>
                <w:lang w:val="en-US" w:eastAsia="zh-CN"/>
              </w:rPr>
              <w:t>1700×800×2200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pPr>
              <w:numPr>
                <w:ilvl w:val="0"/>
                <w:numId w:val="0"/>
              </w:numPr>
              <w:spacing w:line="360" w:lineRule="auto"/>
              <w:jc w:val="center"/>
              <w:rPr>
                <w:rFonts w:hint="eastAsia" w:ascii="仿宋" w:hAnsi="仿宋" w:eastAsia="仿宋" w:cs="仿宋"/>
                <w:color w:val="auto"/>
                <w:kern w:val="2"/>
                <w:sz w:val="21"/>
                <w:szCs w:val="21"/>
                <w:highlight w:val="none"/>
                <w:vertAlign w:val="baseline"/>
                <w:lang w:val="en-US" w:eastAsia="zh-CN"/>
              </w:rPr>
            </w:pPr>
            <w:r>
              <w:rPr>
                <w:rFonts w:hint="eastAsia" w:ascii="仿宋" w:hAnsi="仿宋" w:eastAsia="仿宋" w:cs="仿宋"/>
                <w:color w:val="auto"/>
                <w:kern w:val="2"/>
                <w:sz w:val="21"/>
                <w:szCs w:val="21"/>
                <w:highlight w:val="none"/>
                <w:vertAlign w:val="baseline"/>
                <w:lang w:val="en-US" w:eastAsia="zh-CN"/>
              </w:rPr>
              <w:t>升压变压器</w:t>
            </w:r>
          </w:p>
        </w:tc>
        <w:tc>
          <w:tcPr>
            <w:tcW w:w="1382" w:type="dxa"/>
            <w:vAlign w:val="center"/>
          </w:tcPr>
          <w:p>
            <w:pPr>
              <w:numPr>
                <w:ilvl w:val="0"/>
                <w:numId w:val="0"/>
              </w:numPr>
              <w:spacing w:line="360" w:lineRule="auto"/>
              <w:jc w:val="center"/>
              <w:rPr>
                <w:rFonts w:hint="eastAsia" w:ascii="仿宋" w:hAnsi="仿宋" w:eastAsia="仿宋" w:cs="仿宋"/>
                <w:color w:val="auto"/>
                <w:kern w:val="2"/>
                <w:sz w:val="21"/>
                <w:szCs w:val="21"/>
                <w:highlight w:val="none"/>
                <w:vertAlign w:val="baseline"/>
                <w:lang w:val="en-US" w:eastAsia="zh-CN"/>
              </w:rPr>
            </w:pPr>
            <w:r>
              <w:rPr>
                <w:rFonts w:hint="eastAsia" w:ascii="仿宋" w:hAnsi="仿宋" w:eastAsia="仿宋" w:cs="仿宋"/>
                <w:color w:val="auto"/>
                <w:kern w:val="2"/>
                <w:sz w:val="21"/>
                <w:szCs w:val="21"/>
                <w:highlight w:val="none"/>
                <w:vertAlign w:val="baseline"/>
                <w:lang w:val="en-US" w:eastAsia="zh-CN"/>
              </w:rPr>
              <w:t>500kVA</w:t>
            </w:r>
          </w:p>
        </w:tc>
        <w:tc>
          <w:tcPr>
            <w:tcW w:w="1368" w:type="dxa"/>
            <w:vAlign w:val="center"/>
          </w:tcPr>
          <w:p>
            <w:pPr>
              <w:numPr>
                <w:ilvl w:val="0"/>
                <w:numId w:val="0"/>
              </w:numPr>
              <w:spacing w:line="360" w:lineRule="auto"/>
              <w:jc w:val="center"/>
              <w:rPr>
                <w:rFonts w:hint="eastAsia" w:ascii="仿宋" w:hAnsi="仿宋" w:eastAsia="仿宋" w:cs="仿宋"/>
                <w:color w:val="auto"/>
                <w:kern w:val="2"/>
                <w:sz w:val="21"/>
                <w:szCs w:val="21"/>
                <w:highlight w:val="none"/>
                <w:vertAlign w:val="baseline"/>
                <w:lang w:val="en-US" w:eastAsia="zh-CN"/>
              </w:rPr>
            </w:pPr>
            <w:r>
              <w:rPr>
                <w:rFonts w:hint="eastAsia" w:ascii="仿宋" w:hAnsi="仿宋" w:eastAsia="仿宋" w:cs="仿宋"/>
                <w:color w:val="auto"/>
                <w:kern w:val="2"/>
                <w:sz w:val="21"/>
                <w:szCs w:val="21"/>
                <w:highlight w:val="none"/>
                <w:vertAlign w:val="baseline"/>
                <w:lang w:val="en-US" w:eastAsia="zh-CN"/>
              </w:rPr>
              <w:t>IP23</w:t>
            </w:r>
          </w:p>
        </w:tc>
        <w:tc>
          <w:tcPr>
            <w:tcW w:w="1138" w:type="dxa"/>
            <w:vAlign w:val="center"/>
          </w:tcPr>
          <w:p>
            <w:pPr>
              <w:numPr>
                <w:ilvl w:val="0"/>
                <w:numId w:val="0"/>
              </w:numPr>
              <w:spacing w:line="360" w:lineRule="auto"/>
              <w:jc w:val="center"/>
              <w:rPr>
                <w:rFonts w:hint="eastAsia" w:ascii="仿宋" w:hAnsi="仿宋" w:eastAsia="仿宋" w:cs="仿宋"/>
                <w:color w:val="auto"/>
                <w:kern w:val="2"/>
                <w:sz w:val="21"/>
                <w:szCs w:val="21"/>
                <w:highlight w:val="none"/>
                <w:vertAlign w:val="baseline"/>
                <w:lang w:val="en-US" w:eastAsia="zh-CN"/>
              </w:rPr>
            </w:pPr>
            <w:r>
              <w:rPr>
                <w:rFonts w:hint="eastAsia" w:ascii="仿宋" w:hAnsi="仿宋" w:eastAsia="仿宋" w:cs="仿宋"/>
                <w:color w:val="auto"/>
                <w:kern w:val="2"/>
                <w:sz w:val="21"/>
                <w:szCs w:val="21"/>
                <w:highlight w:val="none"/>
                <w:vertAlign w:val="baseline"/>
                <w:lang w:val="en-US" w:eastAsia="zh-CN"/>
              </w:rPr>
              <w:t>下进下出</w:t>
            </w:r>
          </w:p>
        </w:tc>
        <w:tc>
          <w:tcPr>
            <w:tcW w:w="3250" w:type="dxa"/>
            <w:vAlign w:val="center"/>
          </w:tcPr>
          <w:p>
            <w:pPr>
              <w:numPr>
                <w:ilvl w:val="0"/>
                <w:numId w:val="0"/>
              </w:numPr>
              <w:spacing w:line="360" w:lineRule="auto"/>
              <w:jc w:val="center"/>
              <w:rPr>
                <w:rFonts w:hint="eastAsia" w:ascii="仿宋" w:hAnsi="仿宋" w:eastAsia="仿宋" w:cs="仿宋"/>
                <w:color w:val="auto"/>
                <w:kern w:val="2"/>
                <w:sz w:val="21"/>
                <w:szCs w:val="21"/>
                <w:highlight w:val="none"/>
                <w:vertAlign w:val="baseline"/>
                <w:lang w:val="en-US" w:eastAsia="zh-CN"/>
              </w:rPr>
            </w:pPr>
            <w:r>
              <w:rPr>
                <w:rFonts w:hint="eastAsia" w:ascii="仿宋" w:hAnsi="仿宋" w:eastAsia="仿宋" w:cs="仿宋"/>
                <w:color w:val="auto"/>
                <w:kern w:val="2"/>
                <w:sz w:val="21"/>
                <w:szCs w:val="21"/>
                <w:highlight w:val="none"/>
                <w:vertAlign w:val="baseline"/>
                <w:lang w:val="en-US" w:eastAsia="zh-CN"/>
              </w:rPr>
              <w:t>1600×1150×1650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5" w:type="dxa"/>
            <w:vAlign w:val="center"/>
          </w:tcPr>
          <w:p>
            <w:pPr>
              <w:numPr>
                <w:ilvl w:val="0"/>
                <w:numId w:val="0"/>
              </w:numPr>
              <w:spacing w:line="360" w:lineRule="auto"/>
              <w:jc w:val="center"/>
              <w:rPr>
                <w:rFonts w:hint="eastAsia" w:ascii="仿宋" w:hAnsi="仿宋" w:eastAsia="仿宋" w:cs="仿宋"/>
                <w:color w:val="auto"/>
                <w:kern w:val="2"/>
                <w:sz w:val="21"/>
                <w:szCs w:val="21"/>
                <w:highlight w:val="none"/>
                <w:vertAlign w:val="baseline"/>
                <w:lang w:val="en-US" w:eastAsia="zh-CN"/>
              </w:rPr>
            </w:pPr>
            <w:r>
              <w:rPr>
                <w:rFonts w:hint="eastAsia" w:ascii="仿宋" w:hAnsi="仿宋" w:eastAsia="仿宋" w:cs="仿宋"/>
                <w:color w:val="auto"/>
                <w:kern w:val="2"/>
                <w:sz w:val="21"/>
                <w:szCs w:val="21"/>
                <w:highlight w:val="none"/>
                <w:vertAlign w:val="baseline"/>
                <w:lang w:val="en-US" w:eastAsia="zh-CN"/>
              </w:rPr>
              <w:t>低压配电箱</w:t>
            </w:r>
          </w:p>
        </w:tc>
        <w:tc>
          <w:tcPr>
            <w:tcW w:w="1382" w:type="dxa"/>
            <w:vAlign w:val="center"/>
          </w:tcPr>
          <w:p>
            <w:pPr>
              <w:numPr>
                <w:ilvl w:val="0"/>
                <w:numId w:val="0"/>
              </w:numPr>
              <w:spacing w:line="360" w:lineRule="auto"/>
              <w:jc w:val="center"/>
              <w:rPr>
                <w:rFonts w:hint="eastAsia" w:ascii="仿宋" w:hAnsi="仿宋" w:eastAsia="仿宋" w:cs="仿宋"/>
                <w:color w:val="auto"/>
                <w:kern w:val="2"/>
                <w:sz w:val="21"/>
                <w:szCs w:val="21"/>
                <w:highlight w:val="none"/>
                <w:vertAlign w:val="baseline"/>
                <w:lang w:val="en-US" w:eastAsia="zh-CN"/>
              </w:rPr>
            </w:pPr>
            <w:r>
              <w:rPr>
                <w:rFonts w:hint="eastAsia" w:ascii="仿宋" w:hAnsi="仿宋" w:eastAsia="仿宋" w:cs="仿宋"/>
                <w:color w:val="auto"/>
                <w:kern w:val="2"/>
                <w:sz w:val="21"/>
                <w:szCs w:val="21"/>
                <w:highlight w:val="none"/>
                <w:vertAlign w:val="baseline"/>
                <w:lang w:val="en-US" w:eastAsia="zh-CN"/>
              </w:rPr>
              <w:t>0.5kW/1250A</w:t>
            </w:r>
          </w:p>
        </w:tc>
        <w:tc>
          <w:tcPr>
            <w:tcW w:w="1368" w:type="dxa"/>
            <w:vAlign w:val="center"/>
          </w:tcPr>
          <w:p>
            <w:pPr>
              <w:numPr>
                <w:ilvl w:val="0"/>
                <w:numId w:val="0"/>
              </w:numPr>
              <w:spacing w:line="360" w:lineRule="auto"/>
              <w:jc w:val="center"/>
              <w:rPr>
                <w:rFonts w:hint="eastAsia" w:ascii="仿宋" w:hAnsi="仿宋" w:eastAsia="仿宋" w:cs="仿宋"/>
                <w:color w:val="auto"/>
                <w:kern w:val="2"/>
                <w:sz w:val="21"/>
                <w:szCs w:val="21"/>
                <w:highlight w:val="none"/>
                <w:vertAlign w:val="baseline"/>
                <w:lang w:val="en-US" w:eastAsia="zh-CN"/>
              </w:rPr>
            </w:pPr>
            <w:r>
              <w:rPr>
                <w:rFonts w:hint="eastAsia" w:ascii="仿宋" w:hAnsi="仿宋" w:eastAsia="仿宋" w:cs="仿宋"/>
                <w:color w:val="auto"/>
                <w:kern w:val="2"/>
                <w:sz w:val="21"/>
                <w:szCs w:val="21"/>
                <w:highlight w:val="none"/>
                <w:vertAlign w:val="baseline"/>
                <w:lang w:val="en-US" w:eastAsia="zh-CN"/>
              </w:rPr>
              <w:t>IP54/IP55</w:t>
            </w:r>
          </w:p>
        </w:tc>
        <w:tc>
          <w:tcPr>
            <w:tcW w:w="1138" w:type="dxa"/>
            <w:vAlign w:val="center"/>
          </w:tcPr>
          <w:p>
            <w:pPr>
              <w:numPr>
                <w:ilvl w:val="0"/>
                <w:numId w:val="0"/>
              </w:numPr>
              <w:spacing w:line="360" w:lineRule="auto"/>
              <w:jc w:val="center"/>
              <w:rPr>
                <w:rFonts w:hint="eastAsia" w:ascii="仿宋" w:hAnsi="仿宋" w:eastAsia="仿宋" w:cs="仿宋"/>
                <w:color w:val="auto"/>
                <w:kern w:val="2"/>
                <w:sz w:val="21"/>
                <w:szCs w:val="21"/>
                <w:highlight w:val="none"/>
                <w:vertAlign w:val="baseline"/>
                <w:lang w:val="en-US" w:eastAsia="zh-CN"/>
              </w:rPr>
            </w:pPr>
            <w:r>
              <w:rPr>
                <w:rFonts w:hint="eastAsia" w:ascii="仿宋" w:hAnsi="仿宋" w:eastAsia="仿宋" w:cs="仿宋"/>
                <w:color w:val="auto"/>
                <w:kern w:val="2"/>
                <w:sz w:val="21"/>
                <w:szCs w:val="21"/>
                <w:highlight w:val="none"/>
                <w:vertAlign w:val="baseline"/>
                <w:lang w:val="en-US" w:eastAsia="zh-CN"/>
              </w:rPr>
              <w:t>下进下出</w:t>
            </w:r>
          </w:p>
        </w:tc>
        <w:tc>
          <w:tcPr>
            <w:tcW w:w="3250" w:type="dxa"/>
            <w:vAlign w:val="center"/>
          </w:tcPr>
          <w:p>
            <w:pPr>
              <w:numPr>
                <w:ilvl w:val="0"/>
                <w:numId w:val="0"/>
              </w:numPr>
              <w:spacing w:line="360" w:lineRule="auto"/>
              <w:jc w:val="center"/>
              <w:rPr>
                <w:rFonts w:hint="eastAsia" w:ascii="仿宋" w:hAnsi="仿宋" w:eastAsia="仿宋" w:cs="仿宋"/>
                <w:color w:val="auto"/>
                <w:kern w:val="2"/>
                <w:sz w:val="21"/>
                <w:szCs w:val="21"/>
                <w:highlight w:val="none"/>
                <w:vertAlign w:val="baseline"/>
                <w:lang w:val="en-US" w:eastAsia="zh-CN"/>
              </w:rPr>
            </w:pPr>
            <w:r>
              <w:rPr>
                <w:rFonts w:hint="eastAsia" w:ascii="仿宋" w:hAnsi="仿宋" w:eastAsia="仿宋" w:cs="仿宋"/>
                <w:color w:val="auto"/>
                <w:kern w:val="2"/>
                <w:sz w:val="21"/>
                <w:szCs w:val="21"/>
                <w:highlight w:val="none"/>
                <w:vertAlign w:val="baseline"/>
                <w:lang w:val="en-US" w:eastAsia="zh-CN"/>
              </w:rPr>
              <w:t>800×600×1000</w:t>
            </w:r>
          </w:p>
        </w:tc>
      </w:tr>
    </w:tbl>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表中前2项由甲方负责提供，乙方负责施工安装，其他设备均由乙方负责提供设备及安装服务，同时需提供并铺设设备之间的电缆（从“接线箱进线端”到“变频器”、从“变频器”到“变压器”采用低压电缆，从“变压器”到“接线箱出线端”采用中压电缆。电缆要求如下：</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低压电缆关键技术要求应至少包括以下:</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1055" w:leftChars="300" w:hanging="425" w:firstLineChars="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额定电压应为 0.6/1kV；</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1055" w:leftChars="300" w:hanging="425" w:firstLineChars="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导体材质应为镀锡铜导体；</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1055" w:leftChars="300" w:hanging="425" w:firstLineChars="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电缆绝缘应采用交联聚乙烯（XLPE）；</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1055" w:leftChars="300" w:hanging="425" w:firstLineChars="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电缆规格为3芯数，载流量满足400kW变频器长期满载运行要求；</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中压电缆关键技术要求应至少包括以下：</w:t>
      </w:r>
    </w:p>
    <w:p>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1055" w:leftChars="300" w:hanging="425" w:firstLineChars="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额定电压应为8.7/15kV，或12/20kV，或26/35kV；</w:t>
      </w:r>
    </w:p>
    <w:p>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1055" w:leftChars="300" w:hanging="425" w:firstLineChars="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导体材质应为镀锡铜导体；</w:t>
      </w:r>
    </w:p>
    <w:p>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1055" w:leftChars="300" w:hanging="425" w:firstLineChars="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电缆绝缘应采用乙丙橡胶(EPR)；</w:t>
      </w:r>
    </w:p>
    <w:p>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1055" w:leftChars="300" w:hanging="425" w:firstLineChars="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电缆规格为3芯数，载流量满足500kVA变压器长期满载运行要求；</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通用要求：</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本标准规定的电缆应具备低烟无卤阻燃特性，对于紧急情况下要求保持正常运行的关键线路，应采用低烟无卤阻燃耐火电缆。</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本标准规定的电缆导体的最高工作温度应不超过 90℃。电缆弯曲半径应符合IEC60092-352的最低要求。</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导体：</w:t>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电缆导体应符合IEC60092-350的镀锡铜圆导体，导体表面应光洁，无油污，无损伤绝缘的毛刺、锐边和凸起，无断裂的单线。导体结构及导体直流电阻应符合IEC60228 的要求。导体应符合IEC60228中第2类镀锡铜导体。</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绝缘：</w:t>
      </w:r>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电缆的绝缘采用符合 IEC60092-360要求的交联聚乙烯材料。</w:t>
      </w:r>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绝缘厚度标称值应符合IEC60092-353中额定电压为0.6/1kV电压等级电缆绝缘厚度的规定，绝缘平均厚度应不小于标称值，最薄处厚度不小于标称值的 90%-0.1mm，绝缘偏心度不大于10%。</w:t>
      </w:r>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电缆的绝缘线芯应按以下方式识别:</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3芯电缆:黄、绿、红;</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内护层：</w:t>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电缆的内衬层的耐温等级应与绝缘材料相当，并与电缆绝缘材料相兼容。挤包内护层的平均厚度应不小于IEC60092-353中表2规定的值，其低烟无卤特性应符合IEC60092-350 的相关要求。</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内护套：</w:t>
      </w:r>
    </w:p>
    <w:p>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内护套材料与外护套材料相同，应采用挤包内护套，电缆内护套应采用IEC60092-360中型号为SHF1(低烟无卤热塑)或SHF2(低烟无卤交联)材料。</w:t>
      </w:r>
    </w:p>
    <w:p>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挤包内护套的厚度应符合IEC60092-353中5.7.3的规定，其性能应符合IEC60092-360的相关规定。</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金属铠装：</w:t>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单芯电缆的铠装应采用金属镀锡铜丝编织铠装，多芯电缆按照不同型号标示应采用镀锌钢丝编织铠装或镀锡铜丝编织铠装。金属丝的编织覆盖率应不低于90%，铠装编织层不应发生断线的现象，既不黏结内护层，也不黏结护套。</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电缆护套：</w:t>
      </w:r>
    </w:p>
    <w:p>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船用低压电力电缆应有护套，除非另有规定，外护套颜色通常为黑色。</w:t>
      </w:r>
    </w:p>
    <w:p>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电缆护套应采用 IEC60092-360中型号为SHF1(低烟无卤热塑)或SHF2(低烟无卤交联)材料。当电缆有耐油要求时，护套应采用型号为 SHF2的材料。</w:t>
      </w:r>
    </w:p>
    <w:p>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护套挤包应均匀，断面无目力可见的气孔或缺陷，护套表面应光滑平整、色泽均匀。护套平均厚度应不小于标称厚度，电缆护套上任一处厚度不小于标称值的85%-0.1mm。</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电缆外径：</w:t>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成品电缆应外形圆整，按 GB/T2951.11-2008的规定测量电缆外径，电缆的不圆度应不大于 10%[电缆不圆度=(同一截面上电缆最大外径-同一截面上电缆最小外径)/电缆最大外径x100%]。电缆的标称外径和偏差应在投标文件中明确标明。</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电缆标志标记：</w:t>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成品电缆的表面应有制造厂名、型号规格、额定电压和燃烧特性(如IEC60332-3-22，IEC60331-21等)的连续标志;电缆所有标志应字迹清楚、容易辨认、耐擦；电缆长度序列编号(以1m为基本单位的有效长度)的标记应连续，不得跳码。</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电缆燃烧性能等：</w:t>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所有型号电缆应满足低烟无卤阻燃要求，阻燃性能应符合IEC60332-3-22 规定的成束燃烧试验的规定;电缆应按 IEC61034的规定进行烟密度试验，最小透光率应不低于60%;电缆所有部件的无卤特性应满足以下要求:pH≥4.3，γ≤10μS/mm，HC1≤0.5%，氟含量≤0.1%。</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耐火性能：</w:t>
      </w:r>
    </w:p>
    <w:p>
      <w:pPr>
        <w:pageBreakBefore w:val="0"/>
        <w:kinsoku/>
        <w:wordWrap/>
        <w:topLinePunct w:val="0"/>
        <w:bidi w:val="0"/>
        <w:spacing w:line="360" w:lineRule="auto"/>
        <w:ind w:left="0" w:leftChars="0" w:firstLine="440" w:firstLineChars="200"/>
        <w:jc w:val="left"/>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阻燃耐火电缆，除满足电缆燃烧性能等的要求外，耐火性能还应符合IEC60331 规定的线路完整性试验。</w:t>
      </w:r>
    </w:p>
    <w:p>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提供正压防爆证书。</w:t>
      </w:r>
    </w:p>
    <w:p>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设计图纸经双方确认后再生产。</w:t>
      </w:r>
    </w:p>
    <w:p>
      <w:pPr>
        <w:widowControl w:val="0"/>
        <w:numPr>
          <w:ilvl w:val="0"/>
          <w:numId w:val="4"/>
        </w:numPr>
        <w:autoSpaceDE w:val="0"/>
        <w:autoSpaceDN w:val="0"/>
        <w:adjustRightInd w:val="0"/>
        <w:spacing w:before="120" w:after="120" w:line="360" w:lineRule="auto"/>
        <w:ind w:left="420" w:hanging="420"/>
        <w:outlineLvl w:val="0"/>
        <w:rPr>
          <w:rFonts w:hint="eastAsia" w:ascii="宋体" w:hAnsi="宋体" w:eastAsia="宋体" w:cs="Times New Roman"/>
          <w:b/>
          <w:bCs w:val="0"/>
          <w:color w:val="auto"/>
          <w:kern w:val="0"/>
          <w:sz w:val="28"/>
          <w:szCs w:val="28"/>
          <w:highlight w:val="none"/>
          <w:lang w:val="en-US" w:eastAsia="zh-CN" w:bidi="ar-SA"/>
        </w:rPr>
      </w:pPr>
      <w:r>
        <w:rPr>
          <w:rFonts w:hint="eastAsia" w:ascii="宋体" w:hAnsi="宋体" w:eastAsia="宋体" w:cs="Times New Roman"/>
          <w:b/>
          <w:bCs w:val="0"/>
          <w:color w:val="auto"/>
          <w:kern w:val="0"/>
          <w:sz w:val="28"/>
          <w:szCs w:val="28"/>
          <w:highlight w:val="none"/>
          <w:lang w:val="en-US" w:eastAsia="zh-CN" w:bidi="ar-SA"/>
        </w:rPr>
        <w:t>检测和试验</w:t>
      </w:r>
    </w:p>
    <w:p>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原材料需满足所有技术要求、随货资料要求。</w:t>
      </w:r>
    </w:p>
    <w:p>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乙方须对供货的箱体设备内所有物资进行全面的检验与测试，提供测试报告：保证甲方提供的设备功能完好，待整体施工完成后，乙方须对整个系统进行联调并保证功能完好，提供调试报告。</w:t>
      </w:r>
    </w:p>
    <w:p>
      <w:pPr>
        <w:widowControl w:val="0"/>
        <w:numPr>
          <w:ilvl w:val="0"/>
          <w:numId w:val="4"/>
        </w:numPr>
        <w:autoSpaceDE w:val="0"/>
        <w:autoSpaceDN w:val="0"/>
        <w:adjustRightInd w:val="0"/>
        <w:spacing w:before="120" w:after="120" w:line="360" w:lineRule="auto"/>
        <w:ind w:left="420" w:hanging="420"/>
        <w:outlineLvl w:val="0"/>
        <w:rPr>
          <w:rFonts w:hint="eastAsia" w:ascii="宋体" w:hAnsi="宋体" w:eastAsia="宋体" w:cs="Times New Roman"/>
          <w:b/>
          <w:bCs w:val="0"/>
          <w:color w:val="auto"/>
          <w:kern w:val="0"/>
          <w:sz w:val="28"/>
          <w:szCs w:val="28"/>
          <w:highlight w:val="none"/>
          <w:lang w:val="en-US" w:eastAsia="zh-CN" w:bidi="ar-SA"/>
        </w:rPr>
      </w:pPr>
      <w:r>
        <w:rPr>
          <w:rFonts w:hint="eastAsia" w:ascii="宋体" w:hAnsi="宋体" w:eastAsia="宋体" w:cs="Times New Roman"/>
          <w:b/>
          <w:bCs w:val="0"/>
          <w:color w:val="auto"/>
          <w:kern w:val="0"/>
          <w:sz w:val="28"/>
          <w:szCs w:val="28"/>
          <w:highlight w:val="none"/>
          <w:lang w:val="en-US" w:eastAsia="zh-CN" w:bidi="ar-SA"/>
        </w:rPr>
        <w:t>标识、包装、运输和存储</w:t>
      </w:r>
    </w:p>
    <w:p>
      <w:pPr>
        <w:keepNext w:val="0"/>
        <w:keepLines w:val="0"/>
        <w:pageBreakBefore w:val="0"/>
        <w:widowControl w:val="0"/>
        <w:numPr>
          <w:ilvl w:val="0"/>
          <w:numId w:val="19"/>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外包装适合长途运输，包装上应注明合同号、收件人、设备名称、箱号/件号、毛重/净重（公斤）、尺码（长×宽×高，以厘米表示）、目的地等内容，运输过程中需做好相应的捆扎固定，避免运输过程中损伤设备。</w:t>
      </w:r>
    </w:p>
    <w:p>
      <w:pPr>
        <w:keepNext w:val="0"/>
        <w:keepLines w:val="0"/>
        <w:pageBreakBefore w:val="0"/>
        <w:widowControl w:val="0"/>
        <w:numPr>
          <w:ilvl w:val="0"/>
          <w:numId w:val="19"/>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卖方应根据货物特点和装卸、运输的不同要求，在包装箱显著位置标注“轻放”、“勿倒置”、“防雨”、“防震”、“防潮”等字样以及相应的标记图案。凡重达0.5吨或以上、或体积达到1立方米或以上的包装或裸装货物，应另行标明“重心”和“吊装点”。</w:t>
      </w:r>
    </w:p>
    <w:p>
      <w:pPr>
        <w:keepNext w:val="0"/>
        <w:keepLines w:val="0"/>
        <w:pageBreakBefore w:val="0"/>
        <w:widowControl w:val="0"/>
        <w:numPr>
          <w:ilvl w:val="0"/>
          <w:numId w:val="19"/>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如果在一个包装箱内同时装有两件以上不同货物，卖方应用显著标识注明主要货物的名称及货号。</w:t>
      </w:r>
    </w:p>
    <w:p>
      <w:pPr>
        <w:keepNext w:val="0"/>
        <w:keepLines w:val="0"/>
        <w:pageBreakBefore w:val="0"/>
        <w:widowControl w:val="0"/>
        <w:numPr>
          <w:ilvl w:val="0"/>
          <w:numId w:val="19"/>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包装需具备防水措施，既要防止雨水或海浪造成设备进水损坏；</w:t>
      </w:r>
    </w:p>
    <w:p>
      <w:pPr>
        <w:widowControl w:val="0"/>
        <w:numPr>
          <w:ilvl w:val="0"/>
          <w:numId w:val="4"/>
        </w:numPr>
        <w:autoSpaceDE w:val="0"/>
        <w:autoSpaceDN w:val="0"/>
        <w:adjustRightInd w:val="0"/>
        <w:spacing w:before="120" w:after="120" w:line="360" w:lineRule="auto"/>
        <w:ind w:left="420" w:hanging="420"/>
        <w:outlineLvl w:val="0"/>
        <w:rPr>
          <w:rFonts w:hint="eastAsia" w:ascii="宋体" w:hAnsi="宋体" w:eastAsia="宋体" w:cs="Times New Roman"/>
          <w:b/>
          <w:bCs w:val="0"/>
          <w:color w:val="auto"/>
          <w:kern w:val="0"/>
          <w:sz w:val="28"/>
          <w:szCs w:val="28"/>
          <w:highlight w:val="none"/>
          <w:lang w:val="en-US" w:eastAsia="zh-CN" w:bidi="ar-SA"/>
        </w:rPr>
      </w:pPr>
      <w:r>
        <w:rPr>
          <w:rFonts w:hint="eastAsia" w:ascii="宋体" w:hAnsi="宋体" w:eastAsia="宋体" w:cs="Times New Roman"/>
          <w:b/>
          <w:bCs w:val="0"/>
          <w:color w:val="auto"/>
          <w:kern w:val="0"/>
          <w:sz w:val="28"/>
          <w:szCs w:val="28"/>
          <w:highlight w:val="none"/>
          <w:lang w:val="en-US" w:eastAsia="zh-CN" w:bidi="ar-SA"/>
        </w:rPr>
        <w:t>技术文件</w:t>
      </w:r>
    </w:p>
    <w:p>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提供合格证、出厂检验报告。</w:t>
      </w:r>
    </w:p>
    <w:p>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提供原材料随货资料清单，详见附件1 《原材料随货资料清单》注：</w:t>
      </w:r>
    </w:p>
    <w:p>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清单中未包含的原材料参照相近物资原则随货提交资料。</w:t>
      </w:r>
    </w:p>
    <w:p>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发货资料满足但不限于附表中要求。</w:t>
      </w:r>
    </w:p>
    <w:p>
      <w:pPr>
        <w:keepNext w:val="0"/>
        <w:keepLines w:val="0"/>
        <w:pageBreakBefore w:val="0"/>
        <w:widowControl w:val="0"/>
        <w:numPr>
          <w:ilvl w:val="0"/>
          <w:numId w:val="20"/>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发货时，随设备提供与产品一致的唯一序列编码清单。</w:t>
      </w:r>
    </w:p>
    <w:p>
      <w:pPr>
        <w:widowControl w:val="0"/>
        <w:numPr>
          <w:ilvl w:val="0"/>
          <w:numId w:val="4"/>
        </w:numPr>
        <w:autoSpaceDE w:val="0"/>
        <w:autoSpaceDN w:val="0"/>
        <w:adjustRightInd w:val="0"/>
        <w:spacing w:before="120" w:after="120" w:line="360" w:lineRule="auto"/>
        <w:ind w:left="420" w:hanging="420"/>
        <w:outlineLvl w:val="0"/>
        <w:rPr>
          <w:rFonts w:hint="eastAsia" w:ascii="宋体" w:hAnsi="宋体" w:eastAsia="宋体" w:cs="Times New Roman"/>
          <w:b/>
          <w:bCs w:val="0"/>
          <w:color w:val="auto"/>
          <w:kern w:val="0"/>
          <w:sz w:val="28"/>
          <w:szCs w:val="28"/>
          <w:highlight w:val="none"/>
          <w:lang w:val="en-US" w:eastAsia="zh-CN" w:bidi="ar-SA"/>
        </w:rPr>
      </w:pPr>
      <w:r>
        <w:rPr>
          <w:rFonts w:hint="eastAsia" w:ascii="宋体" w:hAnsi="宋体" w:eastAsia="宋体" w:cs="Times New Roman"/>
          <w:b/>
          <w:bCs w:val="0"/>
          <w:color w:val="auto"/>
          <w:kern w:val="0"/>
          <w:sz w:val="28"/>
          <w:szCs w:val="28"/>
          <w:highlight w:val="none"/>
          <w:lang w:val="en-US" w:eastAsia="zh-CN" w:bidi="ar-SA"/>
        </w:rPr>
        <w:t>工作进度、监造和现场验收</w:t>
      </w:r>
    </w:p>
    <w:p>
      <w:pPr>
        <w:keepNext w:val="0"/>
        <w:keepLines w:val="0"/>
        <w:pageBreakBefore w:val="0"/>
        <w:widowControl w:val="0"/>
        <w:numPr>
          <w:ilvl w:val="0"/>
          <w:numId w:val="21"/>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交货期：合同签订后90日内完成物资交付，具体交付日期请见联络函</w:t>
      </w:r>
      <w:r>
        <w:rPr>
          <w:rFonts w:hint="eastAsia"/>
          <w:lang w:eastAsia="zh-CN"/>
        </w:rPr>
        <w:t>。</w:t>
      </w:r>
    </w:p>
    <w:p>
      <w:pPr>
        <w:keepNext w:val="0"/>
        <w:keepLines w:val="0"/>
        <w:pageBreakBefore w:val="0"/>
        <w:widowControl w:val="0"/>
        <w:numPr>
          <w:ilvl w:val="0"/>
          <w:numId w:val="21"/>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验收标准：原材料需满足所有技术要求、随货资料要求，按照买方要求进行赋码。</w:t>
      </w:r>
    </w:p>
    <w:p>
      <w:pPr>
        <w:keepNext w:val="0"/>
        <w:keepLines w:val="0"/>
        <w:pageBreakBefore w:val="0"/>
        <w:widowControl w:val="0"/>
        <w:numPr>
          <w:ilvl w:val="0"/>
          <w:numId w:val="21"/>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交货地点：天津市滨海新区临港经济区渤海二十三路与黄河道交叉口海油发展天津海洋装备智能制造基地电气厂库房收货人：张明，联系方式：15122730310</w:t>
      </w:r>
    </w:p>
    <w:p>
      <w:pPr>
        <w:keepNext w:val="0"/>
        <w:keepLines w:val="0"/>
        <w:pageBreakBefore w:val="0"/>
        <w:widowControl w:val="0"/>
        <w:numPr>
          <w:ilvl w:val="0"/>
          <w:numId w:val="21"/>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发货时，随货物提供买方书面通知。</w:t>
      </w:r>
    </w:p>
    <w:p>
      <w:pPr>
        <w:widowControl w:val="0"/>
        <w:numPr>
          <w:ilvl w:val="0"/>
          <w:numId w:val="4"/>
        </w:numPr>
        <w:autoSpaceDE w:val="0"/>
        <w:autoSpaceDN w:val="0"/>
        <w:adjustRightInd w:val="0"/>
        <w:spacing w:before="120" w:after="120" w:line="360" w:lineRule="auto"/>
        <w:ind w:left="420" w:hanging="420"/>
        <w:outlineLvl w:val="0"/>
        <w:rPr>
          <w:rFonts w:hint="eastAsia" w:ascii="宋体" w:hAnsi="宋体" w:eastAsia="宋体" w:cs="Times New Roman"/>
          <w:b/>
          <w:bCs w:val="0"/>
          <w:color w:val="auto"/>
          <w:kern w:val="0"/>
          <w:sz w:val="28"/>
          <w:szCs w:val="28"/>
          <w:highlight w:val="none"/>
          <w:lang w:val="en-US" w:eastAsia="zh-CN" w:bidi="ar-SA"/>
        </w:rPr>
      </w:pPr>
      <w:r>
        <w:rPr>
          <w:rFonts w:hint="eastAsia" w:ascii="宋体" w:hAnsi="宋体" w:eastAsia="宋体" w:cs="Times New Roman"/>
          <w:b/>
          <w:bCs w:val="0"/>
          <w:color w:val="auto"/>
          <w:kern w:val="0"/>
          <w:sz w:val="28"/>
          <w:szCs w:val="28"/>
          <w:highlight w:val="none"/>
          <w:lang w:val="en-US" w:eastAsia="zh-CN" w:bidi="ar-SA"/>
        </w:rPr>
        <w:t>技术服务与售后服务</w:t>
      </w:r>
    </w:p>
    <w:p>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在产品质量保证期内，如有产品质量问题，需及时免费更换或修复相关产品，并提供相关技术支持。如在使用过程中一般或类似的质量问题发生3次以上，或者出现无法解决的技术问题，需要对产品进行整改或更换，并扣除产品所应用项目全部质保金。</w:t>
      </w:r>
    </w:p>
    <w:p>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★如因产品质量问题需要进行整改，供应商需根据买方要求时间到买方工厂整改，响应时间不超过半天。</w:t>
      </w:r>
    </w:p>
    <w:p>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如质保期内产品在应用中出现故障，需根据买方要求免费安排技术人员前往买方公司场地现场检修。</w:t>
      </w:r>
    </w:p>
    <w:p>
      <w:pPr>
        <w:widowControl w:val="0"/>
        <w:numPr>
          <w:ilvl w:val="0"/>
          <w:numId w:val="4"/>
        </w:numPr>
        <w:autoSpaceDE w:val="0"/>
        <w:autoSpaceDN w:val="0"/>
        <w:adjustRightInd w:val="0"/>
        <w:spacing w:before="120" w:after="120" w:line="360" w:lineRule="auto"/>
        <w:ind w:left="420" w:hanging="420"/>
        <w:outlineLvl w:val="0"/>
        <w:rPr>
          <w:rFonts w:hint="eastAsia" w:ascii="宋体" w:hAnsi="宋体" w:eastAsia="宋体" w:cs="Times New Roman"/>
          <w:b/>
          <w:bCs w:val="0"/>
          <w:color w:val="auto"/>
          <w:kern w:val="0"/>
          <w:sz w:val="28"/>
          <w:szCs w:val="28"/>
          <w:highlight w:val="none"/>
          <w:lang w:val="en-US" w:eastAsia="zh-CN" w:bidi="ar-SA"/>
        </w:rPr>
      </w:pPr>
      <w:r>
        <w:rPr>
          <w:rFonts w:hint="eastAsia" w:ascii="宋体" w:hAnsi="宋体" w:eastAsia="宋体" w:cs="Times New Roman"/>
          <w:b/>
          <w:bCs w:val="0"/>
          <w:color w:val="auto"/>
          <w:kern w:val="0"/>
          <w:sz w:val="28"/>
          <w:szCs w:val="28"/>
          <w:highlight w:val="none"/>
          <w:lang w:val="en-US" w:eastAsia="zh-CN" w:bidi="ar-SA"/>
        </w:rPr>
        <w:t>质量保证</w:t>
      </w:r>
    </w:p>
    <w:p>
      <w:pPr>
        <w:keepNext w:val="0"/>
        <w:keepLines w:val="0"/>
        <w:pageBreakBefore w:val="0"/>
        <w:widowControl w:val="0"/>
        <w:numPr>
          <w:ilvl w:val="0"/>
          <w:numId w:val="23"/>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卖方要严格按照买方提供的技术要求进行生产制造，且在接到任务委托开始5个工作日内提供设计和生产相关的图纸发给买方技术人员进行审核，核对，经过买方书面同意后方可进行生产，卖方未能按期提供生产相关图纸或买方提出图纸修改要求期限之内未能完成图纸修改，每延期一天将扣除合同总价的0.5%。</w:t>
      </w:r>
    </w:p>
    <w:p>
      <w:pPr>
        <w:keepNext w:val="0"/>
        <w:keepLines w:val="0"/>
        <w:pageBreakBefore w:val="0"/>
        <w:widowControl w:val="0"/>
        <w:numPr>
          <w:ilvl w:val="0"/>
          <w:numId w:val="23"/>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如卖方未能在交付日期交付货物，每延期交付一日，卖方应向买方支付合同总价的【0.5%】作为延期违约金，但是，该等延期违约金最高不得超过合同总价的【10%】。如延期超过【30】日，除要求卖方支付违约金外，买方有权解除本合同，并有权要求卖方赔偿买方因此遭受的超出违约金数额的全部损失。</w:t>
      </w:r>
    </w:p>
    <w:p>
      <w:pPr>
        <w:keepNext w:val="0"/>
        <w:keepLines w:val="0"/>
        <w:pageBreakBefore w:val="0"/>
        <w:widowControl w:val="0"/>
        <w:numPr>
          <w:ilvl w:val="0"/>
          <w:numId w:val="23"/>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质保期为检验合格交付后18个月，收取合同总金额3%的质保金，超过质保期后退回，质保期内若产品出现任何质量问题，卖方需要按照买方要求进行无偿修复和整改，若整改完成时间与买方要求的时间相比，每增加一日，卖方须向买方支付合同总价的1%作为赔偿，如经修复、整改仍无法消除该等缺陷，买方有权要求退货且终止合同，同时卖方应赔偿买方因货物存在前述缺陷遭受的全部损失。</w:t>
      </w:r>
    </w:p>
    <w:p>
      <w:pPr>
        <w:keepNext w:val="0"/>
        <w:keepLines w:val="0"/>
        <w:pageBreakBefore w:val="0"/>
        <w:widowControl w:val="0"/>
        <w:numPr>
          <w:ilvl w:val="0"/>
          <w:numId w:val="23"/>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质保期内，如货物被发现存在任何缺陷，卖方未根据合同规定进行修理、更换或经修理、更换仍无法消除该等缺陷，除行使合同规定的其它权利外，买方有权要求卖方支付该货物之合同价款10%的违约金，卖方应同时赔偿买方因此遭受的全部损失。</w:t>
      </w:r>
    </w:p>
    <w:p>
      <w:pPr>
        <w:keepNext w:val="0"/>
        <w:keepLines w:val="0"/>
        <w:pageBreakBefore w:val="0"/>
        <w:widowControl w:val="0"/>
        <w:numPr>
          <w:ilvl w:val="0"/>
          <w:numId w:val="23"/>
        </w:numPr>
        <w:kinsoku/>
        <w:wordWrap/>
        <w:overflowPunct/>
        <w:topLinePunct w:val="0"/>
        <w:autoSpaceDE/>
        <w:autoSpaceDN/>
        <w:bidi w:val="0"/>
        <w:adjustRightInd/>
        <w:snapToGrid/>
        <w:spacing w:line="360" w:lineRule="auto"/>
        <w:ind w:left="0" w:leftChars="0" w:firstLine="440" w:firstLineChars="200"/>
        <w:jc w:val="left"/>
        <w:textAlignment w:val="auto"/>
        <w:rPr>
          <w:rFonts w:hint="eastAsia" w:ascii="宋体" w:hAnsi="宋体" w:eastAsia="宋体" w:cs="宋体"/>
          <w:color w:val="000000"/>
          <w:kern w:val="0"/>
          <w:sz w:val="22"/>
          <w:szCs w:val="22"/>
          <w:highlight w:val="none"/>
          <w:lang w:val="en-US" w:eastAsia="zh-CN"/>
        </w:rPr>
      </w:pPr>
      <w:r>
        <w:rPr>
          <w:rFonts w:hint="eastAsia" w:ascii="宋体" w:hAnsi="宋体" w:eastAsia="宋体" w:cs="宋体"/>
          <w:color w:val="000000"/>
          <w:kern w:val="0"/>
          <w:sz w:val="22"/>
          <w:szCs w:val="22"/>
          <w:highlight w:val="none"/>
          <w:lang w:val="en-US" w:eastAsia="zh-CN"/>
        </w:rPr>
        <w:t>在产品质量保证期内，如有产品质量问题，卖方需及时免费更换或修复相关产品，并提供相关技术支持。如在使用过程中同类质量问题发生3次以上，或者出现无法解决的技术问题，需要对产品进行免费整改或更换，并扣除产品所应用项目全部质保金（质保金比例具体以单次采购订单为准，最高不超过采购订单含税总金额10%）。</w:t>
      </w:r>
    </w:p>
    <w:p>
      <w:pPr>
        <w:widowControl w:val="0"/>
        <w:numPr>
          <w:ilvl w:val="0"/>
          <w:numId w:val="4"/>
        </w:numPr>
        <w:autoSpaceDE w:val="0"/>
        <w:autoSpaceDN w:val="0"/>
        <w:adjustRightInd w:val="0"/>
        <w:spacing w:before="120" w:after="120" w:line="360" w:lineRule="auto"/>
        <w:ind w:left="420" w:hanging="420"/>
        <w:outlineLvl w:val="0"/>
        <w:rPr>
          <w:rFonts w:hint="eastAsia" w:ascii="宋体" w:hAnsi="宋体" w:eastAsia="宋体" w:cs="Times New Roman"/>
          <w:b/>
          <w:bCs w:val="0"/>
          <w:color w:val="auto"/>
          <w:kern w:val="0"/>
          <w:sz w:val="28"/>
          <w:szCs w:val="28"/>
          <w:highlight w:val="none"/>
          <w:lang w:val="en-US" w:eastAsia="zh-CN" w:bidi="ar-SA"/>
        </w:rPr>
      </w:pPr>
      <w:bookmarkStart w:id="0" w:name="_Toc13248931"/>
      <w:bookmarkStart w:id="1" w:name="_Toc13249328"/>
      <w:r>
        <w:rPr>
          <w:rFonts w:hint="eastAsia" w:ascii="宋体" w:hAnsi="宋体" w:eastAsia="宋体" w:cs="Times New Roman"/>
          <w:b/>
          <w:bCs w:val="0"/>
          <w:color w:val="auto"/>
          <w:kern w:val="0"/>
          <w:sz w:val="28"/>
          <w:szCs w:val="28"/>
          <w:highlight w:val="none"/>
          <w:lang w:val="en-US" w:eastAsia="zh-CN" w:bidi="ar-SA"/>
        </w:rPr>
        <w:t>其他要求</w:t>
      </w:r>
      <w:bookmarkEnd w:id="0"/>
      <w:bookmarkEnd w:id="1"/>
      <w:r>
        <w:rPr>
          <w:rFonts w:hint="eastAsia" w:ascii="宋体" w:hAnsi="宋体" w:eastAsia="宋体" w:cs="Times New Roman"/>
          <w:b/>
          <w:bCs w:val="0"/>
          <w:color w:val="auto"/>
          <w:kern w:val="0"/>
          <w:sz w:val="28"/>
          <w:szCs w:val="28"/>
          <w:highlight w:val="none"/>
          <w:lang w:val="en-US" w:eastAsia="zh-CN" w:bidi="ar-SA"/>
        </w:rPr>
        <w:t>（无）</w:t>
      </w:r>
    </w:p>
    <w:p>
      <w:pPr>
        <w:widowControl w:val="0"/>
        <w:numPr>
          <w:ilvl w:val="0"/>
          <w:numId w:val="4"/>
        </w:numPr>
        <w:autoSpaceDE w:val="0"/>
        <w:autoSpaceDN w:val="0"/>
        <w:adjustRightInd w:val="0"/>
        <w:spacing w:before="120" w:after="120" w:line="360" w:lineRule="auto"/>
        <w:ind w:left="420" w:hanging="420"/>
        <w:outlineLvl w:val="0"/>
        <w:rPr>
          <w:rFonts w:hint="eastAsia" w:ascii="宋体" w:hAnsi="宋体" w:eastAsia="宋体" w:cs="Times New Roman"/>
          <w:b/>
          <w:bCs w:val="0"/>
          <w:color w:val="auto"/>
          <w:kern w:val="0"/>
          <w:sz w:val="28"/>
          <w:szCs w:val="28"/>
          <w:highlight w:val="none"/>
          <w:lang w:val="en-US" w:eastAsia="zh-CN" w:bidi="ar-SA"/>
        </w:rPr>
      </w:pPr>
      <w:r>
        <w:rPr>
          <w:rFonts w:hint="eastAsia" w:ascii="宋体" w:hAnsi="宋体" w:eastAsia="宋体" w:cs="Times New Roman"/>
          <w:b/>
          <w:bCs w:val="0"/>
          <w:color w:val="auto"/>
          <w:kern w:val="0"/>
          <w:sz w:val="28"/>
          <w:szCs w:val="28"/>
          <w:highlight w:val="none"/>
          <w:lang w:val="en-US" w:eastAsia="zh-CN" w:bidi="ar-SA"/>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eastAsia" w:ascii="宋体" w:hAnsi="宋体" w:eastAsia="宋体" w:cs="宋体"/>
          <w:color w:val="000000"/>
          <w:kern w:val="0"/>
          <w:sz w:val="22"/>
          <w:szCs w:val="2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color w:val="000000"/>
          <w:kern w:val="0"/>
          <w:sz w:val="22"/>
          <w:szCs w:val="22"/>
          <w:highlight w:val="none"/>
          <w:lang w:val="en-US" w:eastAsia="zh-CN"/>
        </w:rPr>
        <w:t>供应商需提供下表原材料发货资料清单中相关证明。</w:t>
      </w:r>
    </w:p>
    <w:tbl>
      <w:tblPr>
        <w:tblStyle w:val="27"/>
        <w:tblW w:w="4995" w:type="pct"/>
        <w:jc w:val="center"/>
        <w:tblLayout w:type="autofit"/>
        <w:tblCellMar>
          <w:top w:w="0" w:type="dxa"/>
          <w:left w:w="108" w:type="dxa"/>
          <w:bottom w:w="0" w:type="dxa"/>
          <w:right w:w="108" w:type="dxa"/>
        </w:tblCellMar>
      </w:tblPr>
      <w:tblGrid>
        <w:gridCol w:w="427"/>
        <w:gridCol w:w="427"/>
        <w:gridCol w:w="427"/>
        <w:gridCol w:w="427"/>
        <w:gridCol w:w="1853"/>
        <w:gridCol w:w="426"/>
        <w:gridCol w:w="691"/>
        <w:gridCol w:w="426"/>
        <w:gridCol w:w="426"/>
        <w:gridCol w:w="426"/>
        <w:gridCol w:w="426"/>
        <w:gridCol w:w="426"/>
        <w:gridCol w:w="426"/>
        <w:gridCol w:w="426"/>
        <w:gridCol w:w="426"/>
        <w:gridCol w:w="427"/>
      </w:tblGrid>
      <w:tr>
        <w:tblPrEx>
          <w:tblCellMar>
            <w:top w:w="0" w:type="dxa"/>
            <w:left w:w="108" w:type="dxa"/>
            <w:bottom w:w="0" w:type="dxa"/>
            <w:right w:w="108" w:type="dxa"/>
          </w:tblCellMar>
        </w:tblPrEx>
        <w:trPr>
          <w:trHeight w:val="3239" w:hRule="atLeast"/>
          <w:jc w:val="center"/>
        </w:trPr>
        <w:tc>
          <w:tcPr>
            <w:tcW w:w="176"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类别1</w:t>
            </w:r>
          </w:p>
        </w:tc>
        <w:tc>
          <w:tcPr>
            <w:tcW w:w="207"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类别2</w:t>
            </w:r>
          </w:p>
        </w:tc>
        <w:tc>
          <w:tcPr>
            <w:tcW w:w="207"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类别3</w:t>
            </w:r>
          </w:p>
        </w:tc>
        <w:tc>
          <w:tcPr>
            <w:tcW w:w="204"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序号</w:t>
            </w:r>
          </w:p>
        </w:tc>
        <w:tc>
          <w:tcPr>
            <w:tcW w:w="1209"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物资名称</w:t>
            </w:r>
          </w:p>
        </w:tc>
        <w:tc>
          <w:tcPr>
            <w:tcW w:w="256"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送货单</w:t>
            </w:r>
          </w:p>
        </w:tc>
        <w:tc>
          <w:tcPr>
            <w:tcW w:w="610"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技术要求(合同、澄清纪要)</w:t>
            </w:r>
          </w:p>
        </w:tc>
        <w:tc>
          <w:tcPr>
            <w:tcW w:w="167"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合格证</w:t>
            </w:r>
          </w:p>
        </w:tc>
        <w:tc>
          <w:tcPr>
            <w:tcW w:w="226"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说明书</w:t>
            </w:r>
          </w:p>
        </w:tc>
        <w:tc>
          <w:tcPr>
            <w:tcW w:w="249"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出厂检验报告</w:t>
            </w:r>
          </w:p>
        </w:tc>
        <w:tc>
          <w:tcPr>
            <w:tcW w:w="219"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图纸</w:t>
            </w:r>
          </w:p>
        </w:tc>
        <w:tc>
          <w:tcPr>
            <w:tcW w:w="214"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防爆证书</w:t>
            </w:r>
          </w:p>
        </w:tc>
        <w:tc>
          <w:tcPr>
            <w:tcW w:w="219"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船检证书</w:t>
            </w:r>
          </w:p>
        </w:tc>
        <w:tc>
          <w:tcPr>
            <w:tcW w:w="220"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标定证书</w:t>
            </w:r>
          </w:p>
        </w:tc>
        <w:tc>
          <w:tcPr>
            <w:tcW w:w="266"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材质证明</w:t>
            </w:r>
          </w:p>
        </w:tc>
        <w:tc>
          <w:tcPr>
            <w:tcW w:w="344"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备注</w:t>
            </w:r>
          </w:p>
        </w:tc>
      </w:tr>
      <w:tr>
        <w:tblPrEx>
          <w:tblCellMar>
            <w:top w:w="0" w:type="dxa"/>
            <w:left w:w="108" w:type="dxa"/>
            <w:bottom w:w="0" w:type="dxa"/>
            <w:right w:w="108" w:type="dxa"/>
          </w:tblCellMar>
        </w:tblPrEx>
        <w:trPr>
          <w:trHeight w:val="885" w:hRule="atLeast"/>
          <w:jc w:val="center"/>
        </w:trPr>
        <w:tc>
          <w:tcPr>
            <w:tcW w:w="176"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仿宋" w:hAnsi="仿宋" w:eastAsia="仿宋" w:cs="仿宋"/>
                <w:b/>
                <w:bCs/>
                <w:color w:val="auto"/>
                <w:kern w:val="0"/>
                <w:sz w:val="21"/>
                <w:szCs w:val="21"/>
                <w:highlight w:val="none"/>
              </w:rPr>
            </w:pPr>
          </w:p>
        </w:tc>
        <w:tc>
          <w:tcPr>
            <w:tcW w:w="207"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b/>
                <w:bCs/>
                <w:color w:val="auto"/>
                <w:kern w:val="0"/>
                <w:sz w:val="21"/>
                <w:szCs w:val="21"/>
                <w:highlight w:val="none"/>
              </w:rPr>
            </w:pPr>
          </w:p>
        </w:tc>
        <w:tc>
          <w:tcPr>
            <w:tcW w:w="207"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b/>
                <w:bCs/>
                <w:color w:val="auto"/>
                <w:kern w:val="0"/>
                <w:sz w:val="21"/>
                <w:szCs w:val="21"/>
                <w:highlight w:val="none"/>
              </w:rPr>
            </w:pPr>
          </w:p>
        </w:tc>
        <w:tc>
          <w:tcPr>
            <w:tcW w:w="204"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1</w:t>
            </w:r>
          </w:p>
        </w:tc>
        <w:tc>
          <w:tcPr>
            <w:tcW w:w="1209"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b/>
                <w:bCs/>
                <w:color w:val="auto"/>
                <w:kern w:val="0"/>
                <w:sz w:val="21"/>
                <w:szCs w:val="21"/>
                <w:highlight w:val="none"/>
                <w:lang w:val="en-US" w:eastAsia="zh-CN"/>
              </w:rPr>
            </w:pPr>
            <w:r>
              <w:rPr>
                <w:rFonts w:hint="eastAsia" w:ascii="仿宋" w:hAnsi="仿宋" w:eastAsia="仿宋" w:cs="仿宋"/>
                <w:b/>
                <w:bCs/>
                <w:color w:val="auto"/>
                <w:kern w:val="0"/>
                <w:sz w:val="21"/>
                <w:szCs w:val="21"/>
                <w:highlight w:val="none"/>
                <w:lang w:val="en-US" w:eastAsia="zh-CN"/>
              </w:rPr>
              <w:t>移动控制站箱体</w:t>
            </w:r>
          </w:p>
        </w:tc>
        <w:tc>
          <w:tcPr>
            <w:tcW w:w="256"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w:t>
            </w:r>
          </w:p>
        </w:tc>
        <w:tc>
          <w:tcPr>
            <w:tcW w:w="610"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w:t>
            </w:r>
          </w:p>
        </w:tc>
        <w:tc>
          <w:tcPr>
            <w:tcW w:w="167"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w:t>
            </w:r>
          </w:p>
        </w:tc>
        <w:tc>
          <w:tcPr>
            <w:tcW w:w="226"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w:t>
            </w:r>
          </w:p>
        </w:tc>
        <w:tc>
          <w:tcPr>
            <w:tcW w:w="249"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w:t>
            </w:r>
          </w:p>
        </w:tc>
        <w:tc>
          <w:tcPr>
            <w:tcW w:w="219"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w:t>
            </w:r>
          </w:p>
        </w:tc>
        <w:tc>
          <w:tcPr>
            <w:tcW w:w="214"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color w:val="auto"/>
                <w:kern w:val="0"/>
                <w:sz w:val="21"/>
                <w:szCs w:val="21"/>
                <w:highlight w:val="none"/>
              </w:rPr>
            </w:pPr>
          </w:p>
        </w:tc>
        <w:tc>
          <w:tcPr>
            <w:tcW w:w="219"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w:t>
            </w:r>
          </w:p>
        </w:tc>
        <w:tc>
          <w:tcPr>
            <w:tcW w:w="220"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color w:val="auto"/>
                <w:kern w:val="0"/>
                <w:sz w:val="21"/>
                <w:szCs w:val="21"/>
                <w:highlight w:val="none"/>
              </w:rPr>
            </w:pPr>
          </w:p>
        </w:tc>
        <w:tc>
          <w:tcPr>
            <w:tcW w:w="266"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color w:val="auto"/>
                <w:kern w:val="0"/>
                <w:sz w:val="21"/>
                <w:szCs w:val="21"/>
                <w:highlight w:val="none"/>
              </w:rPr>
            </w:pPr>
          </w:p>
        </w:tc>
        <w:tc>
          <w:tcPr>
            <w:tcW w:w="344" w:type="pct"/>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仿宋" w:hAnsi="仿宋" w:eastAsia="仿宋" w:cs="仿宋"/>
                <w:color w:val="auto"/>
                <w:kern w:val="0"/>
                <w:sz w:val="21"/>
                <w:szCs w:val="21"/>
                <w:highlight w:val="none"/>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257" w:lineRule="auto"/>
        <w:ind w:leftChars="0" w:right="119" w:rightChars="0" w:firstLine="560" w:firstLineChars="200"/>
        <w:jc w:val="both"/>
        <w:textAlignment w:val="auto"/>
        <w:rPr>
          <w:rFonts w:hint="eastAsia" w:ascii="仿宋" w:hAnsi="仿宋" w:eastAsia="仿宋" w:cs="仿宋"/>
          <w:color w:val="auto"/>
          <w:kern w:val="0"/>
          <w:sz w:val="28"/>
          <w:szCs w:val="28"/>
          <w:highlight w:val="none"/>
          <w:lang w:val="en-US" w:eastAsia="zh-CN" w:bidi="ar-SA"/>
        </w:rPr>
      </w:pPr>
    </w:p>
    <w:p>
      <w:pPr>
        <w:pStyle w:val="5"/>
        <w:rPr>
          <w:rFonts w:hint="default" w:ascii="Times New Roman" w:hAnsi="Times New Roman" w:eastAsia="宋体" w:cs="Times New Roman"/>
          <w:i w:val="0"/>
          <w:iCs w:val="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汉仪中黑简">
    <w:altName w:val="微软雅黑"/>
    <w:panose1 w:val="00000000000000000000"/>
    <w:charset w:val="86"/>
    <w:family w:val="swiss"/>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rPr>
        <w:rFonts w:ascii="宋体" w:hAnsi="宋体"/>
      </w:rPr>
    </w:pPr>
    <w:r>
      <w:rPr>
        <w:rFonts w:ascii="宋体" w:hAnsi="宋体"/>
      </w:rPr>
      <w:fldChar w:fldCharType="begin"/>
    </w:r>
    <w:r>
      <w:rPr>
        <w:rFonts w:ascii="宋体" w:hAnsi="宋体"/>
      </w:rPr>
      <w:instrText xml:space="preserve"> PAGE   \* MERGEFORMAT </w:instrText>
    </w:r>
    <w:r>
      <w:rPr>
        <w:rFonts w:ascii="宋体" w:hAnsi="宋体"/>
      </w:rPr>
      <w:fldChar w:fldCharType="separate"/>
    </w:r>
    <w:r>
      <w:rPr>
        <w:rFonts w:ascii="宋体" w:hAnsi="宋体"/>
        <w:lang w:val="zh-CN"/>
      </w:rPr>
      <w:t>1</w:t>
    </w:r>
    <w:r>
      <w:rPr>
        <w:rFonts w:ascii="宋体" w:hAnsi="宋体"/>
      </w:rPr>
      <w:fldChar w:fldCharType="end"/>
    </w:r>
  </w:p>
  <w:p>
    <w:pPr>
      <w:pStyle w:val="1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AE9C9E"/>
    <w:multiLevelType w:val="singleLevel"/>
    <w:tmpl w:val="80AE9C9E"/>
    <w:lvl w:ilvl="0" w:tentative="0">
      <w:start w:val="1"/>
      <w:numFmt w:val="decimal"/>
      <w:lvlText w:val="%1."/>
      <w:lvlJc w:val="left"/>
      <w:pPr>
        <w:ind w:left="425" w:hanging="425"/>
      </w:pPr>
      <w:rPr>
        <w:rFonts w:hint="default"/>
      </w:rPr>
    </w:lvl>
  </w:abstractNum>
  <w:abstractNum w:abstractNumId="1">
    <w:nsid w:val="8A9B63D5"/>
    <w:multiLevelType w:val="singleLevel"/>
    <w:tmpl w:val="8A9B63D5"/>
    <w:lvl w:ilvl="0" w:tentative="0">
      <w:start w:val="1"/>
      <w:numFmt w:val="decimal"/>
      <w:lvlText w:val="(%1)"/>
      <w:lvlJc w:val="left"/>
      <w:pPr>
        <w:ind w:left="425" w:hanging="425"/>
      </w:pPr>
      <w:rPr>
        <w:rFonts w:hint="default"/>
      </w:rPr>
    </w:lvl>
  </w:abstractNum>
  <w:abstractNum w:abstractNumId="2">
    <w:nsid w:val="8F34C67D"/>
    <w:multiLevelType w:val="singleLevel"/>
    <w:tmpl w:val="8F34C67D"/>
    <w:lvl w:ilvl="0" w:tentative="0">
      <w:start w:val="1"/>
      <w:numFmt w:val="decimal"/>
      <w:lvlText w:val="(%1)"/>
      <w:lvlJc w:val="left"/>
      <w:pPr>
        <w:ind w:left="425" w:hanging="425"/>
      </w:pPr>
      <w:rPr>
        <w:rFonts w:hint="default"/>
      </w:rPr>
    </w:lvl>
  </w:abstractNum>
  <w:abstractNum w:abstractNumId="3">
    <w:nsid w:val="93281152"/>
    <w:multiLevelType w:val="singleLevel"/>
    <w:tmpl w:val="93281152"/>
    <w:lvl w:ilvl="0" w:tentative="0">
      <w:start w:val="1"/>
      <w:numFmt w:val="decimal"/>
      <w:lvlText w:val="%1."/>
      <w:lvlJc w:val="left"/>
      <w:pPr>
        <w:ind w:left="425" w:hanging="425"/>
      </w:pPr>
      <w:rPr>
        <w:rFonts w:hint="default"/>
      </w:rPr>
    </w:lvl>
  </w:abstractNum>
  <w:abstractNum w:abstractNumId="4">
    <w:nsid w:val="96F47E6D"/>
    <w:multiLevelType w:val="singleLevel"/>
    <w:tmpl w:val="96F47E6D"/>
    <w:lvl w:ilvl="0" w:tentative="0">
      <w:start w:val="1"/>
      <w:numFmt w:val="decimal"/>
      <w:pStyle w:val="44"/>
      <w:suff w:val="nothing"/>
      <w:lvlText w:val="%1）"/>
      <w:lvlJc w:val="left"/>
      <w:pPr>
        <w:ind w:left="1260" w:firstLine="0"/>
      </w:pPr>
    </w:lvl>
  </w:abstractNum>
  <w:abstractNum w:abstractNumId="5">
    <w:nsid w:val="9CDB697A"/>
    <w:multiLevelType w:val="singleLevel"/>
    <w:tmpl w:val="9CDB697A"/>
    <w:lvl w:ilvl="0" w:tentative="0">
      <w:start w:val="1"/>
      <w:numFmt w:val="decimal"/>
      <w:lvlText w:val="%1."/>
      <w:lvlJc w:val="left"/>
      <w:pPr>
        <w:ind w:left="425" w:hanging="425"/>
      </w:pPr>
      <w:rPr>
        <w:rFonts w:hint="default"/>
      </w:rPr>
    </w:lvl>
  </w:abstractNum>
  <w:abstractNum w:abstractNumId="6">
    <w:nsid w:val="B118F551"/>
    <w:multiLevelType w:val="singleLevel"/>
    <w:tmpl w:val="B118F551"/>
    <w:lvl w:ilvl="0" w:tentative="0">
      <w:start w:val="1"/>
      <w:numFmt w:val="decimal"/>
      <w:lvlText w:val="%1."/>
      <w:lvlJc w:val="left"/>
      <w:pPr>
        <w:ind w:left="425" w:hanging="425"/>
      </w:pPr>
      <w:rPr>
        <w:rFonts w:hint="default"/>
      </w:rPr>
    </w:lvl>
  </w:abstractNum>
  <w:abstractNum w:abstractNumId="7">
    <w:nsid w:val="B3A6D0F6"/>
    <w:multiLevelType w:val="singleLevel"/>
    <w:tmpl w:val="B3A6D0F6"/>
    <w:lvl w:ilvl="0" w:tentative="0">
      <w:start w:val="1"/>
      <w:numFmt w:val="decimal"/>
      <w:lvlText w:val="(%1)"/>
      <w:lvlJc w:val="left"/>
      <w:pPr>
        <w:ind w:left="425" w:hanging="425"/>
      </w:pPr>
      <w:rPr>
        <w:rFonts w:hint="default"/>
      </w:rPr>
    </w:lvl>
  </w:abstractNum>
  <w:abstractNum w:abstractNumId="8">
    <w:nsid w:val="B59E8666"/>
    <w:multiLevelType w:val="singleLevel"/>
    <w:tmpl w:val="B59E8666"/>
    <w:lvl w:ilvl="0" w:tentative="0">
      <w:start w:val="1"/>
      <w:numFmt w:val="decimal"/>
      <w:lvlText w:val="(%1)"/>
      <w:lvlJc w:val="left"/>
      <w:pPr>
        <w:ind w:left="425" w:hanging="425"/>
      </w:pPr>
      <w:rPr>
        <w:rFonts w:hint="default"/>
      </w:rPr>
    </w:lvl>
  </w:abstractNum>
  <w:abstractNum w:abstractNumId="9">
    <w:nsid w:val="CC6BBE4D"/>
    <w:multiLevelType w:val="singleLevel"/>
    <w:tmpl w:val="CC6BBE4D"/>
    <w:lvl w:ilvl="0" w:tentative="0">
      <w:start w:val="1"/>
      <w:numFmt w:val="decimal"/>
      <w:lvlText w:val="%1."/>
      <w:lvlJc w:val="left"/>
      <w:pPr>
        <w:ind w:left="425" w:hanging="425"/>
      </w:pPr>
      <w:rPr>
        <w:rFonts w:hint="default"/>
      </w:rPr>
    </w:lvl>
  </w:abstractNum>
  <w:abstractNum w:abstractNumId="10">
    <w:nsid w:val="D5259AB7"/>
    <w:multiLevelType w:val="multilevel"/>
    <w:tmpl w:val="D5259AB7"/>
    <w:lvl w:ilvl="0" w:tentative="0">
      <w:start w:val="1"/>
      <w:numFmt w:val="japaneseCounting"/>
      <w:suff w:val="space"/>
      <w:lvlText w:val="%1、"/>
      <w:lvlJc w:val="left"/>
      <w:pPr>
        <w:ind w:left="480" w:hanging="48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DA2F19EA"/>
    <w:multiLevelType w:val="singleLevel"/>
    <w:tmpl w:val="DA2F19EA"/>
    <w:lvl w:ilvl="0" w:tentative="0">
      <w:start w:val="1"/>
      <w:numFmt w:val="decimal"/>
      <w:lvlText w:val="%1."/>
      <w:lvlJc w:val="left"/>
      <w:pPr>
        <w:ind w:left="425" w:hanging="425"/>
      </w:pPr>
      <w:rPr>
        <w:rFonts w:hint="default"/>
      </w:rPr>
    </w:lvl>
  </w:abstractNum>
  <w:abstractNum w:abstractNumId="12">
    <w:nsid w:val="F4980549"/>
    <w:multiLevelType w:val="singleLevel"/>
    <w:tmpl w:val="F4980549"/>
    <w:lvl w:ilvl="0" w:tentative="0">
      <w:start w:val="1"/>
      <w:numFmt w:val="decimal"/>
      <w:lvlText w:val="(%1)"/>
      <w:lvlJc w:val="left"/>
      <w:pPr>
        <w:ind w:left="425" w:hanging="425"/>
      </w:pPr>
      <w:rPr>
        <w:rFonts w:hint="default"/>
      </w:rPr>
    </w:lvl>
  </w:abstractNum>
  <w:abstractNum w:abstractNumId="13">
    <w:nsid w:val="0549539F"/>
    <w:multiLevelType w:val="singleLevel"/>
    <w:tmpl w:val="0549539F"/>
    <w:lvl w:ilvl="0" w:tentative="0">
      <w:start w:val="1"/>
      <w:numFmt w:val="decimal"/>
      <w:lvlText w:val="(%1)"/>
      <w:lvlJc w:val="left"/>
      <w:pPr>
        <w:ind w:left="425" w:hanging="425"/>
      </w:pPr>
      <w:rPr>
        <w:rFonts w:hint="default"/>
      </w:rPr>
    </w:lvl>
  </w:abstractNum>
  <w:abstractNum w:abstractNumId="14">
    <w:nsid w:val="1AC01F17"/>
    <w:multiLevelType w:val="singleLevel"/>
    <w:tmpl w:val="1AC01F17"/>
    <w:lvl w:ilvl="0" w:tentative="0">
      <w:start w:val="1"/>
      <w:numFmt w:val="decimal"/>
      <w:lvlText w:val="%1."/>
      <w:lvlJc w:val="left"/>
      <w:pPr>
        <w:ind w:left="425" w:hanging="425"/>
      </w:pPr>
      <w:rPr>
        <w:rFonts w:hint="default"/>
      </w:rPr>
    </w:lvl>
  </w:abstractNum>
  <w:abstractNum w:abstractNumId="15">
    <w:nsid w:val="21515FF6"/>
    <w:multiLevelType w:val="multilevel"/>
    <w:tmpl w:val="21515FF6"/>
    <w:lvl w:ilvl="0" w:tentative="0">
      <w:start w:val="1"/>
      <w:numFmt w:val="decimal"/>
      <w:suff w:val="space"/>
      <w:lvlText w:val="%1 "/>
      <w:lvlJc w:val="left"/>
      <w:pPr>
        <w:ind w:left="0" w:firstLine="0"/>
      </w:pPr>
      <w:rPr>
        <w:rFonts w:hint="default" w:ascii="Times New Roman" w:hAnsi="Times New Roman" w:eastAsia="宋体"/>
        <w:b/>
        <w:i w:val="0"/>
        <w:sz w:val="32"/>
      </w:rPr>
    </w:lvl>
    <w:lvl w:ilvl="1" w:tentative="0">
      <w:start w:val="1"/>
      <w:numFmt w:val="decimal"/>
      <w:suff w:val="space"/>
      <w:lvlText w:val="%1.%2 "/>
      <w:lvlJc w:val="left"/>
      <w:pPr>
        <w:ind w:left="0" w:firstLine="170"/>
      </w:pPr>
      <w:rPr>
        <w:rFonts w:hint="default" w:ascii="Times New Roman" w:hAnsi="Times New Roman" w:eastAsia="宋体"/>
        <w:b/>
        <w:i w:val="0"/>
        <w:sz w:val="30"/>
      </w:rPr>
    </w:lvl>
    <w:lvl w:ilvl="2" w:tentative="0">
      <w:start w:val="1"/>
      <w:numFmt w:val="decimal"/>
      <w:suff w:val="space"/>
      <w:lvlText w:val="%1.%2.%3 "/>
      <w:lvlJc w:val="left"/>
      <w:pPr>
        <w:ind w:left="0" w:firstLine="340"/>
      </w:pPr>
      <w:rPr>
        <w:rFonts w:hint="default" w:ascii="Times New Roman" w:hAnsi="Times New Roman" w:eastAsia="宋体"/>
        <w:b w:val="0"/>
        <w:i w:val="0"/>
        <w:sz w:val="28"/>
      </w:rPr>
    </w:lvl>
    <w:lvl w:ilvl="3" w:tentative="0">
      <w:start w:val="1"/>
      <w:numFmt w:val="decimal"/>
      <w:suff w:val="space"/>
      <w:lvlText w:val="%1.%2.%3.%4"/>
      <w:lvlJc w:val="left"/>
      <w:pPr>
        <w:ind w:left="0" w:firstLine="510"/>
      </w:pPr>
      <w:rPr>
        <w:rFonts w:hint="default" w:ascii="Times New Roman" w:hAnsi="Times New Roman" w:eastAsia="宋体"/>
        <w:b w:val="0"/>
        <w:i w:val="0"/>
        <w:sz w:val="24"/>
      </w:rPr>
    </w:lvl>
    <w:lvl w:ilvl="4" w:tentative="0">
      <w:start w:val="1"/>
      <w:numFmt w:val="decimal"/>
      <w:suff w:val="space"/>
      <w:lvlText w:val="(%5)"/>
      <w:lvlJc w:val="left"/>
      <w:pPr>
        <w:ind w:left="0" w:firstLine="567"/>
      </w:pPr>
      <w:rPr>
        <w:rFonts w:hint="default" w:ascii="Times New Roman" w:hAnsi="Times New Roman" w:eastAsia="宋体"/>
        <w:b w:val="0"/>
        <w:i w:val="0"/>
        <w:sz w:val="28"/>
      </w:rPr>
    </w:lvl>
    <w:lvl w:ilvl="5" w:tentative="0">
      <w:start w:val="1"/>
      <w:numFmt w:val="decimal"/>
      <w:lvlRestart w:val="4"/>
      <w:pStyle w:val="78"/>
      <w:suff w:val="space"/>
      <w:lvlText w:val="%6)"/>
      <w:lvlJc w:val="left"/>
      <w:pPr>
        <w:ind w:left="284" w:firstLine="396"/>
      </w:pPr>
      <w:rPr>
        <w:rFonts w:hint="default" w:ascii="Times New Roman" w:hAnsi="Times New Roman" w:eastAsia="宋体"/>
        <w:b w:val="0"/>
        <w:i w:val="0"/>
        <w:sz w:val="28"/>
        <w:lang w:val="en-US"/>
      </w:rPr>
    </w:lvl>
    <w:lvl w:ilvl="6" w:tentative="0">
      <w:start w:val="1"/>
      <w:numFmt w:val="upperRoman"/>
      <w:suff w:val="space"/>
      <w:lvlText w:val="%7"/>
      <w:lvlJc w:val="left"/>
      <w:pPr>
        <w:ind w:left="0" w:firstLine="1021"/>
      </w:pPr>
      <w:rPr>
        <w:rFonts w:hint="default" w:ascii="Times New Roman" w:hAnsi="Times New Roman" w:eastAsia="宋体"/>
        <w:b w:val="0"/>
        <w:i w:val="0"/>
        <w:sz w:val="28"/>
      </w:rPr>
    </w:lvl>
    <w:lvl w:ilvl="7" w:tentative="0">
      <w:start w:val="1"/>
      <w:numFmt w:val="decimal"/>
      <w:lvlRestart w:val="2"/>
      <w:suff w:val="space"/>
      <w:lvlText w:val="图%1.%2-%8 "/>
      <w:lvlJc w:val="left"/>
      <w:pPr>
        <w:ind w:left="0" w:firstLine="0"/>
      </w:pPr>
      <w:rPr>
        <w:rFonts w:hint="eastAsia"/>
      </w:rPr>
    </w:lvl>
    <w:lvl w:ilvl="8" w:tentative="0">
      <w:start w:val="1"/>
      <w:numFmt w:val="decimal"/>
      <w:lvlRestart w:val="2"/>
      <w:suff w:val="space"/>
      <w:lvlText w:val="表%1.%2-%9 "/>
      <w:lvlJc w:val="left"/>
      <w:pPr>
        <w:ind w:left="0" w:firstLine="0"/>
      </w:pPr>
      <w:rPr>
        <w:rFonts w:hint="eastAsia"/>
      </w:rPr>
    </w:lvl>
  </w:abstractNum>
  <w:abstractNum w:abstractNumId="16">
    <w:nsid w:val="34FEB096"/>
    <w:multiLevelType w:val="singleLevel"/>
    <w:tmpl w:val="34FEB096"/>
    <w:lvl w:ilvl="0" w:tentative="0">
      <w:start w:val="1"/>
      <w:numFmt w:val="bullet"/>
      <w:lvlText w:val=""/>
      <w:lvlJc w:val="left"/>
      <w:pPr>
        <w:ind w:left="420" w:hanging="420"/>
      </w:pPr>
      <w:rPr>
        <w:rFonts w:hint="default" w:ascii="Wingdings" w:hAnsi="Wingdings"/>
      </w:rPr>
    </w:lvl>
  </w:abstractNum>
  <w:abstractNum w:abstractNumId="17">
    <w:nsid w:val="3FC236F0"/>
    <w:multiLevelType w:val="multilevel"/>
    <w:tmpl w:val="3FC236F0"/>
    <w:lvl w:ilvl="0" w:tentative="0">
      <w:start w:val="1"/>
      <w:numFmt w:val="chineseCountingThousand"/>
      <w:pStyle w:val="80"/>
      <w:suff w:val="nothing"/>
      <w:lvlText w:val="%1、"/>
      <w:lvlJc w:val="left"/>
      <w:pPr>
        <w:ind w:left="0" w:firstLine="0"/>
      </w:pPr>
      <w:rPr>
        <w:rFonts w:hint="eastAsia"/>
      </w:rPr>
    </w:lvl>
    <w:lvl w:ilvl="1" w:tentative="0">
      <w:start w:val="1"/>
      <w:numFmt w:val="decimal"/>
      <w:pStyle w:val="79"/>
      <w:suff w:val="nothing"/>
      <w:lvlText w:val="%2、"/>
      <w:lvlJc w:val="left"/>
      <w:pPr>
        <w:ind w:left="0" w:firstLine="284"/>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8">
    <w:nsid w:val="44CEFB1A"/>
    <w:multiLevelType w:val="singleLevel"/>
    <w:tmpl w:val="44CEFB1A"/>
    <w:lvl w:ilvl="0" w:tentative="0">
      <w:start w:val="1"/>
      <w:numFmt w:val="bullet"/>
      <w:lvlText w:val=""/>
      <w:lvlJc w:val="left"/>
      <w:pPr>
        <w:ind w:left="420" w:hanging="420"/>
      </w:pPr>
      <w:rPr>
        <w:rFonts w:hint="default" w:ascii="Wingdings" w:hAnsi="Wingdings"/>
      </w:rPr>
    </w:lvl>
  </w:abstractNum>
  <w:abstractNum w:abstractNumId="19">
    <w:nsid w:val="53CD2823"/>
    <w:multiLevelType w:val="singleLevel"/>
    <w:tmpl w:val="53CD2823"/>
    <w:lvl w:ilvl="0" w:tentative="0">
      <w:start w:val="1"/>
      <w:numFmt w:val="decimal"/>
      <w:lvlText w:val="%1."/>
      <w:lvlJc w:val="left"/>
      <w:pPr>
        <w:ind w:left="425" w:hanging="425"/>
      </w:pPr>
      <w:rPr>
        <w:rFonts w:hint="default"/>
      </w:rPr>
    </w:lvl>
  </w:abstractNum>
  <w:abstractNum w:abstractNumId="20">
    <w:nsid w:val="793800D3"/>
    <w:multiLevelType w:val="singleLevel"/>
    <w:tmpl w:val="793800D3"/>
    <w:lvl w:ilvl="0" w:tentative="0">
      <w:start w:val="1"/>
      <w:numFmt w:val="decimal"/>
      <w:lvlText w:val="%1."/>
      <w:lvlJc w:val="left"/>
      <w:pPr>
        <w:ind w:left="425" w:hanging="425"/>
      </w:pPr>
      <w:rPr>
        <w:rFonts w:hint="default"/>
      </w:rPr>
    </w:lvl>
  </w:abstractNum>
  <w:abstractNum w:abstractNumId="21">
    <w:nsid w:val="7B8A5396"/>
    <w:multiLevelType w:val="singleLevel"/>
    <w:tmpl w:val="7B8A5396"/>
    <w:lvl w:ilvl="0" w:tentative="0">
      <w:start w:val="1"/>
      <w:numFmt w:val="decimal"/>
      <w:lvlText w:val="%1)"/>
      <w:lvlJc w:val="left"/>
      <w:pPr>
        <w:ind w:left="425" w:hanging="425"/>
      </w:pPr>
      <w:rPr>
        <w:rFonts w:hint="default"/>
      </w:rPr>
    </w:lvl>
  </w:abstractNum>
  <w:abstractNum w:abstractNumId="22">
    <w:nsid w:val="7BE6DBD9"/>
    <w:multiLevelType w:val="singleLevel"/>
    <w:tmpl w:val="7BE6DBD9"/>
    <w:lvl w:ilvl="0" w:tentative="0">
      <w:start w:val="1"/>
      <w:numFmt w:val="decimal"/>
      <w:lvlText w:val="(%1)"/>
      <w:lvlJc w:val="left"/>
      <w:pPr>
        <w:ind w:left="425" w:hanging="425"/>
      </w:pPr>
      <w:rPr>
        <w:rFonts w:hint="default"/>
      </w:rPr>
    </w:lvl>
  </w:abstractNum>
  <w:num w:numId="1">
    <w:abstractNumId w:val="4"/>
  </w:num>
  <w:num w:numId="2">
    <w:abstractNumId w:val="15"/>
  </w:num>
  <w:num w:numId="3">
    <w:abstractNumId w:val="17"/>
  </w:num>
  <w:num w:numId="4">
    <w:abstractNumId w:val="10"/>
  </w:num>
  <w:num w:numId="5">
    <w:abstractNumId w:val="0"/>
  </w:num>
  <w:num w:numId="6">
    <w:abstractNumId w:val="21"/>
  </w:num>
  <w:num w:numId="7">
    <w:abstractNumId w:val="16"/>
  </w:num>
  <w:num w:numId="8">
    <w:abstractNumId w:val="11"/>
  </w:num>
  <w:num w:numId="9">
    <w:abstractNumId w:val="6"/>
  </w:num>
  <w:num w:numId="10">
    <w:abstractNumId w:val="7"/>
  </w:num>
  <w:num w:numId="11">
    <w:abstractNumId w:val="22"/>
  </w:num>
  <w:num w:numId="12">
    <w:abstractNumId w:val="1"/>
  </w:num>
  <w:num w:numId="13">
    <w:abstractNumId w:val="2"/>
  </w:num>
  <w:num w:numId="14">
    <w:abstractNumId w:val="18"/>
  </w:num>
  <w:num w:numId="15">
    <w:abstractNumId w:val="13"/>
  </w:num>
  <w:num w:numId="16">
    <w:abstractNumId w:val="12"/>
  </w:num>
  <w:num w:numId="17">
    <w:abstractNumId w:val="8"/>
  </w:num>
  <w:num w:numId="18">
    <w:abstractNumId w:val="3"/>
  </w:num>
  <w:num w:numId="19">
    <w:abstractNumId w:val="14"/>
  </w:num>
  <w:num w:numId="20">
    <w:abstractNumId w:val="20"/>
  </w:num>
  <w:num w:numId="21">
    <w:abstractNumId w:val="19"/>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EyZDMxNWRkYmY5MjE3NjUxYTk3ZDA1NDUyNmVkYWEifQ=="/>
    <w:docVar w:name="KSO_WPS_MARK_KEY" w:val="626b000c-91d6-418c-ad3f-e8df6972405c"/>
  </w:docVars>
  <w:rsids>
    <w:rsidRoot w:val="00172A27"/>
    <w:rsid w:val="002E3C4A"/>
    <w:rsid w:val="004029A6"/>
    <w:rsid w:val="005B3316"/>
    <w:rsid w:val="005B5344"/>
    <w:rsid w:val="007A3406"/>
    <w:rsid w:val="00AE20AB"/>
    <w:rsid w:val="00BA78E6"/>
    <w:rsid w:val="00BC74C1"/>
    <w:rsid w:val="00C0371C"/>
    <w:rsid w:val="00ED277A"/>
    <w:rsid w:val="01BE0A00"/>
    <w:rsid w:val="01F96A5D"/>
    <w:rsid w:val="01FD58CF"/>
    <w:rsid w:val="022E1CC2"/>
    <w:rsid w:val="0247798F"/>
    <w:rsid w:val="02777CE9"/>
    <w:rsid w:val="02990F13"/>
    <w:rsid w:val="032F27C8"/>
    <w:rsid w:val="032F4BDD"/>
    <w:rsid w:val="04450963"/>
    <w:rsid w:val="044A79D3"/>
    <w:rsid w:val="04AD1FF9"/>
    <w:rsid w:val="04C17A79"/>
    <w:rsid w:val="0510286A"/>
    <w:rsid w:val="05464A4A"/>
    <w:rsid w:val="05526865"/>
    <w:rsid w:val="05555D0C"/>
    <w:rsid w:val="05695F04"/>
    <w:rsid w:val="05804B80"/>
    <w:rsid w:val="0582590F"/>
    <w:rsid w:val="05A23598"/>
    <w:rsid w:val="05AB1F31"/>
    <w:rsid w:val="05AC4EF2"/>
    <w:rsid w:val="0631733C"/>
    <w:rsid w:val="06362943"/>
    <w:rsid w:val="066E563C"/>
    <w:rsid w:val="06D93D99"/>
    <w:rsid w:val="07515CD3"/>
    <w:rsid w:val="07C60C4D"/>
    <w:rsid w:val="07D2100C"/>
    <w:rsid w:val="07DB7E11"/>
    <w:rsid w:val="082422EC"/>
    <w:rsid w:val="082F4AD6"/>
    <w:rsid w:val="08835E0E"/>
    <w:rsid w:val="08C07E24"/>
    <w:rsid w:val="08CB13AF"/>
    <w:rsid w:val="08CE57F6"/>
    <w:rsid w:val="091F19D7"/>
    <w:rsid w:val="092114B8"/>
    <w:rsid w:val="09405CFE"/>
    <w:rsid w:val="096613F7"/>
    <w:rsid w:val="0A19461A"/>
    <w:rsid w:val="0A1A102C"/>
    <w:rsid w:val="0A2B546F"/>
    <w:rsid w:val="0A3267B3"/>
    <w:rsid w:val="0A3B32CE"/>
    <w:rsid w:val="0B591760"/>
    <w:rsid w:val="0BCA28CE"/>
    <w:rsid w:val="0BD27F4F"/>
    <w:rsid w:val="0BD95ABD"/>
    <w:rsid w:val="0BF919D2"/>
    <w:rsid w:val="0C310D05"/>
    <w:rsid w:val="0C390C3E"/>
    <w:rsid w:val="0C982BE8"/>
    <w:rsid w:val="0CCA7E39"/>
    <w:rsid w:val="0CE444BD"/>
    <w:rsid w:val="0D1168B6"/>
    <w:rsid w:val="0D8942C1"/>
    <w:rsid w:val="0DD237BC"/>
    <w:rsid w:val="0DD24882"/>
    <w:rsid w:val="0DEE7C6B"/>
    <w:rsid w:val="0E3045C0"/>
    <w:rsid w:val="0E665A59"/>
    <w:rsid w:val="0E845DBA"/>
    <w:rsid w:val="0F1262C1"/>
    <w:rsid w:val="0F3E25A9"/>
    <w:rsid w:val="0F444C5C"/>
    <w:rsid w:val="0F6B03CA"/>
    <w:rsid w:val="0F9B6919"/>
    <w:rsid w:val="104C2755"/>
    <w:rsid w:val="10ED3E88"/>
    <w:rsid w:val="110F1EEB"/>
    <w:rsid w:val="11456666"/>
    <w:rsid w:val="11536FE1"/>
    <w:rsid w:val="115455FC"/>
    <w:rsid w:val="1187581C"/>
    <w:rsid w:val="11911E1D"/>
    <w:rsid w:val="119C72C9"/>
    <w:rsid w:val="11A453AD"/>
    <w:rsid w:val="11C36474"/>
    <w:rsid w:val="122214CC"/>
    <w:rsid w:val="122F263C"/>
    <w:rsid w:val="12437483"/>
    <w:rsid w:val="12712F64"/>
    <w:rsid w:val="128819B3"/>
    <w:rsid w:val="12BD714C"/>
    <w:rsid w:val="12E73814"/>
    <w:rsid w:val="12F72209"/>
    <w:rsid w:val="13103353"/>
    <w:rsid w:val="13506D8E"/>
    <w:rsid w:val="135B79C6"/>
    <w:rsid w:val="136A743D"/>
    <w:rsid w:val="136F3115"/>
    <w:rsid w:val="13CD3A1D"/>
    <w:rsid w:val="13D358F9"/>
    <w:rsid w:val="14022D23"/>
    <w:rsid w:val="140668A9"/>
    <w:rsid w:val="141966BD"/>
    <w:rsid w:val="14304F85"/>
    <w:rsid w:val="14640F14"/>
    <w:rsid w:val="14C4192D"/>
    <w:rsid w:val="14ED7F17"/>
    <w:rsid w:val="14F95270"/>
    <w:rsid w:val="155A7A15"/>
    <w:rsid w:val="15D94D11"/>
    <w:rsid w:val="15F427C2"/>
    <w:rsid w:val="161D026C"/>
    <w:rsid w:val="165623D3"/>
    <w:rsid w:val="16795AE4"/>
    <w:rsid w:val="16DE583A"/>
    <w:rsid w:val="176C28B9"/>
    <w:rsid w:val="17B67874"/>
    <w:rsid w:val="18110531"/>
    <w:rsid w:val="181B10F2"/>
    <w:rsid w:val="182034FD"/>
    <w:rsid w:val="187D3DE7"/>
    <w:rsid w:val="188E2652"/>
    <w:rsid w:val="18997E67"/>
    <w:rsid w:val="18FF67E4"/>
    <w:rsid w:val="198F5502"/>
    <w:rsid w:val="199D4CC2"/>
    <w:rsid w:val="19F2719F"/>
    <w:rsid w:val="19F90C0A"/>
    <w:rsid w:val="1A2527EA"/>
    <w:rsid w:val="1A990F27"/>
    <w:rsid w:val="1AE37D0C"/>
    <w:rsid w:val="1B084769"/>
    <w:rsid w:val="1B1A7F06"/>
    <w:rsid w:val="1B301CA1"/>
    <w:rsid w:val="1B472BAA"/>
    <w:rsid w:val="1B4D21E9"/>
    <w:rsid w:val="1B4D3BD8"/>
    <w:rsid w:val="1B5703BF"/>
    <w:rsid w:val="1B770B4F"/>
    <w:rsid w:val="1B921B23"/>
    <w:rsid w:val="1BA154F7"/>
    <w:rsid w:val="1BD20DFE"/>
    <w:rsid w:val="1C186B24"/>
    <w:rsid w:val="1C2042F6"/>
    <w:rsid w:val="1C21158C"/>
    <w:rsid w:val="1C22781B"/>
    <w:rsid w:val="1C7D00AF"/>
    <w:rsid w:val="1C9E11C0"/>
    <w:rsid w:val="1CA0746D"/>
    <w:rsid w:val="1CB11B21"/>
    <w:rsid w:val="1CC37110"/>
    <w:rsid w:val="1CFC1185"/>
    <w:rsid w:val="1D367AD4"/>
    <w:rsid w:val="1D533395"/>
    <w:rsid w:val="1D646278"/>
    <w:rsid w:val="1DD92CD8"/>
    <w:rsid w:val="1E4C424B"/>
    <w:rsid w:val="1E6C23C4"/>
    <w:rsid w:val="1E90281C"/>
    <w:rsid w:val="1F0B237A"/>
    <w:rsid w:val="1F15397D"/>
    <w:rsid w:val="1F23368D"/>
    <w:rsid w:val="1F595720"/>
    <w:rsid w:val="20240259"/>
    <w:rsid w:val="20633C30"/>
    <w:rsid w:val="20827210"/>
    <w:rsid w:val="20CD54E6"/>
    <w:rsid w:val="20F1259A"/>
    <w:rsid w:val="20F821C8"/>
    <w:rsid w:val="21200A1F"/>
    <w:rsid w:val="21327CCE"/>
    <w:rsid w:val="2139298F"/>
    <w:rsid w:val="213C247B"/>
    <w:rsid w:val="215D0466"/>
    <w:rsid w:val="21800B85"/>
    <w:rsid w:val="219C66C5"/>
    <w:rsid w:val="221A66BC"/>
    <w:rsid w:val="2224247D"/>
    <w:rsid w:val="2247408B"/>
    <w:rsid w:val="22627B26"/>
    <w:rsid w:val="22B20BE0"/>
    <w:rsid w:val="22E713D0"/>
    <w:rsid w:val="230D245F"/>
    <w:rsid w:val="2375726A"/>
    <w:rsid w:val="239D33A8"/>
    <w:rsid w:val="23E25D15"/>
    <w:rsid w:val="24191E59"/>
    <w:rsid w:val="24672014"/>
    <w:rsid w:val="24BB782F"/>
    <w:rsid w:val="251726C0"/>
    <w:rsid w:val="253819CC"/>
    <w:rsid w:val="253A2E6E"/>
    <w:rsid w:val="26390E36"/>
    <w:rsid w:val="264D6113"/>
    <w:rsid w:val="265846CD"/>
    <w:rsid w:val="26D70189"/>
    <w:rsid w:val="27567996"/>
    <w:rsid w:val="276E5BF7"/>
    <w:rsid w:val="27853AD9"/>
    <w:rsid w:val="27C2658B"/>
    <w:rsid w:val="27D6443D"/>
    <w:rsid w:val="27FF7F63"/>
    <w:rsid w:val="28002D30"/>
    <w:rsid w:val="287C4226"/>
    <w:rsid w:val="288A70A3"/>
    <w:rsid w:val="288E3ABD"/>
    <w:rsid w:val="28AA2846"/>
    <w:rsid w:val="28AA5255"/>
    <w:rsid w:val="28C4368D"/>
    <w:rsid w:val="28E51215"/>
    <w:rsid w:val="28FA38CA"/>
    <w:rsid w:val="29181A5B"/>
    <w:rsid w:val="29206D97"/>
    <w:rsid w:val="296D0386"/>
    <w:rsid w:val="296F1E39"/>
    <w:rsid w:val="298823EF"/>
    <w:rsid w:val="29A63188"/>
    <w:rsid w:val="29EC7AD9"/>
    <w:rsid w:val="29ED1C84"/>
    <w:rsid w:val="2A133323"/>
    <w:rsid w:val="2A3510C4"/>
    <w:rsid w:val="2A3E73D9"/>
    <w:rsid w:val="2A3F4E5B"/>
    <w:rsid w:val="2A5B25FF"/>
    <w:rsid w:val="2A5E6086"/>
    <w:rsid w:val="2A9A338E"/>
    <w:rsid w:val="2AA0198F"/>
    <w:rsid w:val="2AA31D6D"/>
    <w:rsid w:val="2AA7019B"/>
    <w:rsid w:val="2AAF4C01"/>
    <w:rsid w:val="2AC20757"/>
    <w:rsid w:val="2ACC6AFD"/>
    <w:rsid w:val="2AEF2A80"/>
    <w:rsid w:val="2AF53154"/>
    <w:rsid w:val="2B0626A5"/>
    <w:rsid w:val="2B201BC8"/>
    <w:rsid w:val="2B5C5632"/>
    <w:rsid w:val="2B7B1535"/>
    <w:rsid w:val="2BA240E7"/>
    <w:rsid w:val="2BBB344E"/>
    <w:rsid w:val="2BC43184"/>
    <w:rsid w:val="2BF1676E"/>
    <w:rsid w:val="2C021C70"/>
    <w:rsid w:val="2C6820E3"/>
    <w:rsid w:val="2C6D0CF3"/>
    <w:rsid w:val="2CA66CB8"/>
    <w:rsid w:val="2CB600BF"/>
    <w:rsid w:val="2CD0162A"/>
    <w:rsid w:val="2CD10A17"/>
    <w:rsid w:val="2CD44D39"/>
    <w:rsid w:val="2CE22EB0"/>
    <w:rsid w:val="2D577962"/>
    <w:rsid w:val="2D7F054D"/>
    <w:rsid w:val="2DA04568"/>
    <w:rsid w:val="2DB35913"/>
    <w:rsid w:val="2DBC502E"/>
    <w:rsid w:val="2E357A8A"/>
    <w:rsid w:val="2E9B12B3"/>
    <w:rsid w:val="2EA33601"/>
    <w:rsid w:val="2EC96F73"/>
    <w:rsid w:val="2EE54BFF"/>
    <w:rsid w:val="2F1D26DB"/>
    <w:rsid w:val="2F5D4D3F"/>
    <w:rsid w:val="2FC40004"/>
    <w:rsid w:val="2FDB060F"/>
    <w:rsid w:val="2FFB6945"/>
    <w:rsid w:val="30045057"/>
    <w:rsid w:val="305F4D87"/>
    <w:rsid w:val="306627F7"/>
    <w:rsid w:val="30CA4C74"/>
    <w:rsid w:val="31013C75"/>
    <w:rsid w:val="313666CD"/>
    <w:rsid w:val="318C6D9C"/>
    <w:rsid w:val="319D7376"/>
    <w:rsid w:val="324A7E8A"/>
    <w:rsid w:val="325927AC"/>
    <w:rsid w:val="325B42BC"/>
    <w:rsid w:val="32810E40"/>
    <w:rsid w:val="32ED0D1D"/>
    <w:rsid w:val="32FB0722"/>
    <w:rsid w:val="334B2535"/>
    <w:rsid w:val="33990BDA"/>
    <w:rsid w:val="33A07A40"/>
    <w:rsid w:val="34B62B3E"/>
    <w:rsid w:val="34C449CC"/>
    <w:rsid w:val="35266539"/>
    <w:rsid w:val="357D6D22"/>
    <w:rsid w:val="358C3937"/>
    <w:rsid w:val="36026FCB"/>
    <w:rsid w:val="362A66C9"/>
    <w:rsid w:val="36331F78"/>
    <w:rsid w:val="366B5AAD"/>
    <w:rsid w:val="3696201C"/>
    <w:rsid w:val="36B227AD"/>
    <w:rsid w:val="36FB7A6C"/>
    <w:rsid w:val="371F3F9D"/>
    <w:rsid w:val="372F09D5"/>
    <w:rsid w:val="381D3DAE"/>
    <w:rsid w:val="382E35A1"/>
    <w:rsid w:val="386A3121"/>
    <w:rsid w:val="38853218"/>
    <w:rsid w:val="388B3C27"/>
    <w:rsid w:val="38BC19A2"/>
    <w:rsid w:val="38FE452C"/>
    <w:rsid w:val="39016B05"/>
    <w:rsid w:val="390F2CCA"/>
    <w:rsid w:val="39456083"/>
    <w:rsid w:val="39545A9D"/>
    <w:rsid w:val="396D5E04"/>
    <w:rsid w:val="39D6591C"/>
    <w:rsid w:val="39DA4378"/>
    <w:rsid w:val="3A010638"/>
    <w:rsid w:val="3A0B2023"/>
    <w:rsid w:val="3A914378"/>
    <w:rsid w:val="3AE10055"/>
    <w:rsid w:val="3AF215C1"/>
    <w:rsid w:val="3B1B55C8"/>
    <w:rsid w:val="3B644A5A"/>
    <w:rsid w:val="3B6B47B8"/>
    <w:rsid w:val="3B7404A8"/>
    <w:rsid w:val="3BB60406"/>
    <w:rsid w:val="3C88273C"/>
    <w:rsid w:val="3CB13B21"/>
    <w:rsid w:val="3D0D1D6A"/>
    <w:rsid w:val="3D6D763F"/>
    <w:rsid w:val="3D73018F"/>
    <w:rsid w:val="3D7A2966"/>
    <w:rsid w:val="3DEE6DAB"/>
    <w:rsid w:val="3E5F4E13"/>
    <w:rsid w:val="3E6C2464"/>
    <w:rsid w:val="3EE76508"/>
    <w:rsid w:val="3F5D51DD"/>
    <w:rsid w:val="3F641C60"/>
    <w:rsid w:val="3F931699"/>
    <w:rsid w:val="3FAD111B"/>
    <w:rsid w:val="40061A82"/>
    <w:rsid w:val="40380B9A"/>
    <w:rsid w:val="40393626"/>
    <w:rsid w:val="405D143B"/>
    <w:rsid w:val="406C7AD3"/>
    <w:rsid w:val="40A41AA4"/>
    <w:rsid w:val="40D26169"/>
    <w:rsid w:val="40DA2AAD"/>
    <w:rsid w:val="40FC0C2D"/>
    <w:rsid w:val="415A2B0C"/>
    <w:rsid w:val="41756AD3"/>
    <w:rsid w:val="419C6145"/>
    <w:rsid w:val="41C31E57"/>
    <w:rsid w:val="42067F45"/>
    <w:rsid w:val="428B4BBB"/>
    <w:rsid w:val="429B14B6"/>
    <w:rsid w:val="42BA5938"/>
    <w:rsid w:val="433F136A"/>
    <w:rsid w:val="43913EB8"/>
    <w:rsid w:val="43B13522"/>
    <w:rsid w:val="442510D9"/>
    <w:rsid w:val="4492183B"/>
    <w:rsid w:val="44C33AFB"/>
    <w:rsid w:val="45586253"/>
    <w:rsid w:val="456033DF"/>
    <w:rsid w:val="45904B5D"/>
    <w:rsid w:val="45AF2857"/>
    <w:rsid w:val="46386069"/>
    <w:rsid w:val="46B14F20"/>
    <w:rsid w:val="46CA263B"/>
    <w:rsid w:val="47183FC1"/>
    <w:rsid w:val="47BF1ADD"/>
    <w:rsid w:val="47FD5406"/>
    <w:rsid w:val="480004B0"/>
    <w:rsid w:val="481E0C1D"/>
    <w:rsid w:val="48453180"/>
    <w:rsid w:val="484D7885"/>
    <w:rsid w:val="487947C1"/>
    <w:rsid w:val="48812F16"/>
    <w:rsid w:val="48823F01"/>
    <w:rsid w:val="48F873C3"/>
    <w:rsid w:val="49201970"/>
    <w:rsid w:val="49310464"/>
    <w:rsid w:val="49AC13C4"/>
    <w:rsid w:val="49CF0536"/>
    <w:rsid w:val="4A1E2D41"/>
    <w:rsid w:val="4A7E07F1"/>
    <w:rsid w:val="4ABB7BFC"/>
    <w:rsid w:val="4B2C6678"/>
    <w:rsid w:val="4B921785"/>
    <w:rsid w:val="4BA06C91"/>
    <w:rsid w:val="4BC50A4C"/>
    <w:rsid w:val="4BDB2C74"/>
    <w:rsid w:val="4C28087F"/>
    <w:rsid w:val="4C913FE0"/>
    <w:rsid w:val="4CC4537B"/>
    <w:rsid w:val="4CC7548E"/>
    <w:rsid w:val="4CFB40DB"/>
    <w:rsid w:val="4D5265BA"/>
    <w:rsid w:val="4D9D315A"/>
    <w:rsid w:val="4DCC7F3C"/>
    <w:rsid w:val="4DFC22CC"/>
    <w:rsid w:val="4E09480C"/>
    <w:rsid w:val="4E314357"/>
    <w:rsid w:val="4E855076"/>
    <w:rsid w:val="4E8C645A"/>
    <w:rsid w:val="4E9F4124"/>
    <w:rsid w:val="4EDC3E2B"/>
    <w:rsid w:val="4EE6167D"/>
    <w:rsid w:val="4F0D7FC7"/>
    <w:rsid w:val="4FDC4A30"/>
    <w:rsid w:val="4FF32DD2"/>
    <w:rsid w:val="512471CE"/>
    <w:rsid w:val="51523EF4"/>
    <w:rsid w:val="51894111"/>
    <w:rsid w:val="519138A0"/>
    <w:rsid w:val="51C458C4"/>
    <w:rsid w:val="51CF4BAD"/>
    <w:rsid w:val="51FF1E56"/>
    <w:rsid w:val="52090D6A"/>
    <w:rsid w:val="522378D0"/>
    <w:rsid w:val="528A75FC"/>
    <w:rsid w:val="53325680"/>
    <w:rsid w:val="533E5713"/>
    <w:rsid w:val="5356565E"/>
    <w:rsid w:val="53895A0A"/>
    <w:rsid w:val="53B434DF"/>
    <w:rsid w:val="54356644"/>
    <w:rsid w:val="54595953"/>
    <w:rsid w:val="54641104"/>
    <w:rsid w:val="546A36E5"/>
    <w:rsid w:val="54B9295D"/>
    <w:rsid w:val="5510379B"/>
    <w:rsid w:val="5543698A"/>
    <w:rsid w:val="554E20B0"/>
    <w:rsid w:val="55787BFB"/>
    <w:rsid w:val="55E37967"/>
    <w:rsid w:val="56075FA6"/>
    <w:rsid w:val="5681344D"/>
    <w:rsid w:val="56BB1D59"/>
    <w:rsid w:val="56F5557E"/>
    <w:rsid w:val="57171972"/>
    <w:rsid w:val="57377738"/>
    <w:rsid w:val="57694DDC"/>
    <w:rsid w:val="57756BEE"/>
    <w:rsid w:val="578A0125"/>
    <w:rsid w:val="578E448A"/>
    <w:rsid w:val="57955A0B"/>
    <w:rsid w:val="57BA117B"/>
    <w:rsid w:val="57F66D28"/>
    <w:rsid w:val="580F36B0"/>
    <w:rsid w:val="581A249A"/>
    <w:rsid w:val="584B73B8"/>
    <w:rsid w:val="586603FD"/>
    <w:rsid w:val="58674C71"/>
    <w:rsid w:val="58690E3A"/>
    <w:rsid w:val="586C49A2"/>
    <w:rsid w:val="58935D25"/>
    <w:rsid w:val="58AB1420"/>
    <w:rsid w:val="58BF61AD"/>
    <w:rsid w:val="590454E8"/>
    <w:rsid w:val="590644F1"/>
    <w:rsid w:val="593B41F0"/>
    <w:rsid w:val="597A60BC"/>
    <w:rsid w:val="59D20B07"/>
    <w:rsid w:val="59D525E5"/>
    <w:rsid w:val="59EC1292"/>
    <w:rsid w:val="5A1A68F7"/>
    <w:rsid w:val="5A3E691C"/>
    <w:rsid w:val="5A855539"/>
    <w:rsid w:val="5A942A23"/>
    <w:rsid w:val="5A9E141F"/>
    <w:rsid w:val="5AF97267"/>
    <w:rsid w:val="5B040CCF"/>
    <w:rsid w:val="5B386B34"/>
    <w:rsid w:val="5B4560D2"/>
    <w:rsid w:val="5B6476BC"/>
    <w:rsid w:val="5BC52951"/>
    <w:rsid w:val="5C3C3120"/>
    <w:rsid w:val="5C8534AF"/>
    <w:rsid w:val="5C863E44"/>
    <w:rsid w:val="5CB0721C"/>
    <w:rsid w:val="5CB163A0"/>
    <w:rsid w:val="5D693741"/>
    <w:rsid w:val="5D945871"/>
    <w:rsid w:val="5DB0339C"/>
    <w:rsid w:val="5DB37248"/>
    <w:rsid w:val="5E2633CA"/>
    <w:rsid w:val="5E4E3611"/>
    <w:rsid w:val="5E6B1047"/>
    <w:rsid w:val="5E700472"/>
    <w:rsid w:val="5E7B6C91"/>
    <w:rsid w:val="5EB47F13"/>
    <w:rsid w:val="5ED274E5"/>
    <w:rsid w:val="5EDC5EB2"/>
    <w:rsid w:val="5EE31B38"/>
    <w:rsid w:val="5EE73DC1"/>
    <w:rsid w:val="5F42525F"/>
    <w:rsid w:val="5F8B483D"/>
    <w:rsid w:val="5FC12651"/>
    <w:rsid w:val="5FD40BB8"/>
    <w:rsid w:val="5FE27904"/>
    <w:rsid w:val="5FF13292"/>
    <w:rsid w:val="600E19F6"/>
    <w:rsid w:val="603305BF"/>
    <w:rsid w:val="608A6ADA"/>
    <w:rsid w:val="60C458D1"/>
    <w:rsid w:val="60E872AD"/>
    <w:rsid w:val="6111333C"/>
    <w:rsid w:val="615901F8"/>
    <w:rsid w:val="61935C8A"/>
    <w:rsid w:val="6198099F"/>
    <w:rsid w:val="621F4FCF"/>
    <w:rsid w:val="623E6D6A"/>
    <w:rsid w:val="62457930"/>
    <w:rsid w:val="624C1ED5"/>
    <w:rsid w:val="62A6790D"/>
    <w:rsid w:val="63473878"/>
    <w:rsid w:val="63602833"/>
    <w:rsid w:val="63E632D3"/>
    <w:rsid w:val="64CF6907"/>
    <w:rsid w:val="64E314B4"/>
    <w:rsid w:val="65265D78"/>
    <w:rsid w:val="6544632F"/>
    <w:rsid w:val="659370E9"/>
    <w:rsid w:val="659874A2"/>
    <w:rsid w:val="662A0BAB"/>
    <w:rsid w:val="6645502F"/>
    <w:rsid w:val="668A626C"/>
    <w:rsid w:val="66BA5C6A"/>
    <w:rsid w:val="673952E9"/>
    <w:rsid w:val="67415284"/>
    <w:rsid w:val="67456726"/>
    <w:rsid w:val="674C1FB7"/>
    <w:rsid w:val="67D411DD"/>
    <w:rsid w:val="682F381B"/>
    <w:rsid w:val="68FC644B"/>
    <w:rsid w:val="690F65FC"/>
    <w:rsid w:val="69323326"/>
    <w:rsid w:val="69734B37"/>
    <w:rsid w:val="69916EAC"/>
    <w:rsid w:val="69FF3460"/>
    <w:rsid w:val="6A116713"/>
    <w:rsid w:val="6A4E2493"/>
    <w:rsid w:val="6A691D13"/>
    <w:rsid w:val="6A803748"/>
    <w:rsid w:val="6A835456"/>
    <w:rsid w:val="6A8D1BF0"/>
    <w:rsid w:val="6AB85E9E"/>
    <w:rsid w:val="6AC34D5A"/>
    <w:rsid w:val="6B776B5F"/>
    <w:rsid w:val="6BE70117"/>
    <w:rsid w:val="6C01543E"/>
    <w:rsid w:val="6C0E1FAA"/>
    <w:rsid w:val="6C0E2C44"/>
    <w:rsid w:val="6C5E76C9"/>
    <w:rsid w:val="6C6B632E"/>
    <w:rsid w:val="6CDB76EC"/>
    <w:rsid w:val="6D417704"/>
    <w:rsid w:val="6D751183"/>
    <w:rsid w:val="6DAF6C5B"/>
    <w:rsid w:val="6DE8785D"/>
    <w:rsid w:val="6E2935DE"/>
    <w:rsid w:val="6E620C7E"/>
    <w:rsid w:val="6E72736E"/>
    <w:rsid w:val="6E8A6D42"/>
    <w:rsid w:val="6F135576"/>
    <w:rsid w:val="6F31752F"/>
    <w:rsid w:val="6FC412DB"/>
    <w:rsid w:val="700860D1"/>
    <w:rsid w:val="7013255F"/>
    <w:rsid w:val="70616C6C"/>
    <w:rsid w:val="70710D94"/>
    <w:rsid w:val="709F0E7D"/>
    <w:rsid w:val="70A36810"/>
    <w:rsid w:val="70BC1904"/>
    <w:rsid w:val="70D8212E"/>
    <w:rsid w:val="70EA50C5"/>
    <w:rsid w:val="71582CB1"/>
    <w:rsid w:val="71D310CC"/>
    <w:rsid w:val="724C7A91"/>
    <w:rsid w:val="726762FD"/>
    <w:rsid w:val="72720062"/>
    <w:rsid w:val="728359ED"/>
    <w:rsid w:val="72C9352E"/>
    <w:rsid w:val="72D57FDE"/>
    <w:rsid w:val="72F87DFF"/>
    <w:rsid w:val="72F93C2B"/>
    <w:rsid w:val="73054CC1"/>
    <w:rsid w:val="73355CF9"/>
    <w:rsid w:val="735529E3"/>
    <w:rsid w:val="73820F20"/>
    <w:rsid w:val="74434753"/>
    <w:rsid w:val="744359CE"/>
    <w:rsid w:val="74B3733F"/>
    <w:rsid w:val="74CD172F"/>
    <w:rsid w:val="74CF7032"/>
    <w:rsid w:val="74DC6FD1"/>
    <w:rsid w:val="752023CB"/>
    <w:rsid w:val="759B75F6"/>
    <w:rsid w:val="75C47B27"/>
    <w:rsid w:val="75CB1FD1"/>
    <w:rsid w:val="75F2660E"/>
    <w:rsid w:val="76B76E79"/>
    <w:rsid w:val="76C279CC"/>
    <w:rsid w:val="76CE135F"/>
    <w:rsid w:val="76D73F35"/>
    <w:rsid w:val="76D87601"/>
    <w:rsid w:val="771755DA"/>
    <w:rsid w:val="771F6FFD"/>
    <w:rsid w:val="773F40B1"/>
    <w:rsid w:val="77612EC3"/>
    <w:rsid w:val="77B72A76"/>
    <w:rsid w:val="77BF4251"/>
    <w:rsid w:val="78175013"/>
    <w:rsid w:val="7825446A"/>
    <w:rsid w:val="78520417"/>
    <w:rsid w:val="78FA0730"/>
    <w:rsid w:val="790A686A"/>
    <w:rsid w:val="790F5CC2"/>
    <w:rsid w:val="791F05A9"/>
    <w:rsid w:val="79A522A2"/>
    <w:rsid w:val="79FE61B3"/>
    <w:rsid w:val="7A5B4C39"/>
    <w:rsid w:val="7AEB7969"/>
    <w:rsid w:val="7AFA6C7E"/>
    <w:rsid w:val="7B1A0118"/>
    <w:rsid w:val="7BE505D2"/>
    <w:rsid w:val="7C086208"/>
    <w:rsid w:val="7C36640B"/>
    <w:rsid w:val="7C526ABA"/>
    <w:rsid w:val="7C6F5444"/>
    <w:rsid w:val="7C7D0588"/>
    <w:rsid w:val="7C8E7766"/>
    <w:rsid w:val="7C9F4B74"/>
    <w:rsid w:val="7CD4481A"/>
    <w:rsid w:val="7CD87180"/>
    <w:rsid w:val="7CDA0B8E"/>
    <w:rsid w:val="7CF6115B"/>
    <w:rsid w:val="7D3C4DCA"/>
    <w:rsid w:val="7D644506"/>
    <w:rsid w:val="7DB542AE"/>
    <w:rsid w:val="7E556893"/>
    <w:rsid w:val="7E5A7425"/>
    <w:rsid w:val="7E641D50"/>
    <w:rsid w:val="7E687CC8"/>
    <w:rsid w:val="7E700211"/>
    <w:rsid w:val="7E9D7B39"/>
    <w:rsid w:val="7EB947DA"/>
    <w:rsid w:val="7ED865E4"/>
    <w:rsid w:val="7EEF0115"/>
    <w:rsid w:val="7EFA7108"/>
    <w:rsid w:val="7F1F6C83"/>
    <w:rsid w:val="7F2A25AD"/>
    <w:rsid w:val="7F6977E5"/>
    <w:rsid w:val="7F941866"/>
    <w:rsid w:val="7F9E592D"/>
    <w:rsid w:val="7FB83C70"/>
    <w:rsid w:val="7FD26D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39" w:semiHidden="0" w:name="toc 2"/>
    <w:lsdException w:qFormat="1" w:unhideWhenUsed="0" w:uiPriority="39" w:semiHidden="0" w:name="toc 3"/>
    <w:lsdException w:uiPriority="39" w:name="toc 4"/>
    <w:lsdException w:uiPriority="39" w:name="toc 5"/>
    <w:lsdException w:qFormat="1" w:unhideWhenUsed="0" w:uiPriority="9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keepNext/>
      <w:keepLines/>
      <w:spacing w:before="340" w:after="330" w:line="576" w:lineRule="auto"/>
      <w:outlineLvl w:val="0"/>
    </w:pPr>
    <w:rPr>
      <w:rFonts w:ascii="Calibri" w:hAnsi="Calibri" w:eastAsia="宋体" w:cs="Times New Roman"/>
      <w:b/>
      <w:bCs/>
      <w:kern w:val="44"/>
      <w:sz w:val="44"/>
      <w:szCs w:val="44"/>
    </w:rPr>
  </w:style>
  <w:style w:type="paragraph" w:styleId="5">
    <w:name w:val="heading 2"/>
    <w:basedOn w:val="1"/>
    <w:next w:val="1"/>
    <w:qFormat/>
    <w:uiPriority w:val="1"/>
    <w:pPr>
      <w:spacing w:line="479" w:lineRule="exact"/>
      <w:jc w:val="left"/>
      <w:outlineLvl w:val="1"/>
    </w:pPr>
    <w:rPr>
      <w:rFonts w:ascii="Microsoft YaHei UI" w:hAnsi="Microsoft YaHei UI" w:eastAsia="Microsoft YaHei UI"/>
      <w:spacing w:val="2"/>
      <w:kern w:val="0"/>
      <w:sz w:val="32"/>
      <w:szCs w:val="32"/>
    </w:rPr>
  </w:style>
  <w:style w:type="paragraph" w:styleId="6">
    <w:name w:val="heading 3"/>
    <w:basedOn w:val="1"/>
    <w:next w:val="1"/>
    <w:qFormat/>
    <w:uiPriority w:val="9"/>
    <w:pPr>
      <w:keepNext/>
      <w:keepLines/>
      <w:spacing w:before="200" w:after="200" w:line="360" w:lineRule="auto"/>
      <w:outlineLvl w:val="2"/>
    </w:pPr>
    <w:rPr>
      <w:rFonts w:ascii="Calibri" w:eastAsia="宋体" w:cs="Times New Roman" w:hAnsiTheme="majorHAnsi"/>
      <w:b/>
      <w:color w:val="000000"/>
      <w:kern w:val="2"/>
      <w:sz w:val="21"/>
      <w:szCs w:val="20"/>
      <w:lang w:eastAsia="zh-CN"/>
    </w:rPr>
  </w:style>
  <w:style w:type="paragraph" w:styleId="7">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customStyle="1" w:styleId="2">
    <w:name w:val="正文（文本）"/>
    <w:next w:val="3"/>
    <w:qFormat/>
    <w:uiPriority w:val="0"/>
    <w:pPr>
      <w:widowControl w:val="0"/>
      <w:snapToGrid w:val="0"/>
      <w:spacing w:beforeLines="20" w:line="360" w:lineRule="auto"/>
      <w:jc w:val="center"/>
    </w:pPr>
    <w:rPr>
      <w:rFonts w:ascii="Times New Roman" w:hAnsi="宋体" w:eastAsia="宋体" w:cs="Times New Roman"/>
      <w:kern w:val="2"/>
      <w:sz w:val="28"/>
      <w:szCs w:val="28"/>
      <w:lang w:val="en-US" w:eastAsia="zh-CN" w:bidi="ar-SA"/>
    </w:rPr>
  </w:style>
  <w:style w:type="paragraph" w:styleId="3">
    <w:name w:val="toc 6"/>
    <w:basedOn w:val="1"/>
    <w:next w:val="1"/>
    <w:semiHidden/>
    <w:qFormat/>
    <w:uiPriority w:val="99"/>
    <w:pPr>
      <w:ind w:left="1200"/>
    </w:pPr>
    <w:rPr>
      <w:rFonts w:ascii="Calibri" w:hAnsi="Calibri"/>
      <w:sz w:val="18"/>
      <w:szCs w:val="18"/>
    </w:rPr>
  </w:style>
  <w:style w:type="paragraph" w:styleId="8">
    <w:name w:val="Normal Indent"/>
    <w:basedOn w:val="1"/>
    <w:next w:val="1"/>
    <w:unhideWhenUsed/>
    <w:qFormat/>
    <w:uiPriority w:val="0"/>
    <w:pPr>
      <w:ind w:firstLine="420" w:firstLineChars="200"/>
    </w:pPr>
  </w:style>
  <w:style w:type="paragraph" w:styleId="9">
    <w:name w:val="annotation text"/>
    <w:basedOn w:val="1"/>
    <w:unhideWhenUsed/>
    <w:qFormat/>
    <w:uiPriority w:val="0"/>
  </w:style>
  <w:style w:type="paragraph" w:styleId="10">
    <w:name w:val="Body Text"/>
    <w:basedOn w:val="1"/>
    <w:qFormat/>
    <w:uiPriority w:val="1"/>
    <w:pPr>
      <w:widowControl/>
      <w:overflowPunct w:val="0"/>
      <w:autoSpaceDE w:val="0"/>
      <w:autoSpaceDN w:val="0"/>
      <w:adjustRightInd w:val="0"/>
      <w:jc w:val="left"/>
      <w:textAlignment w:val="baseline"/>
    </w:pPr>
    <w:rPr>
      <w:rFonts w:ascii="楷体" w:eastAsia="楷体"/>
      <w:i/>
      <w:iCs/>
      <w:kern w:val="0"/>
      <w:sz w:val="20"/>
      <w:szCs w:val="20"/>
    </w:rPr>
  </w:style>
  <w:style w:type="paragraph" w:styleId="11">
    <w:name w:val="Body Text Indent"/>
    <w:basedOn w:val="1"/>
    <w:next w:val="12"/>
    <w:unhideWhenUsed/>
    <w:qFormat/>
    <w:uiPriority w:val="0"/>
    <w:pPr>
      <w:spacing w:after="120"/>
      <w:ind w:left="420" w:leftChars="200"/>
    </w:pPr>
  </w:style>
  <w:style w:type="paragraph" w:styleId="12">
    <w:name w:val="envelope return"/>
    <w:basedOn w:val="1"/>
    <w:qFormat/>
    <w:uiPriority w:val="0"/>
    <w:pPr>
      <w:snapToGrid w:val="0"/>
    </w:pPr>
    <w:rPr>
      <w:rFonts w:ascii="Arial" w:hAnsi="Arial" w:eastAsia="等线" w:cs="等线"/>
    </w:rPr>
  </w:style>
  <w:style w:type="paragraph" w:styleId="13">
    <w:name w:val="List 2"/>
    <w:basedOn w:val="1"/>
    <w:unhideWhenUsed/>
    <w:qFormat/>
    <w:uiPriority w:val="99"/>
    <w:pPr>
      <w:ind w:left="100" w:leftChars="200" w:hanging="200" w:hangingChars="200"/>
      <w:contextualSpacing/>
    </w:pPr>
  </w:style>
  <w:style w:type="paragraph" w:styleId="14">
    <w:name w:val="toc 3"/>
    <w:basedOn w:val="1"/>
    <w:next w:val="1"/>
    <w:qFormat/>
    <w:uiPriority w:val="39"/>
    <w:pPr>
      <w:widowControl/>
      <w:spacing w:after="100" w:line="259" w:lineRule="auto"/>
      <w:outlineLvl w:val="0"/>
    </w:pPr>
    <w:rPr>
      <w:rFonts w:ascii="微软雅黑" w:hAnsi="微软雅黑" w:eastAsia="微软雅黑" w:cs="微软雅黑"/>
      <w:sz w:val="32"/>
      <w:szCs w:val="32"/>
      <w:lang w:eastAsia="zh-CN"/>
    </w:rPr>
  </w:style>
  <w:style w:type="paragraph" w:styleId="15">
    <w:name w:val="Plain Text"/>
    <w:basedOn w:val="1"/>
    <w:qFormat/>
    <w:uiPriority w:val="0"/>
    <w:rPr>
      <w:rFonts w:ascii="宋体" w:hAnsi="Courier New"/>
      <w:szCs w:val="20"/>
    </w:rPr>
  </w:style>
  <w:style w:type="paragraph" w:styleId="16">
    <w:name w:val="Balloon Text"/>
    <w:basedOn w:val="1"/>
    <w:unhideWhenUsed/>
    <w:qFormat/>
    <w:uiPriority w:val="0"/>
    <w:rPr>
      <w:sz w:val="18"/>
      <w:szCs w:val="18"/>
    </w:rPr>
  </w:style>
  <w:style w:type="paragraph" w:styleId="17">
    <w:name w:val="footer"/>
    <w:basedOn w:val="1"/>
    <w:next w:val="8"/>
    <w:link w:val="47"/>
    <w:unhideWhenUsed/>
    <w:qFormat/>
    <w:uiPriority w:val="99"/>
    <w:pPr>
      <w:tabs>
        <w:tab w:val="center" w:pos="4153"/>
        <w:tab w:val="right" w:pos="8306"/>
      </w:tabs>
      <w:snapToGrid w:val="0"/>
      <w:jc w:val="left"/>
    </w:pPr>
    <w:rPr>
      <w:sz w:val="18"/>
      <w:szCs w:val="18"/>
    </w:rPr>
  </w:style>
  <w:style w:type="paragraph" w:styleId="18">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List"/>
    <w:basedOn w:val="1"/>
    <w:qFormat/>
    <w:uiPriority w:val="0"/>
    <w:pPr>
      <w:ind w:left="200" w:hanging="200" w:hangingChars="200"/>
    </w:pPr>
  </w:style>
  <w:style w:type="paragraph" w:styleId="20">
    <w:name w:val="table of figures"/>
    <w:basedOn w:val="1"/>
    <w:next w:val="1"/>
    <w:qFormat/>
    <w:uiPriority w:val="0"/>
    <w:pPr>
      <w:ind w:left="200" w:leftChars="200" w:hanging="200" w:hangingChars="200"/>
    </w:pPr>
  </w:style>
  <w:style w:type="paragraph" w:styleId="21">
    <w:name w:val="toc 2"/>
    <w:basedOn w:val="1"/>
    <w:next w:val="1"/>
    <w:qFormat/>
    <w:uiPriority w:val="39"/>
    <w:pPr>
      <w:widowControl/>
      <w:overflowPunct w:val="0"/>
      <w:autoSpaceDE w:val="0"/>
      <w:autoSpaceDN w:val="0"/>
      <w:adjustRightInd w:val="0"/>
      <w:ind w:left="200"/>
      <w:jc w:val="left"/>
      <w:textAlignment w:val="baseline"/>
    </w:pPr>
    <w:rPr>
      <w:smallCaps/>
      <w:kern w:val="0"/>
      <w:sz w:val="20"/>
      <w:szCs w:val="20"/>
      <w:lang w:eastAsia="en-US"/>
    </w:rPr>
  </w:style>
  <w:style w:type="paragraph" w:styleId="22">
    <w:name w:val="Body Text 2"/>
    <w:qFormat/>
    <w:uiPriority w:val="0"/>
    <w:pPr>
      <w:widowControl w:val="0"/>
      <w:spacing w:line="520" w:lineRule="exact"/>
      <w:ind w:firstLine="554" w:firstLineChars="200"/>
      <w:jc w:val="center"/>
      <w:outlineLvl w:val="0"/>
    </w:pPr>
    <w:rPr>
      <w:rFonts w:ascii="仿宋_GB2312" w:hAnsiTheme="minorHAnsi" w:eastAsiaTheme="minorEastAsia" w:cstheme="minorBidi"/>
      <w:kern w:val="2"/>
      <w:sz w:val="30"/>
      <w:lang w:val="en-US" w:eastAsia="zh-CN" w:bidi="ar-SA"/>
    </w:rPr>
  </w:style>
  <w:style w:type="paragraph" w:styleId="23">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24">
    <w:name w:val="Title"/>
    <w:basedOn w:val="1"/>
    <w:next w:val="1"/>
    <w:qFormat/>
    <w:uiPriority w:val="0"/>
    <w:pPr>
      <w:spacing w:before="240" w:after="60"/>
      <w:jc w:val="center"/>
      <w:outlineLvl w:val="0"/>
    </w:pPr>
    <w:rPr>
      <w:rFonts w:ascii="Arial" w:hAnsi="Arial" w:eastAsia="楷体_GB2312"/>
      <w:b/>
      <w:bCs/>
      <w:sz w:val="32"/>
      <w:szCs w:val="32"/>
    </w:rPr>
  </w:style>
  <w:style w:type="paragraph" w:styleId="25">
    <w:name w:val="Body Text First Indent"/>
    <w:basedOn w:val="10"/>
    <w:next w:val="3"/>
    <w:unhideWhenUsed/>
    <w:qFormat/>
    <w:uiPriority w:val="99"/>
    <w:pPr>
      <w:ind w:firstLine="567"/>
    </w:pPr>
  </w:style>
  <w:style w:type="paragraph" w:styleId="26">
    <w:name w:val="Body Text First Indent 2"/>
    <w:basedOn w:val="11"/>
    <w:next w:val="1"/>
    <w:semiHidden/>
    <w:unhideWhenUsed/>
    <w:qFormat/>
    <w:uiPriority w:val="99"/>
    <w:pPr>
      <w:ind w:firstLine="420" w:firstLineChars="200"/>
    </w:pPr>
  </w:style>
  <w:style w:type="table" w:styleId="28">
    <w:name w:val="Table Grid"/>
    <w:basedOn w:val="27"/>
    <w:qFormat/>
    <w:uiPriority w:val="0"/>
    <w:rPr>
      <w:rFonts w:eastAsia="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22"/>
    <w:rPr>
      <w:b/>
    </w:rPr>
  </w:style>
  <w:style w:type="character" w:styleId="31">
    <w:name w:val="page number"/>
    <w:basedOn w:val="29"/>
    <w:qFormat/>
    <w:uiPriority w:val="0"/>
    <w:rPr>
      <w:sz w:val="20"/>
    </w:rPr>
  </w:style>
  <w:style w:type="character" w:styleId="32">
    <w:name w:val="Hyperlink"/>
    <w:basedOn w:val="29"/>
    <w:unhideWhenUsed/>
    <w:qFormat/>
    <w:uiPriority w:val="99"/>
    <w:rPr>
      <w:color w:val="0563C1" w:themeColor="hyperlink"/>
      <w:u w:val="single"/>
      <w14:textFill>
        <w14:solidFill>
          <w14:schemeClr w14:val="hlink"/>
        </w14:solidFill>
      </w14:textFill>
    </w:rPr>
  </w:style>
  <w:style w:type="paragraph" w:customStyle="1" w:styleId="33">
    <w:name w:val="Default"/>
    <w:basedOn w:val="34"/>
    <w:next w:val="38"/>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34">
    <w:name w:val="正文_0"/>
    <w:next w:val="3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正文首行缩进 21"/>
    <w:basedOn w:val="36"/>
    <w:unhideWhenUsed/>
    <w:qFormat/>
    <w:uiPriority w:val="99"/>
    <w:pPr>
      <w:ind w:firstLine="420" w:firstLineChars="200"/>
    </w:pPr>
  </w:style>
  <w:style w:type="paragraph" w:customStyle="1" w:styleId="36">
    <w:name w:val="正文文本缩进1"/>
    <w:basedOn w:val="34"/>
    <w:next w:val="37"/>
    <w:unhideWhenUsed/>
    <w:qFormat/>
    <w:uiPriority w:val="0"/>
    <w:pPr>
      <w:spacing w:after="120"/>
      <w:ind w:left="420" w:leftChars="200"/>
    </w:pPr>
  </w:style>
  <w:style w:type="paragraph" w:customStyle="1" w:styleId="37">
    <w:name w:val="寄信人地址1"/>
    <w:basedOn w:val="34"/>
    <w:qFormat/>
    <w:uiPriority w:val="0"/>
    <w:pPr>
      <w:snapToGrid w:val="0"/>
    </w:pPr>
    <w:rPr>
      <w:rFonts w:ascii="Arial" w:hAnsi="Arial" w:eastAsia="等线" w:cs="等线"/>
    </w:rPr>
  </w:style>
  <w:style w:type="paragraph" w:customStyle="1" w:styleId="38">
    <w:name w:val="大标题"/>
    <w:basedOn w:val="1"/>
    <w:next w:val="26"/>
    <w:qFormat/>
    <w:uiPriority w:val="0"/>
    <w:pPr>
      <w:jc w:val="center"/>
    </w:pPr>
    <w:rPr>
      <w:rFonts w:ascii="Arial" w:hAnsi="Arial"/>
      <w:b/>
      <w:sz w:val="28"/>
    </w:rPr>
  </w:style>
  <w:style w:type="paragraph" w:customStyle="1" w:styleId="39">
    <w:name w:val="书目1"/>
    <w:basedOn w:val="1"/>
    <w:next w:val="1"/>
    <w:unhideWhenUsed/>
    <w:qFormat/>
    <w:uiPriority w:val="37"/>
  </w:style>
  <w:style w:type="paragraph" w:customStyle="1" w:styleId="40">
    <w:name w:val="默认段落字体 Para Char"/>
    <w:basedOn w:val="41"/>
    <w:next w:val="41"/>
    <w:qFormat/>
    <w:uiPriority w:val="0"/>
    <w:pPr>
      <w:widowControl w:val="0"/>
      <w:spacing w:before="80" w:after="80" w:line="360" w:lineRule="auto"/>
      <w:jc w:val="both"/>
    </w:pPr>
    <w:rPr>
      <w:rFonts w:ascii="Calibri" w:hAnsi="Calibri" w:cs="Times New Roman"/>
      <w:kern w:val="2"/>
      <w:szCs w:val="20"/>
    </w:rPr>
  </w:style>
  <w:style w:type="paragraph" w:customStyle="1" w:styleId="41">
    <w:name w:val="Normal_1"/>
    <w:next w:val="40"/>
    <w:qFormat/>
    <w:uiPriority w:val="0"/>
    <w:rPr>
      <w:rFonts w:ascii="Times New Roman" w:hAnsi="Times New Roman" w:eastAsia="Times New Roman" w:cs="Times New Roman"/>
      <w:sz w:val="24"/>
      <w:szCs w:val="24"/>
      <w:lang w:val="en-US" w:eastAsia="zh-CN" w:bidi="ar-SA"/>
    </w:rPr>
  </w:style>
  <w:style w:type="paragraph" w:customStyle="1" w:styleId="42">
    <w:name w:val="标题 1_0"/>
    <w:basedOn w:val="34"/>
    <w:next w:val="34"/>
    <w:qFormat/>
    <w:uiPriority w:val="0"/>
    <w:pPr>
      <w:keepNext/>
      <w:widowControl/>
      <w:overflowPunct w:val="0"/>
      <w:autoSpaceDE w:val="0"/>
      <w:autoSpaceDN w:val="0"/>
      <w:adjustRightInd w:val="0"/>
      <w:spacing w:before="240" w:after="60"/>
      <w:jc w:val="left"/>
      <w:textAlignment w:val="baseline"/>
      <w:outlineLvl w:val="0"/>
    </w:pPr>
    <w:rPr>
      <w:rFonts w:ascii="Arial" w:hAnsi="Arial"/>
      <w:b/>
      <w:kern w:val="28"/>
      <w:sz w:val="28"/>
      <w:szCs w:val="20"/>
      <w:lang w:eastAsia="en-US"/>
    </w:rPr>
  </w:style>
  <w:style w:type="paragraph" w:customStyle="1" w:styleId="43">
    <w:name w:val="正文缩进1"/>
    <w:basedOn w:val="34"/>
    <w:unhideWhenUsed/>
    <w:qFormat/>
    <w:uiPriority w:val="99"/>
    <w:pPr>
      <w:ind w:firstLine="420" w:firstLineChars="200"/>
    </w:pPr>
    <w:rPr>
      <w:rFonts w:ascii="Arial" w:hAnsi="Arial" w:eastAsia="微软雅黑"/>
    </w:rPr>
  </w:style>
  <w:style w:type="paragraph" w:customStyle="1" w:styleId="44">
    <w:name w:val="样式1"/>
    <w:basedOn w:val="45"/>
    <w:qFormat/>
    <w:uiPriority w:val="0"/>
    <w:pPr>
      <w:numPr>
        <w:ilvl w:val="0"/>
        <w:numId w:val="1"/>
      </w:numPr>
      <w:ind w:left="1260" w:firstLine="420"/>
    </w:pPr>
    <w:rPr>
      <w:rFonts w:hint="eastAsia" w:ascii="宋体" w:hAnsi="宋体" w:eastAsia="宋体" w:cs="Times New Roman"/>
      <w:szCs w:val="21"/>
    </w:rPr>
  </w:style>
  <w:style w:type="paragraph" w:styleId="45">
    <w:name w:val="List Paragraph"/>
    <w:basedOn w:val="1"/>
    <w:next w:val="5"/>
    <w:qFormat/>
    <w:uiPriority w:val="0"/>
    <w:pPr>
      <w:ind w:firstLine="420" w:firstLineChars="200"/>
    </w:pPr>
  </w:style>
  <w:style w:type="character" w:customStyle="1" w:styleId="46">
    <w:name w:val="页眉 字符"/>
    <w:basedOn w:val="29"/>
    <w:link w:val="18"/>
    <w:qFormat/>
    <w:uiPriority w:val="99"/>
    <w:rPr>
      <w:sz w:val="18"/>
      <w:szCs w:val="18"/>
    </w:rPr>
  </w:style>
  <w:style w:type="character" w:customStyle="1" w:styleId="47">
    <w:name w:val="页脚 字符"/>
    <w:basedOn w:val="29"/>
    <w:link w:val="17"/>
    <w:qFormat/>
    <w:uiPriority w:val="99"/>
    <w:rPr>
      <w:sz w:val="18"/>
      <w:szCs w:val="18"/>
    </w:rPr>
  </w:style>
  <w:style w:type="paragraph" w:customStyle="1" w:styleId="48">
    <w:name w:val="列出段落1"/>
    <w:basedOn w:val="1"/>
    <w:qFormat/>
    <w:uiPriority w:val="34"/>
    <w:pPr>
      <w:ind w:firstLine="420" w:firstLineChars="200"/>
    </w:pPr>
    <w:rPr>
      <w:rFonts w:ascii="Calibri" w:hAnsi="Calibri" w:eastAsia="宋体" w:cs="Times New Roman"/>
    </w:rPr>
  </w:style>
  <w:style w:type="character" w:customStyle="1" w:styleId="49">
    <w:name w:val="font121"/>
    <w:basedOn w:val="29"/>
    <w:qFormat/>
    <w:uiPriority w:val="0"/>
    <w:rPr>
      <w:rFonts w:hint="eastAsia" w:ascii="宋体" w:hAnsi="宋体" w:eastAsia="宋体" w:cs="宋体"/>
      <w:color w:val="000000"/>
      <w:sz w:val="18"/>
      <w:szCs w:val="18"/>
      <w:u w:val="none"/>
    </w:rPr>
  </w:style>
  <w:style w:type="character" w:customStyle="1" w:styleId="50">
    <w:name w:val="font161"/>
    <w:basedOn w:val="29"/>
    <w:qFormat/>
    <w:uiPriority w:val="0"/>
    <w:rPr>
      <w:rFonts w:hint="eastAsia" w:ascii="宋体" w:hAnsi="宋体" w:eastAsia="宋体" w:cs="宋体"/>
      <w:color w:val="000000"/>
      <w:sz w:val="18"/>
      <w:szCs w:val="18"/>
      <w:u w:val="none"/>
    </w:rPr>
  </w:style>
  <w:style w:type="character" w:customStyle="1" w:styleId="51">
    <w:name w:val="font112"/>
    <w:basedOn w:val="29"/>
    <w:qFormat/>
    <w:uiPriority w:val="0"/>
    <w:rPr>
      <w:rFonts w:hint="eastAsia" w:ascii="宋体" w:hAnsi="宋体" w:eastAsia="宋体" w:cs="宋体"/>
      <w:color w:val="000000"/>
      <w:sz w:val="18"/>
      <w:szCs w:val="18"/>
      <w:u w:val="none"/>
    </w:rPr>
  </w:style>
  <w:style w:type="character" w:customStyle="1" w:styleId="52">
    <w:name w:val="font171"/>
    <w:basedOn w:val="29"/>
    <w:qFormat/>
    <w:uiPriority w:val="0"/>
    <w:rPr>
      <w:rFonts w:hint="eastAsia" w:ascii="宋体" w:hAnsi="宋体" w:eastAsia="宋体" w:cs="宋体"/>
      <w:color w:val="000000"/>
      <w:sz w:val="18"/>
      <w:szCs w:val="18"/>
      <w:u w:val="none"/>
    </w:rPr>
  </w:style>
  <w:style w:type="character" w:customStyle="1" w:styleId="53">
    <w:name w:val="font21"/>
    <w:basedOn w:val="29"/>
    <w:qFormat/>
    <w:uiPriority w:val="0"/>
    <w:rPr>
      <w:rFonts w:hint="eastAsia" w:ascii="宋体" w:hAnsi="宋体" w:eastAsia="宋体" w:cs="宋体"/>
      <w:color w:val="000000"/>
      <w:sz w:val="18"/>
      <w:szCs w:val="18"/>
      <w:u w:val="none"/>
    </w:rPr>
  </w:style>
  <w:style w:type="character" w:customStyle="1" w:styleId="54">
    <w:name w:val="font31"/>
    <w:basedOn w:val="29"/>
    <w:qFormat/>
    <w:uiPriority w:val="0"/>
    <w:rPr>
      <w:rFonts w:hint="eastAsia" w:ascii="宋体" w:hAnsi="宋体" w:eastAsia="宋体" w:cs="宋体"/>
      <w:color w:val="000000"/>
      <w:sz w:val="18"/>
      <w:szCs w:val="18"/>
      <w:u w:val="none"/>
    </w:rPr>
  </w:style>
  <w:style w:type="character" w:customStyle="1" w:styleId="55">
    <w:name w:val="font151"/>
    <w:basedOn w:val="29"/>
    <w:qFormat/>
    <w:uiPriority w:val="0"/>
    <w:rPr>
      <w:rFonts w:hint="default" w:ascii="Times New Roman" w:hAnsi="Times New Roman" w:cs="Times New Roman"/>
      <w:color w:val="000000"/>
      <w:sz w:val="18"/>
      <w:szCs w:val="18"/>
      <w:u w:val="none"/>
    </w:rPr>
  </w:style>
  <w:style w:type="character" w:customStyle="1" w:styleId="56">
    <w:name w:val="font01"/>
    <w:basedOn w:val="29"/>
    <w:qFormat/>
    <w:uiPriority w:val="0"/>
    <w:rPr>
      <w:rFonts w:ascii="Tahoma" w:hAnsi="Tahoma" w:eastAsia="Tahoma" w:cs="Tahoma"/>
      <w:color w:val="000000"/>
      <w:sz w:val="18"/>
      <w:szCs w:val="18"/>
      <w:u w:val="none"/>
    </w:rPr>
  </w:style>
  <w:style w:type="character" w:customStyle="1" w:styleId="57">
    <w:name w:val="font191"/>
    <w:basedOn w:val="29"/>
    <w:qFormat/>
    <w:uiPriority w:val="0"/>
    <w:rPr>
      <w:rFonts w:ascii="Arial" w:hAnsi="Arial" w:cs="Arial"/>
      <w:color w:val="333333"/>
      <w:sz w:val="18"/>
      <w:szCs w:val="18"/>
      <w:u w:val="none"/>
    </w:rPr>
  </w:style>
  <w:style w:type="character" w:customStyle="1" w:styleId="58">
    <w:name w:val="font201"/>
    <w:basedOn w:val="29"/>
    <w:qFormat/>
    <w:uiPriority w:val="0"/>
    <w:rPr>
      <w:rFonts w:hint="eastAsia" w:ascii="宋体" w:hAnsi="宋体" w:eastAsia="宋体" w:cs="宋体"/>
      <w:color w:val="333333"/>
      <w:sz w:val="18"/>
      <w:szCs w:val="18"/>
      <w:u w:val="none"/>
    </w:rPr>
  </w:style>
  <w:style w:type="paragraph" w:customStyle="1" w:styleId="59">
    <w:name w:val="Table Paragraph"/>
    <w:basedOn w:val="1"/>
    <w:qFormat/>
    <w:uiPriority w:val="0"/>
    <w:pPr>
      <w:jc w:val="left"/>
    </w:pPr>
    <w:rPr>
      <w:kern w:val="0"/>
      <w:sz w:val="22"/>
      <w:lang w:eastAsia="en-US"/>
    </w:rPr>
  </w:style>
  <w:style w:type="table" w:customStyle="1" w:styleId="60">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character" w:customStyle="1" w:styleId="61">
    <w:name w:val="font41"/>
    <w:basedOn w:val="29"/>
    <w:qFormat/>
    <w:uiPriority w:val="0"/>
    <w:rPr>
      <w:rFonts w:hint="eastAsia" w:ascii="宋体" w:hAnsi="宋体" w:eastAsia="宋体" w:cs="宋体"/>
      <w:color w:val="000000"/>
      <w:sz w:val="21"/>
      <w:szCs w:val="21"/>
      <w:u w:val="none"/>
    </w:rPr>
  </w:style>
  <w:style w:type="paragraph" w:customStyle="1" w:styleId="62">
    <w:name w:val="p15"/>
    <w:basedOn w:val="1"/>
    <w:qFormat/>
    <w:uiPriority w:val="0"/>
    <w:pPr>
      <w:widowControl/>
      <w:ind w:firstLine="420"/>
    </w:pPr>
    <w:rPr>
      <w:rFonts w:ascii="楷体_GB2312" w:hAnsi="宋体" w:eastAsia="楷体_GB2312" w:cs="宋体"/>
      <w:kern w:val="0"/>
      <w:szCs w:val="21"/>
    </w:rPr>
  </w:style>
  <w:style w:type="paragraph" w:customStyle="1" w:styleId="63">
    <w:name w:val="Normal_0"/>
    <w:next w:val="40"/>
    <w:qFormat/>
    <w:uiPriority w:val="0"/>
    <w:rPr>
      <w:rFonts w:ascii="Times New Roman" w:hAnsi="Times New Roman" w:eastAsia="Times New Roman" w:cs="Times New Roman"/>
      <w:sz w:val="24"/>
      <w:szCs w:val="24"/>
    </w:rPr>
  </w:style>
  <w:style w:type="paragraph" w:customStyle="1" w:styleId="64">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65">
    <w:name w:val="临时2级"/>
    <w:basedOn w:val="5"/>
    <w:qFormat/>
    <w:uiPriority w:val="0"/>
    <w:pPr>
      <w:spacing w:line="360" w:lineRule="auto"/>
      <w:jc w:val="both"/>
    </w:pPr>
    <w:rPr>
      <w:rFonts w:ascii="宋体" w:hAnsi="宋体" w:eastAsia="宋体" w:cs="Times New Roman"/>
      <w:bCs/>
      <w:spacing w:val="0"/>
      <w:kern w:val="2"/>
      <w:sz w:val="24"/>
      <w:szCs w:val="24"/>
    </w:rPr>
  </w:style>
  <w:style w:type="paragraph" w:customStyle="1" w:styleId="66">
    <w:name w:val="临时4级"/>
    <w:basedOn w:val="7"/>
    <w:qFormat/>
    <w:uiPriority w:val="0"/>
    <w:pPr>
      <w:keepNext w:val="0"/>
      <w:keepLines w:val="0"/>
      <w:spacing w:before="0" w:after="0" w:line="360" w:lineRule="auto"/>
      <w:jc w:val="both"/>
    </w:pPr>
    <w:rPr>
      <w:rFonts w:ascii="宋体" w:hAnsi="宋体" w:eastAsia="宋体" w:cs="Times New Roman"/>
      <w:b w:val="0"/>
      <w:kern w:val="2"/>
      <w:sz w:val="24"/>
      <w:lang w:eastAsia="zh-CN"/>
    </w:rPr>
  </w:style>
  <w:style w:type="paragraph" w:customStyle="1" w:styleId="67">
    <w:name w:val="zw1"/>
    <w:basedOn w:val="1"/>
    <w:qFormat/>
    <w:uiPriority w:val="0"/>
    <w:pPr>
      <w:widowControl/>
      <w:spacing w:before="120" w:line="360" w:lineRule="auto"/>
      <w:ind w:left="127" w:leftChars="127" w:firstLine="200" w:firstLineChars="200"/>
    </w:pPr>
    <w:rPr>
      <w:rFonts w:ascii="Arial" w:hAnsi="Arial" w:cs="Arial"/>
      <w:sz w:val="24"/>
    </w:rPr>
  </w:style>
  <w:style w:type="paragraph" w:customStyle="1" w:styleId="68">
    <w:name w:val="临时正文"/>
    <w:basedOn w:val="69"/>
    <w:qFormat/>
    <w:uiPriority w:val="0"/>
    <w:pPr>
      <w:spacing w:line="360" w:lineRule="auto"/>
      <w:ind w:firstLine="480"/>
    </w:pPr>
    <w:rPr>
      <w:bCs/>
      <w:kern w:val="21"/>
      <w:sz w:val="24"/>
      <w:szCs w:val="24"/>
    </w:rPr>
  </w:style>
  <w:style w:type="paragraph" w:customStyle="1" w:styleId="69">
    <w:name w:val="正文格式"/>
    <w:basedOn w:val="1"/>
    <w:qFormat/>
    <w:uiPriority w:val="0"/>
    <w:pPr>
      <w:topLinePunct/>
      <w:ind w:firstLine="420" w:firstLineChars="200"/>
    </w:pPr>
    <w:rPr>
      <w:rFonts w:ascii="宋体" w:hAnsi="宋体"/>
      <w:szCs w:val="20"/>
    </w:rPr>
  </w:style>
  <w:style w:type="paragraph" w:customStyle="1" w:styleId="70">
    <w:name w:val="正文楷体缩进"/>
    <w:basedOn w:val="1"/>
    <w:qFormat/>
    <w:uiPriority w:val="0"/>
    <w:pPr>
      <w:spacing w:line="360" w:lineRule="auto"/>
      <w:ind w:firstLine="560" w:firstLineChars="200"/>
    </w:pPr>
    <w:rPr>
      <w:rFonts w:eastAsia="楷体_GB2312"/>
      <w:sz w:val="28"/>
      <w:szCs w:val="28"/>
    </w:rPr>
  </w:style>
  <w:style w:type="paragraph" w:customStyle="1" w:styleId="71">
    <w:name w:val="Other|1"/>
    <w:basedOn w:val="1"/>
    <w:qFormat/>
    <w:uiPriority w:val="0"/>
    <w:pPr>
      <w:spacing w:after="100" w:line="288" w:lineRule="auto"/>
      <w:ind w:firstLine="40"/>
    </w:pPr>
  </w:style>
  <w:style w:type="paragraph" w:customStyle="1" w:styleId="72">
    <w:name w:val="表头"/>
    <w:basedOn w:val="1"/>
    <w:qFormat/>
    <w:uiPriority w:val="0"/>
    <w:pPr>
      <w:topLinePunct/>
      <w:spacing w:before="160" w:after="60"/>
      <w:jc w:val="center"/>
    </w:pPr>
    <w:rPr>
      <w:rFonts w:ascii="Times New Roman" w:hAnsi="Times New Roman" w:eastAsia="黑体" w:cs="Times New Roman"/>
      <w:kern w:val="2"/>
      <w:sz w:val="21"/>
      <w:szCs w:val="21"/>
      <w:lang w:eastAsia="zh-CN"/>
    </w:rPr>
  </w:style>
  <w:style w:type="paragraph" w:customStyle="1" w:styleId="73">
    <w:name w:val="正文表标题"/>
    <w:next w:val="64"/>
    <w:qFormat/>
    <w:uiPriority w:val="0"/>
    <w:pPr>
      <w:jc w:val="center"/>
    </w:pPr>
    <w:rPr>
      <w:rFonts w:ascii="黑体" w:hAnsi="Times New Roman" w:eastAsia="黑体" w:cs="Times New Roman"/>
      <w:sz w:val="21"/>
      <w:lang w:val="en-US" w:eastAsia="zh-CN" w:bidi="ar-SA"/>
    </w:rPr>
  </w:style>
  <w:style w:type="paragraph" w:customStyle="1" w:styleId="74">
    <w:name w:val="样式2"/>
    <w:basedOn w:val="44"/>
    <w:qFormat/>
    <w:uiPriority w:val="0"/>
    <w:pPr>
      <w:adjustRightInd/>
      <w:spacing w:line="240" w:lineRule="auto"/>
      <w:jc w:val="both"/>
      <w:textAlignment w:val="auto"/>
    </w:pPr>
    <w:rPr>
      <w:rFonts w:ascii="Times New Roman" w:hAnsi="Times New Roman" w:eastAsia="宋体" w:cs="Times New Roman"/>
      <w:kern w:val="2"/>
      <w:sz w:val="28"/>
      <w:szCs w:val="24"/>
      <w:lang w:eastAsia="zh-CN"/>
    </w:rPr>
  </w:style>
  <w:style w:type="paragraph" w:customStyle="1" w:styleId="75">
    <w:name w:val="批注框文本1"/>
    <w:basedOn w:val="1"/>
    <w:qFormat/>
    <w:uiPriority w:val="0"/>
    <w:pPr>
      <w:jc w:val="both"/>
    </w:pPr>
    <w:rPr>
      <w:rFonts w:ascii="Times New Roman" w:hAnsi="Times New Roman" w:eastAsia="宋体" w:cs="Times New Roman"/>
      <w:sz w:val="18"/>
      <w:szCs w:val="20"/>
      <w:lang w:eastAsia="zh-CN"/>
    </w:rPr>
  </w:style>
  <w:style w:type="paragraph" w:customStyle="1" w:styleId="76">
    <w:name w:val="注："/>
    <w:next w:val="64"/>
    <w:qFormat/>
    <w:uiPriority w:val="0"/>
    <w:pPr>
      <w:widowControl w:val="0"/>
      <w:tabs>
        <w:tab w:val="left" w:pos="780"/>
      </w:tabs>
      <w:autoSpaceDE w:val="0"/>
      <w:autoSpaceDN w:val="0"/>
      <w:ind w:left="780" w:hanging="360"/>
      <w:jc w:val="both"/>
    </w:pPr>
    <w:rPr>
      <w:rFonts w:ascii="宋体" w:hAnsi="Times New Roman" w:eastAsia="宋体" w:cs="Times New Roman"/>
      <w:sz w:val="18"/>
      <w:lang w:val="en-US" w:eastAsia="zh-CN" w:bidi="ar-SA"/>
    </w:rPr>
  </w:style>
  <w:style w:type="paragraph" w:customStyle="1" w:styleId="77">
    <w:name w:val="正文-1"/>
    <w:basedOn w:val="1"/>
    <w:qFormat/>
    <w:uiPriority w:val="0"/>
    <w:pPr>
      <w:spacing w:before="163" w:after="163"/>
      <w:ind w:firstLine="480"/>
    </w:pPr>
  </w:style>
  <w:style w:type="paragraph" w:customStyle="1" w:styleId="78">
    <w:name w:val="标题-6"/>
    <w:basedOn w:val="1"/>
    <w:qFormat/>
    <w:uiPriority w:val="0"/>
    <w:pPr>
      <w:numPr>
        <w:ilvl w:val="5"/>
        <w:numId w:val="2"/>
      </w:numPr>
      <w:spacing w:before="120" w:after="120" w:line="240" w:lineRule="auto"/>
      <w:ind w:firstLineChars="0"/>
    </w:pPr>
  </w:style>
  <w:style w:type="paragraph" w:customStyle="1" w:styleId="79">
    <w:name w:val="标题-2"/>
    <w:basedOn w:val="80"/>
    <w:qFormat/>
    <w:uiPriority w:val="0"/>
    <w:pPr>
      <w:numPr>
        <w:ilvl w:val="1"/>
      </w:numPr>
      <w:adjustRightInd w:val="0"/>
      <w:snapToGrid w:val="0"/>
      <w:spacing w:before="50" w:beforeLines="50" w:after="50" w:afterLines="50" w:line="360" w:lineRule="auto"/>
    </w:pPr>
    <w:rPr>
      <w:b w:val="0"/>
    </w:rPr>
  </w:style>
  <w:style w:type="paragraph" w:customStyle="1" w:styleId="80">
    <w:name w:val="标题-1"/>
    <w:basedOn w:val="1"/>
    <w:qFormat/>
    <w:uiPriority w:val="0"/>
    <w:pPr>
      <w:widowControl/>
      <w:numPr>
        <w:ilvl w:val="0"/>
        <w:numId w:val="3"/>
      </w:numPr>
      <w:adjustRightInd/>
      <w:snapToGrid/>
      <w:spacing w:before="0" w:beforeLines="0" w:after="0" w:afterLines="0" w:line="240" w:lineRule="auto"/>
      <w:ind w:firstLineChars="0"/>
      <w:jc w:val="left"/>
    </w:pPr>
    <w:rPr>
      <w:rFonts w:asciiTheme="minorHAnsi" w:hAnsiTheme="minorHAnsi" w:eastAsiaTheme="minorEastAsia"/>
      <w:b/>
      <w:sz w:val="28"/>
      <w:szCs w:val="28"/>
    </w:rPr>
  </w:style>
  <w:style w:type="paragraph" w:customStyle="1" w:styleId="81">
    <w:name w:val="Pa12"/>
    <w:basedOn w:val="33"/>
    <w:next w:val="33"/>
    <w:qFormat/>
    <w:uiPriority w:val="99"/>
    <w:pPr>
      <w:spacing w:line="241" w:lineRule="atLeast"/>
    </w:pPr>
    <w:rPr>
      <w:rFonts w:ascii="汉仪中黑简" w:hAnsi="Times New Roman" w:eastAsia="汉仪中黑简" w:cs="Times New Roman"/>
      <w:color w:val="auto"/>
    </w:rPr>
  </w:style>
  <w:style w:type="character" w:customStyle="1" w:styleId="82">
    <w:name w:val="A8"/>
    <w:qFormat/>
    <w:uiPriority w:val="99"/>
    <w:rPr>
      <w:rFonts w:cs="汉仪中黑简"/>
      <w:color w:val="000000"/>
      <w:sz w:val="18"/>
      <w:szCs w:val="18"/>
    </w:rPr>
  </w:style>
  <w:style w:type="paragraph" w:customStyle="1" w:styleId="83">
    <w:name w:val="Pa3"/>
    <w:basedOn w:val="33"/>
    <w:next w:val="33"/>
    <w:qFormat/>
    <w:uiPriority w:val="99"/>
    <w:pPr>
      <w:spacing w:line="241" w:lineRule="atLeast"/>
    </w:pPr>
    <w:rPr>
      <w:rFonts w:ascii="汉仪中黑简" w:hAnsi="Times New Roman" w:eastAsia="汉仪中黑简" w:cs="Times New Roman"/>
      <w:color w:val="auto"/>
    </w:rPr>
  </w:style>
  <w:style w:type="paragraph" w:customStyle="1" w:styleId="84">
    <w:name w:val="Pa16"/>
    <w:basedOn w:val="33"/>
    <w:next w:val="33"/>
    <w:qFormat/>
    <w:uiPriority w:val="99"/>
    <w:pPr>
      <w:spacing w:line="241" w:lineRule="atLeast"/>
    </w:pPr>
    <w:rPr>
      <w:rFonts w:ascii="汉仪中黑简" w:hAnsi="Times New Roman" w:eastAsia="汉仪中黑简" w:cs="Times New Roman"/>
      <w:color w:val="auto"/>
    </w:rPr>
  </w:style>
  <w:style w:type="paragraph" w:customStyle="1" w:styleId="85">
    <w:name w:val="Pa17"/>
    <w:basedOn w:val="33"/>
    <w:next w:val="33"/>
    <w:qFormat/>
    <w:uiPriority w:val="99"/>
    <w:pPr>
      <w:spacing w:line="241" w:lineRule="atLeast"/>
    </w:pPr>
    <w:rPr>
      <w:rFonts w:ascii="汉仪中黑简" w:hAnsi="Times New Roman" w:eastAsia="汉仪中黑简" w:cs="Times New Roman"/>
      <w:color w:val="auto"/>
    </w:rPr>
  </w:style>
  <w:style w:type="paragraph" w:customStyle="1" w:styleId="86">
    <w:name w:val="Table Text"/>
    <w:basedOn w:val="1"/>
    <w:semiHidden/>
    <w:qFormat/>
    <w:uiPriority w:val="0"/>
    <w:rPr>
      <w:rFonts w:ascii="宋体" w:hAnsi="宋体" w:eastAsia="宋体" w:cs="宋体"/>
      <w:sz w:val="22"/>
      <w:szCs w:val="22"/>
      <w:lang w:val="en-US" w:eastAsia="en-US" w:bidi="ar-SA"/>
    </w:rPr>
  </w:style>
  <w:style w:type="table" w:customStyle="1" w:styleId="87">
    <w:name w:val="TableGrid"/>
    <w:qFormat/>
    <w:uiPriority w:val="0"/>
    <w:tblPr>
      <w:tblCellMar>
        <w:top w:w="0" w:type="dxa"/>
        <w:left w:w="0" w:type="dxa"/>
        <w:bottom w:w="0" w:type="dxa"/>
        <w:right w:w="0" w:type="dxa"/>
      </w:tblCellMar>
    </w:tblPr>
  </w:style>
  <w:style w:type="paragraph" w:customStyle="1" w:styleId="88">
    <w:name w:val="正文_1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9">
    <w:name w:val="正文_0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2175</Words>
  <Characters>2399</Characters>
  <Lines>2</Lines>
  <Paragraphs>1</Paragraphs>
  <TotalTime>4</TotalTime>
  <ScaleCrop>false</ScaleCrop>
  <LinksUpToDate>false</LinksUpToDate>
  <CharactersWithSpaces>2426</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2021-04-29T03:47:00Z</dcterms:created>
  <dc:creator>季云峰/采办项目组/集团公司机关</dc:creator>
  <cp:lastModifiedBy>杨怡倩</cp:lastModifiedBy>
  <dcterms:modified xsi:type="dcterms:W3CDTF">2026-07-15T10:45:09Z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E8B671B2D8CB467DAF287C28932494AA</vt:lpwstr>
  </property>
  <property fmtid="{D5CDD505-2E9C-101B-9397-08002B2CF9AE}" pid="4" name="KSOTemplateDocerSaveRecord">
    <vt:lpwstr>eyJoZGlkIjoiNTQ5YTFjYzcwODRhNjIwMGVjYTc3MTRlM2JjZDdiNTUiLCJ1c2VySWQiOiIzNDQwNTU3OTcifQ==</vt:lpwstr>
  </property>
</Properties>
</file>