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技术参数比较表</w:t>
      </w:r>
      <w:bookmarkStart w:id="2" w:name="_GoBack"/>
      <w:bookmarkEnd w:id="2"/>
    </w:p>
    <w:p>
      <w:pPr>
        <w:numPr>
          <w:ilvl w:val="0"/>
          <w:numId w:val="1"/>
        </w:numPr>
        <w:spacing w:line="360" w:lineRule="auto"/>
        <w:jc w:val="center"/>
        <w:rPr>
          <w:rFonts w:hint="eastAsia" w:ascii="宋体" w:hAnsi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/>
          <w:bCs/>
          <w:color w:val="000000"/>
          <w:szCs w:val="21"/>
        </w:rPr>
        <w:t xml:space="preserve">标书编号/包号: </w:t>
      </w:r>
      <w:r>
        <w:rPr>
          <w:rFonts w:hint="eastAsia" w:ascii="宋体" w:hAnsi="宋体"/>
          <w:bCs/>
          <w:color w:val="000000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bCs/>
          <w:color w:val="000000"/>
          <w:szCs w:val="21"/>
        </w:rPr>
        <w:t>产品名称：</w:t>
      </w:r>
      <w:r>
        <w:rPr>
          <w:rFonts w:hint="eastAsia" w:ascii="宋体" w:hAnsi="宋体"/>
          <w:bCs/>
          <w:color w:val="000000"/>
          <w:szCs w:val="21"/>
          <w:lang w:val="en-US" w:eastAsia="zh-CN"/>
        </w:rPr>
        <w:t>华鹤公司2026-2029年一般固体废弃物处理服务</w:t>
      </w:r>
    </w:p>
    <w:p>
      <w:pPr>
        <w:spacing w:line="360" w:lineRule="auto"/>
        <w:jc w:val="both"/>
        <w:rPr>
          <w:rFonts w:hint="eastAsia" w:ascii="宋体" w:hAnsi="宋体" w:eastAsia="宋体" w:cs="Times New Roman"/>
          <w:bCs/>
          <w:color w:val="000000"/>
          <w:szCs w:val="21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szCs w:val="21"/>
        </w:rPr>
      </w:pPr>
    </w:p>
    <w:tbl>
      <w:tblPr>
        <w:tblStyle w:val="9"/>
        <w:tblW w:w="896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797"/>
        <w:gridCol w:w="5799"/>
        <w:gridCol w:w="73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430" w:type="dxa"/>
            <w:gridSpan w:val="2"/>
          </w:tcPr>
          <w:p>
            <w:pPr>
              <w:tabs>
                <w:tab w:val="left" w:pos="5775"/>
                <w:tab w:val="left" w:pos="8295"/>
              </w:tabs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（投标人/供应商）/国别</w:t>
            </w:r>
          </w:p>
        </w:tc>
        <w:tc>
          <w:tcPr>
            <w:tcW w:w="6534" w:type="dxa"/>
            <w:gridSpan w:val="2"/>
          </w:tcPr>
          <w:p>
            <w:pPr>
              <w:tabs>
                <w:tab w:val="left" w:pos="5775"/>
                <w:tab w:val="left" w:pos="8295"/>
              </w:tabs>
              <w:jc w:val="left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430" w:type="dxa"/>
            <w:gridSpan w:val="2"/>
          </w:tcPr>
          <w:p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制造商/国别</w:t>
            </w:r>
          </w:p>
        </w:tc>
        <w:tc>
          <w:tcPr>
            <w:tcW w:w="6534" w:type="dxa"/>
            <w:gridSpan w:val="2"/>
          </w:tcPr>
          <w:p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430" w:type="dxa"/>
            <w:gridSpan w:val="2"/>
          </w:tcPr>
          <w:p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型    号</w:t>
            </w:r>
          </w:p>
        </w:tc>
        <w:tc>
          <w:tcPr>
            <w:tcW w:w="6534" w:type="dxa"/>
            <w:gridSpan w:val="2"/>
            <w:vAlign w:val="top"/>
          </w:tcPr>
          <w:p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430" w:type="dxa"/>
            <w:gridSpan w:val="2"/>
          </w:tcPr>
          <w:p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数    量</w:t>
            </w:r>
          </w:p>
        </w:tc>
        <w:tc>
          <w:tcPr>
            <w:tcW w:w="6534" w:type="dxa"/>
            <w:gridSpan w:val="2"/>
            <w:vAlign w:val="top"/>
          </w:tcPr>
          <w:p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0" w:type="dxa"/>
            <w:gridSpan w:val="2"/>
          </w:tcPr>
          <w:p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招标/谈判文件要求</w:t>
            </w:r>
          </w:p>
        </w:tc>
        <w:tc>
          <w:tcPr>
            <w:tcW w:w="5799" w:type="dxa"/>
            <w:vAlign w:val="top"/>
          </w:tcPr>
          <w:p>
            <w:pPr>
              <w:jc w:val="center"/>
              <w:rPr>
                <w:rFonts w:hint="eastAsia"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技术参数</w:t>
            </w:r>
          </w:p>
        </w:tc>
        <w:tc>
          <w:tcPr>
            <w:tcW w:w="735" w:type="dxa"/>
            <w:vAlign w:val="top"/>
          </w:tcPr>
          <w:p>
            <w:pPr>
              <w:jc w:val="center"/>
              <w:rPr>
                <w:rFonts w:hint="eastAsia"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评议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" w:hRule="atLeast"/>
        </w:trPr>
        <w:tc>
          <w:tcPr>
            <w:tcW w:w="63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797" w:type="dxa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★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环保要求</w:t>
            </w:r>
          </w:p>
        </w:tc>
        <w:tc>
          <w:tcPr>
            <w:tcW w:w="5799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firstLine="0" w:firstLineChars="0"/>
              <w:textAlignment w:val="auto"/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1.投标人需提供环评批复或审批意见、环评文件（报告书或报告表）、环保竣工验收文件，投标时需提供原件扫描件（原件备查）。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firstLine="0" w:firstLineChars="0"/>
              <w:textAlignment w:val="auto"/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2.投标人应具有排污许可证，排污许可证需载明可处置或利用的固体废物类别、对应的处置利用设施与工艺，能够满足招标人需求，投标时需提供原件扫描件（原件备查）。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firstLine="0" w:firstLineChars="0"/>
              <w:textAlignment w:val="auto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3.投标人须具有固定的固体废物处置场地（自有或租赁均可），如是自有场地，需提供不动产权证书或场地权属证明文件复印件；如是租赁场地，需提供有效期内的租赁合同复印件，以及出租方的场地权属证明文件复印件并在环保部门备案；以上资料投标时需提供扫描件，原件备查。</w:t>
            </w:r>
          </w:p>
        </w:tc>
        <w:tc>
          <w:tcPr>
            <w:tcW w:w="735" w:type="dxa"/>
            <w:vAlign w:val="top"/>
          </w:tcPr>
          <w:p>
            <w:pPr>
              <w:bidi w:val="0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一般指标</w:t>
            </w:r>
          </w:p>
        </w:tc>
        <w:tc>
          <w:tcPr>
            <w:tcW w:w="17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Style w:val="19"/>
                <w:rFonts w:hint="default"/>
                <w:sz w:val="21"/>
                <w:szCs w:val="21"/>
              </w:rPr>
              <w:t>人员要求</w:t>
            </w:r>
          </w:p>
        </w:tc>
        <w:tc>
          <w:tcPr>
            <w:tcW w:w="5799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rStyle w:val="19"/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9"/>
                <w:rFonts w:hint="default"/>
                <w:sz w:val="21"/>
                <w:szCs w:val="21"/>
              </w:rPr>
              <w:t>所有入厂作业人员应与投标人签订合法有效的合同。若为劳动关系合同，投标人须为入厂作业人员按时足额缴纳工伤保险；若非劳动关系合同，投标人须为入厂作业人员购买不低于80万元/人的人身意外伤害保险；车辆驾驶人员应具有与运输车型相匹配的、有效期内的驾驶执照。上述人员的用工合同、工伤保险缴纳证明、商业保险保单（或凭证）、</w:t>
            </w:r>
            <w:r>
              <w:rPr>
                <w:rStyle w:val="19"/>
                <w:rFonts w:hint="eastAsia" w:eastAsia="宋体"/>
                <w:sz w:val="21"/>
                <w:szCs w:val="21"/>
                <w:lang w:eastAsia="zh-CN"/>
              </w:rPr>
              <w:t>驾驶执照</w:t>
            </w:r>
            <w:r>
              <w:rPr>
                <w:rStyle w:val="19"/>
                <w:rFonts w:hint="default"/>
                <w:sz w:val="21"/>
                <w:szCs w:val="21"/>
              </w:rPr>
              <w:t>，均须在人员入厂安全培训时提交招标人核验。文件不全或不符合要求的人员，不得进入现场作业。具体作业人数由投标人依据自己人员技能水平评估确认后报出【附件1表1人力动员计划】，以确保按时保质保量完成本技术文件规定的服务。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3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处置方案要求</w:t>
            </w:r>
          </w:p>
        </w:tc>
        <w:tc>
          <w:tcPr>
            <w:tcW w:w="5799" w:type="dxa"/>
            <w:tcBorders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>投标人须制定本技术询价文件内一般固体废物的处置方案，合规贮存和处理，不得随意丢弃和遗撒。投标人必须</w:t>
            </w:r>
            <w:r>
              <w:rPr>
                <w:rFonts w:hint="eastAsia" w:ascii="宋体" w:hAnsi="宋体"/>
                <w:color w:val="auto"/>
              </w:rPr>
              <w:t>建立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一般固体废物</w:t>
            </w:r>
            <w:r>
              <w:rPr>
                <w:rFonts w:hint="eastAsia" w:ascii="宋体" w:hAnsi="宋体"/>
                <w:color w:val="auto"/>
              </w:rPr>
              <w:t>出入库及转移台账记录</w:t>
            </w:r>
            <w:r>
              <w:rPr>
                <w:rStyle w:val="19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、电子或纸质转移联单</w:t>
            </w:r>
            <w:r>
              <w:rPr>
                <w:rFonts w:hint="eastAsia" w:ascii="宋体" w:hAnsi="宋体"/>
                <w:color w:val="auto"/>
              </w:rPr>
              <w:t>，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记录完整可</w:t>
            </w:r>
            <w:r>
              <w:rPr>
                <w:rFonts w:hint="eastAsia" w:ascii="宋体" w:hAnsi="宋体"/>
                <w:color w:val="auto"/>
              </w:rPr>
              <w:t>溯源</w:t>
            </w:r>
            <w:r>
              <w:rPr>
                <w:rFonts w:hint="eastAsia" w:ascii="宋体" w:hAnsi="宋体"/>
                <w:color w:val="auto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可查询，</w:t>
            </w:r>
            <w:r>
              <w:rPr>
                <w:rStyle w:val="19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保存期限不少于 5年</w:t>
            </w:r>
            <w:r>
              <w:rPr>
                <w:rFonts w:hint="eastAsia" w:ascii="宋体" w:hAnsi="宋体"/>
                <w:color w:val="auto"/>
                <w:lang w:eastAsia="zh-CN"/>
              </w:rPr>
              <w:t>。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投标人</w:t>
            </w:r>
            <w:r>
              <w:rPr>
                <w:rFonts w:hint="eastAsia" w:ascii="宋体" w:hAnsi="宋体" w:eastAsia="宋体" w:cs="Times New Roman"/>
                <w:color w:val="auto"/>
                <w:lang w:val="en-US" w:eastAsia="zh-CN"/>
              </w:rPr>
              <w:t>处理一般固体废物行为必须符合 《中华人民共和国固体废物污染环境防治法》及其它相关法律法规的规定。如因未遵守上述法律法规的规定而引起任何责任、费用或损失，由投标人承担。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3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处置场地要求</w:t>
            </w:r>
          </w:p>
        </w:tc>
        <w:tc>
          <w:tcPr>
            <w:tcW w:w="5799" w:type="dxa"/>
            <w:tcBorders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投标人须具有固定的固体废物处置场地（自有或租赁均可），如是自有场地，需提供不动产权证书或场地权属证明文件复印件；如是租赁场地，需提供有效期内的租赁合同复印件，以及出租方的场地权属证明文件复印件并在环保部门备案。以上资料投标时需提供扫描件，原件备查。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3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lang w:val="en-US" w:eastAsia="zh-CN"/>
              </w:rPr>
              <w:t>工机具要求</w:t>
            </w:r>
          </w:p>
        </w:tc>
        <w:tc>
          <w:tcPr>
            <w:tcW w:w="5799" w:type="dxa"/>
            <w:tcBorders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  <w:r>
              <w:rPr>
                <w:rStyle w:val="19"/>
                <w:rFonts w:hint="eastAsia" w:cs="宋体"/>
                <w:sz w:val="21"/>
                <w:szCs w:val="21"/>
              </w:rPr>
              <w:t>投标人要有运送固体废物的车辆，投标人需根据现场情况增加工机具及人员以满足招标人要求，按照</w:t>
            </w:r>
            <w:r>
              <w:rPr>
                <w:rStyle w:val="19"/>
                <w:rFonts w:hint="eastAsia" w:eastAsia="宋体" w:cs="宋体"/>
                <w:sz w:val="21"/>
                <w:szCs w:val="21"/>
                <w:lang w:val="en-US" w:eastAsia="zh-CN"/>
              </w:rPr>
              <w:t>公司</w:t>
            </w:r>
            <w:r>
              <w:rPr>
                <w:rStyle w:val="19"/>
                <w:rFonts w:hint="eastAsia" w:cs="宋体"/>
                <w:sz w:val="21"/>
                <w:szCs w:val="21"/>
              </w:rPr>
              <w:t>封闭管理要求做好备案等工作，确保运输不受影响。具体工机具计划由投标人依据自己评估确认后报出【附件1 表2工机具动员计划】。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3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资质要求</w:t>
            </w:r>
          </w:p>
        </w:tc>
        <w:tc>
          <w:tcPr>
            <w:tcW w:w="5799" w:type="dxa"/>
            <w:tcBorders>
              <w:bottom w:val="single" w:color="auto" w:sz="4" w:space="0"/>
            </w:tcBorders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投标方具有合法有效的企业法人营业执照、税务登记证及组织机构代码证或证照合一的营业执照，投标时需提供原件扫描件（原件备查）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</w:trPr>
        <w:tc>
          <w:tcPr>
            <w:tcW w:w="633" w:type="dxa"/>
            <w:vMerge w:val="continue"/>
          </w:tcPr>
          <w:p>
            <w:pPr>
              <w:jc w:val="center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服务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工期要求</w:t>
            </w:r>
          </w:p>
        </w:tc>
        <w:tc>
          <w:tcPr>
            <w:tcW w:w="579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本项目自合同签署后生效，总服务工期为36个月。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633" w:type="dxa"/>
            <w:vMerge w:val="continue"/>
          </w:tcPr>
          <w:p>
            <w:pPr>
              <w:jc w:val="center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bookmarkStart w:id="0" w:name="_Toc38896857"/>
            <w:bookmarkStart w:id="1" w:name="_Toc25408"/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交货期与工期要求</w:t>
            </w:r>
            <w:bookmarkEnd w:id="0"/>
            <w:bookmarkEnd w:id="1"/>
          </w:p>
        </w:tc>
        <w:tc>
          <w:tcPr>
            <w:tcW w:w="5799" w:type="dxa"/>
            <w:tcBorders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投标人须承诺在招标人通知3个工作日内到现场开始转运一般固体废物，检修期间产生的固废要求在15个工作日完成转运，</w:t>
            </w:r>
            <w:r>
              <w:rPr>
                <w:rFonts w:hint="eastAsia"/>
                <w:color w:val="auto"/>
                <w:szCs w:val="21"/>
                <w:highlight w:val="none"/>
              </w:rPr>
              <w:t>超过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服务</w:t>
            </w:r>
            <w:r>
              <w:rPr>
                <w:rFonts w:hint="eastAsia"/>
                <w:color w:val="auto"/>
                <w:szCs w:val="21"/>
                <w:highlight w:val="none"/>
              </w:rPr>
              <w:t>工期将被</w:t>
            </w:r>
            <w:r>
              <w:rPr>
                <w:color w:val="auto"/>
                <w:szCs w:val="21"/>
                <w:highlight w:val="none"/>
              </w:rPr>
              <w:t>视为违约，依据合同条款</w:t>
            </w:r>
            <w:r>
              <w:rPr>
                <w:rFonts w:hint="eastAsia"/>
                <w:color w:val="auto"/>
                <w:szCs w:val="21"/>
                <w:highlight w:val="none"/>
              </w:rPr>
              <w:t>进行</w:t>
            </w:r>
            <w:r>
              <w:rPr>
                <w:color w:val="auto"/>
                <w:szCs w:val="21"/>
                <w:highlight w:val="none"/>
              </w:rPr>
              <w:t>处罚。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633" w:type="dxa"/>
            <w:vMerge w:val="continue"/>
          </w:tcPr>
          <w:p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797" w:type="dxa"/>
            <w:tcBorders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HSE专项要求</w:t>
            </w:r>
          </w:p>
        </w:tc>
        <w:tc>
          <w:tcPr>
            <w:tcW w:w="5799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投标人必须遵守《</w:t>
            </w:r>
            <w:r>
              <w:rPr>
                <w:rFonts w:hint="eastAsia" w:ascii="宋体" w:hAnsi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华鹤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公司承包商HSE协议》，此协议为HSE最低要求。投标人需充分考虑HSE协议具体条款对商务报价造成的影响，该HSE协议条款不允许偏离。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rPr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</w:trPr>
        <w:tc>
          <w:tcPr>
            <w:tcW w:w="2430" w:type="dxa"/>
            <w:gridSpan w:val="2"/>
          </w:tcPr>
          <w:p>
            <w:pPr>
              <w:tabs>
                <w:tab w:val="left" w:pos="5775"/>
                <w:tab w:val="left" w:pos="8295"/>
              </w:tabs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/>
              </w:rPr>
              <w:t>结论</w:t>
            </w:r>
          </w:p>
        </w:tc>
        <w:tc>
          <w:tcPr>
            <w:tcW w:w="653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</w:tc>
      </w:tr>
    </w:tbl>
    <w:p>
      <w:pPr>
        <w:widowControl/>
        <w:numPr>
          <w:ilvl w:val="0"/>
          <w:numId w:val="2"/>
        </w:numPr>
        <w:jc w:val="left"/>
        <w:rPr>
          <w:rFonts w:hint="eastAsia" w:ascii="宋体" w:hAnsi="宋体" w:eastAsia="宋体" w:cs="宋体"/>
          <w:bCs/>
          <w:color w:val="000000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sz w:val="18"/>
          <w:szCs w:val="18"/>
        </w:rPr>
        <w:t>仅对“商务评议”合格者进行评议。</w:t>
      </w:r>
    </w:p>
    <w:p>
      <w:pPr>
        <w:widowControl/>
        <w:numPr>
          <w:ilvl w:val="0"/>
          <w:numId w:val="2"/>
        </w:numPr>
        <w:jc w:val="left"/>
        <w:rPr>
          <w:rFonts w:hint="eastAsia" w:ascii="宋体" w:hAnsi="宋体" w:eastAsia="宋体" w:cs="宋体"/>
          <w:bCs/>
          <w:color w:val="000000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sz w:val="18"/>
          <w:szCs w:val="18"/>
        </w:rPr>
        <w:t>“评议”栏中填写“接受”或“不接受”。</w:t>
      </w:r>
    </w:p>
    <w:p>
      <w:pPr>
        <w:widowControl/>
        <w:numPr>
          <w:ilvl w:val="0"/>
          <w:numId w:val="2"/>
        </w:numPr>
        <w:jc w:val="left"/>
        <w:rPr>
          <w:rFonts w:hint="eastAsia" w:ascii="宋体" w:hAnsi="宋体" w:eastAsia="宋体" w:cs="宋体"/>
          <w:bCs/>
          <w:color w:val="000000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sz w:val="18"/>
          <w:szCs w:val="18"/>
        </w:rPr>
        <w:t>“结论”栏中填写“合格”或“不合格”。</w:t>
      </w:r>
    </w:p>
    <w:p>
      <w:pPr>
        <w:widowControl/>
        <w:numPr>
          <w:ilvl w:val="0"/>
          <w:numId w:val="2"/>
        </w:numPr>
        <w:jc w:val="left"/>
        <w:rPr>
          <w:rFonts w:hint="eastAsia" w:ascii="宋体" w:hAnsi="宋体" w:eastAsia="宋体" w:cs="宋体"/>
          <w:bCs/>
          <w:color w:val="000000"/>
          <w:sz w:val="18"/>
          <w:szCs w:val="18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主要技术指标中一项不接受，结论为不合格。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kern w:val="0"/>
          <w:sz w:val="18"/>
          <w:szCs w:val="18"/>
          <w:lang w:val="en-US" w:eastAsia="zh-CN"/>
        </w:rPr>
        <w:t>5、</w:t>
      </w:r>
      <w:r>
        <w:rPr>
          <w:rFonts w:hint="eastAsia" w:ascii="宋体" w:hAnsi="宋体" w:eastAsia="宋体" w:cs="宋体"/>
          <w:sz w:val="18"/>
          <w:szCs w:val="18"/>
        </w:rPr>
        <w:t>一般指标偏离超过询价文件规定的</w:t>
      </w: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三项</w:t>
      </w:r>
      <w:r>
        <w:rPr>
          <w:rFonts w:hint="eastAsia" w:ascii="宋体" w:hAnsi="宋体" w:eastAsia="宋体" w:cs="宋体"/>
          <w:sz w:val="18"/>
          <w:szCs w:val="18"/>
        </w:rPr>
        <w:t>要求时，结论为不合格。</w:t>
      </w:r>
    </w:p>
    <w:p>
      <w:pPr>
        <w:pStyle w:val="2"/>
      </w:pPr>
    </w:p>
    <w:p>
      <w:r>
        <w:rPr>
          <w:rFonts w:hint="eastAsia" w:ascii="宋体" w:hAnsi="宋体"/>
          <w:bCs/>
          <w:color w:val="000000"/>
          <w:szCs w:val="21"/>
        </w:rPr>
        <w:t>参评人员:                        审核人：                         技术负责人: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4C1CFF"/>
    <w:multiLevelType w:val="multilevel"/>
    <w:tmpl w:val="164C1CFF"/>
    <w:lvl w:ilvl="0" w:tentative="0">
      <w:start w:val="1"/>
      <w:numFmt w:val="decimal"/>
      <w:lvlText w:val="2.%1"/>
      <w:lvlJc w:val="left"/>
      <w:pPr>
        <w:ind w:left="420" w:hanging="420"/>
      </w:pPr>
      <w:rPr>
        <w:rFonts w:hint="eastAsia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F6F1948"/>
    <w:multiLevelType w:val="singleLevel"/>
    <w:tmpl w:val="4F6F1948"/>
    <w:lvl w:ilvl="0" w:tentative="0">
      <w:start w:val="1"/>
      <w:numFmt w:val="decimal"/>
      <w:lvlText w:val="%1、"/>
      <w:legacy w:legacy="1" w:legacySpace="0" w:legacyIndent="420"/>
      <w:lvlJc w:val="left"/>
      <w:pPr>
        <w:ind w:left="420" w:hanging="420"/>
      </w:pPr>
      <w:rPr>
        <w:rFonts w:hint="default" w:ascii="宋体" w:hAnsi="宋体" w:eastAsia="宋体" w:cs="宋体"/>
        <w:b w:val="0"/>
        <w:i w:val="0"/>
        <w:sz w:val="18"/>
        <w:szCs w:val="18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95D"/>
    <w:rsid w:val="00004120"/>
    <w:rsid w:val="00012EAF"/>
    <w:rsid w:val="00055240"/>
    <w:rsid w:val="000656D7"/>
    <w:rsid w:val="00095B0D"/>
    <w:rsid w:val="000A5E9F"/>
    <w:rsid w:val="000B741A"/>
    <w:rsid w:val="000C12BF"/>
    <w:rsid w:val="00107243"/>
    <w:rsid w:val="00134382"/>
    <w:rsid w:val="001361A6"/>
    <w:rsid w:val="00146E45"/>
    <w:rsid w:val="00160222"/>
    <w:rsid w:val="00180A08"/>
    <w:rsid w:val="0018706A"/>
    <w:rsid w:val="0021548A"/>
    <w:rsid w:val="002949AD"/>
    <w:rsid w:val="002E1721"/>
    <w:rsid w:val="002F3FF3"/>
    <w:rsid w:val="00334193"/>
    <w:rsid w:val="00374728"/>
    <w:rsid w:val="003C1F85"/>
    <w:rsid w:val="0041284E"/>
    <w:rsid w:val="004277E9"/>
    <w:rsid w:val="0045615E"/>
    <w:rsid w:val="004601A0"/>
    <w:rsid w:val="00487911"/>
    <w:rsid w:val="004C55A9"/>
    <w:rsid w:val="004D695B"/>
    <w:rsid w:val="00511C72"/>
    <w:rsid w:val="005160B0"/>
    <w:rsid w:val="00554F09"/>
    <w:rsid w:val="005723CF"/>
    <w:rsid w:val="0057586B"/>
    <w:rsid w:val="00575B00"/>
    <w:rsid w:val="005B0130"/>
    <w:rsid w:val="005C1F3A"/>
    <w:rsid w:val="005C6B97"/>
    <w:rsid w:val="005E195D"/>
    <w:rsid w:val="00622BE5"/>
    <w:rsid w:val="0066272C"/>
    <w:rsid w:val="006823FB"/>
    <w:rsid w:val="006917B2"/>
    <w:rsid w:val="006A22DD"/>
    <w:rsid w:val="006B4224"/>
    <w:rsid w:val="007610B7"/>
    <w:rsid w:val="00766D07"/>
    <w:rsid w:val="007E6756"/>
    <w:rsid w:val="007F051A"/>
    <w:rsid w:val="007F4D22"/>
    <w:rsid w:val="00820724"/>
    <w:rsid w:val="008D5D90"/>
    <w:rsid w:val="00976BCA"/>
    <w:rsid w:val="00977CB2"/>
    <w:rsid w:val="00992943"/>
    <w:rsid w:val="00993EC7"/>
    <w:rsid w:val="009B1A82"/>
    <w:rsid w:val="009E4306"/>
    <w:rsid w:val="00A12C7F"/>
    <w:rsid w:val="00A66D13"/>
    <w:rsid w:val="00A82920"/>
    <w:rsid w:val="00B57FE3"/>
    <w:rsid w:val="00B74E03"/>
    <w:rsid w:val="00BD5522"/>
    <w:rsid w:val="00BE2A18"/>
    <w:rsid w:val="00BE5CA1"/>
    <w:rsid w:val="00BF254C"/>
    <w:rsid w:val="00C040D1"/>
    <w:rsid w:val="00C70A84"/>
    <w:rsid w:val="00C72223"/>
    <w:rsid w:val="00C812EB"/>
    <w:rsid w:val="00C83713"/>
    <w:rsid w:val="00C871D3"/>
    <w:rsid w:val="00C907CC"/>
    <w:rsid w:val="00CA3F25"/>
    <w:rsid w:val="00CC3F11"/>
    <w:rsid w:val="00CD488B"/>
    <w:rsid w:val="00CF0B4D"/>
    <w:rsid w:val="00CF1934"/>
    <w:rsid w:val="00CF365E"/>
    <w:rsid w:val="00D179EA"/>
    <w:rsid w:val="00D349F9"/>
    <w:rsid w:val="00D4122B"/>
    <w:rsid w:val="00D474D1"/>
    <w:rsid w:val="00D72534"/>
    <w:rsid w:val="00D81F4F"/>
    <w:rsid w:val="00DA1844"/>
    <w:rsid w:val="00DC5732"/>
    <w:rsid w:val="00E12C7D"/>
    <w:rsid w:val="00E13C12"/>
    <w:rsid w:val="00E23228"/>
    <w:rsid w:val="00E263AB"/>
    <w:rsid w:val="00E54DC9"/>
    <w:rsid w:val="00E81C1D"/>
    <w:rsid w:val="00E823D9"/>
    <w:rsid w:val="00EC2823"/>
    <w:rsid w:val="00ED201F"/>
    <w:rsid w:val="00F041B6"/>
    <w:rsid w:val="00F13D0D"/>
    <w:rsid w:val="00F25076"/>
    <w:rsid w:val="00F543F8"/>
    <w:rsid w:val="00F56EC1"/>
    <w:rsid w:val="00F6687D"/>
    <w:rsid w:val="00FA41C6"/>
    <w:rsid w:val="00FE5848"/>
    <w:rsid w:val="00FF5271"/>
    <w:rsid w:val="03FC408C"/>
    <w:rsid w:val="04E62ACE"/>
    <w:rsid w:val="05CA16FF"/>
    <w:rsid w:val="06303CC9"/>
    <w:rsid w:val="07787717"/>
    <w:rsid w:val="08771943"/>
    <w:rsid w:val="092E7EAA"/>
    <w:rsid w:val="0A6410B0"/>
    <w:rsid w:val="0C6D7893"/>
    <w:rsid w:val="0D411EE5"/>
    <w:rsid w:val="0E242F17"/>
    <w:rsid w:val="0E722040"/>
    <w:rsid w:val="10090E5D"/>
    <w:rsid w:val="107C0208"/>
    <w:rsid w:val="130F7C60"/>
    <w:rsid w:val="139E0484"/>
    <w:rsid w:val="145A0C2A"/>
    <w:rsid w:val="15A15D1D"/>
    <w:rsid w:val="15FF5FA5"/>
    <w:rsid w:val="16820C9C"/>
    <w:rsid w:val="17C66357"/>
    <w:rsid w:val="1AB3725D"/>
    <w:rsid w:val="1CA86E9B"/>
    <w:rsid w:val="1DA34135"/>
    <w:rsid w:val="1F4136AA"/>
    <w:rsid w:val="1FA85313"/>
    <w:rsid w:val="1FB444E0"/>
    <w:rsid w:val="1FB811BA"/>
    <w:rsid w:val="2127633E"/>
    <w:rsid w:val="22001D0E"/>
    <w:rsid w:val="23002CC8"/>
    <w:rsid w:val="230A7089"/>
    <w:rsid w:val="236C7263"/>
    <w:rsid w:val="25460949"/>
    <w:rsid w:val="27813019"/>
    <w:rsid w:val="29034F40"/>
    <w:rsid w:val="29F815B0"/>
    <w:rsid w:val="2A4A44F0"/>
    <w:rsid w:val="2C0F50D6"/>
    <w:rsid w:val="2C7176F9"/>
    <w:rsid w:val="2CCB0764"/>
    <w:rsid w:val="2F855C7D"/>
    <w:rsid w:val="2FBE0164"/>
    <w:rsid w:val="301B1733"/>
    <w:rsid w:val="31D53B98"/>
    <w:rsid w:val="32D13DAA"/>
    <w:rsid w:val="331A1E8D"/>
    <w:rsid w:val="33F04636"/>
    <w:rsid w:val="351A2562"/>
    <w:rsid w:val="366A33A6"/>
    <w:rsid w:val="36720B63"/>
    <w:rsid w:val="381625B8"/>
    <w:rsid w:val="382361BE"/>
    <w:rsid w:val="386A0314"/>
    <w:rsid w:val="38AD133A"/>
    <w:rsid w:val="3D12754C"/>
    <w:rsid w:val="3E6B3989"/>
    <w:rsid w:val="3EB1145A"/>
    <w:rsid w:val="3F0A6427"/>
    <w:rsid w:val="4022570D"/>
    <w:rsid w:val="411E1761"/>
    <w:rsid w:val="426239EB"/>
    <w:rsid w:val="452D6C98"/>
    <w:rsid w:val="45711DE0"/>
    <w:rsid w:val="46636802"/>
    <w:rsid w:val="47366096"/>
    <w:rsid w:val="4776054C"/>
    <w:rsid w:val="489510D8"/>
    <w:rsid w:val="4A3105B3"/>
    <w:rsid w:val="4CCA6117"/>
    <w:rsid w:val="4D562FEC"/>
    <w:rsid w:val="4E3E59EC"/>
    <w:rsid w:val="51BB74C7"/>
    <w:rsid w:val="53213B79"/>
    <w:rsid w:val="54482A96"/>
    <w:rsid w:val="54773A48"/>
    <w:rsid w:val="57EB59E5"/>
    <w:rsid w:val="58311E51"/>
    <w:rsid w:val="59007293"/>
    <w:rsid w:val="59824F0E"/>
    <w:rsid w:val="5B5E6AFB"/>
    <w:rsid w:val="5C942FB8"/>
    <w:rsid w:val="5CF65F8A"/>
    <w:rsid w:val="5D692A32"/>
    <w:rsid w:val="5DD14279"/>
    <w:rsid w:val="5EB37296"/>
    <w:rsid w:val="61195380"/>
    <w:rsid w:val="61AF0D51"/>
    <w:rsid w:val="6270558C"/>
    <w:rsid w:val="63501431"/>
    <w:rsid w:val="660C432A"/>
    <w:rsid w:val="66230C0C"/>
    <w:rsid w:val="663F3ED9"/>
    <w:rsid w:val="6703088E"/>
    <w:rsid w:val="674B2F1D"/>
    <w:rsid w:val="675D49FB"/>
    <w:rsid w:val="67B62EE8"/>
    <w:rsid w:val="67BC2719"/>
    <w:rsid w:val="698B7052"/>
    <w:rsid w:val="69B65C5C"/>
    <w:rsid w:val="6A135C12"/>
    <w:rsid w:val="6B2A5D77"/>
    <w:rsid w:val="6B32298A"/>
    <w:rsid w:val="6BF50831"/>
    <w:rsid w:val="6C0057EF"/>
    <w:rsid w:val="6C8E23FB"/>
    <w:rsid w:val="6DDB0373"/>
    <w:rsid w:val="702F37D0"/>
    <w:rsid w:val="71CE5CED"/>
    <w:rsid w:val="72621861"/>
    <w:rsid w:val="72DB6B9E"/>
    <w:rsid w:val="74572567"/>
    <w:rsid w:val="74F53AB4"/>
    <w:rsid w:val="755212AF"/>
    <w:rsid w:val="757567A3"/>
    <w:rsid w:val="76E25C26"/>
    <w:rsid w:val="792045EB"/>
    <w:rsid w:val="79A711F6"/>
    <w:rsid w:val="7AFA118B"/>
    <w:rsid w:val="7B357D96"/>
    <w:rsid w:val="7D126B81"/>
    <w:rsid w:val="7F9D42C8"/>
    <w:rsid w:val="7FB1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next w:val="1"/>
    <w:qFormat/>
    <w:uiPriority w:val="0"/>
    <w:pPr>
      <w:widowControl/>
      <w:tabs>
        <w:tab w:val="left" w:pos="614"/>
        <w:tab w:val="left" w:pos="1469"/>
        <w:tab w:val="left" w:pos="2323"/>
        <w:tab w:val="left" w:pos="3178"/>
        <w:tab w:val="left" w:pos="4032"/>
        <w:tab w:val="left" w:pos="4798"/>
        <w:tab w:val="left" w:pos="5652"/>
      </w:tabs>
      <w:suppressAutoHyphens/>
      <w:autoSpaceDN w:val="0"/>
      <w:snapToGrid w:val="0"/>
      <w:spacing w:line="120" w:lineRule="atLeast"/>
      <w:jc w:val="center"/>
      <w:textAlignment w:val="baseline"/>
    </w:pPr>
    <w:rPr>
      <w:rFonts w:eastAsia="楷体_GB2312"/>
      <w:caps/>
      <w:kern w:val="0"/>
      <w:sz w:val="18"/>
      <w:szCs w:val="20"/>
    </w:rPr>
  </w:style>
  <w:style w:type="paragraph" w:styleId="7">
    <w:name w:val="Body Text 2"/>
    <w:basedOn w:val="1"/>
    <w:qFormat/>
    <w:uiPriority w:val="0"/>
    <w:pPr>
      <w:spacing w:line="360" w:lineRule="auto"/>
    </w:pPr>
    <w:rPr>
      <w:sz w:val="28"/>
    </w:rPr>
  </w:style>
  <w:style w:type="paragraph" w:styleId="8">
    <w:name w:val="Normal (Web)"/>
    <w:basedOn w:val="1"/>
    <w:unhideWhenUsed/>
    <w:qFormat/>
    <w:uiPriority w:val="0"/>
    <w:rPr>
      <w:sz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Default"/>
    <w:basedOn w:val="13"/>
    <w:next w:val="6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szCs w:val="20"/>
    </w:rPr>
  </w:style>
  <w:style w:type="paragraph" w:customStyle="1" w:styleId="14">
    <w:name w:val="dash7eaf_6587_672c_002c_666e_901a_6587_5b57_0020char_002c_5b59_666e_6587_5b57_002c_7eaf_6587_672c_0020char1_0020char_0020char_002c_7eaf_6587_672c_0020char_0020char_0020char_0020char_002c_7eaf_6587_672c_0020char_0020char1_002c_7eaf_6587_672c_0020char1"/>
    <w:basedOn w:val="1"/>
    <w:qFormat/>
    <w:uiPriority w:val="0"/>
    <w:rPr>
      <w:rFonts w:ascii="Courier New" w:hAnsi="Courier New" w:cs="Courier New"/>
      <w:kern w:val="0"/>
      <w:sz w:val="20"/>
      <w:szCs w:val="20"/>
    </w:rPr>
  </w:style>
  <w:style w:type="character" w:customStyle="1" w:styleId="15">
    <w:name w:val="normal_0020table__char"/>
    <w:basedOn w:val="11"/>
    <w:qFormat/>
    <w:uiPriority w:val="0"/>
  </w:style>
  <w:style w:type="character" w:customStyle="1" w:styleId="16">
    <w:name w:val="dash7eaf_6587_672c_002c_666e_901a_6587_5b57_0020char_002c_5b59_666e_6587_5b57_002c_7eaf_6587_672c_0020char1_0020char_0020char_002c_7eaf_6587_672c_0020char_0020char_0020char_0020char_002c_7eaf_6587_672c_0020char_0020char1_002c_7eaf_6587_672c_0020char1__c"/>
    <w:basedOn w:val="11"/>
    <w:qFormat/>
    <w:uiPriority w:val="0"/>
    <w:rPr>
      <w:rFonts w:ascii="Courier New" w:hAnsi="Courier New" w:cs="Courier New"/>
      <w:sz w:val="20"/>
      <w:szCs w:val="20"/>
      <w:u w:val="none"/>
    </w:rPr>
  </w:style>
  <w:style w:type="character" w:customStyle="1" w:styleId="17">
    <w:name w:val="页眉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1"/>
    <w:link w:val="4"/>
    <w:qFormat/>
    <w:uiPriority w:val="0"/>
    <w:rPr>
      <w:kern w:val="2"/>
      <w:sz w:val="18"/>
      <w:szCs w:val="18"/>
    </w:rPr>
  </w:style>
  <w:style w:type="character" w:customStyle="1" w:styleId="19">
    <w:name w:val="fontstyle01"/>
    <w:basedOn w:val="1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20">
    <w:name w:val="font21"/>
    <w:basedOn w:val="11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21">
    <w:name w:val="font61"/>
    <w:basedOn w:val="11"/>
    <w:qFormat/>
    <w:uiPriority w:val="0"/>
    <w:rPr>
      <w:rFonts w:hint="eastAsia" w:ascii="等线" w:hAnsi="等线" w:eastAsia="等线" w:cs="等线"/>
      <w:b/>
      <w:bCs/>
      <w:color w:val="000000"/>
      <w:sz w:val="22"/>
      <w:szCs w:val="22"/>
      <w:u w:val="none"/>
    </w:rPr>
  </w:style>
  <w:style w:type="paragraph" w:customStyle="1" w:styleId="22">
    <w:name w:val="toa"/>
    <w:basedOn w:val="1"/>
    <w:qFormat/>
    <w:uiPriority w:val="0"/>
    <w:pPr>
      <w:widowControl/>
      <w:tabs>
        <w:tab w:val="left" w:pos="9000"/>
        <w:tab w:val="right" w:pos="9360"/>
      </w:tabs>
      <w:suppressAutoHyphens/>
      <w:jc w:val="left"/>
    </w:pPr>
    <w:rPr>
      <w:rFonts w:ascii="Arial" w:hAnsi="Arial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129</Words>
  <Characters>740</Characters>
  <Lines>6</Lines>
  <Paragraphs>1</Paragraphs>
  <TotalTime>1</TotalTime>
  <ScaleCrop>false</ScaleCrop>
  <LinksUpToDate>false</LinksUpToDate>
  <CharactersWithSpaces>868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2019-08-02T02:48:00Z</dcterms:created>
  <dc:creator>admin</dc:creator>
  <cp:lastModifiedBy>张月涛</cp:lastModifiedBy>
  <cp:lastPrinted>2026-01-12T08:01:00Z</cp:lastPrinted>
  <dcterms:modified xsi:type="dcterms:W3CDTF">2026-07-31T07:55:09Z</dcterms:modified>
  <dc:title>技术参数比较表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C7331EF4563147F98D939E1D53FB538E</vt:lpwstr>
  </property>
</Properties>
</file>