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before="120" w:after="120"/>
        <w:ind w:right="-20"/>
        <w:jc w:val="center"/>
        <w:rPr>
          <w:rFonts w:hint="eastAsia" w:ascii="仿宋" w:hAnsi="仿宋" w:eastAsia="仿宋" w:cs="仿宋"/>
          <w:b/>
          <w:spacing w:val="2"/>
          <w:w w:val="99"/>
          <w:sz w:val="52"/>
          <w:szCs w:val="52"/>
          <w:highlight w:val="none"/>
        </w:rPr>
      </w:pPr>
      <w:r>
        <w:rPr>
          <w:rFonts w:hint="eastAsia" w:ascii="仿宋" w:hAnsi="仿宋" w:eastAsia="仿宋" w:cs="仿宋"/>
          <w:b/>
          <w:spacing w:val="2"/>
          <w:w w:val="99"/>
          <w:sz w:val="52"/>
          <w:szCs w:val="52"/>
          <w:highlight w:val="none"/>
          <w:lang w:eastAsia="zh-CN"/>
        </w:rPr>
        <w:drawing>
          <wp:anchor distT="0" distB="0" distL="114300" distR="114300" simplePos="0" relativeHeight="251659264" behindDoc="1" locked="0" layoutInCell="1" allowOverlap="1">
            <wp:simplePos x="0" y="0"/>
            <wp:positionH relativeFrom="column">
              <wp:posOffset>2009140</wp:posOffset>
            </wp:positionH>
            <wp:positionV relativeFrom="paragraph">
              <wp:posOffset>20320</wp:posOffset>
            </wp:positionV>
            <wp:extent cx="1596390" cy="1438275"/>
            <wp:effectExtent l="0" t="0" r="3810" b="9525"/>
            <wp:wrapTight wrapText="bothSides">
              <wp:wrapPolygon>
                <wp:start x="7423" y="0"/>
                <wp:lineTo x="2474" y="4577"/>
                <wp:lineTo x="412" y="7095"/>
                <wp:lineTo x="0" y="8926"/>
                <wp:lineTo x="0" y="15106"/>
                <wp:lineTo x="1650" y="18768"/>
                <wp:lineTo x="5361" y="21285"/>
                <wp:lineTo x="5980" y="21285"/>
                <wp:lineTo x="11135" y="21285"/>
                <wp:lineTo x="11754" y="21285"/>
                <wp:lineTo x="15465" y="18768"/>
                <wp:lineTo x="15878" y="18310"/>
                <wp:lineTo x="16909" y="15335"/>
                <wp:lineTo x="21445" y="11901"/>
                <wp:lineTo x="21445" y="8697"/>
                <wp:lineTo x="16909" y="7324"/>
                <wp:lineTo x="14847" y="4806"/>
                <wp:lineTo x="9485" y="0"/>
                <wp:lineTo x="7423"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96390" cy="1438275"/>
                    </a:xfrm>
                    <a:prstGeom prst="rect">
                      <a:avLst/>
                    </a:prstGeom>
                  </pic:spPr>
                </pic:pic>
              </a:graphicData>
            </a:graphic>
          </wp:anchor>
        </w:drawing>
      </w:r>
    </w:p>
    <w:p>
      <w:pPr>
        <w:autoSpaceDE w:val="0"/>
        <w:autoSpaceDN w:val="0"/>
        <w:spacing w:before="120" w:after="120"/>
        <w:ind w:right="-20"/>
        <w:jc w:val="center"/>
        <w:rPr>
          <w:rFonts w:hint="eastAsia" w:ascii="仿宋" w:hAnsi="仿宋" w:eastAsia="仿宋" w:cs="仿宋"/>
          <w:b/>
          <w:spacing w:val="2"/>
          <w:w w:val="99"/>
          <w:sz w:val="52"/>
          <w:szCs w:val="52"/>
          <w:highlight w:val="none"/>
        </w:rPr>
      </w:pPr>
    </w:p>
    <w:p>
      <w:pPr>
        <w:autoSpaceDE w:val="0"/>
        <w:autoSpaceDN w:val="0"/>
        <w:spacing w:before="120" w:after="120"/>
        <w:ind w:right="-20"/>
        <w:jc w:val="center"/>
        <w:rPr>
          <w:rFonts w:hint="eastAsia" w:ascii="仿宋" w:hAnsi="仿宋" w:eastAsia="仿宋" w:cs="仿宋"/>
          <w:b/>
          <w:spacing w:val="2"/>
          <w:w w:val="99"/>
          <w:sz w:val="52"/>
          <w:szCs w:val="52"/>
          <w:highlight w:val="none"/>
        </w:rPr>
      </w:pPr>
    </w:p>
    <w:p>
      <w:pPr>
        <w:jc w:val="center"/>
        <w:rPr>
          <w:rFonts w:hint="eastAsia" w:ascii="仿宋" w:hAnsi="仿宋" w:eastAsia="仿宋" w:cs="仿宋"/>
          <w:color w:val="000000"/>
          <w:spacing w:val="2"/>
          <w:w w:val="99"/>
          <w:sz w:val="52"/>
          <w:szCs w:val="52"/>
          <w:highlight w:val="none"/>
          <w:lang w:eastAsia="zh-CN"/>
        </w:rPr>
      </w:pPr>
      <w:r>
        <w:rPr>
          <w:rFonts w:hint="eastAsia" w:ascii="仿宋" w:hAnsi="仿宋" w:eastAsia="仿宋" w:cs="仿宋"/>
          <w:color w:val="000000"/>
          <w:spacing w:val="2"/>
          <w:w w:val="99"/>
          <w:sz w:val="52"/>
          <w:szCs w:val="52"/>
          <w:highlight w:val="none"/>
          <w:lang w:eastAsia="zh-CN"/>
        </w:rPr>
        <w:t>中海油能源发展股份有限公司</w:t>
      </w:r>
    </w:p>
    <w:p>
      <w:pPr>
        <w:jc w:val="center"/>
        <w:rPr>
          <w:rFonts w:hint="eastAsia" w:ascii="仿宋" w:hAnsi="仿宋" w:eastAsia="仿宋" w:cs="仿宋"/>
          <w:b/>
          <w:spacing w:val="2"/>
          <w:w w:val="99"/>
          <w:kern w:val="0"/>
          <w:sz w:val="40"/>
          <w:szCs w:val="40"/>
          <w:highlight w:val="none"/>
          <w:lang w:val="en-US" w:eastAsia="zh-CN"/>
        </w:rPr>
      </w:pPr>
    </w:p>
    <w:p>
      <w:pPr>
        <w:jc w:val="center"/>
        <w:rPr>
          <w:rFonts w:hint="eastAsia" w:ascii="仿宋" w:hAnsi="仿宋" w:eastAsia="仿宋" w:cs="仿宋"/>
          <w:b/>
          <w:spacing w:val="2"/>
          <w:w w:val="99"/>
          <w:kern w:val="0"/>
          <w:sz w:val="40"/>
          <w:szCs w:val="40"/>
          <w:highlight w:val="none"/>
          <w:lang w:val="en-US" w:eastAsia="zh-CN"/>
        </w:rPr>
      </w:pPr>
      <w:r>
        <w:rPr>
          <w:rFonts w:hint="eastAsia" w:ascii="仿宋" w:hAnsi="仿宋" w:eastAsia="仿宋" w:cs="仿宋"/>
          <w:b/>
          <w:spacing w:val="2"/>
          <w:w w:val="99"/>
          <w:kern w:val="0"/>
          <w:sz w:val="36"/>
          <w:szCs w:val="36"/>
          <w:highlight w:val="none"/>
          <w:lang w:val="en-US" w:eastAsia="zh-CN"/>
        </w:rPr>
        <w:t>天津院陕西与山西地区污水处理站维保辅助服务</w:t>
      </w:r>
      <w:r>
        <w:rPr>
          <w:rFonts w:hint="eastAsia" w:ascii="仿宋" w:hAnsi="仿宋" w:eastAsia="仿宋" w:cs="仿宋"/>
          <w:b/>
          <w:spacing w:val="2"/>
          <w:w w:val="99"/>
          <w:kern w:val="0"/>
          <w:sz w:val="40"/>
          <w:szCs w:val="40"/>
          <w:highlight w:val="none"/>
          <w:lang w:val="en-US" w:eastAsia="zh-CN"/>
        </w:rPr>
        <w:t xml:space="preserve"> </w:t>
      </w:r>
    </w:p>
    <w:p>
      <w:pPr>
        <w:jc w:val="center"/>
        <w:rPr>
          <w:rFonts w:hint="eastAsia" w:ascii="仿宋" w:hAnsi="仿宋" w:eastAsia="仿宋" w:cs="仿宋"/>
          <w:b/>
          <w:spacing w:val="2"/>
          <w:w w:val="99"/>
          <w:sz w:val="40"/>
          <w:szCs w:val="40"/>
          <w:highlight w:val="none"/>
          <w:lang w:eastAsia="zh-CN"/>
        </w:rPr>
      </w:pPr>
    </w:p>
    <w:p>
      <w:pPr>
        <w:jc w:val="center"/>
        <w:rPr>
          <w:rFonts w:hint="eastAsia" w:ascii="仿宋" w:hAnsi="仿宋" w:eastAsia="仿宋" w:cs="仿宋"/>
          <w:b/>
          <w:spacing w:val="2"/>
          <w:w w:val="99"/>
          <w:sz w:val="40"/>
          <w:szCs w:val="40"/>
          <w:highlight w:val="none"/>
          <w:lang w:eastAsia="zh-CN"/>
        </w:rPr>
      </w:pPr>
      <w:bookmarkStart w:id="2" w:name="_GoBack"/>
      <w:bookmarkEnd w:id="2"/>
    </w:p>
    <w:p>
      <w:pPr>
        <w:jc w:val="center"/>
        <w:rPr>
          <w:rFonts w:hint="eastAsia" w:ascii="仿宋" w:hAnsi="仿宋" w:eastAsia="仿宋" w:cs="仿宋"/>
          <w:b/>
          <w:spacing w:val="2"/>
          <w:w w:val="99"/>
          <w:sz w:val="40"/>
          <w:szCs w:val="40"/>
          <w:highlight w:val="none"/>
          <w:lang w:eastAsia="zh-CN"/>
        </w:rPr>
      </w:pPr>
      <w:r>
        <w:rPr>
          <w:rFonts w:hint="eastAsia" w:ascii="仿宋" w:hAnsi="仿宋" w:eastAsia="仿宋" w:cs="仿宋"/>
          <w:b/>
          <w:spacing w:val="2"/>
          <w:w w:val="99"/>
          <w:sz w:val="40"/>
          <w:szCs w:val="40"/>
          <w:highlight w:val="none"/>
          <w:lang w:eastAsia="zh-CN"/>
        </w:rPr>
        <w:t>采购技术要求书</w:t>
      </w:r>
    </w:p>
    <w:p>
      <w:pPr>
        <w:jc w:val="center"/>
        <w:rPr>
          <w:rFonts w:hint="eastAsia" w:ascii="仿宋" w:hAnsi="仿宋" w:eastAsia="仿宋" w:cs="仿宋"/>
          <w:b/>
          <w:spacing w:val="2"/>
          <w:w w:val="99"/>
          <w:sz w:val="52"/>
          <w:szCs w:val="52"/>
          <w:highlight w:val="none"/>
          <w:lang w:eastAsia="zh-CN"/>
        </w:rPr>
      </w:pPr>
    </w:p>
    <w:p>
      <w:pPr>
        <w:rPr>
          <w:rFonts w:hint="eastAsia" w:ascii="仿宋" w:hAnsi="仿宋" w:eastAsia="仿宋" w:cs="仿宋"/>
          <w:sz w:val="12"/>
          <w:szCs w:val="12"/>
          <w:highlight w:val="none"/>
          <w:lang w:eastAsia="zh-CN"/>
        </w:rPr>
      </w:pPr>
      <w:r>
        <w:rPr>
          <w:rFonts w:hint="eastAsia" w:ascii="仿宋" w:hAnsi="仿宋" w:eastAsia="仿宋" w:cs="仿宋"/>
          <w:sz w:val="12"/>
          <w:szCs w:val="12"/>
          <w:highlight w:val="none"/>
          <w:lang w:eastAsia="zh-CN"/>
        </w:rPr>
        <w:br w:type="page"/>
      </w:r>
    </w:p>
    <w:p>
      <w:pPr>
        <w:numPr>
          <w:ilvl w:val="0"/>
          <w:numId w:val="1"/>
        </w:numPr>
        <w:spacing w:line="360" w:lineRule="auto"/>
        <w:ind w:left="-420" w:leftChars="0" w:firstLine="420" w:firstLineChars="0"/>
        <w:rPr>
          <w:rFonts w:hint="eastAsia" w:ascii="仿宋" w:hAnsi="仿宋" w:eastAsia="仿宋" w:cs="仿宋"/>
          <w:b/>
          <w:bCs/>
          <w:sz w:val="24"/>
          <w:szCs w:val="24"/>
          <w:highlight w:val="none"/>
        </w:rPr>
      </w:pPr>
      <w:bookmarkStart w:id="0" w:name="_Toc13249324"/>
      <w:bookmarkStart w:id="1" w:name="_Toc13248927"/>
      <w:r>
        <w:rPr>
          <w:rFonts w:hint="eastAsia" w:ascii="仿宋" w:hAnsi="仿宋" w:eastAsia="仿宋" w:cs="仿宋"/>
          <w:b/>
          <w:bCs/>
          <w:sz w:val="24"/>
          <w:szCs w:val="24"/>
          <w:highlight w:val="none"/>
        </w:rPr>
        <w:t>项目概况及总体要求</w:t>
      </w:r>
      <w:bookmarkEnd w:id="0"/>
      <w:bookmarkEnd w:id="1"/>
    </w:p>
    <w:p>
      <w:pPr>
        <w:keepNext w:val="0"/>
        <w:keepLines w:val="0"/>
        <w:widowControl/>
        <w:suppressLineNumbers w:val="0"/>
        <w:spacing w:line="360" w:lineRule="auto"/>
        <w:ind w:firstLine="480" w:firstLineChars="20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我公司在山西吕梁市、陕西榆林市神木市等地建设了多个污水处理项目，其中部分已进入成熟运维阶段；未来，另有新建项目待竣工后，将逐步进入试运行及常态化运维阶段。为保障各现场污水处理系统在运维周期内稳定运行，需配套开展以下服务：对水处理系统各单元设备进行周期性检维修（含系统设备及管道保温、滤料更换、填料更换）；配备专业技术团队、检修设备及机械作业保障；根据实际需求稳定供应运维期间的耗材与辅材。</w:t>
      </w:r>
    </w:p>
    <w:p>
      <w:pPr>
        <w:keepNext w:val="0"/>
        <w:keepLines w:val="0"/>
        <w:widowControl/>
        <w:suppressLineNumbers w:val="0"/>
        <w:spacing w:line="360" w:lineRule="auto"/>
        <w:ind w:firstLine="480" w:firstLineChars="20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基于上述项目试生产及运维阶段的实际需求，现委托具备专业能力的投标方，提供全流程、一体化辅助服务。</w:t>
      </w:r>
    </w:p>
    <w:p>
      <w:pPr>
        <w:numPr>
          <w:ilvl w:val="0"/>
          <w:numId w:val="1"/>
        </w:numPr>
        <w:spacing w:line="360" w:lineRule="auto"/>
        <w:ind w:left="-420" w:leftChars="0" w:firstLine="42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服务范围</w:t>
      </w:r>
    </w:p>
    <w:tbl>
      <w:tblPr>
        <w:tblStyle w:val="6"/>
        <w:tblW w:w="82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7" w:type="dxa"/>
          <w:left w:w="17" w:type="dxa"/>
          <w:bottom w:w="17" w:type="dxa"/>
          <w:right w:w="17" w:type="dxa"/>
        </w:tblCellMar>
      </w:tblPr>
      <w:tblGrid>
        <w:gridCol w:w="645"/>
        <w:gridCol w:w="2071"/>
        <w:gridCol w:w="1500"/>
        <w:gridCol w:w="1461"/>
        <w:gridCol w:w="25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283" w:hRule="atLeast"/>
          <w:tblHeader/>
        </w:trPr>
        <w:tc>
          <w:tcPr>
            <w:tcW w:w="645"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pStyle w:val="3"/>
              <w:spacing w:line="240" w:lineRule="auto"/>
              <w:jc w:val="center"/>
              <w:outlineLvl w:val="1"/>
              <w:rPr>
                <w:rFonts w:hint="eastAsia" w:ascii="仿宋" w:hAnsi="仿宋" w:eastAsia="仿宋" w:cs="仿宋"/>
                <w:b/>
                <w:bCs/>
                <w:color w:val="000000"/>
                <w:spacing w:val="2"/>
                <w:kern w:val="0"/>
                <w:sz w:val="18"/>
                <w:szCs w:val="18"/>
                <w:highlight w:val="none"/>
                <w:lang w:bidi="ar-SA"/>
              </w:rPr>
            </w:pPr>
            <w:r>
              <w:rPr>
                <w:rFonts w:hint="eastAsia" w:ascii="仿宋" w:hAnsi="仿宋" w:eastAsia="仿宋" w:cs="仿宋"/>
                <w:b/>
                <w:bCs/>
                <w:color w:val="000000"/>
                <w:sz w:val="18"/>
                <w:szCs w:val="18"/>
                <w:highlight w:val="none"/>
              </w:rPr>
              <w:t>序号</w:t>
            </w:r>
          </w:p>
        </w:tc>
        <w:tc>
          <w:tcPr>
            <w:tcW w:w="2071"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pStyle w:val="3"/>
              <w:spacing w:line="240" w:lineRule="auto"/>
              <w:jc w:val="center"/>
              <w:outlineLvl w:val="1"/>
              <w:rPr>
                <w:rFonts w:hint="eastAsia" w:ascii="仿宋" w:hAnsi="仿宋" w:eastAsia="仿宋" w:cs="仿宋"/>
                <w:b/>
                <w:bCs/>
                <w:color w:val="000000"/>
                <w:spacing w:val="2"/>
                <w:kern w:val="0"/>
                <w:sz w:val="18"/>
                <w:szCs w:val="18"/>
                <w:highlight w:val="none"/>
                <w:lang w:val="en-US" w:eastAsia="zh-CN" w:bidi="ar-SA"/>
              </w:rPr>
            </w:pPr>
            <w:r>
              <w:rPr>
                <w:rFonts w:hint="eastAsia" w:ascii="仿宋" w:hAnsi="仿宋" w:eastAsia="仿宋" w:cs="仿宋"/>
                <w:b/>
                <w:bCs/>
                <w:color w:val="000000"/>
                <w:sz w:val="18"/>
                <w:szCs w:val="18"/>
                <w:highlight w:val="none"/>
              </w:rPr>
              <w:t>服务</w:t>
            </w:r>
            <w:r>
              <w:rPr>
                <w:rFonts w:hint="eastAsia" w:ascii="仿宋" w:hAnsi="仿宋" w:eastAsia="仿宋" w:cs="仿宋"/>
                <w:b/>
                <w:bCs/>
                <w:strike w:val="0"/>
                <w:dstrike w:val="0"/>
                <w:color w:val="000000"/>
                <w:sz w:val="18"/>
                <w:szCs w:val="18"/>
                <w:highlight w:val="none"/>
              </w:rPr>
              <w:t>项目</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pStyle w:val="3"/>
              <w:spacing w:line="240" w:lineRule="auto"/>
              <w:jc w:val="center"/>
              <w:outlineLvl w:val="1"/>
              <w:rPr>
                <w:rFonts w:hint="default" w:ascii="仿宋" w:hAnsi="仿宋" w:eastAsia="仿宋" w:cs="仿宋"/>
                <w:b/>
                <w:bCs/>
                <w:color w:val="000000"/>
                <w:sz w:val="18"/>
                <w:szCs w:val="18"/>
                <w:highlight w:val="none"/>
                <w:lang w:val="en-US" w:eastAsia="zh-CN"/>
              </w:rPr>
            </w:pPr>
            <w:r>
              <w:rPr>
                <w:rFonts w:hint="eastAsia" w:ascii="仿宋" w:hAnsi="仿宋" w:eastAsia="仿宋" w:cs="仿宋"/>
                <w:b/>
                <w:bCs/>
                <w:color w:val="000000"/>
                <w:sz w:val="18"/>
                <w:szCs w:val="18"/>
                <w:highlight w:val="none"/>
                <w:lang w:val="en-US" w:eastAsia="zh-CN"/>
              </w:rPr>
              <w:t>单位</w:t>
            </w:r>
          </w:p>
        </w:tc>
        <w:tc>
          <w:tcPr>
            <w:tcW w:w="1461"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pStyle w:val="3"/>
              <w:spacing w:line="240" w:lineRule="auto"/>
              <w:jc w:val="center"/>
              <w:outlineLvl w:val="1"/>
              <w:rPr>
                <w:rFonts w:hint="eastAsia" w:ascii="仿宋" w:hAnsi="仿宋" w:eastAsia="仿宋" w:cs="仿宋"/>
                <w:b/>
                <w:bCs/>
                <w:color w:val="000000"/>
                <w:spacing w:val="2"/>
                <w:kern w:val="0"/>
                <w:sz w:val="18"/>
                <w:szCs w:val="18"/>
                <w:highlight w:val="none"/>
                <w:lang w:bidi="ar-SA"/>
              </w:rPr>
            </w:pPr>
            <w:r>
              <w:rPr>
                <w:rFonts w:hint="eastAsia" w:ascii="仿宋" w:hAnsi="仿宋" w:eastAsia="仿宋" w:cs="仿宋"/>
                <w:b/>
                <w:bCs/>
                <w:color w:val="000000"/>
                <w:sz w:val="18"/>
                <w:szCs w:val="18"/>
                <w:highlight w:val="none"/>
                <w:lang w:val="en-US" w:eastAsia="zh-CN"/>
              </w:rPr>
              <w:t>暂估</w:t>
            </w:r>
            <w:r>
              <w:rPr>
                <w:rFonts w:hint="eastAsia" w:ascii="仿宋" w:hAnsi="仿宋" w:eastAsia="仿宋" w:cs="仿宋"/>
                <w:b/>
                <w:bCs/>
                <w:color w:val="000000"/>
                <w:sz w:val="18"/>
                <w:szCs w:val="18"/>
                <w:highlight w:val="none"/>
              </w:rPr>
              <w:t>数量</w:t>
            </w:r>
          </w:p>
        </w:tc>
        <w:tc>
          <w:tcPr>
            <w:tcW w:w="2570"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pStyle w:val="3"/>
              <w:spacing w:line="240" w:lineRule="auto"/>
              <w:jc w:val="center"/>
              <w:outlineLvl w:val="1"/>
              <w:rPr>
                <w:rFonts w:hint="eastAsia" w:ascii="仿宋" w:hAnsi="仿宋" w:eastAsia="仿宋" w:cs="仿宋"/>
                <w:b/>
                <w:bCs/>
                <w:color w:val="000000"/>
                <w:spacing w:val="2"/>
                <w:kern w:val="0"/>
                <w:sz w:val="18"/>
                <w:szCs w:val="18"/>
                <w:highlight w:val="none"/>
                <w:lang w:bidi="ar-SA"/>
              </w:rPr>
            </w:pPr>
            <w:r>
              <w:rPr>
                <w:rFonts w:hint="eastAsia" w:ascii="仿宋" w:hAnsi="仿宋" w:eastAsia="仿宋" w:cs="仿宋"/>
                <w:b/>
                <w:bCs/>
                <w:color w:val="000000"/>
                <w:sz w:val="18"/>
                <w:szCs w:val="18"/>
                <w:highlight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283" w:hRule="atLeast"/>
        </w:trPr>
        <w:tc>
          <w:tcPr>
            <w:tcW w:w="645"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keepNext w:val="0"/>
              <w:keepLines w:val="0"/>
              <w:widowControl/>
              <w:suppressLineNumbers w:val="0"/>
              <w:spacing w:line="240" w:lineRule="auto"/>
              <w:jc w:val="center"/>
              <w:rPr>
                <w:rFonts w:hint="eastAsia" w:ascii="仿宋" w:hAnsi="仿宋" w:eastAsia="仿宋" w:cs="仿宋"/>
                <w:sz w:val="18"/>
                <w:szCs w:val="18"/>
                <w:highlight w:val="none"/>
              </w:rPr>
            </w:pPr>
            <w:r>
              <w:rPr>
                <w:rFonts w:hint="eastAsia" w:ascii="仿宋" w:hAnsi="仿宋" w:eastAsia="仿宋" w:cs="仿宋"/>
                <w:kern w:val="0"/>
                <w:sz w:val="18"/>
                <w:szCs w:val="18"/>
                <w:highlight w:val="none"/>
                <w:lang w:val="en-US" w:eastAsia="zh-CN" w:bidi="ar"/>
              </w:rPr>
              <w:t>1</w:t>
            </w:r>
          </w:p>
        </w:tc>
        <w:tc>
          <w:tcPr>
            <w:tcW w:w="2071"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pStyle w:val="8"/>
              <w:ind w:left="0" w:leftChars="0"/>
              <w:jc w:val="center"/>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lang w:val="en-US" w:eastAsia="zh-CN" w:bidi="ar-SA"/>
              </w:rPr>
              <w:t>设备及管道保温服务</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keepNext w:val="0"/>
              <w:keepLines w:val="0"/>
              <w:widowControl/>
              <w:suppressLineNumbers w:val="0"/>
              <w:jc w:val="center"/>
              <w:textAlignment w:val="center"/>
              <w:rPr>
                <w:rFonts w:hint="eastAsia" w:ascii="仿宋" w:hAnsi="仿宋" w:eastAsia="仿宋" w:cs="仿宋"/>
                <w:kern w:val="0"/>
                <w:sz w:val="18"/>
                <w:szCs w:val="18"/>
                <w:highlight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1461"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spacing w:beforeLines="0" w:afterLines="0"/>
              <w:jc w:val="center"/>
              <w:rPr>
                <w:rFonts w:hint="default"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lang w:val="en-US" w:eastAsia="zh-CN" w:bidi="ar-SA"/>
              </w:rPr>
              <w:t>13500</w:t>
            </w:r>
          </w:p>
        </w:tc>
        <w:tc>
          <w:tcPr>
            <w:tcW w:w="2570"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top"/>
          </w:tcPr>
          <w:p>
            <w:pPr>
              <w:pStyle w:val="8"/>
              <w:keepNext w:val="0"/>
              <w:keepLines w:val="0"/>
              <w:pageBreakBefore w:val="0"/>
              <w:widowControl/>
              <w:kinsoku/>
              <w:wordWrap/>
              <w:overflowPunct/>
              <w:topLinePunct w:val="0"/>
              <w:autoSpaceDE/>
              <w:autoSpaceDN/>
              <w:bidi w:val="0"/>
              <w:adjustRightInd/>
              <w:snapToGrid/>
              <w:spacing w:before="0" w:after="0"/>
              <w:ind w:left="0" w:leftChars="0"/>
              <w:jc w:val="left"/>
              <w:textAlignment w:val="auto"/>
              <w:rPr>
                <w:rFonts w:hint="default"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lang w:val="en-US" w:eastAsia="zh-CN" w:bidi="ar-SA"/>
              </w:rPr>
              <w:t>服务期间人员、材料、配套服务设备均由投标方提供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283" w:hRule="atLeast"/>
        </w:trPr>
        <w:tc>
          <w:tcPr>
            <w:tcW w:w="645"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keepNext w:val="0"/>
              <w:keepLines w:val="0"/>
              <w:widowControl/>
              <w:suppressLineNumbers w:val="0"/>
              <w:spacing w:line="240" w:lineRule="auto"/>
              <w:jc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2</w:t>
            </w:r>
          </w:p>
        </w:tc>
        <w:tc>
          <w:tcPr>
            <w:tcW w:w="2071"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keepNext w:val="0"/>
              <w:keepLines w:val="0"/>
              <w:widowControl/>
              <w:suppressLineNumbers w:val="0"/>
              <w:spacing w:line="240" w:lineRule="auto"/>
              <w:jc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石英砂滤料更换服务</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keepNext w:val="0"/>
              <w:keepLines w:val="0"/>
              <w:widowControl/>
              <w:suppressLineNumbers w:val="0"/>
              <w:jc w:val="center"/>
              <w:textAlignment w:val="center"/>
              <w:rPr>
                <w:rFonts w:hint="eastAsia" w:ascii="仿宋" w:hAnsi="仿宋" w:eastAsia="仿宋" w:cs="仿宋"/>
                <w:kern w:val="0"/>
                <w:sz w:val="18"/>
                <w:szCs w:val="18"/>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次</w:t>
            </w:r>
          </w:p>
        </w:tc>
        <w:tc>
          <w:tcPr>
            <w:tcW w:w="1461"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spacing w:beforeLines="0" w:afterLines="0"/>
              <w:jc w:val="center"/>
              <w:rPr>
                <w:rFonts w:hint="default"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lang w:val="en-US" w:eastAsia="zh-CN" w:bidi="ar-SA"/>
              </w:rPr>
              <w:t>18</w:t>
            </w:r>
          </w:p>
        </w:tc>
        <w:tc>
          <w:tcPr>
            <w:tcW w:w="2570"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服务期间人员、材料、配套服务设备均由投标方提供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283" w:hRule="atLeast"/>
        </w:trPr>
        <w:tc>
          <w:tcPr>
            <w:tcW w:w="645"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keepNext w:val="0"/>
              <w:keepLines w:val="0"/>
              <w:widowControl/>
              <w:suppressLineNumbers w:val="0"/>
              <w:spacing w:line="240" w:lineRule="auto"/>
              <w:jc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3</w:t>
            </w:r>
          </w:p>
        </w:tc>
        <w:tc>
          <w:tcPr>
            <w:tcW w:w="2071"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keepNext w:val="0"/>
              <w:keepLines w:val="0"/>
              <w:widowControl/>
              <w:suppressLineNumbers w:val="0"/>
              <w:spacing w:line="240" w:lineRule="auto"/>
              <w:jc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核桃壳滤料更换服务</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keepNext w:val="0"/>
              <w:keepLines w:val="0"/>
              <w:widowControl/>
              <w:suppressLineNumbers w:val="0"/>
              <w:jc w:val="center"/>
              <w:textAlignment w:val="center"/>
              <w:rPr>
                <w:rFonts w:hint="eastAsia" w:ascii="仿宋" w:hAnsi="仿宋" w:eastAsia="仿宋" w:cs="仿宋"/>
                <w:kern w:val="0"/>
                <w:sz w:val="18"/>
                <w:szCs w:val="18"/>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次</w:t>
            </w:r>
          </w:p>
        </w:tc>
        <w:tc>
          <w:tcPr>
            <w:tcW w:w="1461"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spacing w:beforeLines="0" w:afterLines="0"/>
              <w:jc w:val="center"/>
              <w:rPr>
                <w:rFonts w:hint="default"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lang w:val="en-US" w:eastAsia="zh-CN" w:bidi="ar-SA"/>
              </w:rPr>
              <w:t>18</w:t>
            </w:r>
          </w:p>
        </w:tc>
        <w:tc>
          <w:tcPr>
            <w:tcW w:w="2570"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服务期间人员、材料、配套服务设备均由投标方提供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17" w:type="dxa"/>
            <w:bottom w:w="17" w:type="dxa"/>
            <w:right w:w="17" w:type="dxa"/>
          </w:tblCellMar>
        </w:tblPrEx>
        <w:trPr>
          <w:trHeight w:val="283" w:hRule="atLeast"/>
        </w:trPr>
        <w:tc>
          <w:tcPr>
            <w:tcW w:w="645"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keepNext w:val="0"/>
              <w:keepLines w:val="0"/>
              <w:widowControl/>
              <w:suppressLineNumbers w:val="0"/>
              <w:spacing w:line="240" w:lineRule="auto"/>
              <w:jc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4</w:t>
            </w:r>
          </w:p>
        </w:tc>
        <w:tc>
          <w:tcPr>
            <w:tcW w:w="2071"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keepNext w:val="0"/>
              <w:keepLines w:val="0"/>
              <w:widowControl/>
              <w:suppressLineNumbers w:val="0"/>
              <w:spacing w:line="240" w:lineRule="auto"/>
              <w:jc w:val="center"/>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填料更换服务</w:t>
            </w:r>
          </w:p>
        </w:tc>
        <w:tc>
          <w:tcPr>
            <w:tcW w:w="1500"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keepNext w:val="0"/>
              <w:keepLines w:val="0"/>
              <w:widowControl/>
              <w:suppressLineNumbers w:val="0"/>
              <w:jc w:val="center"/>
              <w:textAlignment w:val="center"/>
              <w:rPr>
                <w:rFonts w:hint="eastAsia" w:ascii="仿宋" w:hAnsi="仿宋" w:eastAsia="仿宋" w:cs="仿宋"/>
                <w:kern w:val="0"/>
                <w:sz w:val="18"/>
                <w:szCs w:val="18"/>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次</w:t>
            </w:r>
          </w:p>
        </w:tc>
        <w:tc>
          <w:tcPr>
            <w:tcW w:w="1461"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pPr>
              <w:spacing w:beforeLines="0" w:afterLines="0"/>
              <w:jc w:val="center"/>
              <w:rPr>
                <w:rFonts w:hint="eastAsia" w:ascii="仿宋" w:hAnsi="仿宋" w:eastAsia="仿宋" w:cs="仿宋"/>
                <w:kern w:val="0"/>
                <w:sz w:val="18"/>
                <w:szCs w:val="18"/>
                <w:highlight w:val="none"/>
                <w:lang w:val="en-US" w:eastAsia="zh-CN" w:bidi="ar-SA"/>
              </w:rPr>
            </w:pPr>
            <w:r>
              <w:rPr>
                <w:rFonts w:hint="eastAsia" w:ascii="仿宋" w:hAnsi="仿宋" w:eastAsia="仿宋" w:cs="仿宋"/>
                <w:kern w:val="0"/>
                <w:sz w:val="18"/>
                <w:szCs w:val="18"/>
                <w:highlight w:val="none"/>
                <w:lang w:val="en-US" w:eastAsia="zh-CN" w:bidi="ar-SA"/>
              </w:rPr>
              <w:t>9</w:t>
            </w:r>
          </w:p>
        </w:tc>
        <w:tc>
          <w:tcPr>
            <w:tcW w:w="2570" w:type="dxa"/>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kern w:val="0"/>
                <w:sz w:val="18"/>
                <w:szCs w:val="18"/>
                <w:highlight w:val="none"/>
                <w:lang w:val="en-US" w:eastAsia="zh-CN" w:bidi="ar"/>
              </w:rPr>
            </w:pPr>
            <w:r>
              <w:rPr>
                <w:rFonts w:hint="eastAsia" w:ascii="仿宋" w:hAnsi="仿宋" w:eastAsia="仿宋" w:cs="仿宋"/>
                <w:kern w:val="0"/>
                <w:sz w:val="18"/>
                <w:szCs w:val="18"/>
                <w:highlight w:val="none"/>
                <w:lang w:val="en-US" w:eastAsia="zh-CN" w:bidi="ar"/>
              </w:rPr>
              <w:t>服务期间人员、材料、配套服务设备均由投标方提供</w:t>
            </w:r>
          </w:p>
        </w:tc>
      </w:tr>
    </w:tbl>
    <w:p>
      <w:pPr>
        <w:pStyle w:val="8"/>
      </w:pPr>
      <w:r>
        <w:rPr>
          <w:b/>
          <w:bCs/>
        </w:rPr>
        <w:t>注</w:t>
      </w:r>
      <w:r>
        <w:t>：服务期间，投标方需提供配套人员、车辆设施；若涉及特种作业，需提供相关合规证件，由招标方复核。</w:t>
      </w:r>
    </w:p>
    <w:p>
      <w:pPr>
        <w:numPr>
          <w:ilvl w:val="0"/>
          <w:numId w:val="1"/>
        </w:numPr>
        <w:spacing w:line="360" w:lineRule="auto"/>
        <w:ind w:left="-420" w:leftChars="0" w:firstLine="420" w:firstLineChars="0"/>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eastAsia="zh-CN"/>
        </w:rPr>
        <w:t>执行标准 / 规范</w:t>
      </w:r>
    </w:p>
    <w:p>
      <w:pPr>
        <w:numPr>
          <w:ilvl w:val="0"/>
          <w:numId w:val="2"/>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GB 50126-2008 《工业设备及管道绝热工程施工规范》</w:t>
      </w:r>
    </w:p>
    <w:p>
      <w:pPr>
        <w:numPr>
          <w:ilvl w:val="0"/>
          <w:numId w:val="2"/>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CJ/T 43-2005 《水处理用滤料》</w:t>
      </w:r>
    </w:p>
    <w:p>
      <w:pPr>
        <w:numPr>
          <w:ilvl w:val="0"/>
          <w:numId w:val="2"/>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T/CPI 11029-2024 《油田污水过滤设备用核桃壳滤料》</w:t>
      </w:r>
    </w:p>
    <w:p>
      <w:pPr>
        <w:numPr>
          <w:ilvl w:val="0"/>
          <w:numId w:val="2"/>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CJ/T 83-2016《水处理用斜管》</w:t>
      </w:r>
    </w:p>
    <w:p>
      <w:pPr>
        <w:numPr>
          <w:ilvl w:val="0"/>
          <w:numId w:val="1"/>
        </w:numPr>
        <w:spacing w:line="360" w:lineRule="auto"/>
        <w:ind w:left="-420" w:leftChars="0" w:firstLine="42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技术与环境条件</w:t>
      </w:r>
    </w:p>
    <w:p>
      <w:pPr>
        <w:numPr>
          <w:ilvl w:val="0"/>
          <w:numId w:val="0"/>
        </w:numPr>
        <w:spacing w:line="360" w:lineRule="auto"/>
        <w:ind w:leftChars="0"/>
        <w:jc w:val="left"/>
        <w:rPr>
          <w:rFonts w:hint="eastAsia" w:ascii="仿宋" w:hAnsi="仿宋" w:eastAsia="仿宋" w:cs="仿宋"/>
          <w:sz w:val="24"/>
          <w:szCs w:val="24"/>
          <w:highlight w:val="none"/>
        </w:rPr>
      </w:pPr>
      <w:r>
        <w:rPr>
          <w:rFonts w:hint="eastAsia" w:ascii="仿宋" w:hAnsi="仿宋" w:eastAsia="仿宋" w:cs="仿宋"/>
          <w:kern w:val="0"/>
          <w:sz w:val="24"/>
          <w:szCs w:val="24"/>
          <w:highlight w:val="none"/>
          <w:lang w:val="en-US" w:eastAsia="zh-CN"/>
        </w:rPr>
        <w:t>（一）污水处理工艺：</w:t>
      </w:r>
    </w:p>
    <w:p>
      <w:pPr>
        <w:numPr>
          <w:ilvl w:val="0"/>
          <w:numId w:val="3"/>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污水首先进入污水接收池，该池承担日常污水接收功能，同时通过初步沉降作用完成预处理工序。​</w:t>
      </w:r>
    </w:p>
    <w:p>
      <w:pPr>
        <w:numPr>
          <w:ilvl w:val="0"/>
          <w:numId w:val="3"/>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经预处理后的污水依次进入涡凹气浮装置、一体化破胶装置、高密斜板沉降池等核心处理单元。上述装置协同运行，主要去除污水中的化学需氧量（COD）、氨氮，同时降低污水中的含油量及悬浮物含量。​</w:t>
      </w:r>
    </w:p>
    <w:p>
      <w:pPr>
        <w:numPr>
          <w:ilvl w:val="0"/>
          <w:numId w:val="3"/>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经核心处理单元处理后的污水进入三级过滤装置，进一步削减化学需氧量（COD）、氨氮、含油量及悬浮物等污染物指标，确保出水相关参数达到规定标准。​</w:t>
      </w:r>
    </w:p>
    <w:p>
      <w:pPr>
        <w:numPr>
          <w:ilvl w:val="0"/>
          <w:numId w:val="3"/>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达标污水通过高压回注泵回注至地下。​</w:t>
      </w:r>
    </w:p>
    <w:p>
      <w:pPr>
        <w:numPr>
          <w:ilvl w:val="0"/>
          <w:numId w:val="3"/>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处理过程中，涡凹气浮装置和高密斜板沉降池产生的污泥废渣需输送至污泥脱水装置进行脱水处理；脱水后的污泥废渣应根据其废弃物类型，按相关规范要求进行后续处置。</w:t>
      </w:r>
    </w:p>
    <w:p>
      <w:pPr>
        <w:keepNext w:val="0"/>
        <w:keepLines w:val="0"/>
        <w:widowControl/>
        <w:numPr>
          <w:ilvl w:val="0"/>
          <w:numId w:val="0"/>
        </w:numPr>
        <w:suppressLineNumbers w:val="0"/>
        <w:pBdr>
          <w:left w:val="none" w:color="auto" w:sz="0" w:space="0"/>
        </w:pBdr>
        <w:spacing w:before="0" w:beforeAutospacing="0" w:after="96" w:afterAutospacing="0" w:line="360" w:lineRule="auto"/>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（二）环境条件</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本项目涉及山西吕梁兴县、陕西榆林神府地区山区污水处理站的辅助服务，现场环境具有显著的山地特征，交通不便，具体条件如下：</w:t>
      </w:r>
    </w:p>
    <w:p>
      <w:pPr>
        <w:numPr>
          <w:ilvl w:val="0"/>
          <w:numId w:val="4"/>
        </w:numPr>
        <w:spacing w:line="360" w:lineRule="auto"/>
        <w:ind w:left="1055" w:leftChars="0" w:hanging="425" w:firstLineChars="0"/>
        <w:jc w:val="left"/>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地理位置与地形地貌</w:t>
      </w:r>
    </w:p>
    <w:p>
      <w:pPr>
        <w:keepNext w:val="0"/>
        <w:keepLines w:val="0"/>
        <w:widowControl/>
        <w:numPr>
          <w:ilvl w:val="0"/>
          <w:numId w:val="0"/>
        </w:numPr>
        <w:suppressLineNumbers w:val="0"/>
        <w:pBdr>
          <w:left w:val="none" w:color="auto" w:sz="0" w:space="0"/>
        </w:pBdr>
        <w:spacing w:before="0" w:beforeAutospacing="0" w:after="96" w:afterAutospacing="0" w:line="360" w:lineRule="auto"/>
        <w:ind w:firstLine="480" w:firstLineChars="200"/>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站点均位于吕梁山区及榆林北部黄土丘陵地带，地势以山地、坡地为主，平均海拔800-1200米，部分站点建于坡度15°-25°的山体平台，周边多为林地、沟壑，场地平整度较低，大型设备进场需沿盘山道路或临时便道通行。</w:t>
      </w:r>
    </w:p>
    <w:p>
      <w:pPr>
        <w:numPr>
          <w:ilvl w:val="0"/>
          <w:numId w:val="4"/>
        </w:numPr>
        <w:spacing w:line="360" w:lineRule="auto"/>
        <w:ind w:left="105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气候与气象条件</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吕梁地区：属温带大陆性季风气候，冬季寒冷（极端低温-20℃）、夏季多雨（6-8月降水量占全年60%），且多短时强降雨，易引发局部山洪；春秋季多风沙，风力可达5-6级。</w:t>
      </w:r>
    </w:p>
    <w:p>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Autospacing="0" w:line="360" w:lineRule="auto"/>
        <w:ind w:firstLine="480" w:firstLineChars="200"/>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榆林地区：气候干旱少雨，年均降水量不足400mm，夏季高温（极端高温38℃）、冬季干燥寒冷（极端低温-22℃），且常年受西北风影响，风速较大（平均3-4级），地表植被稀疏，土壤保水能力弱。</w:t>
      </w:r>
    </w:p>
    <w:p>
      <w:pPr>
        <w:numPr>
          <w:ilvl w:val="0"/>
          <w:numId w:val="4"/>
        </w:numPr>
        <w:spacing w:line="360" w:lineRule="auto"/>
        <w:ind w:left="105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周边环境与基础设施</w:t>
      </w:r>
    </w:p>
    <w:p>
      <w:pPr>
        <w:keepNext w:val="0"/>
        <w:keepLines w:val="0"/>
        <w:widowControl/>
        <w:numPr>
          <w:ilvl w:val="0"/>
          <w:numId w:val="0"/>
        </w:numPr>
        <w:suppressLineNumbers w:val="0"/>
        <w:pBdr>
          <w:left w:val="none" w:color="auto" w:sz="0" w:space="0"/>
        </w:pBdr>
        <w:spacing w:before="0" w:beforeAutospacing="0" w:after="96" w:afterAutospacing="0" w:line="360" w:lineRule="auto"/>
        <w:ind w:firstLine="480" w:firstLineChars="200"/>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站点多远离城镇建成区，周边5公里内无密集居民区，部分站点邻近山区溪流，需严格控制服务过程中的噪声（昼间≤55dB）、扬尘（PM10≤0.5mg/m³）及废弃物处置，避免影响水体及生态。。</w:t>
      </w:r>
    </w:p>
    <w:p>
      <w:pPr>
        <w:numPr>
          <w:ilvl w:val="0"/>
          <w:numId w:val="4"/>
        </w:numPr>
        <w:spacing w:line="360" w:lineRule="auto"/>
        <w:ind w:left="105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特殊环境约束</w:t>
      </w:r>
    </w:p>
    <w:p>
      <w:pPr>
        <w:keepNext w:val="0"/>
        <w:keepLines w:val="0"/>
        <w:widowControl/>
        <w:numPr>
          <w:ilvl w:val="0"/>
          <w:numId w:val="0"/>
        </w:numPr>
        <w:suppressLineNumbers w:val="0"/>
        <w:pBdr>
          <w:left w:val="none" w:color="auto" w:sz="0" w:space="0"/>
        </w:pBdr>
        <w:spacing w:before="0" w:beforeAutospacing="0" w:after="96" w:afterAutospacing="0" w:line="360" w:lineRule="auto"/>
        <w:ind w:firstLine="480" w:firstLineChars="200"/>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雨季（吕梁6-8月、榆林7-9月）可能导致山路泥泞、滑坡风险，服务需提前制定防滑、防汛预案；</w:t>
      </w:r>
    </w:p>
    <w:p>
      <w:pPr>
        <w:keepNext w:val="0"/>
        <w:keepLines w:val="0"/>
        <w:widowControl/>
        <w:numPr>
          <w:ilvl w:val="0"/>
          <w:numId w:val="0"/>
        </w:numPr>
        <w:suppressLineNumbers w:val="0"/>
        <w:pBdr>
          <w:left w:val="none" w:color="auto" w:sz="0" w:space="0"/>
        </w:pBdr>
        <w:spacing w:before="0" w:beforeAutospacing="0" w:after="96" w:afterAutospacing="0" w:line="360" w:lineRule="auto"/>
        <w:ind w:firstLine="480" w:firstLineChars="200"/>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冬季低温易造成管道冻堵，户外辅助作业需适配-20℃以下低温环境（如工具防冻、人员防寒措施）。</w:t>
      </w:r>
    </w:p>
    <w:p>
      <w:pPr>
        <w:numPr>
          <w:ilvl w:val="0"/>
          <w:numId w:val="0"/>
        </w:numPr>
        <w:spacing w:line="360" w:lineRule="auto"/>
        <w:ind w:leftChars="0"/>
        <w:jc w:val="left"/>
        <w:rPr>
          <w:rFonts w:hint="eastAsia" w:ascii="仿宋" w:hAnsi="仿宋" w:eastAsia="仿宋" w:cs="仿宋"/>
          <w:b/>
          <w:bCs/>
          <w:kern w:val="0"/>
          <w:sz w:val="24"/>
          <w:szCs w:val="24"/>
          <w:highlight w:val="none"/>
          <w:lang w:eastAsia="zh-CN"/>
        </w:rPr>
      </w:pPr>
      <w:r>
        <w:rPr>
          <w:rFonts w:hint="eastAsia" w:ascii="仿宋" w:hAnsi="仿宋" w:eastAsia="仿宋" w:cs="仿宋"/>
          <w:b/>
          <w:bCs/>
          <w:kern w:val="0"/>
          <w:sz w:val="24"/>
          <w:szCs w:val="24"/>
          <w:highlight w:val="none"/>
          <w:lang w:val="en-US" w:eastAsia="zh-CN"/>
        </w:rPr>
        <w:t>五</w:t>
      </w:r>
      <w:r>
        <w:rPr>
          <w:rFonts w:hint="eastAsia" w:ascii="仿宋" w:hAnsi="仿宋" w:eastAsia="仿宋" w:cs="仿宋"/>
          <w:b/>
          <w:bCs/>
          <w:kern w:val="0"/>
          <w:sz w:val="24"/>
          <w:szCs w:val="24"/>
          <w:highlight w:val="none"/>
          <w:lang w:eastAsia="zh-CN"/>
        </w:rPr>
        <w:t>、服务内容</w:t>
      </w:r>
    </w:p>
    <w:p>
      <w:pPr>
        <w:keepNext w:val="0"/>
        <w:keepLines w:val="0"/>
        <w:widowControl/>
        <w:numPr>
          <w:ilvl w:val="0"/>
          <w:numId w:val="0"/>
        </w:numPr>
        <w:suppressLineNumbers w:val="0"/>
        <w:pBdr>
          <w:left w:val="none" w:color="auto" w:sz="0" w:space="0"/>
        </w:pBdr>
        <w:spacing w:before="0" w:beforeAutospacing="0" w:after="96" w:afterAutospacing="0" w:line="360" w:lineRule="auto"/>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（一）设备与管道保温服务</w:t>
      </w:r>
    </w:p>
    <w:p>
      <w:pPr>
        <w:numPr>
          <w:ilvl w:val="0"/>
          <w:numId w:val="5"/>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投标方承担定期保温服务，包括新保温系统安装、原有保温系统更换，同步配套伴热系统安装与更换；</w:t>
      </w:r>
    </w:p>
    <w:p>
      <w:pPr>
        <w:numPr>
          <w:ilvl w:val="0"/>
          <w:numId w:val="5"/>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全程提供符合标准的人工、保温材料（岩棉需符合 GB/T11835-2019《绝热用岩棉、矿渣棉及其制品》）、伴热材料；</w:t>
      </w:r>
    </w:p>
    <w:p>
      <w:pPr>
        <w:numPr>
          <w:ilvl w:val="0"/>
          <w:numId w:val="5"/>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服务所需工具、设备由投标方自备并维护，确保性能完好、符合安全作业要求；</w:t>
      </w:r>
    </w:p>
    <w:p>
      <w:pPr>
        <w:numPr>
          <w:ilvl w:val="0"/>
          <w:numId w:val="5"/>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材料进场前需提交招标方审核查验，合格后方可使用。</w:t>
      </w:r>
    </w:p>
    <w:p>
      <w:pPr>
        <w:keepNext w:val="0"/>
        <w:keepLines w:val="0"/>
        <w:widowControl/>
        <w:numPr>
          <w:ilvl w:val="0"/>
          <w:numId w:val="0"/>
        </w:numPr>
        <w:suppressLineNumbers w:val="0"/>
        <w:pBdr>
          <w:left w:val="none" w:color="auto" w:sz="0" w:space="0"/>
        </w:pBdr>
        <w:spacing w:before="0" w:beforeAutospacing="0" w:after="96" w:afterAutospacing="0" w:line="360" w:lineRule="auto"/>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（二）石英砂滤料更换服务</w:t>
      </w:r>
    </w:p>
    <w:p>
      <w:pPr>
        <w:numPr>
          <w:ilvl w:val="0"/>
          <w:numId w:val="6"/>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投标方负责全部滤料更换工作及材料供应；</w:t>
      </w:r>
    </w:p>
    <w:p>
      <w:pPr>
        <w:numPr>
          <w:ilvl w:val="0"/>
          <w:numId w:val="6"/>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服务流程：原有滤料取出→新滤料放入→设备恢复；</w:t>
      </w:r>
    </w:p>
    <w:p>
      <w:pPr>
        <w:numPr>
          <w:ilvl w:val="0"/>
          <w:numId w:val="6"/>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滤料规格：石英砂粒径 0.8-1.2mm，取出量、放入量均为 3 吨 / 次；</w:t>
      </w:r>
    </w:p>
    <w:p>
      <w:pPr>
        <w:numPr>
          <w:ilvl w:val="0"/>
          <w:numId w:val="6"/>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资源配备：人工需持有效作业证件，工程车需提供行驶证、营运证等合规证件；</w:t>
      </w:r>
    </w:p>
    <w:p>
      <w:pPr>
        <w:numPr>
          <w:ilvl w:val="0"/>
          <w:numId w:val="6"/>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现场管理：服务期间保持现场整洁，无杂乱及环境污染；服务后归纳原有滤料，恢复现场环境至合规状态。</w:t>
      </w:r>
    </w:p>
    <w:p>
      <w:pPr>
        <w:numPr>
          <w:ilvl w:val="0"/>
          <w:numId w:val="0"/>
        </w:numPr>
        <w:spacing w:line="360" w:lineRule="auto"/>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（三）核桃壳滤料更换服务</w:t>
      </w:r>
    </w:p>
    <w:p>
      <w:pPr>
        <w:numPr>
          <w:ilvl w:val="0"/>
          <w:numId w:val="7"/>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投标方负责全部滤料更换工作及材料供应；</w:t>
      </w:r>
    </w:p>
    <w:p>
      <w:pPr>
        <w:numPr>
          <w:ilvl w:val="0"/>
          <w:numId w:val="7"/>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服务流程：原有滤料取出→新滤料放入→设备恢复；</w:t>
      </w:r>
    </w:p>
    <w:p>
      <w:pPr>
        <w:numPr>
          <w:ilvl w:val="0"/>
          <w:numId w:val="7"/>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滤料规格：核桃壳粒径 1.2-1.6mm，取出量、放入量均为 3 吨 / 次；</w:t>
      </w:r>
    </w:p>
    <w:p>
      <w:pPr>
        <w:numPr>
          <w:ilvl w:val="0"/>
          <w:numId w:val="7"/>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资源配备：人工需持有效作业证件，工程车需提供行驶证、营运证等合规证件；</w:t>
      </w:r>
    </w:p>
    <w:p>
      <w:pPr>
        <w:numPr>
          <w:ilvl w:val="0"/>
          <w:numId w:val="7"/>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现场管理：同 “石英砂滤料更换服务” 现场管理要求。</w:t>
      </w:r>
    </w:p>
    <w:p>
      <w:pPr>
        <w:keepNext w:val="0"/>
        <w:keepLines w:val="0"/>
        <w:widowControl/>
        <w:numPr>
          <w:ilvl w:val="0"/>
          <w:numId w:val="0"/>
        </w:numPr>
        <w:suppressLineNumbers w:val="0"/>
        <w:pBdr>
          <w:left w:val="none" w:color="auto" w:sz="0" w:space="0"/>
        </w:pBdr>
        <w:spacing w:before="0" w:beforeAutospacing="0" w:after="96" w:afterAutospacing="0" w:line="360" w:lineRule="auto"/>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（四）高密装置斜管填料更换服务</w:t>
      </w:r>
    </w:p>
    <w:p>
      <w:pPr>
        <w:numPr>
          <w:ilvl w:val="0"/>
          <w:numId w:val="8"/>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投标方全权负责高密装置斜管填料更换；</w:t>
      </w:r>
    </w:p>
    <w:p>
      <w:pPr>
        <w:numPr>
          <w:ilvl w:val="0"/>
          <w:numId w:val="8"/>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新填料规格：材质为加强 PP，材厚 1mm，斜管孔径 50mm；</w:t>
      </w:r>
    </w:p>
    <w:p>
      <w:pPr>
        <w:numPr>
          <w:ilvl w:val="0"/>
          <w:numId w:val="8"/>
        </w:numPr>
        <w:spacing w:line="360" w:lineRule="auto"/>
        <w:ind w:left="845" w:leftChars="0" w:hanging="425" w:firstLineChars="0"/>
        <w:jc w:val="left"/>
        <w:rPr>
          <w:rFonts w:hint="eastAsia"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bidi="ar-SA"/>
        </w:rPr>
        <w:t>服务流程：原有斜管填料取出→新斜管填料放入；</w:t>
      </w:r>
    </w:p>
    <w:p>
      <w:pPr>
        <w:numPr>
          <w:ilvl w:val="0"/>
          <w:numId w:val="8"/>
        </w:numPr>
        <w:spacing w:line="360" w:lineRule="auto"/>
        <w:ind w:left="845" w:leftChars="0" w:hanging="425" w:firstLineChars="0"/>
        <w:jc w:val="left"/>
        <w:rPr>
          <w:rFonts w:hint="eastAsia"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bidi="ar-SA"/>
        </w:rPr>
        <w:t>旧填料处理：更换后归纳整理原有填料，按规范处置；</w:t>
      </w:r>
    </w:p>
    <w:p>
      <w:pPr>
        <w:numPr>
          <w:ilvl w:val="0"/>
          <w:numId w:val="8"/>
        </w:numPr>
        <w:spacing w:line="360" w:lineRule="auto"/>
        <w:ind w:left="845" w:leftChars="0" w:hanging="425" w:firstLineChars="0"/>
        <w:jc w:val="left"/>
        <w:rPr>
          <w:rFonts w:hint="eastAsia"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bidi="ar-SA"/>
        </w:rPr>
        <w:t>现场管理：服务期间保持现场整洁，无杂乱及环境污染。</w:t>
      </w:r>
    </w:p>
    <w:p>
      <w:pPr>
        <w:spacing w:line="360" w:lineRule="auto"/>
        <w:rPr>
          <w:rFonts w:hint="eastAsia" w:ascii="仿宋" w:hAnsi="仿宋" w:eastAsia="仿宋" w:cs="仿宋"/>
          <w:b/>
          <w:bCs/>
          <w:kern w:val="0"/>
          <w:sz w:val="24"/>
          <w:szCs w:val="24"/>
          <w:highlight w:val="none"/>
          <w:lang w:eastAsia="zh-CN"/>
        </w:rPr>
      </w:pPr>
      <w:r>
        <w:rPr>
          <w:rFonts w:hint="eastAsia" w:ascii="仿宋" w:hAnsi="仿宋" w:eastAsia="仿宋" w:cs="仿宋"/>
          <w:b/>
          <w:bCs/>
          <w:kern w:val="0"/>
          <w:sz w:val="24"/>
          <w:szCs w:val="24"/>
          <w:highlight w:val="none"/>
          <w:lang w:val="en-US" w:eastAsia="zh-CN"/>
        </w:rPr>
        <w:t>六</w:t>
      </w:r>
      <w:r>
        <w:rPr>
          <w:rFonts w:hint="eastAsia" w:ascii="仿宋" w:hAnsi="仿宋" w:eastAsia="仿宋" w:cs="仿宋"/>
          <w:b/>
          <w:bCs/>
          <w:kern w:val="0"/>
          <w:sz w:val="24"/>
          <w:szCs w:val="24"/>
          <w:highlight w:val="none"/>
          <w:lang w:eastAsia="zh-CN"/>
        </w:rPr>
        <w:t>、服务地点</w:t>
      </w:r>
    </w:p>
    <w:p>
      <w:pPr>
        <w:keepNext w:val="0"/>
        <w:keepLines w:val="0"/>
        <w:widowControl/>
        <w:suppressLineNumbers w:val="0"/>
        <w:shd w:val="clear" w:fill="FFFFFF"/>
        <w:spacing w:line="360" w:lineRule="auto"/>
        <w:ind w:left="0" w:firstLine="480" w:firstLineChars="200"/>
        <w:jc w:val="left"/>
        <w:rPr>
          <w:rFonts w:hint="eastAsia" w:ascii="仿宋" w:hAnsi="仿宋" w:eastAsia="仿宋" w:cs="仿宋"/>
          <w:i w:val="0"/>
          <w:iCs w:val="0"/>
          <w:caps w:val="0"/>
          <w:spacing w:val="0"/>
          <w:sz w:val="24"/>
          <w:szCs w:val="24"/>
          <w:highlight w:val="none"/>
        </w:rPr>
      </w:pPr>
      <w:r>
        <w:rPr>
          <w:rFonts w:hint="eastAsia" w:ascii="仿宋" w:hAnsi="仿宋" w:eastAsia="仿宋" w:cs="仿宋"/>
          <w:kern w:val="0"/>
          <w:sz w:val="24"/>
          <w:szCs w:val="24"/>
          <w:highlight w:val="none"/>
          <w:lang w:val="en-US" w:eastAsia="zh-CN"/>
        </w:rPr>
        <w:t>山西省吕梁市兴县、临县及其周边和陕西省榆林市神木市栏杆堡镇及周边。</w:t>
      </w:r>
    </w:p>
    <w:p>
      <w:pPr>
        <w:numPr>
          <w:ilvl w:val="0"/>
          <w:numId w:val="9"/>
        </w:numPr>
        <w:spacing w:line="360" w:lineRule="auto"/>
        <w:ind w:leftChars="0"/>
        <w:jc w:val="left"/>
        <w:rPr>
          <w:rFonts w:hint="eastAsia" w:ascii="仿宋" w:hAnsi="仿宋" w:eastAsia="仿宋" w:cs="仿宋"/>
          <w:kern w:val="0"/>
          <w:sz w:val="24"/>
          <w:szCs w:val="24"/>
          <w:highlight w:val="none"/>
          <w:lang w:val="en-US" w:eastAsia="zh-CN"/>
        </w:rPr>
      </w:pPr>
      <w:r>
        <w:rPr>
          <w:rFonts w:hint="eastAsia" w:ascii="仿宋" w:hAnsi="仿宋" w:eastAsia="仿宋" w:cs="仿宋"/>
          <w:b/>
          <w:bCs/>
          <w:kern w:val="0"/>
          <w:sz w:val="24"/>
          <w:szCs w:val="24"/>
          <w:highlight w:val="none"/>
          <w:lang w:eastAsia="zh-CN"/>
        </w:rPr>
        <w:t>合同期限：</w:t>
      </w:r>
    </w:p>
    <w:p>
      <w:pPr>
        <w:numPr>
          <w:ilvl w:val="0"/>
          <w:numId w:val="0"/>
        </w:numPr>
        <w:spacing w:line="360" w:lineRule="auto"/>
        <w:ind w:firstLine="480" w:firstLineChars="20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自协议签订之日起叁年，采用1+1+1模式，合同执行满一年后，经双方协商，同意合同条款则本合同自动延续一年，依次类推。</w:t>
      </w:r>
    </w:p>
    <w:p>
      <w:pPr>
        <w:numPr>
          <w:ilvl w:val="0"/>
          <w:numId w:val="10"/>
        </w:numPr>
        <w:spacing w:line="360" w:lineRule="auto"/>
        <w:ind w:leftChars="0"/>
        <w:jc w:val="left"/>
        <w:rPr>
          <w:rFonts w:hint="eastAsia" w:ascii="仿宋" w:hAnsi="仿宋" w:eastAsia="仿宋" w:cs="仿宋"/>
          <w:b/>
          <w:bCs/>
          <w:kern w:val="0"/>
          <w:sz w:val="24"/>
          <w:szCs w:val="24"/>
          <w:highlight w:val="none"/>
          <w:lang w:eastAsia="zh-CN"/>
        </w:rPr>
      </w:pPr>
      <w:r>
        <w:rPr>
          <w:rFonts w:hint="eastAsia" w:ascii="仿宋" w:hAnsi="仿宋" w:eastAsia="仿宋" w:cs="仿宋"/>
          <w:b/>
          <w:bCs/>
          <w:kern w:val="0"/>
          <w:sz w:val="24"/>
          <w:szCs w:val="24"/>
          <w:highlight w:val="none"/>
          <w:lang w:eastAsia="zh-CN"/>
        </w:rPr>
        <w:t>服务要求</w:t>
      </w:r>
    </w:p>
    <w:p>
      <w:pPr>
        <w:keepNext w:val="0"/>
        <w:keepLines w:val="0"/>
        <w:widowControl/>
        <w:numPr>
          <w:ilvl w:val="0"/>
          <w:numId w:val="0"/>
        </w:numPr>
        <w:suppressLineNumbers w:val="0"/>
        <w:pBdr>
          <w:left w:val="none" w:color="auto" w:sz="0" w:space="0"/>
        </w:pBdr>
        <w:spacing w:before="0" w:beforeAutospacing="0" w:after="96" w:afterAutospacing="0" w:line="360" w:lineRule="auto"/>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bidi="ar-SA"/>
        </w:rPr>
        <w:t>（一）</w:t>
      </w:r>
      <w:r>
        <w:rPr>
          <w:rFonts w:hint="eastAsia" w:ascii="仿宋" w:hAnsi="仿宋" w:eastAsia="仿宋" w:cs="仿宋"/>
          <w:kern w:val="0"/>
          <w:sz w:val="24"/>
          <w:szCs w:val="24"/>
          <w:highlight w:val="none"/>
          <w:lang w:val="en-US" w:eastAsia="zh-CN"/>
        </w:rPr>
        <w:t>设备与管道保温服务要求</w:t>
      </w:r>
    </w:p>
    <w:p>
      <w:pPr>
        <w:numPr>
          <w:ilvl w:val="0"/>
          <w:numId w:val="11"/>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按国家 / 行业规范、质量标准及招标方确认的保温方案、指定材料执行，确保保温及伴热系统质量达标；</w:t>
      </w:r>
    </w:p>
    <w:p>
      <w:pPr>
        <w:numPr>
          <w:ilvl w:val="0"/>
          <w:numId w:val="11"/>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服务人员需经专业培训，熟悉保温及伴热系统工艺与操作规范；</w:t>
      </w:r>
    </w:p>
    <w:p>
      <w:pPr>
        <w:numPr>
          <w:ilvl w:val="0"/>
          <w:numId w:val="11"/>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质保期：保温及伴热系统提供不少于 1 年保修期；保修期内出现质量问题，投标方需在接到通知后 24 小时内到场维修，并承担维修费用。</w:t>
      </w:r>
    </w:p>
    <w:p>
      <w:pPr>
        <w:numPr>
          <w:ilvl w:val="0"/>
          <w:numId w:val="12"/>
        </w:numPr>
        <w:spacing w:line="360" w:lineRule="auto"/>
        <w:jc w:val="left"/>
        <w:rPr>
          <w:rFonts w:hint="eastAsia" w:ascii="仿宋" w:hAnsi="仿宋" w:eastAsia="仿宋" w:cs="仿宋"/>
          <w:b w:val="0"/>
          <w:bCs w:val="0"/>
          <w:kern w:val="0"/>
          <w:sz w:val="24"/>
          <w:szCs w:val="24"/>
          <w:highlight w:val="none"/>
          <w:lang w:val="en-US" w:eastAsia="zh-CN"/>
        </w:rPr>
      </w:pPr>
      <w:r>
        <w:rPr>
          <w:rFonts w:hint="eastAsia" w:ascii="仿宋" w:hAnsi="仿宋" w:eastAsia="仿宋" w:cs="仿宋"/>
          <w:b w:val="0"/>
          <w:bCs w:val="0"/>
          <w:kern w:val="0"/>
          <w:sz w:val="24"/>
          <w:szCs w:val="24"/>
          <w:highlight w:val="none"/>
          <w:lang w:val="en-US" w:eastAsia="zh-CN"/>
        </w:rPr>
        <w:t>滤料更换服务要求</w:t>
      </w:r>
    </w:p>
    <w:p>
      <w:pPr>
        <w:numPr>
          <w:ilvl w:val="0"/>
          <w:numId w:val="13"/>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操作需严格遵循行业规范及设备说明书；</w:t>
      </w:r>
    </w:p>
    <w:p>
      <w:pPr>
        <w:numPr>
          <w:ilvl w:val="0"/>
          <w:numId w:val="13"/>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现场设置明显安全警示标志，采取防护措施，防止人员伤亡、设备损坏及滤料泄漏；</w:t>
      </w:r>
    </w:p>
    <w:p>
      <w:pPr>
        <w:numPr>
          <w:ilvl w:val="0"/>
          <w:numId w:val="13"/>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遵守招标方现场管理规定，服从协调指挥；</w:t>
      </w:r>
    </w:p>
    <w:p>
      <w:pPr>
        <w:numPr>
          <w:ilvl w:val="0"/>
          <w:numId w:val="13"/>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服务产生的废弃物需及时清理，按环保要求处置，不得随意丢弃；</w:t>
      </w:r>
    </w:p>
    <w:p>
      <w:pPr>
        <w:numPr>
          <w:ilvl w:val="0"/>
          <w:numId w:val="13"/>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投标方需指定专人与招标方沟通，及时反馈服务进展、问题及解决方案；</w:t>
      </w:r>
    </w:p>
    <w:p>
      <w:pPr>
        <w:numPr>
          <w:ilvl w:val="0"/>
          <w:numId w:val="13"/>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质保期：石英砂滤料、核桃壳滤料质保期均不低于 1 年。</w:t>
      </w:r>
    </w:p>
    <w:p>
      <w:pPr>
        <w:numPr>
          <w:ilvl w:val="0"/>
          <w:numId w:val="12"/>
        </w:numPr>
        <w:spacing w:line="360" w:lineRule="auto"/>
        <w:jc w:val="left"/>
        <w:rPr>
          <w:rFonts w:hint="eastAsia" w:ascii="仿宋" w:hAnsi="仿宋" w:eastAsia="仿宋" w:cs="仿宋"/>
          <w:b w:val="0"/>
          <w:bCs w:val="0"/>
          <w:kern w:val="0"/>
          <w:sz w:val="24"/>
          <w:szCs w:val="24"/>
          <w:highlight w:val="none"/>
          <w:lang w:val="en-US" w:eastAsia="zh-CN"/>
        </w:rPr>
      </w:pPr>
      <w:r>
        <w:rPr>
          <w:rFonts w:hint="eastAsia" w:ascii="仿宋" w:hAnsi="仿宋" w:eastAsia="仿宋" w:cs="仿宋"/>
          <w:kern w:val="0"/>
          <w:sz w:val="24"/>
          <w:szCs w:val="24"/>
          <w:highlight w:val="none"/>
          <w:lang w:val="en-US" w:eastAsia="zh-CN"/>
        </w:rPr>
        <w:t>高密装置斜管</w:t>
      </w:r>
      <w:r>
        <w:rPr>
          <w:rFonts w:hint="eastAsia" w:ascii="仿宋" w:hAnsi="仿宋" w:eastAsia="仿宋" w:cs="仿宋"/>
          <w:b w:val="0"/>
          <w:bCs w:val="0"/>
          <w:kern w:val="0"/>
          <w:sz w:val="24"/>
          <w:szCs w:val="24"/>
          <w:highlight w:val="none"/>
          <w:lang w:val="en-US" w:eastAsia="zh-CN"/>
        </w:rPr>
        <w:t>填料更换服务要求</w:t>
      </w:r>
    </w:p>
    <w:p>
      <w:pPr>
        <w:numPr>
          <w:ilvl w:val="0"/>
          <w:numId w:val="14"/>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新填料需严格符合规格（加强 PP 材质、1mm 材厚、50mm 孔径）；</w:t>
      </w:r>
    </w:p>
    <w:p>
      <w:pPr>
        <w:numPr>
          <w:ilvl w:val="0"/>
          <w:numId w:val="14"/>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服务前需提供新填料质量合格证明文件，经招标方检验合格后方可使用；若质量不达标，投标方需无条件更换，并承担全部费用及损失；</w:t>
      </w:r>
    </w:p>
    <w:p>
      <w:pPr>
        <w:numPr>
          <w:ilvl w:val="0"/>
          <w:numId w:val="14"/>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按行业标准及合理流程执行更换；</w:t>
      </w:r>
    </w:p>
    <w:p>
      <w:pPr>
        <w:numPr>
          <w:ilvl w:val="0"/>
          <w:numId w:val="14"/>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服务期间保持现场整洁，及时清理垃圾、杂物；服务结束后彻底清理现场（含地面清洁、设施归位），经招标方验收合格后方视为服务完成；</w:t>
      </w:r>
    </w:p>
    <w:p>
      <w:pPr>
        <w:numPr>
          <w:ilvl w:val="0"/>
          <w:numId w:val="14"/>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投标方需制定完善安全方案，配备防护设备，对人员进行安全培训及技术交底，确保人员、设备安全；</w:t>
      </w:r>
    </w:p>
    <w:p>
      <w:pPr>
        <w:numPr>
          <w:ilvl w:val="0"/>
          <w:numId w:val="14"/>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质保期：斜管填料质保期不低于 1 年，覆盖材质缺陷、安装导致的初期渗漏等问题。</w:t>
      </w:r>
    </w:p>
    <w:p>
      <w:pPr>
        <w:numPr>
          <w:ilvl w:val="0"/>
          <w:numId w:val="0"/>
        </w:numPr>
        <w:spacing w:line="360" w:lineRule="auto"/>
        <w:ind w:leftChars="0"/>
        <w:jc w:val="left"/>
        <w:rPr>
          <w:rFonts w:hint="eastAsia" w:ascii="仿宋" w:hAnsi="仿宋" w:eastAsia="仿宋" w:cs="仿宋"/>
          <w:b/>
          <w:bCs/>
          <w:kern w:val="0"/>
          <w:sz w:val="24"/>
          <w:szCs w:val="24"/>
          <w:highlight w:val="none"/>
          <w:lang w:val="en-US" w:eastAsia="zh-CN"/>
        </w:rPr>
      </w:pPr>
      <w:r>
        <w:rPr>
          <w:rFonts w:hint="eastAsia" w:ascii="仿宋" w:hAnsi="仿宋" w:eastAsia="仿宋" w:cs="仿宋"/>
          <w:b/>
          <w:bCs/>
          <w:kern w:val="0"/>
          <w:sz w:val="24"/>
          <w:szCs w:val="24"/>
          <w:highlight w:val="none"/>
          <w:lang w:val="en-US" w:eastAsia="zh-CN"/>
        </w:rPr>
        <w:t>九、技术要求</w:t>
      </w:r>
    </w:p>
    <w:p>
      <w:pPr>
        <w:numPr>
          <w:ilvl w:val="0"/>
          <w:numId w:val="15"/>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设备与管道保温、滤料更换、填料更换等服务，需符合本文件 “三、执行标准 / 规范” 及国家、行业相关标准；</w:t>
      </w:r>
    </w:p>
    <w:p>
      <w:pPr>
        <w:numPr>
          <w:ilvl w:val="0"/>
          <w:numId w:val="15"/>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投标方需自备服务所需工具、车辆、材料，且需满足招标方技术规格要求。</w:t>
      </w:r>
    </w:p>
    <w:p>
      <w:pPr>
        <w:numPr>
          <w:ilvl w:val="0"/>
          <w:numId w:val="0"/>
        </w:numPr>
        <w:spacing w:line="360" w:lineRule="auto"/>
        <w:ind w:leftChars="0"/>
        <w:jc w:val="left"/>
        <w:rPr>
          <w:rFonts w:hint="eastAsia" w:ascii="仿宋" w:hAnsi="仿宋" w:eastAsia="仿宋" w:cs="仿宋"/>
          <w:b/>
          <w:bCs/>
          <w:kern w:val="0"/>
          <w:sz w:val="24"/>
          <w:szCs w:val="24"/>
          <w:highlight w:val="none"/>
          <w:lang w:val="en-US" w:eastAsia="zh-CN"/>
        </w:rPr>
      </w:pPr>
      <w:r>
        <w:rPr>
          <w:rFonts w:hint="eastAsia" w:ascii="仿宋" w:hAnsi="仿宋" w:eastAsia="仿宋" w:cs="仿宋"/>
          <w:b/>
          <w:bCs/>
          <w:kern w:val="0"/>
          <w:sz w:val="24"/>
          <w:szCs w:val="24"/>
          <w:highlight w:val="none"/>
          <w:lang w:val="en-US" w:eastAsia="zh-CN"/>
        </w:rPr>
        <w:t>十、保密要求</w:t>
      </w:r>
    </w:p>
    <w:p>
      <w:pPr>
        <w:numPr>
          <w:ilvl w:val="0"/>
          <w:numId w:val="0"/>
        </w:numPr>
        <w:spacing w:line="360" w:lineRule="auto"/>
        <w:ind w:left="420" w:left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招标方与投标方均对本项目的全部工作内容承担保密义务，未经对方书面同意，不得向任何第三方泄露。</w:t>
      </w:r>
    </w:p>
    <w:p>
      <w:pPr>
        <w:numPr>
          <w:ilvl w:val="0"/>
          <w:numId w:val="16"/>
        </w:numPr>
        <w:spacing w:line="360" w:lineRule="auto"/>
        <w:ind w:leftChars="0"/>
        <w:jc w:val="left"/>
        <w:rPr>
          <w:rFonts w:hint="eastAsia" w:ascii="仿宋" w:hAnsi="仿宋" w:eastAsia="仿宋" w:cs="仿宋"/>
          <w:b/>
          <w:bCs/>
          <w:kern w:val="0"/>
          <w:sz w:val="24"/>
          <w:szCs w:val="24"/>
          <w:highlight w:val="none"/>
          <w:lang w:val="en-US" w:eastAsia="zh-CN"/>
        </w:rPr>
      </w:pPr>
      <w:r>
        <w:rPr>
          <w:rFonts w:hint="eastAsia" w:ascii="仿宋" w:hAnsi="仿宋" w:eastAsia="仿宋" w:cs="仿宋"/>
          <w:b/>
          <w:bCs/>
          <w:kern w:val="0"/>
          <w:sz w:val="24"/>
          <w:szCs w:val="24"/>
          <w:highlight w:val="none"/>
          <w:lang w:val="en-US" w:eastAsia="zh-CN"/>
        </w:rPr>
        <w:t>验收标准</w:t>
      </w:r>
    </w:p>
    <w:p>
      <w:pPr>
        <w:numPr>
          <w:ilvl w:val="0"/>
          <w:numId w:val="0"/>
        </w:numPr>
        <w:spacing w:line="360" w:lineRule="auto"/>
        <w:jc w:val="left"/>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（一）设备与管道保温服务验收标准</w:t>
      </w:r>
    </w:p>
    <w:p>
      <w:pPr>
        <w:numPr>
          <w:ilvl w:val="0"/>
          <w:numId w:val="17"/>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保温及伴热系统整体运行稳定，保温效果符合设计要求；</w:t>
      </w:r>
    </w:p>
    <w:p>
      <w:pPr>
        <w:numPr>
          <w:ilvl w:val="0"/>
          <w:numId w:val="17"/>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系统运行无异常噪音、振动，伴热系统能按设定要求正常工作。</w:t>
      </w:r>
    </w:p>
    <w:p>
      <w:pPr>
        <w:numPr>
          <w:ilvl w:val="0"/>
          <w:numId w:val="0"/>
        </w:numPr>
        <w:spacing w:line="360" w:lineRule="auto"/>
        <w:jc w:val="left"/>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（二）滤料更换服务验收标准</w:t>
      </w:r>
    </w:p>
    <w:p>
      <w:pPr>
        <w:numPr>
          <w:ilvl w:val="0"/>
          <w:numId w:val="18"/>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服务过程无安全事故（含人员、设备、环境事故）；</w:t>
      </w:r>
    </w:p>
    <w:p>
      <w:pPr>
        <w:numPr>
          <w:ilvl w:val="0"/>
          <w:numId w:val="18"/>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滤料更换后，设备运行平稳，无异常噪音、振动。</w:t>
      </w:r>
    </w:p>
    <w:p>
      <w:pPr>
        <w:numPr>
          <w:ilvl w:val="0"/>
          <w:numId w:val="0"/>
        </w:numPr>
        <w:spacing w:line="360" w:lineRule="auto"/>
        <w:jc w:val="left"/>
        <w:rPr>
          <w:rFonts w:hint="eastAsia" w:ascii="仿宋" w:hAnsi="仿宋" w:eastAsia="仿宋" w:cs="仿宋"/>
          <w:b w:val="0"/>
          <w:bCs w:val="0"/>
          <w:kern w:val="0"/>
          <w:sz w:val="24"/>
          <w:szCs w:val="24"/>
          <w:highlight w:val="none"/>
          <w:lang w:val="en-US" w:eastAsia="zh-CN" w:bidi="ar-SA"/>
        </w:rPr>
      </w:pPr>
      <w:r>
        <w:rPr>
          <w:rFonts w:hint="eastAsia" w:ascii="仿宋" w:hAnsi="仿宋" w:eastAsia="仿宋" w:cs="仿宋"/>
          <w:b w:val="0"/>
          <w:bCs w:val="0"/>
          <w:kern w:val="0"/>
          <w:sz w:val="24"/>
          <w:szCs w:val="24"/>
          <w:highlight w:val="none"/>
          <w:lang w:val="en-US" w:eastAsia="zh-CN" w:bidi="ar-SA"/>
        </w:rPr>
        <w:t>（三）高密装置斜管填料更换服务验收标准</w:t>
      </w:r>
    </w:p>
    <w:p>
      <w:pPr>
        <w:numPr>
          <w:ilvl w:val="0"/>
          <w:numId w:val="19"/>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装置内原有填料需全部取出（无残留）；新填料位置准确、安装牢固、排列整齐，符合装置运行技术要求；若存在残留或安装不达标，视为验收不合格；</w:t>
      </w:r>
    </w:p>
    <w:p>
      <w:pPr>
        <w:numPr>
          <w:ilvl w:val="0"/>
          <w:numId w:val="19"/>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服务过程未对装置本体及周边设施造成损坏；若有损坏且未及时修复至原状，视为验收不合格。</w:t>
      </w:r>
    </w:p>
    <w:p>
      <w:pPr>
        <w:numPr>
          <w:ilvl w:val="0"/>
          <w:numId w:val="0"/>
        </w:numPr>
        <w:spacing w:line="360" w:lineRule="auto"/>
        <w:ind w:leftChars="0"/>
        <w:jc w:val="left"/>
        <w:rPr>
          <w:rFonts w:hint="eastAsia" w:ascii="仿宋" w:hAnsi="仿宋" w:eastAsia="仿宋" w:cs="仿宋"/>
          <w:b/>
          <w:bCs/>
          <w:kern w:val="0"/>
          <w:sz w:val="24"/>
          <w:szCs w:val="24"/>
          <w:highlight w:val="none"/>
          <w:lang w:val="en-US" w:eastAsia="zh-CN"/>
        </w:rPr>
      </w:pPr>
      <w:r>
        <w:rPr>
          <w:rFonts w:hint="eastAsia" w:ascii="仿宋" w:hAnsi="仿宋" w:eastAsia="仿宋" w:cs="仿宋"/>
          <w:b/>
          <w:bCs/>
          <w:kern w:val="0"/>
          <w:sz w:val="24"/>
          <w:szCs w:val="24"/>
          <w:highlight w:val="none"/>
          <w:lang w:val="en-US" w:eastAsia="zh-CN"/>
        </w:rPr>
        <w:t>十二、质量保证</w:t>
      </w:r>
    </w:p>
    <w:p>
      <w:pPr>
        <w:numPr>
          <w:ilvl w:val="0"/>
          <w:numId w:val="20"/>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若因投标方服务质量或操作问题导致环境污染，或造成招标方停产、停工、停待等损失，均由投标方承担；</w:t>
      </w:r>
    </w:p>
    <w:p>
      <w:pPr>
        <w:numPr>
          <w:ilvl w:val="0"/>
          <w:numId w:val="20"/>
        </w:numPr>
        <w:spacing w:line="360" w:lineRule="auto"/>
        <w:ind w:left="845" w:leftChars="0" w:hanging="425" w:firstLineChars="0"/>
        <w:jc w:val="left"/>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若投标方未在规定期限内完成服务动员或服务工作，需承担延误期间的全部损失。</w:t>
      </w:r>
    </w:p>
    <w:p>
      <w:pPr>
        <w:rPr>
          <w:rFonts w:hint="eastAsia" w:ascii="仿宋" w:hAnsi="仿宋" w:eastAsia="仿宋" w:cs="仿宋"/>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9C3B3"/>
    <w:multiLevelType w:val="singleLevel"/>
    <w:tmpl w:val="8989C3B3"/>
    <w:lvl w:ilvl="0" w:tentative="0">
      <w:start w:val="1"/>
      <w:numFmt w:val="decimal"/>
      <w:lvlText w:val="%1."/>
      <w:lvlJc w:val="left"/>
      <w:pPr>
        <w:tabs>
          <w:tab w:val="left" w:pos="420"/>
        </w:tabs>
        <w:ind w:left="845" w:hanging="425"/>
      </w:pPr>
      <w:rPr>
        <w:rFonts w:hint="default"/>
      </w:rPr>
    </w:lvl>
  </w:abstractNum>
  <w:abstractNum w:abstractNumId="1">
    <w:nsid w:val="8AE999AC"/>
    <w:multiLevelType w:val="singleLevel"/>
    <w:tmpl w:val="8AE999AC"/>
    <w:lvl w:ilvl="0" w:tentative="0">
      <w:start w:val="1"/>
      <w:numFmt w:val="decimal"/>
      <w:lvlText w:val="%1."/>
      <w:lvlJc w:val="left"/>
      <w:pPr>
        <w:tabs>
          <w:tab w:val="left" w:pos="420"/>
        </w:tabs>
        <w:ind w:left="845" w:hanging="425"/>
      </w:pPr>
      <w:rPr>
        <w:rFonts w:hint="default"/>
      </w:rPr>
    </w:lvl>
  </w:abstractNum>
  <w:abstractNum w:abstractNumId="2">
    <w:nsid w:val="BA281655"/>
    <w:multiLevelType w:val="singleLevel"/>
    <w:tmpl w:val="BA281655"/>
    <w:lvl w:ilvl="0" w:tentative="0">
      <w:start w:val="1"/>
      <w:numFmt w:val="decimal"/>
      <w:lvlText w:val="%1."/>
      <w:lvlJc w:val="left"/>
      <w:pPr>
        <w:tabs>
          <w:tab w:val="left" w:pos="420"/>
        </w:tabs>
        <w:ind w:left="1055" w:hanging="425"/>
      </w:pPr>
      <w:rPr>
        <w:rFonts w:hint="default"/>
      </w:rPr>
    </w:lvl>
  </w:abstractNum>
  <w:abstractNum w:abstractNumId="3">
    <w:nsid w:val="BF47B8DF"/>
    <w:multiLevelType w:val="singleLevel"/>
    <w:tmpl w:val="BF47B8DF"/>
    <w:lvl w:ilvl="0" w:tentative="0">
      <w:start w:val="1"/>
      <w:numFmt w:val="decimal"/>
      <w:lvlText w:val="%1."/>
      <w:lvlJc w:val="left"/>
      <w:pPr>
        <w:tabs>
          <w:tab w:val="left" w:pos="420"/>
        </w:tabs>
        <w:ind w:left="845" w:hanging="425"/>
      </w:pPr>
      <w:rPr>
        <w:rFonts w:hint="default"/>
      </w:rPr>
    </w:lvl>
  </w:abstractNum>
  <w:abstractNum w:abstractNumId="4">
    <w:nsid w:val="C65BA43B"/>
    <w:multiLevelType w:val="singleLevel"/>
    <w:tmpl w:val="C65BA43B"/>
    <w:lvl w:ilvl="0" w:tentative="0">
      <w:start w:val="7"/>
      <w:numFmt w:val="chineseCounting"/>
      <w:suff w:val="nothing"/>
      <w:lvlText w:val="%1、"/>
      <w:lvlJc w:val="left"/>
      <w:rPr>
        <w:rFonts w:hint="eastAsia"/>
      </w:rPr>
    </w:lvl>
  </w:abstractNum>
  <w:abstractNum w:abstractNumId="5">
    <w:nsid w:val="CCE285B1"/>
    <w:multiLevelType w:val="singleLevel"/>
    <w:tmpl w:val="CCE285B1"/>
    <w:lvl w:ilvl="0" w:tentative="0">
      <w:start w:val="1"/>
      <w:numFmt w:val="decimal"/>
      <w:lvlText w:val="%1."/>
      <w:lvlJc w:val="left"/>
      <w:pPr>
        <w:tabs>
          <w:tab w:val="left" w:pos="420"/>
        </w:tabs>
        <w:ind w:left="845" w:hanging="425"/>
      </w:pPr>
      <w:rPr>
        <w:rFonts w:hint="default"/>
      </w:rPr>
    </w:lvl>
  </w:abstractNum>
  <w:abstractNum w:abstractNumId="6">
    <w:nsid w:val="E25AFA84"/>
    <w:multiLevelType w:val="singleLevel"/>
    <w:tmpl w:val="E25AFA84"/>
    <w:lvl w:ilvl="0" w:tentative="0">
      <w:start w:val="1"/>
      <w:numFmt w:val="decimal"/>
      <w:lvlText w:val="%1."/>
      <w:lvlJc w:val="left"/>
      <w:pPr>
        <w:tabs>
          <w:tab w:val="left" w:pos="420"/>
        </w:tabs>
        <w:ind w:left="845" w:hanging="425"/>
      </w:pPr>
      <w:rPr>
        <w:rFonts w:hint="default"/>
      </w:rPr>
    </w:lvl>
  </w:abstractNum>
  <w:abstractNum w:abstractNumId="7">
    <w:nsid w:val="F072488C"/>
    <w:multiLevelType w:val="singleLevel"/>
    <w:tmpl w:val="F072488C"/>
    <w:lvl w:ilvl="0" w:tentative="0">
      <w:start w:val="2"/>
      <w:numFmt w:val="chineseCounting"/>
      <w:suff w:val="nothing"/>
      <w:lvlText w:val="（%1）"/>
      <w:lvlJc w:val="left"/>
      <w:rPr>
        <w:rFonts w:hint="eastAsia"/>
      </w:rPr>
    </w:lvl>
  </w:abstractNum>
  <w:abstractNum w:abstractNumId="8">
    <w:nsid w:val="03678F81"/>
    <w:multiLevelType w:val="singleLevel"/>
    <w:tmpl w:val="03678F81"/>
    <w:lvl w:ilvl="0" w:tentative="0">
      <w:start w:val="1"/>
      <w:numFmt w:val="decimal"/>
      <w:lvlText w:val="%1."/>
      <w:lvlJc w:val="left"/>
      <w:pPr>
        <w:tabs>
          <w:tab w:val="left" w:pos="420"/>
        </w:tabs>
        <w:ind w:left="845" w:hanging="425"/>
      </w:pPr>
      <w:rPr>
        <w:rFonts w:hint="default"/>
      </w:rPr>
    </w:lvl>
  </w:abstractNum>
  <w:abstractNum w:abstractNumId="9">
    <w:nsid w:val="05AB1715"/>
    <w:multiLevelType w:val="singleLevel"/>
    <w:tmpl w:val="05AB1715"/>
    <w:lvl w:ilvl="0" w:tentative="0">
      <w:start w:val="1"/>
      <w:numFmt w:val="decimal"/>
      <w:lvlText w:val="%1."/>
      <w:lvlJc w:val="left"/>
      <w:pPr>
        <w:tabs>
          <w:tab w:val="left" w:pos="420"/>
        </w:tabs>
        <w:ind w:left="845" w:hanging="425"/>
      </w:pPr>
      <w:rPr>
        <w:rFonts w:hint="default"/>
      </w:rPr>
    </w:lvl>
  </w:abstractNum>
  <w:abstractNum w:abstractNumId="10">
    <w:nsid w:val="13000B9C"/>
    <w:multiLevelType w:val="singleLevel"/>
    <w:tmpl w:val="13000B9C"/>
    <w:lvl w:ilvl="0" w:tentative="0">
      <w:start w:val="1"/>
      <w:numFmt w:val="decimal"/>
      <w:lvlText w:val="%1."/>
      <w:lvlJc w:val="left"/>
      <w:pPr>
        <w:tabs>
          <w:tab w:val="left" w:pos="420"/>
        </w:tabs>
        <w:ind w:left="845" w:hanging="425"/>
      </w:pPr>
      <w:rPr>
        <w:rFonts w:hint="default"/>
      </w:rPr>
    </w:lvl>
  </w:abstractNum>
  <w:abstractNum w:abstractNumId="11">
    <w:nsid w:val="26AE2EFB"/>
    <w:multiLevelType w:val="singleLevel"/>
    <w:tmpl w:val="26AE2EFB"/>
    <w:lvl w:ilvl="0" w:tentative="0">
      <w:start w:val="1"/>
      <w:numFmt w:val="decimal"/>
      <w:lvlText w:val="%1."/>
      <w:lvlJc w:val="left"/>
      <w:pPr>
        <w:tabs>
          <w:tab w:val="left" w:pos="420"/>
        </w:tabs>
        <w:ind w:left="845" w:hanging="425"/>
      </w:pPr>
      <w:rPr>
        <w:rFonts w:hint="default"/>
      </w:rPr>
    </w:lvl>
  </w:abstractNum>
  <w:abstractNum w:abstractNumId="12">
    <w:nsid w:val="27B64D11"/>
    <w:multiLevelType w:val="singleLevel"/>
    <w:tmpl w:val="27B64D11"/>
    <w:lvl w:ilvl="0" w:tentative="0">
      <w:start w:val="1"/>
      <w:numFmt w:val="decimal"/>
      <w:lvlText w:val="%1."/>
      <w:lvlJc w:val="left"/>
      <w:pPr>
        <w:tabs>
          <w:tab w:val="left" w:pos="420"/>
        </w:tabs>
        <w:ind w:left="845" w:hanging="425"/>
      </w:pPr>
      <w:rPr>
        <w:rFonts w:hint="default"/>
      </w:rPr>
    </w:lvl>
  </w:abstractNum>
  <w:abstractNum w:abstractNumId="13">
    <w:nsid w:val="2C34D358"/>
    <w:multiLevelType w:val="singleLevel"/>
    <w:tmpl w:val="2C34D358"/>
    <w:lvl w:ilvl="0" w:tentative="0">
      <w:start w:val="1"/>
      <w:numFmt w:val="decimal"/>
      <w:lvlText w:val="%1."/>
      <w:lvlJc w:val="left"/>
      <w:pPr>
        <w:tabs>
          <w:tab w:val="left" w:pos="420"/>
        </w:tabs>
        <w:ind w:left="845" w:hanging="425"/>
      </w:pPr>
      <w:rPr>
        <w:rFonts w:hint="default"/>
      </w:rPr>
    </w:lvl>
  </w:abstractNum>
  <w:abstractNum w:abstractNumId="14">
    <w:nsid w:val="36B933F1"/>
    <w:multiLevelType w:val="singleLevel"/>
    <w:tmpl w:val="36B933F1"/>
    <w:lvl w:ilvl="0" w:tentative="0">
      <w:start w:val="8"/>
      <w:numFmt w:val="chineseCounting"/>
      <w:suff w:val="nothing"/>
      <w:lvlText w:val="%1、"/>
      <w:lvlJc w:val="left"/>
      <w:rPr>
        <w:rFonts w:hint="eastAsia"/>
      </w:rPr>
    </w:lvl>
  </w:abstractNum>
  <w:abstractNum w:abstractNumId="15">
    <w:nsid w:val="3CACC267"/>
    <w:multiLevelType w:val="singleLevel"/>
    <w:tmpl w:val="3CACC267"/>
    <w:lvl w:ilvl="0" w:tentative="0">
      <w:start w:val="1"/>
      <w:numFmt w:val="decimal"/>
      <w:lvlText w:val="%1."/>
      <w:lvlJc w:val="left"/>
      <w:pPr>
        <w:tabs>
          <w:tab w:val="left" w:pos="420"/>
        </w:tabs>
        <w:ind w:left="845" w:hanging="425"/>
      </w:pPr>
      <w:rPr>
        <w:rFonts w:hint="default"/>
      </w:rPr>
    </w:lvl>
  </w:abstractNum>
  <w:abstractNum w:abstractNumId="16">
    <w:nsid w:val="4224AB93"/>
    <w:multiLevelType w:val="singleLevel"/>
    <w:tmpl w:val="4224AB93"/>
    <w:lvl w:ilvl="0" w:tentative="0">
      <w:start w:val="1"/>
      <w:numFmt w:val="chineseCounting"/>
      <w:suff w:val="nothing"/>
      <w:lvlText w:val="%1、"/>
      <w:lvlJc w:val="left"/>
      <w:pPr>
        <w:ind w:left="-420" w:firstLine="420"/>
      </w:pPr>
      <w:rPr>
        <w:rFonts w:hint="eastAsia"/>
      </w:rPr>
    </w:lvl>
  </w:abstractNum>
  <w:abstractNum w:abstractNumId="17">
    <w:nsid w:val="58678903"/>
    <w:multiLevelType w:val="singleLevel"/>
    <w:tmpl w:val="58678903"/>
    <w:lvl w:ilvl="0" w:tentative="0">
      <w:start w:val="1"/>
      <w:numFmt w:val="decimal"/>
      <w:lvlText w:val="%1."/>
      <w:lvlJc w:val="left"/>
      <w:pPr>
        <w:tabs>
          <w:tab w:val="left" w:pos="420"/>
        </w:tabs>
        <w:ind w:left="845" w:hanging="425"/>
      </w:pPr>
      <w:rPr>
        <w:rFonts w:hint="default"/>
      </w:rPr>
    </w:lvl>
  </w:abstractNum>
  <w:abstractNum w:abstractNumId="18">
    <w:nsid w:val="6F79B226"/>
    <w:multiLevelType w:val="singleLevel"/>
    <w:tmpl w:val="6F79B226"/>
    <w:lvl w:ilvl="0" w:tentative="0">
      <w:start w:val="11"/>
      <w:numFmt w:val="chineseCounting"/>
      <w:suff w:val="nothing"/>
      <w:lvlText w:val="%1、"/>
      <w:lvlJc w:val="left"/>
      <w:rPr>
        <w:rFonts w:hint="eastAsia"/>
      </w:rPr>
    </w:lvl>
  </w:abstractNum>
  <w:abstractNum w:abstractNumId="19">
    <w:nsid w:val="7BA6BBDC"/>
    <w:multiLevelType w:val="singleLevel"/>
    <w:tmpl w:val="7BA6BBDC"/>
    <w:lvl w:ilvl="0" w:tentative="0">
      <w:start w:val="1"/>
      <w:numFmt w:val="decimal"/>
      <w:lvlText w:val="%1."/>
      <w:lvlJc w:val="left"/>
      <w:pPr>
        <w:tabs>
          <w:tab w:val="left" w:pos="420"/>
        </w:tabs>
        <w:ind w:left="845" w:hanging="425"/>
      </w:pPr>
      <w:rPr>
        <w:rFonts w:hint="default"/>
      </w:rPr>
    </w:lvl>
  </w:abstractNum>
  <w:num w:numId="1">
    <w:abstractNumId w:val="16"/>
  </w:num>
  <w:num w:numId="2">
    <w:abstractNumId w:val="10"/>
  </w:num>
  <w:num w:numId="3">
    <w:abstractNumId w:val="0"/>
  </w:num>
  <w:num w:numId="4">
    <w:abstractNumId w:val="2"/>
  </w:num>
  <w:num w:numId="5">
    <w:abstractNumId w:val="11"/>
  </w:num>
  <w:num w:numId="6">
    <w:abstractNumId w:val="9"/>
  </w:num>
  <w:num w:numId="7">
    <w:abstractNumId w:val="3"/>
  </w:num>
  <w:num w:numId="8">
    <w:abstractNumId w:val="8"/>
  </w:num>
  <w:num w:numId="9">
    <w:abstractNumId w:val="4"/>
  </w:num>
  <w:num w:numId="10">
    <w:abstractNumId w:val="14"/>
  </w:num>
  <w:num w:numId="11">
    <w:abstractNumId w:val="17"/>
  </w:num>
  <w:num w:numId="12">
    <w:abstractNumId w:val="7"/>
  </w:num>
  <w:num w:numId="13">
    <w:abstractNumId w:val="5"/>
  </w:num>
  <w:num w:numId="14">
    <w:abstractNumId w:val="13"/>
  </w:num>
  <w:num w:numId="15">
    <w:abstractNumId w:val="6"/>
  </w:num>
  <w:num w:numId="16">
    <w:abstractNumId w:val="18"/>
  </w:num>
  <w:num w:numId="17">
    <w:abstractNumId w:val="1"/>
  </w:num>
  <w:num w:numId="18">
    <w:abstractNumId w:val="12"/>
  </w:num>
  <w:num w:numId="19">
    <w:abstractNumId w:val="1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263C9"/>
    <w:rsid w:val="059F7144"/>
    <w:rsid w:val="0AE578F1"/>
    <w:rsid w:val="0B7B3C22"/>
    <w:rsid w:val="0DBC62AE"/>
    <w:rsid w:val="10BF79E7"/>
    <w:rsid w:val="118B711A"/>
    <w:rsid w:val="139D0671"/>
    <w:rsid w:val="13CD63BD"/>
    <w:rsid w:val="14766710"/>
    <w:rsid w:val="15174DFF"/>
    <w:rsid w:val="164E36C0"/>
    <w:rsid w:val="18620C91"/>
    <w:rsid w:val="1A643C5B"/>
    <w:rsid w:val="1BD702B9"/>
    <w:rsid w:val="1C8D477E"/>
    <w:rsid w:val="1D083838"/>
    <w:rsid w:val="1DDF3F11"/>
    <w:rsid w:val="1E5EA643"/>
    <w:rsid w:val="1ED658DF"/>
    <w:rsid w:val="1F7C71B6"/>
    <w:rsid w:val="21A86178"/>
    <w:rsid w:val="22D76CAF"/>
    <w:rsid w:val="24932711"/>
    <w:rsid w:val="295264D7"/>
    <w:rsid w:val="2D34160E"/>
    <w:rsid w:val="2EA01F84"/>
    <w:rsid w:val="3078755D"/>
    <w:rsid w:val="31CB6BC1"/>
    <w:rsid w:val="31DD2470"/>
    <w:rsid w:val="34E8105C"/>
    <w:rsid w:val="35332E5A"/>
    <w:rsid w:val="35663233"/>
    <w:rsid w:val="369A0A23"/>
    <w:rsid w:val="39C46B5B"/>
    <w:rsid w:val="3C8E4196"/>
    <w:rsid w:val="3C92474F"/>
    <w:rsid w:val="3D6815AD"/>
    <w:rsid w:val="42DC36C1"/>
    <w:rsid w:val="4CF7185D"/>
    <w:rsid w:val="4D4A3E5A"/>
    <w:rsid w:val="4E3D4165"/>
    <w:rsid w:val="511B7456"/>
    <w:rsid w:val="51961F39"/>
    <w:rsid w:val="521E3449"/>
    <w:rsid w:val="527C62B1"/>
    <w:rsid w:val="52ED0FCF"/>
    <w:rsid w:val="53AC60D2"/>
    <w:rsid w:val="55465E74"/>
    <w:rsid w:val="55980F79"/>
    <w:rsid w:val="570F4566"/>
    <w:rsid w:val="573471BC"/>
    <w:rsid w:val="57EA4C45"/>
    <w:rsid w:val="591F442E"/>
    <w:rsid w:val="5ABC7BF7"/>
    <w:rsid w:val="5D233A96"/>
    <w:rsid w:val="5D281862"/>
    <w:rsid w:val="5D851084"/>
    <w:rsid w:val="5DBB716C"/>
    <w:rsid w:val="60690581"/>
    <w:rsid w:val="629E3E72"/>
    <w:rsid w:val="62C13CB7"/>
    <w:rsid w:val="641A1322"/>
    <w:rsid w:val="64B80FDB"/>
    <w:rsid w:val="65F0370B"/>
    <w:rsid w:val="66670A10"/>
    <w:rsid w:val="6A667C1B"/>
    <w:rsid w:val="6AC10064"/>
    <w:rsid w:val="6F252AE8"/>
    <w:rsid w:val="72031C1B"/>
    <w:rsid w:val="726C5DC7"/>
    <w:rsid w:val="741F25F0"/>
    <w:rsid w:val="74E6509C"/>
    <w:rsid w:val="75412861"/>
    <w:rsid w:val="759E5B71"/>
    <w:rsid w:val="76997A61"/>
    <w:rsid w:val="76FF5B1D"/>
    <w:rsid w:val="78153A90"/>
    <w:rsid w:val="79A63C6A"/>
    <w:rsid w:val="7AE87CCE"/>
    <w:rsid w:val="7DA43032"/>
    <w:rsid w:val="7ECA4B12"/>
    <w:rsid w:val="7EFB1F06"/>
    <w:rsid w:val="7EFFBD20"/>
    <w:rsid w:val="7F9B01CC"/>
    <w:rsid w:val="B3DFB036"/>
    <w:rsid w:val="DF7676FF"/>
    <w:rsid w:val="F57F13CC"/>
    <w:rsid w:val="F7E2B556"/>
    <w:rsid w:val="F9FB36C0"/>
    <w:rsid w:val="FDADF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customStyle="1" w:styleId="8">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3183</Words>
  <Characters>3337</Characters>
  <Lines>0</Lines>
  <Paragraphs>0</Paragraphs>
  <TotalTime>174</TotalTime>
  <ScaleCrop>false</ScaleCrop>
  <LinksUpToDate>false</LinksUpToDate>
  <CharactersWithSpaces>3492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2025-07-01T11:15:00Z</dcterms:created>
  <dc:creator>10263</dc:creator>
  <cp:lastModifiedBy>董文松</cp:lastModifiedBy>
  <dcterms:modified xsi:type="dcterms:W3CDTF">2026-05-14T00:56:53Z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eyJoZGlkIjoiMzEwNTM5NzYwMDRjMzkwZTVkZjY2ODkwMGIxNGU0OTUiLCJ1c2VySWQiOiIzNzU1NDQ2MTUifQ==</vt:lpwstr>
  </property>
  <property fmtid="{D5CDD505-2E9C-101B-9397-08002B2CF9AE}" pid="4" name="ICV">
    <vt:lpwstr>504830DEE764413C84E8FB9D82BBCF52_13</vt:lpwstr>
  </property>
</Properties>
</file>