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center"/>
        <w:rPr>
          <w:rFonts w:ascii="Arial Unicode MS" w:eastAsia="Arial Unicode MS" w:cs="Arial Unicode MS"/>
          <w:b/>
          <w:color w:val="auto"/>
          <w:spacing w:val="2"/>
          <w:w w:val="99"/>
          <w:sz w:val="52"/>
          <w:szCs w:val="52"/>
          <w:highlight w:val="none"/>
        </w:rPr>
      </w:pPr>
      <w:r>
        <w:rPr>
          <w:rFonts w:ascii="Arial Unicode MS" w:eastAsia="Arial Unicode MS" w:cs="Arial Unicode MS"/>
          <w:b/>
          <w:color w:val="auto"/>
          <w:spacing w:val="2"/>
          <w:w w:val="99"/>
          <w:sz w:val="52"/>
          <w:szCs w:val="52"/>
          <w:highlight w:val="none"/>
          <w:lang w:eastAsia="zh-CN"/>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0" b="0"/>
            <wp:wrapTight wrapText="bothSides">
              <wp:wrapPolygon>
                <wp:start x="7475" y="0"/>
                <wp:lineTo x="2320" y="4577"/>
                <wp:lineTo x="1289" y="6008"/>
                <wp:lineTo x="0" y="8583"/>
                <wp:lineTo x="0" y="15163"/>
                <wp:lineTo x="1289" y="18310"/>
                <wp:lineTo x="1289" y="18882"/>
                <wp:lineTo x="5155" y="21457"/>
                <wp:lineTo x="5928" y="21457"/>
                <wp:lineTo x="11084" y="21457"/>
                <wp:lineTo x="11857" y="21457"/>
                <wp:lineTo x="15465" y="18882"/>
                <wp:lineTo x="15723" y="18310"/>
                <wp:lineTo x="17527" y="13732"/>
                <wp:lineTo x="21394" y="12016"/>
                <wp:lineTo x="21394" y="8869"/>
                <wp:lineTo x="14692"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Arial Unicode MS" w:eastAsia="Arial Unicode MS" w:cs="Arial Unicode MS"/>
          <w:b/>
          <w:color w:val="auto"/>
          <w:spacing w:val="2"/>
          <w:w w:val="99"/>
          <w:sz w:val="52"/>
          <w:szCs w:val="52"/>
          <w:highlight w:val="none"/>
        </w:rPr>
      </w:pPr>
    </w:p>
    <w:p>
      <w:pPr>
        <w:autoSpaceDE w:val="0"/>
        <w:autoSpaceDN w:val="0"/>
        <w:spacing w:before="120" w:after="120"/>
        <w:ind w:right="-20"/>
        <w:jc w:val="center"/>
        <w:rPr>
          <w:rFonts w:ascii="微软雅黑" w:hAnsi="微软雅黑" w:eastAsia="微软雅黑" w:cs="Arial Unicode MS"/>
          <w:b/>
          <w:color w:val="auto"/>
          <w:spacing w:val="2"/>
          <w:w w:val="99"/>
          <w:sz w:val="52"/>
          <w:szCs w:val="52"/>
          <w:highlight w:val="none"/>
        </w:rPr>
      </w:pPr>
    </w:p>
    <w:p>
      <w:pPr>
        <w:jc w:val="center"/>
        <w:rPr>
          <w:rFonts w:hint="eastAsia" w:ascii="微软雅黑" w:hAnsi="微软雅黑" w:eastAsia="微软雅黑" w:cs="微软雅黑"/>
          <w:color w:val="auto"/>
          <w:spacing w:val="2"/>
          <w:w w:val="99"/>
          <w:sz w:val="52"/>
          <w:szCs w:val="52"/>
          <w:highlight w:val="none"/>
          <w:lang w:eastAsia="zh-CN"/>
        </w:rPr>
      </w:pPr>
      <w:r>
        <w:rPr>
          <w:rFonts w:hint="eastAsia" w:ascii="微软雅黑" w:hAnsi="微软雅黑" w:eastAsia="微软雅黑" w:cs="微软雅黑"/>
          <w:color w:val="auto"/>
          <w:spacing w:val="2"/>
          <w:w w:val="99"/>
          <w:sz w:val="52"/>
          <w:szCs w:val="52"/>
          <w:highlight w:val="none"/>
          <w:lang w:eastAsia="zh-CN"/>
        </w:rPr>
        <w:t>中海油能源发展股份有限公司</w:t>
      </w:r>
    </w:p>
    <w:p>
      <w:pPr>
        <w:jc w:val="center"/>
        <w:rPr>
          <w:rFonts w:ascii="微软雅黑" w:hAnsi="微软雅黑" w:eastAsia="微软雅黑" w:cs="Arial Unicode MS"/>
          <w:b/>
          <w:color w:val="auto"/>
          <w:spacing w:val="2"/>
          <w:w w:val="99"/>
          <w:sz w:val="52"/>
          <w:szCs w:val="52"/>
          <w:highlight w:val="none"/>
          <w:lang w:eastAsia="zh-CN"/>
        </w:rPr>
      </w:pPr>
    </w:p>
    <w:p>
      <w:pPr>
        <w:jc w:val="center"/>
        <w:rPr>
          <w:rFonts w:hint="default" w:ascii="微软雅黑" w:hAnsi="微软雅黑" w:eastAsia="微软雅黑" w:cs="Arial Unicode MS"/>
          <w:color w:val="auto"/>
          <w:spacing w:val="2"/>
          <w:w w:val="99"/>
          <w:sz w:val="52"/>
          <w:szCs w:val="52"/>
          <w:highlight w:val="none"/>
          <w:u w:val="single"/>
          <w:lang w:val="en-US" w:eastAsia="zh-CN"/>
        </w:rPr>
      </w:pPr>
      <w:r>
        <w:rPr>
          <w:rFonts w:hint="eastAsia" w:ascii="微软雅黑" w:hAnsi="微软雅黑" w:eastAsia="微软雅黑" w:cs="Arial Unicode MS"/>
          <w:color w:val="auto"/>
          <w:spacing w:val="2"/>
          <w:w w:val="99"/>
          <w:sz w:val="52"/>
          <w:szCs w:val="52"/>
          <w:highlight w:val="none"/>
          <w:u w:val="single"/>
          <w:lang w:val="en-US" w:eastAsia="zh-CN"/>
        </w:rPr>
        <w:t>检测公司超声波测厚仪购置项目</w:t>
      </w:r>
    </w:p>
    <w:p>
      <w:pPr>
        <w:jc w:val="center"/>
        <w:rPr>
          <w:rFonts w:ascii="微软雅黑" w:hAnsi="微软雅黑" w:eastAsia="微软雅黑" w:cs="Arial Unicode MS"/>
          <w:b/>
          <w:color w:val="auto"/>
          <w:spacing w:val="2"/>
          <w:w w:val="99"/>
          <w:sz w:val="52"/>
          <w:szCs w:val="52"/>
          <w:highlight w:val="none"/>
          <w:lang w:eastAsia="zh-CN"/>
        </w:rPr>
      </w:pPr>
      <w:r>
        <w:rPr>
          <w:rFonts w:hint="eastAsia" w:ascii="微软雅黑" w:hAnsi="微软雅黑" w:eastAsia="微软雅黑" w:cs="Arial Unicode MS"/>
          <w:b/>
          <w:color w:val="auto"/>
          <w:spacing w:val="2"/>
          <w:w w:val="99"/>
          <w:sz w:val="52"/>
          <w:szCs w:val="52"/>
          <w:highlight w:val="none"/>
          <w:lang w:eastAsia="zh-CN"/>
        </w:rPr>
        <w:t>采购技术要求书</w:t>
      </w:r>
    </w:p>
    <w:p>
      <w:pPr>
        <w:autoSpaceDE w:val="0"/>
        <w:autoSpaceDN w:val="0"/>
        <w:spacing w:before="120" w:after="120" w:line="720" w:lineRule="auto"/>
        <w:ind w:right="-20" w:firstLine="640" w:firstLineChars="200"/>
        <w:rPr>
          <w:rFonts w:hint="default" w:ascii="Arial Unicode MS" w:eastAsia="Arial Unicode MS" w:cs="Arial Unicode MS"/>
          <w:color w:val="auto"/>
          <w:spacing w:val="2"/>
          <w:w w:val="99"/>
          <w:sz w:val="32"/>
          <w:szCs w:val="32"/>
          <w:highlight w:val="none"/>
          <w:lang w:val="en-US" w:eastAsia="zh-CN"/>
        </w:rPr>
      </w:pPr>
      <w:r>
        <w:rPr>
          <w:rFonts w:hint="eastAsia" w:ascii="Arial Unicode MS" w:eastAsia="Arial Unicode MS" w:cs="Arial Unicode MS"/>
          <w:color w:val="auto"/>
          <w:spacing w:val="2"/>
          <w:w w:val="99"/>
          <w:sz w:val="32"/>
          <w:szCs w:val="32"/>
          <w:highlight w:val="none"/>
          <w:lang w:val="en-US" w:eastAsia="zh-CN"/>
        </w:rPr>
        <w:t>引用技术标准编号：</w:t>
      </w:r>
      <w:r>
        <w:rPr>
          <w:rFonts w:hint="eastAsia" w:ascii="Arial Unicode MS" w:eastAsia="Arial Unicode MS" w:cs="Arial Unicode MS"/>
          <w:color w:val="auto"/>
          <w:spacing w:val="2"/>
          <w:w w:val="99"/>
          <w:sz w:val="28"/>
          <w:szCs w:val="28"/>
          <w:highlight w:val="none"/>
          <w:lang w:val="en-US" w:eastAsia="zh-CN"/>
        </w:rPr>
        <w:t>JJF1126-2004超声波测厚仪校准规范</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p>
    <w:p>
      <w:pPr>
        <w:autoSpaceDE w:val="0"/>
        <w:autoSpaceDN w:val="0"/>
        <w:spacing w:before="120" w:after="120" w:line="720" w:lineRule="auto"/>
        <w:ind w:right="-20"/>
        <w:rPr>
          <w:rFonts w:hint="eastAsia"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编</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制</w:t>
      </w:r>
      <w:r>
        <w:rPr>
          <w:rFonts w:hint="eastAsia" w:ascii="Arial Unicode MS" w:eastAsia="Arial Unicode MS" w:cs="Arial Unicode MS"/>
          <w:color w:val="auto"/>
          <w:spacing w:val="2"/>
          <w:w w:val="99"/>
          <w:sz w:val="32"/>
          <w:szCs w:val="32"/>
          <w:highlight w:val="none"/>
          <w:lang w:val="en-US" w:eastAsia="zh-CN"/>
        </w:rPr>
        <w:t xml:space="preserve">  人</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p>
    <w:p>
      <w:pPr>
        <w:autoSpaceDE w:val="0"/>
        <w:autoSpaceDN w:val="0"/>
        <w:spacing w:before="120" w:after="120" w:line="720" w:lineRule="auto"/>
        <w:ind w:right="-20"/>
        <w:rPr>
          <w:rFonts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作业部经理</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p>
    <w:p>
      <w:pPr>
        <w:autoSpaceDE w:val="0"/>
        <w:autoSpaceDN w:val="0"/>
        <w:spacing w:before="120" w:after="120" w:line="720" w:lineRule="auto"/>
        <w:ind w:right="-20"/>
        <w:rPr>
          <w:rFonts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技术中心经理</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120" w:after="120" w:line="15" w:lineRule="auto"/>
        <w:ind w:right="-23" w:firstLine="640" w:firstLineChars="200"/>
        <w:textAlignment w:val="auto"/>
        <w:rPr>
          <w:rFonts w:hint="eastAsia" w:ascii="Arial Unicode MS" w:eastAsia="Arial Unicode MS" w:cs="Arial Unicode MS"/>
          <w:color w:val="auto"/>
          <w:spacing w:val="2"/>
          <w:w w:val="99"/>
          <w:sz w:val="36"/>
          <w:szCs w:val="36"/>
          <w:highlight w:val="none"/>
          <w:lang w:eastAsia="zh-CN"/>
        </w:rPr>
      </w:pPr>
      <w:r>
        <w:rPr>
          <w:rFonts w:hint="eastAsia" w:ascii="Arial Unicode MS" w:eastAsia="Arial Unicode MS" w:cs="Arial Unicode MS"/>
          <w:color w:val="auto"/>
          <w:spacing w:val="2"/>
          <w:w w:val="99"/>
          <w:sz w:val="32"/>
          <w:szCs w:val="32"/>
          <w:highlight w:val="none"/>
          <w:lang w:val="en-US" w:eastAsia="zh-CN"/>
        </w:rPr>
        <w:t>总工/技术主管领导：</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6"/>
          <w:szCs w:val="36"/>
          <w:highlight w:val="none"/>
          <w:lang w:val="en-US" w:eastAsia="zh-CN"/>
        </w:rPr>
        <w:t xml:space="preserve">           </w:t>
      </w:r>
      <w:r>
        <w:rPr>
          <w:rFonts w:hint="eastAsia" w:ascii="Arial Unicode MS" w:eastAsia="Arial Unicode MS" w:cs="Arial Unicode MS"/>
          <w:color w:val="auto"/>
          <w:spacing w:val="2"/>
          <w:w w:val="99"/>
          <w:sz w:val="36"/>
          <w:szCs w:val="36"/>
          <w:highlight w:val="none"/>
          <w:lang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120" w:after="120" w:line="15" w:lineRule="auto"/>
        <w:ind w:right="-23" w:firstLine="562" w:firstLineChars="200"/>
        <w:textAlignment w:val="auto"/>
        <w:rPr>
          <w:rFonts w:hint="eastAsia" w:ascii="Arial Unicode MS" w:eastAsia="Arial Unicode MS" w:cs="Arial Unicode MS"/>
          <w:color w:val="auto"/>
          <w:spacing w:val="2"/>
          <w:w w:val="99"/>
          <w:sz w:val="36"/>
          <w:szCs w:val="36"/>
          <w:highlight w:val="none"/>
          <w:lang w:val="en-US" w:eastAsia="zh-CN"/>
        </w:rPr>
      </w:pPr>
      <w:r>
        <w:rPr>
          <w:rFonts w:hint="eastAsia" w:ascii="Arial Unicode MS" w:eastAsia="Arial Unicode MS" w:cs="Arial Unicode MS"/>
          <w:color w:val="auto"/>
          <w:spacing w:val="2"/>
          <w:w w:val="99"/>
          <w:sz w:val="28"/>
          <w:szCs w:val="28"/>
          <w:highlight w:val="none"/>
          <w:lang w:val="en-US" w:eastAsia="zh-CN"/>
        </w:rPr>
        <w:t>（协议/预算100万元以上单项次）</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bookmarkStart w:id="0" w:name="_Toc13248927"/>
      <w:bookmarkStart w:id="1" w:name="_Toc13249324"/>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color w:val="auto"/>
          <w:sz w:val="10"/>
          <w:szCs w:val="10"/>
          <w:highlight w:val="none"/>
          <w:lang w:eastAsia="zh-CN"/>
        </w:rPr>
      </w:pPr>
      <w:r>
        <w:rPr>
          <w:rFonts w:hint="eastAsia" w:ascii="微软雅黑" w:hAnsi="微软雅黑" w:eastAsia="微软雅黑" w:cs="微软雅黑"/>
          <w:bCs/>
          <w:color w:val="auto"/>
          <w:sz w:val="32"/>
          <w:szCs w:val="32"/>
          <w:highlight w:val="none"/>
        </w:rPr>
        <w:t>一、</w:t>
      </w:r>
      <w:r>
        <w:rPr>
          <w:rFonts w:hint="eastAsia" w:ascii="微软雅黑" w:hAnsi="微软雅黑" w:eastAsia="微软雅黑" w:cs="微软雅黑"/>
          <w:bCs/>
          <w:color w:val="auto"/>
          <w:sz w:val="32"/>
          <w:szCs w:val="32"/>
          <w:highlight w:val="none"/>
          <w:lang w:val="en-US" w:eastAsia="zh-CN"/>
        </w:rPr>
        <w:t>需求</w:t>
      </w:r>
      <w:r>
        <w:rPr>
          <w:rFonts w:hint="eastAsia" w:ascii="微软雅黑" w:hAnsi="微软雅黑" w:eastAsia="微软雅黑" w:cs="微软雅黑"/>
          <w:bCs/>
          <w:color w:val="auto"/>
          <w:sz w:val="32"/>
          <w:szCs w:val="32"/>
          <w:highlight w:val="none"/>
        </w:rPr>
        <w:t>概况</w:t>
      </w:r>
      <w:bookmarkEnd w:id="0"/>
      <w:bookmarkEnd w:id="1"/>
    </w:p>
    <w:p>
      <w:pPr>
        <w:pStyle w:val="7"/>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中海石油技术检测有限公司2026年度须采购超声波测厚仪一批，用于更新现有设备、扩展业务规模，详见需求一览表。卖方需根据买方要求进行采办、测试及取证等。本技术文件规定了本次采办设备的最低技术要求，可作为招标及验收的技术依据。</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bookmarkStart w:id="2" w:name="_Toc13248928"/>
      <w:bookmarkStart w:id="3" w:name="_Toc13249325"/>
      <w:bookmarkStart w:id="4" w:name="_Toc13248929"/>
      <w:bookmarkStart w:id="5" w:name="_Toc13249326"/>
      <w:r>
        <w:rPr>
          <w:rFonts w:hint="eastAsia" w:ascii="微软雅黑" w:hAnsi="微软雅黑" w:eastAsia="微软雅黑" w:cs="微软雅黑"/>
          <w:bCs/>
          <w:color w:val="auto"/>
          <w:sz w:val="32"/>
          <w:szCs w:val="32"/>
          <w:highlight w:val="none"/>
        </w:rPr>
        <w:t>二、需求一览表</w:t>
      </w:r>
      <w:bookmarkEnd w:id="2"/>
      <w:bookmarkEnd w:id="3"/>
    </w:p>
    <w:tbl>
      <w:tblPr>
        <w:tblStyle w:val="17"/>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140"/>
        <w:gridCol w:w="1488"/>
        <w:gridCol w:w="636"/>
        <w:gridCol w:w="636"/>
        <w:gridCol w:w="1284"/>
        <w:gridCol w:w="2335"/>
        <w:gridCol w:w="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2"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rPr>
              <w:t>序号</w:t>
            </w:r>
          </w:p>
        </w:tc>
        <w:tc>
          <w:tcPr>
            <w:tcW w:w="1140"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default"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小类编码</w:t>
            </w:r>
          </w:p>
        </w:tc>
        <w:tc>
          <w:tcPr>
            <w:tcW w:w="1488"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物资名称</w:t>
            </w:r>
          </w:p>
        </w:tc>
        <w:tc>
          <w:tcPr>
            <w:tcW w:w="636"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数量</w:t>
            </w:r>
          </w:p>
        </w:tc>
        <w:tc>
          <w:tcPr>
            <w:tcW w:w="636"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单位</w:t>
            </w:r>
          </w:p>
        </w:tc>
        <w:tc>
          <w:tcPr>
            <w:tcW w:w="1284"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交货期</w:t>
            </w:r>
          </w:p>
        </w:tc>
        <w:tc>
          <w:tcPr>
            <w:tcW w:w="2335"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交货地点</w:t>
            </w:r>
          </w:p>
        </w:tc>
        <w:tc>
          <w:tcPr>
            <w:tcW w:w="705" w:type="dxa"/>
            <w:vAlign w:val="center"/>
          </w:tcPr>
          <w:p>
            <w:pPr>
              <w:pStyle w:val="5"/>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56" w:type="dxa"/>
            <w:gridSpan w:val="8"/>
            <w:vAlign w:val="center"/>
          </w:tcPr>
          <w:p>
            <w:pPr>
              <w:pStyle w:val="5"/>
              <w:keepNext w:val="0"/>
              <w:keepLines w:val="0"/>
              <w:pageBreakBefore w:val="0"/>
              <w:kinsoku/>
              <w:wordWrap/>
              <w:overflowPunct/>
              <w:topLinePunct w:val="0"/>
              <w:bidi w:val="0"/>
              <w:adjustRightInd w:val="0"/>
              <w:snapToGrid w:val="0"/>
              <w:spacing w:line="240" w:lineRule="auto"/>
              <w:jc w:val="both"/>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1.承压设备与储罐检验作业部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32"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（1）</w:t>
            </w:r>
          </w:p>
        </w:tc>
        <w:tc>
          <w:tcPr>
            <w:tcW w:w="1140"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A401406</w:t>
            </w:r>
          </w:p>
        </w:tc>
        <w:tc>
          <w:tcPr>
            <w:tcW w:w="1488" w:type="dxa"/>
            <w:vAlign w:val="center"/>
          </w:tcPr>
          <w:p>
            <w:pPr>
              <w:keepNext w:val="0"/>
              <w:keepLines w:val="0"/>
              <w:pageBreakBefore w:val="0"/>
              <w:widowControl/>
              <w:suppressLineNumbers w:val="0"/>
              <w:kinsoku/>
              <w:wordWrap/>
              <w:overflowPunct/>
              <w:topLinePunct w:val="0"/>
              <w:bidi w:val="0"/>
              <w:spacing w:line="240" w:lineRule="auto"/>
              <w:jc w:val="center"/>
              <w:textAlignment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超声波测厚仪</w:t>
            </w:r>
          </w:p>
        </w:tc>
        <w:tc>
          <w:tcPr>
            <w:tcW w:w="636" w:type="dxa"/>
            <w:vAlign w:val="center"/>
          </w:tcPr>
          <w:p>
            <w:pPr>
              <w:pStyle w:val="5"/>
              <w:keepNext w:val="0"/>
              <w:keepLines w:val="0"/>
              <w:pageBreakBefore w:val="0"/>
              <w:kinsoku/>
              <w:wordWrap/>
              <w:overflowPunct/>
              <w:topLinePunct w:val="0"/>
              <w:bidi w:val="0"/>
              <w:spacing w:line="240" w:lineRule="auto"/>
              <w:jc w:val="center"/>
              <w:rPr>
                <w:rFonts w:hint="default"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3</w:t>
            </w:r>
          </w:p>
        </w:tc>
        <w:tc>
          <w:tcPr>
            <w:tcW w:w="636"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台</w:t>
            </w:r>
          </w:p>
        </w:tc>
        <w:tc>
          <w:tcPr>
            <w:tcW w:w="1284"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合同签订后4个月内</w:t>
            </w:r>
          </w:p>
        </w:tc>
        <w:tc>
          <w:tcPr>
            <w:tcW w:w="2335"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天津市滨海新区东沽石油新村地质路承压设备与储罐检验作业部</w:t>
            </w:r>
          </w:p>
        </w:tc>
        <w:tc>
          <w:tcPr>
            <w:tcW w:w="705"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56" w:type="dxa"/>
            <w:gridSpan w:val="8"/>
            <w:vAlign w:val="center"/>
          </w:tcPr>
          <w:p>
            <w:pPr>
              <w:pStyle w:val="5"/>
              <w:keepNext w:val="0"/>
              <w:keepLines w:val="0"/>
              <w:pageBreakBefore w:val="0"/>
              <w:kinsoku/>
              <w:wordWrap/>
              <w:overflowPunct/>
              <w:topLinePunct w:val="0"/>
              <w:bidi w:val="0"/>
              <w:adjustRightInd w:val="0"/>
              <w:snapToGrid w:val="0"/>
              <w:spacing w:line="240" w:lineRule="auto"/>
              <w:jc w:val="both"/>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2.海上设施结构检验作业部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32"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（1）</w:t>
            </w:r>
          </w:p>
        </w:tc>
        <w:tc>
          <w:tcPr>
            <w:tcW w:w="1140"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A401406</w:t>
            </w:r>
          </w:p>
        </w:tc>
        <w:tc>
          <w:tcPr>
            <w:tcW w:w="1488" w:type="dxa"/>
            <w:vAlign w:val="center"/>
          </w:tcPr>
          <w:p>
            <w:pPr>
              <w:keepNext w:val="0"/>
              <w:keepLines w:val="0"/>
              <w:pageBreakBefore w:val="0"/>
              <w:widowControl/>
              <w:suppressLineNumbers w:val="0"/>
              <w:kinsoku/>
              <w:wordWrap/>
              <w:overflowPunct/>
              <w:topLinePunct w:val="0"/>
              <w:bidi w:val="0"/>
              <w:spacing w:line="240" w:lineRule="auto"/>
              <w:jc w:val="center"/>
              <w:textAlignment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超声波测厚仪</w:t>
            </w:r>
          </w:p>
        </w:tc>
        <w:tc>
          <w:tcPr>
            <w:tcW w:w="636"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6</w:t>
            </w:r>
          </w:p>
        </w:tc>
        <w:tc>
          <w:tcPr>
            <w:tcW w:w="636"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台</w:t>
            </w:r>
          </w:p>
        </w:tc>
        <w:tc>
          <w:tcPr>
            <w:tcW w:w="1284"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合同签订后4个月内</w:t>
            </w:r>
          </w:p>
        </w:tc>
        <w:tc>
          <w:tcPr>
            <w:tcW w:w="2335"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r>
              <w:rPr>
                <w:rFonts w:hint="eastAsia" w:ascii="微软雅黑" w:hAnsi="微软雅黑" w:eastAsia="微软雅黑" w:cs="微软雅黑"/>
                <w:color w:val="auto"/>
                <w:spacing w:val="0"/>
                <w:sz w:val="21"/>
                <w:szCs w:val="21"/>
                <w:highlight w:val="none"/>
                <w:lang w:val="en-US" w:eastAsia="zh-CN"/>
              </w:rPr>
              <w:t>天津市滨海新区东沽石油新村东盐路海上结构设施检验作业部</w:t>
            </w:r>
          </w:p>
        </w:tc>
        <w:tc>
          <w:tcPr>
            <w:tcW w:w="705" w:type="dxa"/>
            <w:vAlign w:val="center"/>
          </w:tcPr>
          <w:p>
            <w:pPr>
              <w:pStyle w:val="5"/>
              <w:keepNext w:val="0"/>
              <w:keepLines w:val="0"/>
              <w:pageBreakBefore w:val="0"/>
              <w:kinsoku/>
              <w:wordWrap/>
              <w:overflowPunct/>
              <w:topLinePunct w:val="0"/>
              <w:bidi w:val="0"/>
              <w:spacing w:line="240" w:lineRule="auto"/>
              <w:jc w:val="center"/>
              <w:rPr>
                <w:rFonts w:hint="eastAsia" w:ascii="微软雅黑" w:hAnsi="微软雅黑" w:eastAsia="微软雅黑" w:cs="微软雅黑"/>
                <w:color w:val="auto"/>
                <w:spacing w:val="0"/>
                <w:sz w:val="21"/>
                <w:szCs w:val="21"/>
                <w:highlight w:val="none"/>
                <w:lang w:val="en-US" w:eastAsia="zh-CN"/>
              </w:rPr>
            </w:pPr>
          </w:p>
        </w:tc>
      </w:tr>
    </w:tbl>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lang w:eastAsia="zh-CN"/>
        </w:rPr>
      </w:pPr>
      <w:r>
        <w:rPr>
          <w:rFonts w:hint="eastAsia" w:ascii="微软雅黑" w:hAnsi="微软雅黑" w:eastAsia="微软雅黑" w:cs="微软雅黑"/>
          <w:bCs/>
          <w:color w:val="auto"/>
          <w:sz w:val="32"/>
          <w:szCs w:val="32"/>
          <w:highlight w:val="none"/>
        </w:rPr>
        <w:t>三、执行标准/规范</w:t>
      </w:r>
    </w:p>
    <w:p>
      <w:pPr>
        <w:pStyle w:val="7"/>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下列文件对于本文件的应用是必不可少的，其最新版本（包括所有的修改单）适用于本文件。</w:t>
      </w:r>
    </w:p>
    <w:p>
      <w:pPr>
        <w:pStyle w:val="7"/>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sz w:val="24"/>
          <w:szCs w:val="24"/>
          <w:lang w:val="en-US" w:eastAsia="zh-CN"/>
        </w:rPr>
      </w:pPr>
      <w:r>
        <w:rPr>
          <w:rFonts w:hint="eastAsia" w:ascii="微软雅黑" w:hAnsi="微软雅黑" w:eastAsia="微软雅黑" w:cs="微软雅黑"/>
          <w:color w:val="auto"/>
          <w:kern w:val="0"/>
          <w:sz w:val="21"/>
          <w:szCs w:val="21"/>
          <w:highlight w:val="none"/>
          <w:lang w:val="en-US" w:eastAsia="zh-CN" w:bidi="ar-SA"/>
        </w:rPr>
        <w:t>JJF 1126-2004《超声波测厚仪校准规范》</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四、设计/使用条件</w:t>
      </w:r>
    </w:p>
    <w:p>
      <w:pPr>
        <w:pStyle w:val="7"/>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0"/>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val="en-US" w:eastAsia="zh-CN"/>
        </w:rPr>
        <w:t>1</w:t>
      </w:r>
      <w:r>
        <w:rPr>
          <w:rFonts w:hint="eastAsia" w:ascii="微软雅黑" w:hAnsi="微软雅黑" w:eastAsia="微软雅黑" w:cs="微软雅黑"/>
          <w:color w:val="auto"/>
          <w:sz w:val="21"/>
          <w:szCs w:val="21"/>
          <w:highlight w:val="none"/>
          <w:lang w:eastAsia="zh-CN"/>
        </w:rPr>
        <w:t>. 到货/安装或使用地点：</w:t>
      </w:r>
      <w:r>
        <w:rPr>
          <w:rFonts w:hint="eastAsia" w:ascii="微软雅黑" w:hAnsi="微软雅黑" w:eastAsia="微软雅黑" w:cs="微软雅黑"/>
          <w:color w:val="auto"/>
          <w:sz w:val="21"/>
          <w:szCs w:val="21"/>
          <w:highlight w:val="none"/>
          <w:lang w:val="en-US" w:eastAsia="zh-CN"/>
        </w:rPr>
        <w:t>卖方</w:t>
      </w:r>
      <w:r>
        <w:rPr>
          <w:rFonts w:hint="eastAsia" w:ascii="微软雅黑" w:hAnsi="微软雅黑" w:eastAsia="微软雅黑" w:cs="微软雅黑"/>
          <w:color w:val="auto"/>
          <w:sz w:val="21"/>
          <w:szCs w:val="21"/>
          <w:highlight w:val="none"/>
          <w:lang w:eastAsia="zh-CN"/>
        </w:rPr>
        <w:t>需负责</w:t>
      </w:r>
      <w:r>
        <w:rPr>
          <w:rFonts w:hint="eastAsia" w:ascii="微软雅黑" w:hAnsi="微软雅黑" w:eastAsia="微软雅黑" w:cs="微软雅黑"/>
          <w:color w:val="auto"/>
          <w:sz w:val="21"/>
          <w:szCs w:val="21"/>
          <w:highlight w:val="none"/>
          <w:lang w:val="en-US" w:eastAsia="zh-CN"/>
        </w:rPr>
        <w:t>按需求一览表中的交货地点要求</w:t>
      </w:r>
      <w:r>
        <w:rPr>
          <w:rFonts w:hint="eastAsia" w:ascii="微软雅黑" w:hAnsi="微软雅黑" w:eastAsia="微软雅黑" w:cs="微软雅黑"/>
          <w:color w:val="auto"/>
          <w:sz w:val="21"/>
          <w:szCs w:val="21"/>
          <w:highlight w:val="none"/>
          <w:lang w:eastAsia="zh-CN"/>
        </w:rPr>
        <w:t>将设备送货至</w:t>
      </w:r>
      <w:r>
        <w:rPr>
          <w:rFonts w:hint="eastAsia" w:ascii="微软雅黑" w:hAnsi="微软雅黑" w:eastAsia="微软雅黑" w:cs="微软雅黑"/>
          <w:color w:val="auto"/>
          <w:sz w:val="21"/>
          <w:szCs w:val="21"/>
          <w:highlight w:val="none"/>
          <w:lang w:val="en-US" w:eastAsia="zh-CN"/>
        </w:rPr>
        <w:t>指定地点进行验收；</w:t>
      </w:r>
    </w:p>
    <w:p>
      <w:pPr>
        <w:pStyle w:val="7"/>
        <w:keepNext w:val="0"/>
        <w:keepLines w:val="0"/>
        <w:pageBreakBefore w:val="0"/>
        <w:widowControl w:val="0"/>
        <w:kinsoku/>
        <w:wordWrap/>
        <w:overflowPunct/>
        <w:topLinePunct w:val="0"/>
        <w:autoSpaceDE/>
        <w:autoSpaceDN/>
        <w:bidi w:val="0"/>
        <w:adjustRightInd/>
        <w:snapToGrid/>
        <w:spacing w:line="360" w:lineRule="auto"/>
        <w:ind w:right="0" w:firstLine="420" w:firstLineChars="0"/>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val="en-US" w:eastAsia="zh-CN"/>
        </w:rPr>
        <w:t>2</w:t>
      </w:r>
      <w:r>
        <w:rPr>
          <w:rFonts w:hint="eastAsia" w:ascii="微软雅黑" w:hAnsi="微软雅黑" w:eastAsia="微软雅黑" w:cs="微软雅黑"/>
          <w:color w:val="auto"/>
          <w:sz w:val="21"/>
          <w:szCs w:val="21"/>
          <w:highlight w:val="none"/>
          <w:lang w:eastAsia="zh-CN"/>
        </w:rPr>
        <w:t>. 作业环境要求：</w:t>
      </w:r>
      <w:r>
        <w:rPr>
          <w:rFonts w:hint="eastAsia" w:ascii="微软雅黑" w:hAnsi="微软雅黑" w:eastAsia="微软雅黑" w:cs="微软雅黑"/>
          <w:color w:val="auto"/>
          <w:sz w:val="21"/>
          <w:szCs w:val="21"/>
          <w:highlight w:val="none"/>
          <w:lang w:val="en-US" w:eastAsia="zh-CN"/>
        </w:rPr>
        <w:t>无</w:t>
      </w:r>
      <w:r>
        <w:rPr>
          <w:rFonts w:hint="eastAsia" w:ascii="微软雅黑" w:hAnsi="微软雅黑" w:eastAsia="微软雅黑" w:cs="微软雅黑"/>
          <w:color w:val="auto"/>
          <w:sz w:val="21"/>
          <w:szCs w:val="21"/>
          <w:highlight w:val="none"/>
          <w:lang w:eastAsia="zh-CN"/>
        </w:rPr>
        <w:t>。</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五、技术要求</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color w:val="auto"/>
          <w:sz w:val="24"/>
          <w:szCs w:val="24"/>
          <w:highlight w:val="none"/>
          <w:lang w:val="en-US" w:eastAsia="zh-CN"/>
        </w:rPr>
      </w:pPr>
      <w:r>
        <w:rPr>
          <w:rFonts w:hint="default" w:ascii="Times New Roman" w:hAnsi="Times New Roman" w:eastAsia="微软雅黑" w:cs="Times New Roman"/>
          <w:b/>
          <w:bCs/>
          <w:color w:val="auto"/>
          <w:sz w:val="24"/>
          <w:szCs w:val="24"/>
          <w:highlight w:val="none"/>
          <w:lang w:val="en-US" w:eastAsia="zh-CN"/>
        </w:rPr>
        <w:t>（1）超声波测厚仪</w:t>
      </w:r>
    </w:p>
    <w:p>
      <w:pPr>
        <w:pStyle w:val="7"/>
        <w:keepNext w:val="0"/>
        <w:keepLines w:val="0"/>
        <w:pageBreakBefore w:val="0"/>
        <w:widowControl w:val="0"/>
        <w:kinsoku/>
        <w:wordWrap/>
        <w:overflowPunct/>
        <w:topLinePunct w:val="0"/>
        <w:autoSpaceDE/>
        <w:autoSpaceDN/>
        <w:bidi w:val="0"/>
        <w:adjustRightInd/>
        <w:snapToGrid/>
        <w:spacing w:before="36" w:line="360" w:lineRule="auto"/>
        <w:ind w:left="439" w:leftChars="0" w:right="0" w:rightChars="0" w:hanging="439" w:hangingChars="183"/>
        <w:textAlignment w:val="auto"/>
        <w:rPr>
          <w:rFonts w:hint="default" w:ascii="Times New Roman" w:hAnsi="Times New Roman" w:eastAsia="微软雅黑" w:cs="Times New Roman"/>
          <w:kern w:val="0"/>
          <w:sz w:val="24"/>
          <w:szCs w:val="24"/>
          <w:lang w:val="en-US" w:eastAsia="zh-CN" w:bidi="ar-SA"/>
        </w:rPr>
      </w:pPr>
      <w:r>
        <w:rPr>
          <w:rFonts w:hint="default" w:ascii="Times New Roman" w:hAnsi="Times New Roman" w:eastAsia="微软雅黑" w:cs="Times New Roman"/>
          <w:sz w:val="24"/>
          <w:szCs w:val="24"/>
          <w:lang w:val="en-US" w:eastAsia="zh-CN"/>
        </w:rPr>
        <w:t>【本次采购设备技术评议指标部分引用</w:t>
      </w:r>
      <w:r>
        <w:rPr>
          <w:rFonts w:hint="default" w:ascii="Times New Roman" w:hAnsi="Times New Roman" w:eastAsia="微软雅黑" w:cs="Times New Roman"/>
          <w:color w:val="auto"/>
          <w:sz w:val="24"/>
          <w:szCs w:val="24"/>
          <w:highlight w:val="none"/>
          <w:lang w:eastAsia="zh-CN"/>
        </w:rPr>
        <w:t>JJF1126-20</w:t>
      </w:r>
      <w:r>
        <w:rPr>
          <w:rFonts w:hint="default" w:ascii="Times New Roman" w:hAnsi="Times New Roman" w:eastAsia="微软雅黑" w:cs="Times New Roman"/>
          <w:color w:val="auto"/>
          <w:sz w:val="24"/>
          <w:szCs w:val="24"/>
          <w:highlight w:val="none"/>
          <w:lang w:val="en-US" w:eastAsia="zh-CN"/>
        </w:rPr>
        <w:t>0</w:t>
      </w:r>
      <w:r>
        <w:rPr>
          <w:rFonts w:hint="default" w:ascii="Times New Roman" w:hAnsi="Times New Roman" w:eastAsia="微软雅黑" w:cs="Times New Roman"/>
          <w:color w:val="auto"/>
          <w:sz w:val="24"/>
          <w:szCs w:val="24"/>
          <w:highlight w:val="none"/>
          <w:lang w:eastAsia="zh-CN"/>
        </w:rPr>
        <w:t>4超声波测厚仪校准规范</w:t>
      </w:r>
      <w:r>
        <w:rPr>
          <w:rFonts w:hint="default" w:ascii="Times New Roman" w:hAnsi="Times New Roman" w:eastAsia="微软雅黑" w:cs="Times New Roman"/>
          <w:sz w:val="24"/>
          <w:szCs w:val="24"/>
          <w:lang w:val="en-US" w:eastAsia="zh-CN"/>
        </w:rPr>
        <w:t>】，以下为引用标准中所列重要参数，纳入评议范围</w:t>
      </w:r>
      <w:r>
        <w:rPr>
          <w:rFonts w:hint="default" w:ascii="Times New Roman" w:hAnsi="Times New Roman" w:eastAsia="微软雅黑" w:cs="Times New Roman"/>
          <w:kern w:val="0"/>
          <w:sz w:val="24"/>
          <w:szCs w:val="24"/>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before="36" w:line="360" w:lineRule="auto"/>
        <w:ind w:left="420" w:leftChars="0" w:right="0" w:rightChars="0" w:hanging="420" w:firstLineChars="0"/>
        <w:jc w:val="left"/>
        <w:textAlignment w:val="auto"/>
        <w:rPr>
          <w:rFonts w:hint="default" w:ascii="Times New Roman" w:hAnsi="Times New Roman" w:eastAsia="微软雅黑" w:cs="Times New Roman"/>
          <w:kern w:val="2"/>
          <w:sz w:val="24"/>
          <w:szCs w:val="24"/>
          <w:highlight w:val="none"/>
          <w:lang w:val="en-US" w:eastAsia="zh-CN"/>
        </w:rPr>
      </w:pPr>
      <w:r>
        <w:rPr>
          <w:rFonts w:hint="default" w:ascii="Times New Roman" w:hAnsi="Times New Roman" w:eastAsia="微软雅黑" w:cs="Times New Roman"/>
          <w:kern w:val="2"/>
          <w:sz w:val="24"/>
          <w:szCs w:val="24"/>
          <w:highlight w:val="none"/>
          <w:lang w:val="en-US" w:eastAsia="zh-CN"/>
        </w:rPr>
        <w:t>★ 示值误差：不同测量范围对应不同最大允许误差（如 ±(0.5% H+0.05) mm</w:t>
      </w:r>
    </w:p>
    <w:p>
      <w:pPr>
        <w:keepNext w:val="0"/>
        <w:keepLines w:val="0"/>
        <w:pageBreakBefore w:val="0"/>
        <w:widowControl w:val="0"/>
        <w:numPr>
          <w:ilvl w:val="0"/>
          <w:numId w:val="1"/>
        </w:numPr>
        <w:kinsoku/>
        <w:wordWrap/>
        <w:overflowPunct/>
        <w:topLinePunct w:val="0"/>
        <w:autoSpaceDE/>
        <w:autoSpaceDN/>
        <w:bidi w:val="0"/>
        <w:adjustRightInd/>
        <w:snapToGrid/>
        <w:spacing w:before="36" w:line="360" w:lineRule="auto"/>
        <w:ind w:left="420" w:leftChars="0" w:right="0" w:rightChars="0" w:hanging="420" w:firstLineChars="0"/>
        <w:jc w:val="left"/>
        <w:textAlignment w:val="auto"/>
        <w:rPr>
          <w:rFonts w:hint="default" w:ascii="Times New Roman" w:hAnsi="Times New Roman" w:eastAsia="微软雅黑" w:cs="Times New Roman"/>
          <w:kern w:val="2"/>
          <w:sz w:val="24"/>
          <w:szCs w:val="24"/>
          <w:highlight w:val="none"/>
          <w:lang w:val="en-US" w:eastAsia="zh-CN"/>
        </w:rPr>
      </w:pPr>
      <w:r>
        <w:rPr>
          <w:rFonts w:hint="default" w:ascii="Times New Roman" w:hAnsi="Times New Roman" w:eastAsia="微软雅黑" w:cs="Times New Roman"/>
          <w:kern w:val="2"/>
          <w:sz w:val="24"/>
          <w:szCs w:val="24"/>
          <w:highlight w:val="none"/>
          <w:lang w:val="en-US" w:eastAsia="zh-CN"/>
        </w:rPr>
        <w:t>★重复性：≤ 0.05 mm（测量 5.5 mm 标准块时）。</w:t>
      </w:r>
    </w:p>
    <w:p>
      <w:pPr>
        <w:keepNext w:val="0"/>
        <w:keepLines w:val="0"/>
        <w:pageBreakBefore w:val="0"/>
        <w:widowControl w:val="0"/>
        <w:numPr>
          <w:ilvl w:val="0"/>
          <w:numId w:val="1"/>
        </w:numPr>
        <w:kinsoku/>
        <w:wordWrap/>
        <w:overflowPunct/>
        <w:topLinePunct w:val="0"/>
        <w:autoSpaceDE/>
        <w:autoSpaceDN/>
        <w:bidi w:val="0"/>
        <w:adjustRightInd/>
        <w:snapToGrid/>
        <w:spacing w:before="36" w:line="360" w:lineRule="auto"/>
        <w:ind w:left="420" w:leftChars="0" w:right="0" w:rightChars="0" w:hanging="420" w:firstLineChars="0"/>
        <w:jc w:val="left"/>
        <w:textAlignment w:val="auto"/>
        <w:rPr>
          <w:rFonts w:hint="default" w:ascii="Times New Roman" w:hAnsi="Times New Roman" w:eastAsia="微软雅黑" w:cs="Times New Roman"/>
          <w:kern w:val="2"/>
          <w:sz w:val="24"/>
          <w:szCs w:val="24"/>
          <w:highlight w:val="none"/>
          <w:lang w:val="en-US" w:eastAsia="zh-CN"/>
        </w:rPr>
      </w:pPr>
      <w:r>
        <w:rPr>
          <w:rFonts w:hint="default" w:ascii="Times New Roman" w:hAnsi="Times New Roman" w:eastAsia="微软雅黑" w:cs="Times New Roman"/>
          <w:kern w:val="2"/>
          <w:sz w:val="24"/>
          <w:szCs w:val="24"/>
          <w:highlight w:val="none"/>
          <w:lang w:val="en-US" w:eastAsia="zh-CN"/>
        </w:rPr>
        <w:t>★示值稳定性：连续 1 小时内示值变化不超过 ±0.05 mm。</w:t>
      </w:r>
    </w:p>
    <w:p>
      <w:pPr>
        <w:keepNext w:val="0"/>
        <w:keepLines w:val="0"/>
        <w:pageBreakBefore w:val="0"/>
        <w:widowControl w:val="0"/>
        <w:numPr>
          <w:ilvl w:val="0"/>
          <w:numId w:val="1"/>
        </w:numPr>
        <w:kinsoku/>
        <w:wordWrap/>
        <w:overflowPunct/>
        <w:topLinePunct w:val="0"/>
        <w:autoSpaceDE/>
        <w:autoSpaceDN/>
        <w:bidi w:val="0"/>
        <w:adjustRightInd/>
        <w:snapToGrid/>
        <w:spacing w:before="36" w:line="360" w:lineRule="auto"/>
        <w:ind w:left="420" w:leftChars="0" w:right="0" w:rightChars="0" w:hanging="420" w:firstLineChars="0"/>
        <w:jc w:val="left"/>
        <w:textAlignment w:val="auto"/>
        <w:rPr>
          <w:rFonts w:hint="default" w:ascii="Times New Roman" w:hAnsi="Times New Roman" w:eastAsia="微软雅黑" w:cs="Times New Roman"/>
          <w:kern w:val="2"/>
          <w:sz w:val="24"/>
          <w:szCs w:val="24"/>
          <w:highlight w:val="none"/>
          <w:lang w:val="en-US" w:eastAsia="zh-CN"/>
        </w:rPr>
      </w:pPr>
      <w:r>
        <w:rPr>
          <w:rFonts w:hint="default" w:ascii="Times New Roman" w:hAnsi="Times New Roman" w:eastAsia="微软雅黑" w:cs="Times New Roman"/>
          <w:kern w:val="2"/>
          <w:sz w:val="24"/>
          <w:szCs w:val="24"/>
          <w:highlight w:val="none"/>
          <w:lang w:val="en-US" w:eastAsia="zh-CN"/>
        </w:rPr>
        <w:t>★声速变换误差：在 3900 m/s 与 7900 m/s 声速下，示值误差应符合要求。</w:t>
      </w:r>
    </w:p>
    <w:p>
      <w:pPr>
        <w:keepNext w:val="0"/>
        <w:keepLines w:val="0"/>
        <w:pageBreakBefore w:val="0"/>
        <w:widowControl w:val="0"/>
        <w:kinsoku/>
        <w:wordWrap/>
        <w:overflowPunct/>
        <w:topLinePunct w:val="0"/>
        <w:autoSpaceDE/>
        <w:autoSpaceDN/>
        <w:bidi w:val="0"/>
        <w:adjustRightInd/>
        <w:snapToGrid/>
        <w:spacing w:before="36" w:line="360" w:lineRule="auto"/>
        <w:ind w:left="439" w:leftChars="0" w:right="0" w:rightChars="0" w:hanging="439" w:hangingChars="183"/>
        <w:jc w:val="left"/>
        <w:textAlignment w:val="auto"/>
        <w:rPr>
          <w:rFonts w:hint="default" w:ascii="Times New Roman" w:hAnsi="Times New Roman" w:eastAsia="微软雅黑" w:cs="Times New Roman"/>
          <w:kern w:val="0"/>
          <w:sz w:val="24"/>
          <w:szCs w:val="24"/>
          <w:highlight w:val="yellow"/>
          <w:lang w:val="en-US" w:eastAsia="zh-CN" w:bidi="ar-SA"/>
        </w:rPr>
      </w:pPr>
      <w:r>
        <w:rPr>
          <w:rFonts w:hint="default" w:ascii="Times New Roman" w:hAnsi="Times New Roman" w:eastAsia="微软雅黑" w:cs="Times New Roman"/>
          <w:kern w:val="0"/>
          <w:sz w:val="24"/>
          <w:szCs w:val="24"/>
          <w:lang w:val="en-US" w:eastAsia="zh-CN" w:bidi="ar-SA"/>
        </w:rPr>
        <w:t>【下述要求为对上述标准中参数的补充优化】</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★双晶探头测量模式中，从激励脉冲后的准确延迟到第一个回波之间的时间间隔。</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★穿透涂层（THRU-COAT）测量中可以利用单个底面回波，测量金属的实际厚度和涂层厚度</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★穿透漆层回波到回波测量模式中，在两个连续底面回波之间的时间间隔，不计漆层或涂层的厚度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★单晶探头测量模式中有两种，模式1:激励脉冲与第一个底面回波之间的时间间隔；模式2：延迟块回波与第一个底面回波之间的时间间隔 （使用延迟块或水浸式探头）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厚度范围：包含0.080毫米 ～ 635.00毫米，具体可测厚度根据材料、探头表面条件、温度 和所选配置而定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★材料声速范围：包含0.508 mm/μs ～ 13.998 mm/μs</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分辨率：低分辨率：0.1毫米 标准分辨率：0.01毫米 高分辨率（可选）：0.001毫米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★探头频率范围：标准：2.0 MHz ～ 30 MHz（–3 dB） 高穿透（可选）：0.50 MHz ～ 30 MHz（–3 dB）</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外壳 防撞击、防水、装有密封垫的机壳的设计符合IP67标准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数据记录器可通过USB、RS-232、Wi-Fi和蓝牙识别、存储、调用、清除和传输厚度读数、波形图像和测厚仪配置信息</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检波包括全波、射频波、正半波、负半波</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 xml:space="preserve">重量不超过0.83公斤 </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★探头类型支持不超过1.5mm直径的探头，不低于500度高温</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★测量模式支持多层测厚，穿透漆层测厚，氧化皮测厚</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爆炸性气氛通过了MIL-STD-810H第511.7节程序I中规定的测试</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【供货清单】</w:t>
      </w:r>
    </w:p>
    <w:p>
      <w:pPr>
        <w:pStyle w:val="2"/>
        <w:rPr>
          <w:rFonts w:hint="default" w:ascii="Times New Roman" w:hAnsi="Times New Roman" w:eastAsia="微软雅黑" w:cs="Times New Roman"/>
          <w:lang w:val="en-US" w:eastAsia="zh-CN"/>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3230"/>
        <w:gridCol w:w="1474"/>
        <w:gridCol w:w="1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序号</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名称</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数量</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超声波测厚仪主机</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2</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探头</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3</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3</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电源适配器</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4</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数据线</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5</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不锈钢阶梯试块</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6</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腕带</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7</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保护套</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8</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设备箱</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9</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出厂证书</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10</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说明书</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11</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耦合剂</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12</w:t>
            </w:r>
          </w:p>
        </w:tc>
        <w:tc>
          <w:tcPr>
            <w:tcW w:w="3230"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阶梯测厚试块</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1</w:t>
            </w:r>
          </w:p>
        </w:tc>
        <w:tc>
          <w:tcPr>
            <w:tcW w:w="1474" w:type="dxa"/>
            <w:vAlign w:val="center"/>
          </w:tcPr>
          <w:p>
            <w:pPr>
              <w:widowControl/>
              <w:spacing w:line="360" w:lineRule="auto"/>
              <w:jc w:val="center"/>
              <w:rPr>
                <w:rFonts w:hint="default" w:ascii="Times New Roman" w:hAnsi="Times New Roman" w:eastAsia="微软雅黑" w:cs="Times New Roman"/>
                <w:kern w:val="0"/>
                <w:sz w:val="24"/>
                <w:highlight w:val="none"/>
                <w:lang w:val="en-US" w:eastAsia="zh-CN"/>
              </w:rPr>
            </w:pPr>
            <w:r>
              <w:rPr>
                <w:rFonts w:hint="default" w:ascii="Times New Roman" w:hAnsi="Times New Roman" w:eastAsia="微软雅黑" w:cs="Times New Roman"/>
                <w:kern w:val="0"/>
                <w:sz w:val="24"/>
                <w:highlight w:val="none"/>
                <w:lang w:val="en-US" w:eastAsia="zh-CN"/>
              </w:rPr>
              <w:t>套</w:t>
            </w:r>
          </w:p>
        </w:tc>
      </w:tr>
    </w:tbl>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★7A阶梯试块应满足如下要求：</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阶梯数：7个；</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各阶梯长度/mm：40；</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试块总长/mm：280；</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试块宽度/mm：＞40mm</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各阶梯厚度/mm：1±0.02、1.5±0.02、2±0.02、4±0.02、6±0.02、8±0.02、10±0.02</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粗糙度：6.3μm</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★7B校准试块应满足以下要求：</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阶梯数：7个；</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各阶梯长度/mm：40；</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试块总长/mm：280；</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试块宽度/mm：＞40</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各阶梯厚度/mm：3±0.02、12±0.03、24±0.03、30±0.03、36±0.03、42±0.03、48±0.03</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粗糙度：6.3μm</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★非标校准试块的尺寸要求：</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firstLine="895" w:firstLineChars="0"/>
        <w:jc w:val="left"/>
        <w:textAlignment w:val="auto"/>
        <w:rPr>
          <w:rFonts w:hint="default" w:ascii="Times New Roman" w:hAnsi="Times New Roman" w:eastAsia="微软雅黑" w:cs="Times New Roman"/>
          <w:color w:val="auto"/>
          <w:kern w:val="0"/>
          <w:sz w:val="24"/>
          <w:szCs w:val="24"/>
          <w:lang w:val="en-US" w:eastAsia="zh-CN" w:bidi="ar"/>
        </w:rPr>
      </w:pPr>
      <w:r>
        <w:rPr>
          <w:rFonts w:hint="default" w:ascii="Times New Roman" w:hAnsi="Times New Roman" w:eastAsia="微软雅黑" w:cs="Times New Roman"/>
          <w:color w:val="auto"/>
          <w:kern w:val="0"/>
          <w:sz w:val="24"/>
          <w:szCs w:val="24"/>
          <w:lang w:val="en-US" w:eastAsia="zh-CN" w:bidi="ar"/>
        </w:rPr>
        <w:t>阶梯数量、各阶梯长宽、阶梯厚度正负偏差、粗糙度要求与7A校准试块一致，各阶梯厚度分别是3、6、8、10、14、16、20mm。</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其他要求</w:t>
      </w:r>
    </w:p>
    <w:p>
      <w:pPr>
        <w:numPr>
          <w:ilvl w:val="1"/>
          <w:numId w:val="5"/>
        </w:numPr>
        <w:spacing w:line="360" w:lineRule="auto"/>
        <w:rPr>
          <w:rFonts w:hint="default" w:ascii="Times New Roman" w:hAnsi="Times New Roman" w:eastAsia="微软雅黑" w:cs="Times New Roman"/>
          <w:sz w:val="24"/>
          <w:szCs w:val="24"/>
          <w:lang w:val="en-US" w:eastAsia="zh-CN" w:bidi="ar"/>
        </w:rPr>
      </w:pPr>
      <w:r>
        <w:rPr>
          <w:rFonts w:hint="default" w:ascii="Times New Roman" w:hAnsi="Times New Roman" w:eastAsia="微软雅黑" w:cs="Times New Roman"/>
          <w:sz w:val="24"/>
          <w:szCs w:val="24"/>
          <w:lang w:val="en-US" w:eastAsia="zh-CN" w:bidi="ar"/>
        </w:rPr>
        <w:t>提供随机文件，包括原版使用说明书或用户手册、出厂检验报告、出厂合格证等；</w:t>
      </w:r>
    </w:p>
    <w:p>
      <w:pPr>
        <w:numPr>
          <w:ilvl w:val="1"/>
          <w:numId w:val="5"/>
        </w:numPr>
        <w:spacing w:line="360" w:lineRule="auto"/>
        <w:rPr>
          <w:rFonts w:hint="default" w:ascii="Times New Roman" w:hAnsi="Times New Roman" w:eastAsia="微软雅黑" w:cs="Times New Roman"/>
          <w:sz w:val="24"/>
          <w:szCs w:val="24"/>
          <w:lang w:val="en-US" w:eastAsia="zh-CN" w:bidi="ar"/>
        </w:rPr>
      </w:pPr>
      <w:r>
        <w:rPr>
          <w:rFonts w:hint="default" w:ascii="Times New Roman" w:hAnsi="Times New Roman" w:eastAsia="微软雅黑" w:cs="Times New Roman"/>
          <w:sz w:val="24"/>
          <w:szCs w:val="24"/>
          <w:lang w:val="en-US" w:eastAsia="zh-CN" w:bidi="ar"/>
        </w:rPr>
        <w:t>提供1年免费质保服务；提供厂家技术培训，包括但不限于线上、现场、培训视频等。</w:t>
      </w:r>
    </w:p>
    <w:p>
      <w:pPr>
        <w:numPr>
          <w:ilvl w:val="1"/>
          <w:numId w:val="5"/>
        </w:numPr>
        <w:spacing w:line="360" w:lineRule="auto"/>
        <w:rPr>
          <w:rFonts w:hint="default" w:ascii="Times New Roman" w:hAnsi="Times New Roman" w:eastAsia="微软雅黑" w:cs="Times New Roman"/>
          <w:sz w:val="24"/>
          <w:szCs w:val="24"/>
          <w:lang w:val="en-US" w:eastAsia="zh-CN" w:bidi="ar"/>
        </w:rPr>
      </w:pPr>
      <w:r>
        <w:rPr>
          <w:rFonts w:hint="default" w:ascii="Times New Roman" w:hAnsi="Times New Roman" w:eastAsia="微软雅黑" w:cs="Times New Roman"/>
          <w:sz w:val="24"/>
          <w:szCs w:val="24"/>
          <w:lang w:val="en-US" w:eastAsia="zh-CN" w:bidi="ar"/>
        </w:rPr>
        <w:t>供货方负责按照购买方格式要求编制安全操作及维护保养规程，包括但不限于使用前检查、操作步骤、维护保养、安全注意事项等内容，务必详实准确。</w:t>
      </w:r>
    </w:p>
    <w:p>
      <w:pPr>
        <w:numPr>
          <w:ilvl w:val="1"/>
          <w:numId w:val="5"/>
        </w:numPr>
        <w:spacing w:line="360" w:lineRule="auto"/>
        <w:rPr>
          <w:rFonts w:hint="default" w:ascii="Times New Roman" w:hAnsi="Times New Roman" w:eastAsia="微软雅黑" w:cs="Times New Roman"/>
          <w:sz w:val="24"/>
          <w:szCs w:val="24"/>
          <w:lang w:val="en-US" w:eastAsia="zh-CN" w:bidi="ar"/>
        </w:rPr>
      </w:pPr>
      <w:r>
        <w:rPr>
          <w:rFonts w:hint="default" w:ascii="Times New Roman" w:hAnsi="Times New Roman" w:eastAsia="微软雅黑" w:cs="Times New Roman"/>
          <w:sz w:val="24"/>
          <w:szCs w:val="24"/>
          <w:lang w:val="en-US" w:eastAsia="zh-CN" w:bidi="ar"/>
        </w:rPr>
        <w:t>每台设备应附具有效的首次送检证书。证书须由以下两类机构之一出具：① 法定计量检定机构（获得县级及以上市场监管部门计量授权，授权范围覆盖本设备）；</w:t>
      </w:r>
    </w:p>
    <w:p>
      <w:pPr>
        <w:spacing w:line="360" w:lineRule="auto"/>
        <w:ind w:left="1080"/>
        <w:rPr>
          <w:rFonts w:hint="default" w:ascii="Times New Roman" w:hAnsi="Times New Roman" w:eastAsia="微软雅黑" w:cs="Times New Roman"/>
          <w:sz w:val="24"/>
          <w:szCs w:val="24"/>
          <w:lang w:eastAsia="zh-CN" w:bidi="ar"/>
        </w:rPr>
      </w:pPr>
      <w:r>
        <w:rPr>
          <w:rFonts w:hint="default" w:ascii="Times New Roman" w:hAnsi="Times New Roman" w:eastAsia="微软雅黑" w:cs="Times New Roman"/>
          <w:sz w:val="24"/>
          <w:szCs w:val="24"/>
          <w:lang w:eastAsia="zh-CN" w:bidi="ar"/>
        </w:rPr>
        <w:t>② CNAS认可校准实验室（认可状态有效，且校准能力范围覆盖本设备）。证书类型可为检定证书（结论合格）或校准证书（带CNAS标识）。禁止以标准器证书或出厂检测报告替代。</w:t>
      </w:r>
    </w:p>
    <w:p>
      <w:pPr>
        <w:numPr>
          <w:ilvl w:val="1"/>
          <w:numId w:val="5"/>
        </w:numPr>
        <w:spacing w:line="360" w:lineRule="auto"/>
        <w:rPr>
          <w:rFonts w:hint="default" w:ascii="Times New Roman" w:hAnsi="Times New Roman" w:eastAsia="微软雅黑" w:cs="Times New Roman"/>
          <w:sz w:val="24"/>
          <w:szCs w:val="24"/>
          <w:lang w:val="en-US" w:eastAsia="zh-CN" w:bidi="ar"/>
        </w:rPr>
      </w:pPr>
      <w:r>
        <w:rPr>
          <w:rFonts w:hint="default" w:ascii="Times New Roman" w:hAnsi="Times New Roman" w:eastAsia="微软雅黑" w:cs="Times New Roman"/>
          <w:sz w:val="24"/>
          <w:szCs w:val="24"/>
          <w:lang w:val="en-US" w:eastAsia="zh-CN" w:bidi="ar"/>
        </w:rPr>
        <w:t>供货清单中每套阶梯测厚试块含7A碳钢试块1个、7B碳钢试块1个、7阶3~20mm非标S31603试块1个、7阶3~20mm非标S31803试块1个、7阶3~20mm非标TA2试块1个。</w:t>
      </w:r>
    </w:p>
    <w:p>
      <w:pPr>
        <w:numPr>
          <w:ilvl w:val="0"/>
          <w:numId w:val="2"/>
        </w:numPr>
        <w:spacing w:before="36" w:line="360" w:lineRule="auto"/>
        <w:ind w:left="425" w:leftChars="0" w:hanging="425" w:firstLineChars="0"/>
        <w:rPr>
          <w:rFonts w:hint="default" w:ascii="Times New Roman" w:hAnsi="Times New Roman" w:eastAsia="微软雅黑" w:cs="Times New Roman"/>
          <w:color w:val="000000"/>
          <w:kern w:val="2"/>
          <w:sz w:val="24"/>
          <w:szCs w:val="24"/>
          <w:lang w:val="en-US" w:eastAsia="zh-CN" w:bidi="ar"/>
        </w:rPr>
      </w:pPr>
      <w:r>
        <w:rPr>
          <w:rFonts w:hint="default" w:ascii="Times New Roman" w:hAnsi="Times New Roman" w:eastAsia="微软雅黑" w:cs="Times New Roman"/>
          <w:color w:val="000000"/>
          <w:kern w:val="2"/>
          <w:sz w:val="24"/>
          <w:szCs w:val="24"/>
          <w:lang w:val="en-US" w:eastAsia="zh-CN" w:bidi="ar"/>
        </w:rPr>
        <w:t>参考图片</w:t>
      </w:r>
    </w:p>
    <w:p>
      <w:pPr>
        <w:spacing w:line="360" w:lineRule="auto"/>
        <w:ind w:firstLine="440" w:firstLineChars="200"/>
        <w:jc w:val="center"/>
        <w:rPr>
          <w:rFonts w:hint="eastAsia" w:ascii="微软雅黑" w:hAnsi="微软雅黑" w:eastAsia="微软雅黑" w:cs="微软雅黑"/>
          <w:color w:val="auto"/>
          <w:sz w:val="24"/>
          <w:highlight w:val="none"/>
          <w:lang w:eastAsia="zh-CN"/>
        </w:rPr>
      </w:pPr>
      <w:r>
        <w:drawing>
          <wp:inline distT="0" distB="0" distL="114300" distR="114300">
            <wp:extent cx="3505200" cy="3519805"/>
            <wp:effectExtent l="0" t="0" r="0" b="63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
                    <a:stretch>
                      <a:fillRect/>
                    </a:stretch>
                  </pic:blipFill>
                  <pic:spPr>
                    <a:xfrm>
                      <a:off x="0" y="0"/>
                      <a:ext cx="3505200" cy="3519805"/>
                    </a:xfrm>
                    <a:prstGeom prst="rect">
                      <a:avLst/>
                    </a:prstGeom>
                    <a:noFill/>
                    <a:ln>
                      <a:noFill/>
                    </a:ln>
                  </pic:spPr>
                </pic:pic>
              </a:graphicData>
            </a:graphic>
          </wp:inline>
        </w:drawing>
      </w:r>
    </w:p>
    <w:p>
      <w:pPr>
        <w:numPr>
          <w:ilvl w:val="-1"/>
          <w:numId w:val="0"/>
        </w:numPr>
        <w:rPr>
          <w:rFonts w:hint="eastAsia"/>
          <w:lang w:val="en-US" w:eastAsia="zh-CN"/>
        </w:rPr>
      </w:pP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六、检测和试验</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微软雅黑" w:hAnsi="微软雅黑" w:eastAsia="微软雅黑" w:cs="微软雅黑"/>
          <w:color w:val="auto"/>
          <w:kern w:val="0"/>
          <w:sz w:val="21"/>
          <w:szCs w:val="21"/>
          <w:highlight w:val="none"/>
          <w:lang w:val="en-US" w:eastAsia="zh-CN"/>
        </w:rPr>
      </w:pPr>
      <w:r>
        <w:rPr>
          <w:rFonts w:hint="eastAsia" w:ascii="微软雅黑" w:hAnsi="微软雅黑" w:eastAsia="微软雅黑" w:cs="微软雅黑"/>
          <w:color w:val="auto"/>
          <w:kern w:val="0"/>
          <w:sz w:val="21"/>
          <w:szCs w:val="21"/>
          <w:highlight w:val="none"/>
          <w:lang w:val="en-US" w:eastAsia="zh-CN"/>
        </w:rPr>
        <w:t>详见本技术要求第五章中的具体要求。</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七、标识、包装、运输和存储</w:t>
      </w:r>
    </w:p>
    <w:p>
      <w:pPr>
        <w:keepNext w:val="0"/>
        <w:keepLines w:val="0"/>
        <w:pageBreakBefore w:val="0"/>
        <w:widowControl w:val="0"/>
        <w:numPr>
          <w:ilvl w:val="0"/>
          <w:numId w:val="6"/>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b w:val="0"/>
          <w:bCs w:val="0"/>
          <w:color w:val="auto"/>
          <w:sz w:val="21"/>
          <w:szCs w:val="21"/>
          <w:highlight w:val="none"/>
          <w:lang w:val="en-US" w:eastAsia="zh-CN"/>
        </w:rPr>
        <w:t>产品标识：</w:t>
      </w:r>
      <w:r>
        <w:rPr>
          <w:rFonts w:hint="eastAsia" w:ascii="微软雅黑" w:hAnsi="微软雅黑" w:eastAsia="微软雅黑" w:cs="微软雅黑"/>
          <w:color w:val="auto"/>
          <w:sz w:val="21"/>
          <w:szCs w:val="21"/>
          <w:highlight w:val="none"/>
          <w:lang w:eastAsia="zh-CN"/>
        </w:rPr>
        <w:t>以上所有产品均需采购正规厂家的合格产品，具有清晰明确的产品</w:t>
      </w:r>
      <w:r>
        <w:rPr>
          <w:rFonts w:hint="eastAsia" w:ascii="微软雅黑" w:hAnsi="微软雅黑" w:eastAsia="微软雅黑" w:cs="微软雅黑"/>
          <w:color w:val="auto"/>
          <w:sz w:val="21"/>
          <w:szCs w:val="21"/>
          <w:highlight w:val="none"/>
          <w:lang w:val="en-US" w:eastAsia="zh-CN"/>
        </w:rPr>
        <w:t>标识</w:t>
      </w:r>
      <w:r>
        <w:rPr>
          <w:rFonts w:hint="eastAsia" w:ascii="微软雅黑" w:hAnsi="微软雅黑" w:eastAsia="微软雅黑" w:cs="微软雅黑"/>
          <w:color w:val="auto"/>
          <w:sz w:val="21"/>
          <w:szCs w:val="21"/>
          <w:highlight w:val="none"/>
          <w:lang w:eastAsia="zh-CN"/>
        </w:rPr>
        <w:t>或铭牌，包括但不限于产品名称、规格型号、出厂编号、生产日期、生产商名称等信息。</w:t>
      </w:r>
    </w:p>
    <w:p>
      <w:pPr>
        <w:keepNext w:val="0"/>
        <w:keepLines w:val="0"/>
        <w:pageBreakBefore w:val="0"/>
        <w:widowControl w:val="0"/>
        <w:numPr>
          <w:ilvl w:val="0"/>
          <w:numId w:val="6"/>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b w:val="0"/>
          <w:bCs w:val="0"/>
          <w:color w:val="auto"/>
          <w:sz w:val="21"/>
          <w:szCs w:val="21"/>
          <w:highlight w:val="none"/>
          <w:lang w:val="en-US" w:eastAsia="zh-CN"/>
        </w:rPr>
        <w:t>产品包装：</w:t>
      </w:r>
      <w:r>
        <w:rPr>
          <w:rFonts w:hint="eastAsia" w:ascii="微软雅黑" w:hAnsi="微软雅黑" w:eastAsia="微软雅黑" w:cs="微软雅黑"/>
          <w:color w:val="auto"/>
          <w:sz w:val="21"/>
          <w:szCs w:val="21"/>
          <w:highlight w:val="none"/>
          <w:lang w:eastAsia="zh-CN"/>
        </w:rPr>
        <w:t>应提供原厂包装、标准配置的箱包等。</w:t>
      </w:r>
    </w:p>
    <w:p>
      <w:pPr>
        <w:keepNext w:val="0"/>
        <w:keepLines w:val="0"/>
        <w:pageBreakBefore w:val="0"/>
        <w:widowControl w:val="0"/>
        <w:numPr>
          <w:ilvl w:val="0"/>
          <w:numId w:val="6"/>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b w:val="0"/>
          <w:bCs w:val="0"/>
          <w:color w:val="auto"/>
          <w:sz w:val="21"/>
          <w:szCs w:val="21"/>
          <w:highlight w:val="none"/>
          <w:lang w:val="en-US" w:eastAsia="zh-CN"/>
        </w:rPr>
        <w:t>产品运输：</w:t>
      </w:r>
      <w:r>
        <w:rPr>
          <w:rFonts w:hint="eastAsia" w:ascii="微软雅黑" w:hAnsi="微软雅黑" w:eastAsia="微软雅黑" w:cs="微软雅黑"/>
          <w:color w:val="auto"/>
          <w:sz w:val="21"/>
          <w:szCs w:val="21"/>
          <w:highlight w:val="none"/>
          <w:lang w:eastAsia="zh-CN"/>
        </w:rPr>
        <w:t>不限运输方式，汽运、火运、海运、空运等均可，本技术要求中包含的全部产品在运输过程中应对产品进行防护措施，防护措施应保证任何运输条件下，起到对产品的保护作用。</w:t>
      </w:r>
      <w:r>
        <w:rPr>
          <w:rFonts w:hint="eastAsia" w:ascii="微软雅黑" w:hAnsi="微软雅黑" w:eastAsia="微软雅黑" w:cs="微软雅黑"/>
          <w:color w:val="auto"/>
          <w:sz w:val="21"/>
          <w:szCs w:val="21"/>
          <w:highlight w:val="none"/>
          <w:lang w:val="en-US" w:eastAsia="zh-CN"/>
        </w:rPr>
        <w:t>因设备运输造成的损坏应由卖方负责，由此造成的一切损失由卖方负责</w:t>
      </w:r>
      <w:r>
        <w:rPr>
          <w:rFonts w:hint="eastAsia" w:ascii="微软雅黑" w:hAnsi="微软雅黑" w:eastAsia="微软雅黑" w:cs="微软雅黑"/>
          <w:color w:val="auto"/>
          <w:sz w:val="21"/>
          <w:szCs w:val="21"/>
          <w:highlight w:val="none"/>
          <w:lang w:eastAsia="zh-CN"/>
        </w:rPr>
        <w:t>。</w:t>
      </w:r>
    </w:p>
    <w:p>
      <w:pPr>
        <w:keepNext w:val="0"/>
        <w:keepLines w:val="0"/>
        <w:pageBreakBefore w:val="0"/>
        <w:widowControl w:val="0"/>
        <w:numPr>
          <w:ilvl w:val="0"/>
          <w:numId w:val="6"/>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val="0"/>
          <w:bCs w:val="0"/>
          <w:color w:val="auto"/>
          <w:sz w:val="21"/>
          <w:szCs w:val="21"/>
          <w:highlight w:val="none"/>
          <w:lang w:val="en-US" w:eastAsia="zh-CN"/>
        </w:rPr>
        <w:t>产品存储：</w:t>
      </w:r>
      <w:r>
        <w:rPr>
          <w:rFonts w:hint="eastAsia" w:ascii="微软雅黑" w:hAnsi="微软雅黑" w:eastAsia="微软雅黑" w:cs="微软雅黑"/>
          <w:color w:val="auto"/>
          <w:sz w:val="21"/>
          <w:szCs w:val="21"/>
          <w:highlight w:val="none"/>
          <w:lang w:eastAsia="zh-CN"/>
        </w:rPr>
        <w:t>不涉及。</w:t>
      </w:r>
    </w:p>
    <w:p>
      <w:pPr>
        <w:pStyle w:val="25"/>
        <w:keepNext w:val="0"/>
        <w:keepLines w:val="0"/>
        <w:pageBreakBefore w:val="0"/>
        <w:numPr>
          <w:ilvl w:val="0"/>
          <w:numId w:val="7"/>
        </w:numPr>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技术文件</w:t>
      </w:r>
    </w:p>
    <w:p>
      <w:pPr>
        <w:keepNext w:val="0"/>
        <w:keepLines w:val="0"/>
        <w:pageBreakBefore w:val="0"/>
        <w:widowControl w:val="0"/>
        <w:numPr>
          <w:ilvl w:val="0"/>
          <w:numId w:val="8"/>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卖方在投标时应提供但不局限于以下文件：</w:t>
      </w:r>
    </w:p>
    <w:p>
      <w:pPr>
        <w:pStyle w:val="7"/>
        <w:keepNext w:val="0"/>
        <w:keepLines w:val="0"/>
        <w:pageBreakBefore w:val="0"/>
        <w:widowControl w:val="0"/>
        <w:numPr>
          <w:ilvl w:val="0"/>
          <w:numId w:val="9"/>
        </w:numPr>
        <w:kinsoku/>
        <w:wordWrap/>
        <w:overflowPunct/>
        <w:topLinePunct w:val="0"/>
        <w:autoSpaceDE/>
        <w:autoSpaceDN/>
        <w:bidi w:val="0"/>
        <w:adjustRightInd/>
        <w:snapToGrid/>
        <w:spacing w:line="360" w:lineRule="auto"/>
        <w:ind w:left="1760" w:leftChars="0" w:hanging="440" w:firstLineChars="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val="en-US" w:eastAsia="zh-CN"/>
        </w:rPr>
        <w:t>★厂家型号要求：①投标时应以表格形式（参考需求一览表的表格样式）</w:t>
      </w:r>
      <w:r>
        <w:rPr>
          <w:rFonts w:hint="eastAsia" w:ascii="微软雅黑" w:hAnsi="微软雅黑" w:eastAsia="微软雅黑" w:cs="微软雅黑"/>
          <w:color w:val="auto"/>
          <w:sz w:val="21"/>
          <w:szCs w:val="21"/>
          <w:highlight w:val="none"/>
          <w:lang w:eastAsia="zh-CN"/>
        </w:rPr>
        <w:t>提供</w:t>
      </w:r>
      <w:r>
        <w:rPr>
          <w:rFonts w:hint="eastAsia" w:ascii="微软雅黑" w:hAnsi="微软雅黑" w:eastAsia="微软雅黑" w:cs="微软雅黑"/>
          <w:color w:val="auto"/>
          <w:sz w:val="21"/>
          <w:szCs w:val="21"/>
          <w:highlight w:val="none"/>
          <w:lang w:val="en-US" w:eastAsia="zh-CN"/>
        </w:rPr>
        <w:t>每一项</w:t>
      </w:r>
      <w:r>
        <w:rPr>
          <w:rFonts w:hint="eastAsia" w:ascii="微软雅黑" w:hAnsi="微软雅黑" w:eastAsia="微软雅黑" w:cs="微软雅黑"/>
          <w:color w:val="auto"/>
          <w:sz w:val="21"/>
          <w:szCs w:val="21"/>
          <w:highlight w:val="none"/>
          <w:lang w:eastAsia="zh-CN"/>
        </w:rPr>
        <w:t>设备</w:t>
      </w:r>
      <w:r>
        <w:rPr>
          <w:rFonts w:hint="eastAsia" w:ascii="微软雅黑" w:hAnsi="微软雅黑" w:eastAsia="微软雅黑" w:cs="微软雅黑"/>
          <w:color w:val="auto"/>
          <w:sz w:val="21"/>
          <w:szCs w:val="21"/>
          <w:highlight w:val="none"/>
          <w:lang w:val="en-US" w:eastAsia="zh-CN"/>
        </w:rPr>
        <w:t>的制造</w:t>
      </w:r>
      <w:r>
        <w:rPr>
          <w:rFonts w:hint="eastAsia" w:ascii="微软雅黑" w:hAnsi="微软雅黑" w:eastAsia="微软雅黑" w:cs="微软雅黑"/>
          <w:color w:val="auto"/>
          <w:sz w:val="21"/>
          <w:szCs w:val="21"/>
          <w:highlight w:val="none"/>
          <w:lang w:eastAsia="zh-CN"/>
        </w:rPr>
        <w:t>厂家</w:t>
      </w:r>
      <w:r>
        <w:rPr>
          <w:rFonts w:hint="eastAsia" w:ascii="微软雅黑" w:hAnsi="微软雅黑" w:eastAsia="微软雅黑" w:cs="微软雅黑"/>
          <w:color w:val="auto"/>
          <w:sz w:val="21"/>
          <w:szCs w:val="21"/>
          <w:highlight w:val="none"/>
          <w:lang w:val="en-US" w:eastAsia="zh-CN"/>
        </w:rPr>
        <w:t>和详细</w:t>
      </w:r>
      <w:r>
        <w:rPr>
          <w:rFonts w:hint="eastAsia" w:ascii="微软雅黑" w:hAnsi="微软雅黑" w:eastAsia="微软雅黑" w:cs="微软雅黑"/>
          <w:color w:val="auto"/>
          <w:sz w:val="21"/>
          <w:szCs w:val="21"/>
          <w:highlight w:val="none"/>
          <w:lang w:eastAsia="zh-CN"/>
        </w:rPr>
        <w:t>型号等</w:t>
      </w:r>
      <w:r>
        <w:rPr>
          <w:rFonts w:hint="eastAsia" w:ascii="微软雅黑" w:hAnsi="微软雅黑" w:eastAsia="微软雅黑" w:cs="微软雅黑"/>
          <w:color w:val="auto"/>
          <w:sz w:val="21"/>
          <w:szCs w:val="21"/>
          <w:highlight w:val="none"/>
          <w:lang w:val="en-US" w:eastAsia="zh-CN"/>
        </w:rPr>
        <w:t>内容。②卖方应承诺所提供设备的所有参数均需满足或优于本技术要求的所有条款。</w:t>
      </w:r>
    </w:p>
    <w:p>
      <w:pPr>
        <w:pStyle w:val="7"/>
        <w:keepNext w:val="0"/>
        <w:keepLines w:val="0"/>
        <w:pageBreakBefore w:val="0"/>
        <w:widowControl w:val="0"/>
        <w:numPr>
          <w:ilvl w:val="0"/>
          <w:numId w:val="9"/>
        </w:numPr>
        <w:kinsoku/>
        <w:wordWrap/>
        <w:overflowPunct/>
        <w:topLinePunct w:val="0"/>
        <w:autoSpaceDE/>
        <w:autoSpaceDN/>
        <w:bidi w:val="0"/>
        <w:adjustRightInd/>
        <w:snapToGrid/>
        <w:spacing w:line="360" w:lineRule="auto"/>
        <w:ind w:left="1760" w:leftChars="0" w:hanging="440" w:firstLineChars="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val="en-US" w:eastAsia="zh-CN"/>
        </w:rPr>
        <w:t>★技术偏离：①投标时应</w:t>
      </w:r>
      <w:r>
        <w:rPr>
          <w:rFonts w:hint="eastAsia" w:ascii="微软雅黑" w:hAnsi="微软雅黑" w:eastAsia="微软雅黑" w:cs="微软雅黑"/>
          <w:color w:val="auto"/>
          <w:sz w:val="21"/>
          <w:szCs w:val="21"/>
          <w:highlight w:val="none"/>
          <w:lang w:eastAsia="zh-CN"/>
        </w:rPr>
        <w:t>提交技术参数响应/偏离表。</w:t>
      </w:r>
      <w:r>
        <w:rPr>
          <w:rFonts w:hint="eastAsia" w:ascii="微软雅黑" w:hAnsi="微软雅黑" w:eastAsia="微软雅黑" w:cs="微软雅黑"/>
          <w:color w:val="auto"/>
          <w:sz w:val="21"/>
          <w:szCs w:val="21"/>
          <w:highlight w:val="none"/>
          <w:lang w:val="en-US" w:eastAsia="zh-CN"/>
        </w:rPr>
        <w:t>②不接受任何低于本技术要求的任一条款的技术偏离。</w:t>
      </w:r>
    </w:p>
    <w:p>
      <w:pPr>
        <w:keepNext w:val="0"/>
        <w:keepLines w:val="0"/>
        <w:pageBreakBefore w:val="0"/>
        <w:widowControl w:val="0"/>
        <w:numPr>
          <w:ilvl w:val="0"/>
          <w:numId w:val="8"/>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卖方在产品交付时应提供：</w:t>
      </w:r>
    </w:p>
    <w:p>
      <w:pPr>
        <w:pStyle w:val="7"/>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产品交付时，</w:t>
      </w:r>
      <w:r>
        <w:rPr>
          <w:rFonts w:hint="eastAsia" w:ascii="微软雅黑" w:hAnsi="微软雅黑" w:eastAsia="微软雅黑" w:cs="微软雅黑"/>
          <w:color w:val="auto"/>
          <w:sz w:val="21"/>
          <w:szCs w:val="21"/>
          <w:highlight w:val="none"/>
          <w:lang w:val="en-US" w:eastAsia="zh-CN"/>
        </w:rPr>
        <w:t>应提供本技术要求第五章中规定的所有内容，有防爆要求的设备需同时提供对应防爆等级的防爆证书，有检定、校准或检测要求的设备需同时提供相应证书/报告</w:t>
      </w:r>
      <w:r>
        <w:rPr>
          <w:rFonts w:hint="eastAsia" w:ascii="微软雅黑" w:hAnsi="微软雅黑" w:eastAsia="微软雅黑" w:cs="微软雅黑"/>
          <w:color w:val="auto"/>
          <w:sz w:val="21"/>
          <w:szCs w:val="21"/>
          <w:highlight w:val="none"/>
          <w:lang w:eastAsia="zh-CN"/>
        </w:rPr>
        <w:t>。</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lang w:eastAsia="zh-CN"/>
        </w:rPr>
      </w:pPr>
      <w:r>
        <w:rPr>
          <w:rFonts w:hint="eastAsia" w:ascii="微软雅黑" w:hAnsi="微软雅黑" w:eastAsia="微软雅黑" w:cs="微软雅黑"/>
          <w:bCs/>
          <w:color w:val="auto"/>
          <w:sz w:val="32"/>
          <w:szCs w:val="32"/>
          <w:highlight w:val="none"/>
        </w:rPr>
        <w:t>九、工作进度、监造和现场验收</w:t>
      </w:r>
    </w:p>
    <w:p>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具体事宜详见本技术要求第五章具体规定的内容。</w:t>
      </w:r>
    </w:p>
    <w:p>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需求一览表中各公司或部门的供货周期要求为最晚期限，卖方应严格按照供货周期供货不得逾期，提倡提前供货以保证供货的顺利完成。</w:t>
      </w:r>
    </w:p>
    <w:p>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卖方送货应提前进行，应给验收、整改等工作预留时间，因验收不合格、或整改不及时等原因造成逾期供货产生的工期延误损失和费用增加由卖方承担，可分批验收。</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十、技术服务与售后服务</w:t>
      </w:r>
    </w:p>
    <w:p>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安装、调试指导要求：详见本技术要求第五章具体规定的内容。</w:t>
      </w:r>
    </w:p>
    <w:p>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技术培训要求：详见本技术要求第五章具体规定的内容。</w:t>
      </w:r>
    </w:p>
    <w:p>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技术联络与响应：卖方在接到买方通知24小时内给予答复，48小时到达现场。</w:t>
      </w:r>
    </w:p>
    <w:p>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b w:val="0"/>
          <w:bCs w:val="0"/>
          <w:color w:val="auto"/>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保密要求：相关信息和具体合作细节未经买方允许不得透露给相关方或其它机构。</w:t>
      </w:r>
    </w:p>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r>
        <w:rPr>
          <w:rFonts w:hint="eastAsia" w:ascii="微软雅黑" w:hAnsi="微软雅黑" w:eastAsia="微软雅黑" w:cs="微软雅黑"/>
          <w:bCs/>
          <w:color w:val="auto"/>
          <w:sz w:val="32"/>
          <w:szCs w:val="32"/>
          <w:highlight w:val="none"/>
        </w:rPr>
        <w:t>十一、质量保证</w:t>
      </w:r>
    </w:p>
    <w:p>
      <w:pPr>
        <w:keepNext w:val="0"/>
        <w:keepLines w:val="0"/>
        <w:pageBreakBefore w:val="0"/>
        <w:widowControl w:val="0"/>
        <w:numPr>
          <w:ilvl w:val="0"/>
          <w:numId w:val="12"/>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w:t>
      </w:r>
      <w:r>
        <w:rPr>
          <w:rFonts w:hint="eastAsia" w:ascii="微软雅黑" w:hAnsi="微软雅黑" w:eastAsia="微软雅黑" w:cs="微软雅黑"/>
          <w:b w:val="0"/>
          <w:bCs w:val="0"/>
          <w:color w:val="auto"/>
          <w:sz w:val="21"/>
          <w:szCs w:val="21"/>
          <w:highlight w:val="none"/>
          <w:lang w:val="en-US" w:eastAsia="zh-CN"/>
        </w:rPr>
        <w:t>质保期要求：</w:t>
      </w:r>
      <w:r>
        <w:rPr>
          <w:rFonts w:hint="eastAsia" w:ascii="微软雅黑" w:hAnsi="微软雅黑" w:eastAsia="微软雅黑" w:cs="微软雅黑"/>
          <w:color w:val="auto"/>
          <w:sz w:val="21"/>
          <w:szCs w:val="21"/>
          <w:highlight w:val="none"/>
          <w:lang w:val="en-US" w:eastAsia="zh-CN"/>
        </w:rPr>
        <w:t>详见本技术要求第五章具体规定的内容。</w:t>
      </w:r>
    </w:p>
    <w:p>
      <w:pPr>
        <w:keepNext w:val="0"/>
        <w:keepLines w:val="0"/>
        <w:pageBreakBefore w:val="0"/>
        <w:widowControl w:val="0"/>
        <w:numPr>
          <w:ilvl w:val="0"/>
          <w:numId w:val="12"/>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w:t>
      </w:r>
      <w:r>
        <w:rPr>
          <w:rFonts w:hint="eastAsia" w:ascii="微软雅黑" w:hAnsi="微软雅黑" w:eastAsia="微软雅黑" w:cs="微软雅黑"/>
          <w:b w:val="0"/>
          <w:bCs w:val="0"/>
          <w:color w:val="auto"/>
          <w:sz w:val="21"/>
          <w:szCs w:val="21"/>
          <w:highlight w:val="none"/>
          <w:lang w:val="en-US" w:eastAsia="zh-CN"/>
        </w:rPr>
        <w:t>质保金要求：</w:t>
      </w:r>
      <w:r>
        <w:rPr>
          <w:rFonts w:hint="eastAsia" w:ascii="微软雅黑" w:hAnsi="微软雅黑" w:eastAsia="微软雅黑" w:cs="微软雅黑"/>
          <w:color w:val="auto"/>
          <w:sz w:val="21"/>
          <w:szCs w:val="21"/>
          <w:highlight w:val="none"/>
          <w:lang w:val="en-US" w:eastAsia="zh-CN"/>
        </w:rPr>
        <w:t>合同总额的5%。</w:t>
      </w:r>
    </w:p>
    <w:p>
      <w:pPr>
        <w:keepNext w:val="0"/>
        <w:keepLines w:val="0"/>
        <w:pageBreakBefore w:val="0"/>
        <w:widowControl w:val="0"/>
        <w:numPr>
          <w:ilvl w:val="0"/>
          <w:numId w:val="12"/>
        </w:numPr>
        <w:kinsoku/>
        <w:wordWrap/>
        <w:overflowPunct/>
        <w:topLinePunct w:val="0"/>
        <w:autoSpaceDE/>
        <w:autoSpaceDN/>
        <w:bidi w:val="0"/>
        <w:adjustRightInd/>
        <w:snapToGrid/>
        <w:spacing w:before="0" w:after="0" w:line="360" w:lineRule="auto"/>
        <w:ind w:left="425" w:leftChars="0" w:right="0" w:rightChars="0" w:hanging="425" w:firstLineChars="0"/>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b w:val="0"/>
          <w:bCs w:val="0"/>
          <w:color w:val="auto"/>
          <w:sz w:val="21"/>
          <w:szCs w:val="21"/>
          <w:highlight w:val="none"/>
          <w:lang w:val="en-US" w:eastAsia="zh-CN"/>
        </w:rPr>
        <w:t>考核、罚则、赔偿等特殊要求：</w:t>
      </w:r>
      <w:r>
        <w:rPr>
          <w:rFonts w:hint="eastAsia" w:ascii="微软雅黑" w:hAnsi="微软雅黑" w:eastAsia="微软雅黑" w:cs="微软雅黑"/>
          <w:color w:val="auto"/>
          <w:sz w:val="21"/>
          <w:szCs w:val="21"/>
          <w:highlight w:val="none"/>
          <w:lang w:val="en-US" w:eastAsia="zh-CN"/>
        </w:rPr>
        <w:t>到货验收不合格，无条件退货/换货，由此产生的工期延误损失和费用增加由卖方承担。</w:t>
      </w:r>
    </w:p>
    <w:bookmarkEnd w:id="4"/>
    <w:bookmarkEnd w:id="5"/>
    <w:p>
      <w:pPr>
        <w:pStyle w:val="25"/>
        <w:keepNext w:val="0"/>
        <w:keepLines w:val="0"/>
        <w:pageBreakBefore w:val="0"/>
        <w:kinsoku/>
        <w:wordWrap/>
        <w:overflowPunct/>
        <w:topLinePunct w:val="0"/>
        <w:bidi w:val="0"/>
        <w:spacing w:before="120" w:after="120" w:line="360" w:lineRule="auto"/>
        <w:outlineLvl w:val="0"/>
        <w:rPr>
          <w:rFonts w:hint="eastAsia" w:ascii="微软雅黑" w:hAnsi="微软雅黑" w:eastAsia="微软雅黑" w:cs="微软雅黑"/>
          <w:bCs/>
          <w:color w:val="auto"/>
          <w:sz w:val="32"/>
          <w:szCs w:val="32"/>
          <w:highlight w:val="none"/>
        </w:rPr>
      </w:pPr>
      <w:bookmarkStart w:id="6" w:name="_Toc13248931"/>
      <w:bookmarkStart w:id="7" w:name="_Toc13249328"/>
      <w:r>
        <w:rPr>
          <w:rFonts w:hint="eastAsia" w:ascii="微软雅黑" w:hAnsi="微软雅黑" w:eastAsia="微软雅黑" w:cs="微软雅黑"/>
          <w:bCs/>
          <w:color w:val="auto"/>
          <w:sz w:val="32"/>
          <w:szCs w:val="32"/>
          <w:highlight w:val="none"/>
        </w:rPr>
        <w:t>十二、其他要求</w:t>
      </w:r>
      <w:bookmarkEnd w:id="6"/>
      <w:bookmarkEnd w:id="7"/>
    </w:p>
    <w:p>
      <w:pPr>
        <w:pStyle w:val="7"/>
        <w:keepNext w:val="0"/>
        <w:keepLines w:val="0"/>
        <w:pageBreakBefore w:val="0"/>
        <w:widowControl w:val="0"/>
        <w:numPr>
          <w:ilvl w:val="0"/>
          <w:numId w:val="13"/>
        </w:numPr>
        <w:kinsoku/>
        <w:wordWrap/>
        <w:overflowPunct/>
        <w:topLinePunct w:val="0"/>
        <w:autoSpaceDE/>
        <w:autoSpaceDN/>
        <w:bidi w:val="0"/>
        <w:adjustRightInd/>
        <w:snapToGrid/>
        <w:spacing w:line="360" w:lineRule="auto"/>
        <w:ind w:left="561" w:right="119" w:hanging="363" w:firstLineChars="0"/>
        <w:textAlignment w:val="auto"/>
        <w:rPr>
          <w:rFonts w:hint="eastAsia" w:ascii="微软雅黑" w:hAnsi="微软雅黑" w:eastAsia="微软雅黑" w:cs="微软雅黑"/>
          <w:color w:val="auto"/>
          <w:sz w:val="21"/>
          <w:szCs w:val="21"/>
          <w:highlight w:val="none"/>
          <w:lang w:eastAsia="zh-CN"/>
        </w:rPr>
      </w:pPr>
      <w:bookmarkStart w:id="8" w:name="_GoBack"/>
      <w:bookmarkEnd w:id="8"/>
      <w:r>
        <w:rPr>
          <w:rFonts w:hint="eastAsia" w:ascii="微软雅黑" w:hAnsi="微软雅黑" w:eastAsia="微软雅黑" w:cs="微软雅黑"/>
          <w:color w:val="auto"/>
          <w:sz w:val="21"/>
          <w:szCs w:val="21"/>
          <w:highlight w:val="none"/>
          <w:lang w:eastAsia="zh-CN"/>
        </w:rPr>
        <w:t>付款方式要求：银行电汇；</w:t>
      </w:r>
    </w:p>
    <w:p>
      <w:pPr>
        <w:pStyle w:val="7"/>
        <w:keepNext w:val="0"/>
        <w:keepLines w:val="0"/>
        <w:pageBreakBefore w:val="0"/>
        <w:widowControl w:val="0"/>
        <w:numPr>
          <w:ilvl w:val="0"/>
          <w:numId w:val="13"/>
        </w:numPr>
        <w:kinsoku/>
        <w:wordWrap/>
        <w:overflowPunct/>
        <w:topLinePunct w:val="0"/>
        <w:autoSpaceDE/>
        <w:autoSpaceDN/>
        <w:bidi w:val="0"/>
        <w:adjustRightInd/>
        <w:snapToGrid/>
        <w:spacing w:line="360" w:lineRule="auto"/>
        <w:ind w:left="561" w:right="119" w:hanging="363" w:firstLineChars="0"/>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付款周期要求：</w:t>
      </w:r>
      <w:r>
        <w:rPr>
          <w:rFonts w:hint="eastAsia" w:ascii="微软雅黑" w:hAnsi="微软雅黑" w:eastAsia="微软雅黑" w:cs="微软雅黑"/>
          <w:b w:val="0"/>
          <w:bCs w:val="0"/>
          <w:color w:val="auto"/>
          <w:sz w:val="21"/>
          <w:szCs w:val="21"/>
          <w:highlight w:val="none"/>
          <w:lang w:val="en-US" w:eastAsia="zh-CN"/>
        </w:rPr>
        <w:t>合同签订后，卖方在规定的时间将货物运到交货地点，经卖方验收合格并收到卖方有效票据后，在45日内甲方支付合同总价的95%。质保期满，如未遗留任何质量问题并收到卖方提供的等额有效收据之日起45日内，向卖方支付总价的5%的质量保证金。如付款到期日为非银行工作日，则付款到期日顺延至下一个银行工作日。</w:t>
      </w:r>
    </w:p>
    <w:p>
      <w:pPr>
        <w:pStyle w:val="7"/>
        <w:keepNext w:val="0"/>
        <w:keepLines w:val="0"/>
        <w:pageBreakBefore w:val="0"/>
        <w:numPr>
          <w:ilvl w:val="0"/>
          <w:numId w:val="13"/>
        </w:numPr>
        <w:kinsoku/>
        <w:wordWrap/>
        <w:overflowPunct/>
        <w:topLinePunct w:val="0"/>
        <w:bidi w:val="0"/>
        <w:spacing w:line="360" w:lineRule="auto"/>
        <w:ind w:right="122" w:firstLineChars="0"/>
      </w:pPr>
      <w:r>
        <w:rPr>
          <w:rFonts w:hint="eastAsia" w:ascii="微软雅黑" w:hAnsi="微软雅黑" w:eastAsia="微软雅黑" w:cs="微软雅黑"/>
          <w:color w:val="auto"/>
          <w:sz w:val="21"/>
          <w:szCs w:val="21"/>
          <w:highlight w:val="none"/>
          <w:lang w:eastAsia="zh-CN"/>
        </w:rPr>
        <w:t>其他特殊要求：</w:t>
      </w:r>
      <w:r>
        <w:rPr>
          <w:rFonts w:hint="eastAsia" w:ascii="微软雅黑" w:hAnsi="微软雅黑" w:eastAsia="微软雅黑" w:cs="微软雅黑"/>
          <w:color w:val="auto"/>
          <w:sz w:val="21"/>
          <w:szCs w:val="21"/>
          <w:highlight w:val="none"/>
          <w:lang w:val="en-US" w:eastAsia="zh-CN"/>
        </w:rPr>
        <w:t>无。</w:t>
      </w:r>
    </w:p>
    <w:sectPr>
      <w:pgSz w:w="11906" w:h="16838"/>
      <w:pgMar w:top="1440" w:right="156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7F" w:usb3="00000000" w:csb0="203F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51D47"/>
    <w:multiLevelType w:val="multilevel"/>
    <w:tmpl w:val="84551D47"/>
    <w:lvl w:ilvl="0" w:tentative="0">
      <w:start w:val="1"/>
      <w:numFmt w:val="lowerLetter"/>
      <w:suff w:val="nothing"/>
      <w:lvlText w:val="%1."/>
      <w:lvlJc w:val="left"/>
      <w:pPr>
        <w:ind w:left="425" w:hanging="425"/>
      </w:pPr>
      <w:rPr>
        <w:rFonts w:hint="default"/>
      </w:rPr>
    </w:lvl>
    <w:lvl w:ilvl="1" w:tentative="0">
      <w:start w:val="1"/>
      <w:numFmt w:val="lowerLetter"/>
      <w:suff w:val="nothing"/>
      <w:lvlText w:val="%2)"/>
      <w:lvlJc w:val="left"/>
      <w:pPr>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1">
    <w:nsid w:val="A232E2C5"/>
    <w:multiLevelType w:val="singleLevel"/>
    <w:tmpl w:val="A232E2C5"/>
    <w:lvl w:ilvl="0" w:tentative="0">
      <w:start w:val="1"/>
      <w:numFmt w:val="decimal"/>
      <w:lvlText w:val="%1)"/>
      <w:lvlJc w:val="left"/>
      <w:pPr>
        <w:ind w:left="425" w:hanging="425"/>
      </w:pPr>
      <w:rPr>
        <w:rFonts w:hint="default"/>
      </w:rPr>
    </w:lvl>
  </w:abstractNum>
  <w:abstractNum w:abstractNumId="2">
    <w:nsid w:val="00000008"/>
    <w:multiLevelType w:val="singleLevel"/>
    <w:tmpl w:val="00000008"/>
    <w:lvl w:ilvl="0" w:tentative="0">
      <w:start w:val="1"/>
      <w:numFmt w:val="bullet"/>
      <w:lvlText w:val=""/>
      <w:lvlJc w:val="left"/>
      <w:pPr>
        <w:ind w:left="1300" w:hanging="420"/>
      </w:pPr>
      <w:rPr>
        <w:rFonts w:hint="default" w:ascii="Wingdings" w:hAnsi="Wingdings"/>
      </w:rPr>
    </w:lvl>
  </w:abstractNum>
  <w:abstractNum w:abstractNumId="3">
    <w:nsid w:val="00000016"/>
    <w:multiLevelType w:val="singleLevel"/>
    <w:tmpl w:val="00000016"/>
    <w:lvl w:ilvl="0" w:tentative="0">
      <w:start w:val="1"/>
      <w:numFmt w:val="decimal"/>
      <w:lvlText w:val="%1."/>
      <w:lvlJc w:val="left"/>
      <w:pPr>
        <w:ind w:left="425" w:hanging="425"/>
      </w:pPr>
      <w:rPr>
        <w:rFonts w:hint="default"/>
      </w:rPr>
    </w:lvl>
  </w:abstractNum>
  <w:abstractNum w:abstractNumId="4">
    <w:nsid w:val="00000018"/>
    <w:multiLevelType w:val="singleLevel"/>
    <w:tmpl w:val="00000018"/>
    <w:lvl w:ilvl="0" w:tentative="0">
      <w:start w:val="1"/>
      <w:numFmt w:val="decimal"/>
      <w:lvlText w:val="%1."/>
      <w:lvlJc w:val="left"/>
      <w:pPr>
        <w:ind w:left="425" w:hanging="425"/>
      </w:pPr>
      <w:rPr>
        <w:rFonts w:hint="default"/>
      </w:rPr>
    </w:lvl>
  </w:abstractNum>
  <w:abstractNum w:abstractNumId="5">
    <w:nsid w:val="0000001B"/>
    <w:multiLevelType w:val="singleLevel"/>
    <w:tmpl w:val="0000001B"/>
    <w:lvl w:ilvl="0" w:tentative="0">
      <w:start w:val="1"/>
      <w:numFmt w:val="decimal"/>
      <w:lvlText w:val="%1."/>
      <w:lvlJc w:val="left"/>
      <w:pPr>
        <w:ind w:left="425" w:hanging="425"/>
      </w:pPr>
      <w:rPr>
        <w:rFonts w:hint="default"/>
      </w:rPr>
    </w:lvl>
  </w:abstractNum>
  <w:abstractNum w:abstractNumId="6">
    <w:nsid w:val="0000001C"/>
    <w:multiLevelType w:val="singleLevel"/>
    <w:tmpl w:val="0000001C"/>
    <w:lvl w:ilvl="0" w:tentative="0">
      <w:start w:val="1"/>
      <w:numFmt w:val="decimal"/>
      <w:lvlText w:val="%1."/>
      <w:lvlJc w:val="left"/>
      <w:pPr>
        <w:ind w:left="425" w:hanging="425"/>
      </w:pPr>
      <w:rPr>
        <w:rFonts w:hint="default"/>
      </w:rPr>
    </w:lvl>
  </w:abstractNum>
  <w:abstractNum w:abstractNumId="7">
    <w:nsid w:val="0B6542FA"/>
    <w:multiLevelType w:val="multilevel"/>
    <w:tmpl w:val="0B6542FA"/>
    <w:lvl w:ilvl="0" w:tentative="0">
      <w:start w:val="8"/>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D80F78F"/>
    <w:multiLevelType w:val="singleLevel"/>
    <w:tmpl w:val="0D80F78F"/>
    <w:lvl w:ilvl="0" w:tentative="0">
      <w:start w:val="1"/>
      <w:numFmt w:val="lowerLetter"/>
      <w:lvlText w:val="%1."/>
      <w:lvlJc w:val="left"/>
      <w:pPr>
        <w:ind w:left="425" w:hanging="425"/>
      </w:pPr>
      <w:rPr>
        <w:rFonts w:hint="default"/>
      </w:rPr>
    </w:lvl>
  </w:abstractNum>
  <w:abstractNum w:abstractNumId="9">
    <w:nsid w:val="26DC0ECB"/>
    <w:multiLevelType w:val="multilevel"/>
    <w:tmpl w:val="26DC0ECB"/>
    <w:lvl w:ilvl="0" w:tentative="0">
      <w:start w:val="1"/>
      <w:numFmt w:val="decimal"/>
      <w:lvlText w:val="%1."/>
      <w:lvlJc w:val="left"/>
      <w:pPr>
        <w:ind w:left="560" w:hanging="360"/>
      </w:pPr>
      <w:rPr>
        <w:rFonts w:hint="default"/>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0">
    <w:nsid w:val="2AD17137"/>
    <w:multiLevelType w:val="singleLevel"/>
    <w:tmpl w:val="2AD17137"/>
    <w:lvl w:ilvl="0" w:tentative="0">
      <w:start w:val="1"/>
      <w:numFmt w:val="bullet"/>
      <w:lvlText w:val=""/>
      <w:lvlJc w:val="left"/>
      <w:pPr>
        <w:ind w:left="420" w:hanging="420"/>
      </w:pPr>
      <w:rPr>
        <w:rFonts w:hint="default" w:ascii="Wingdings" w:hAnsi="Wingdings"/>
      </w:rPr>
    </w:lvl>
  </w:abstractNum>
  <w:abstractNum w:abstractNumId="11">
    <w:nsid w:val="4708DEFD"/>
    <w:multiLevelType w:val="singleLevel"/>
    <w:tmpl w:val="4708DEFD"/>
    <w:lvl w:ilvl="0" w:tentative="0">
      <w:start w:val="1"/>
      <w:numFmt w:val="lowerLetter"/>
      <w:lvlText w:val="%1."/>
      <w:lvlJc w:val="left"/>
      <w:pPr>
        <w:ind w:left="425" w:hanging="425"/>
      </w:pPr>
      <w:rPr>
        <w:rFonts w:hint="default"/>
      </w:rPr>
    </w:lvl>
  </w:abstractNum>
  <w:abstractNum w:abstractNumId="12">
    <w:nsid w:val="4D161919"/>
    <w:multiLevelType w:val="singleLevel"/>
    <w:tmpl w:val="4D161919"/>
    <w:lvl w:ilvl="0" w:tentative="0">
      <w:start w:val="1"/>
      <w:numFmt w:val="decimal"/>
      <w:lvlText w:val="%1."/>
      <w:lvlJc w:val="left"/>
      <w:pPr>
        <w:ind w:left="425" w:hanging="425"/>
      </w:pPr>
      <w:rPr>
        <w:rFonts w:hint="default"/>
      </w:rPr>
    </w:lvl>
  </w:abstractNum>
  <w:num w:numId="1">
    <w:abstractNumId w:val="10"/>
  </w:num>
  <w:num w:numId="2">
    <w:abstractNumId w:val="1"/>
  </w:num>
  <w:num w:numId="3">
    <w:abstractNumId w:val="11"/>
  </w:num>
  <w:num w:numId="4">
    <w:abstractNumId w:val="8"/>
  </w:num>
  <w:num w:numId="5">
    <w:abstractNumId w:val="0"/>
  </w:num>
  <w:num w:numId="6">
    <w:abstractNumId w:val="6"/>
  </w:num>
  <w:num w:numId="7">
    <w:abstractNumId w:val="7"/>
  </w:num>
  <w:num w:numId="8">
    <w:abstractNumId w:val="5"/>
  </w:num>
  <w:num w:numId="9">
    <w:abstractNumId w:val="2"/>
  </w:num>
  <w:num w:numId="10">
    <w:abstractNumId w:val="4"/>
  </w:num>
  <w:num w:numId="11">
    <w:abstractNumId w:val="12"/>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4CF"/>
    <w:rsid w:val="0000572C"/>
    <w:rsid w:val="00015CC7"/>
    <w:rsid w:val="00055FDF"/>
    <w:rsid w:val="0009050D"/>
    <w:rsid w:val="000E7DCA"/>
    <w:rsid w:val="001323F9"/>
    <w:rsid w:val="001644CF"/>
    <w:rsid w:val="001B3054"/>
    <w:rsid w:val="001C0975"/>
    <w:rsid w:val="00223923"/>
    <w:rsid w:val="00255671"/>
    <w:rsid w:val="00291AC4"/>
    <w:rsid w:val="00296D9D"/>
    <w:rsid w:val="002A2EAC"/>
    <w:rsid w:val="002B756F"/>
    <w:rsid w:val="002D753E"/>
    <w:rsid w:val="002E2797"/>
    <w:rsid w:val="00316452"/>
    <w:rsid w:val="00335848"/>
    <w:rsid w:val="00367E0B"/>
    <w:rsid w:val="0037391E"/>
    <w:rsid w:val="00397269"/>
    <w:rsid w:val="004020A3"/>
    <w:rsid w:val="004077E1"/>
    <w:rsid w:val="004236F4"/>
    <w:rsid w:val="004D2468"/>
    <w:rsid w:val="005C1CC9"/>
    <w:rsid w:val="005C6578"/>
    <w:rsid w:val="0060078E"/>
    <w:rsid w:val="0069154A"/>
    <w:rsid w:val="006D5366"/>
    <w:rsid w:val="00706FF6"/>
    <w:rsid w:val="00723A5A"/>
    <w:rsid w:val="00753CBD"/>
    <w:rsid w:val="0076111A"/>
    <w:rsid w:val="00767FC6"/>
    <w:rsid w:val="0078770E"/>
    <w:rsid w:val="00834BD4"/>
    <w:rsid w:val="00852B10"/>
    <w:rsid w:val="00857686"/>
    <w:rsid w:val="008A30AE"/>
    <w:rsid w:val="008D107A"/>
    <w:rsid w:val="008F1C83"/>
    <w:rsid w:val="009824EA"/>
    <w:rsid w:val="009B54BE"/>
    <w:rsid w:val="009C2FD5"/>
    <w:rsid w:val="00A2514C"/>
    <w:rsid w:val="00A8052C"/>
    <w:rsid w:val="00AF5B72"/>
    <w:rsid w:val="00B10F50"/>
    <w:rsid w:val="00B15418"/>
    <w:rsid w:val="00B324F3"/>
    <w:rsid w:val="00B56245"/>
    <w:rsid w:val="00B56A52"/>
    <w:rsid w:val="00BE3C84"/>
    <w:rsid w:val="00C55808"/>
    <w:rsid w:val="00C61DB8"/>
    <w:rsid w:val="00C74A9D"/>
    <w:rsid w:val="00CE1FC9"/>
    <w:rsid w:val="00CF5864"/>
    <w:rsid w:val="00D50E01"/>
    <w:rsid w:val="00D71F6F"/>
    <w:rsid w:val="00E30386"/>
    <w:rsid w:val="00E53CCA"/>
    <w:rsid w:val="00E87CFE"/>
    <w:rsid w:val="00EF142B"/>
    <w:rsid w:val="00F22A9E"/>
    <w:rsid w:val="00FD2EA2"/>
    <w:rsid w:val="025462F2"/>
    <w:rsid w:val="034339E7"/>
    <w:rsid w:val="03D864AB"/>
    <w:rsid w:val="04BF63B2"/>
    <w:rsid w:val="05653FB6"/>
    <w:rsid w:val="05AF3E7F"/>
    <w:rsid w:val="06781D5F"/>
    <w:rsid w:val="080674B8"/>
    <w:rsid w:val="0B3550F2"/>
    <w:rsid w:val="0D3600BA"/>
    <w:rsid w:val="0D606417"/>
    <w:rsid w:val="0D8478FE"/>
    <w:rsid w:val="0DC37090"/>
    <w:rsid w:val="0EFFC5B3"/>
    <w:rsid w:val="0F3F1427"/>
    <w:rsid w:val="0FAB7B75"/>
    <w:rsid w:val="0FC0003D"/>
    <w:rsid w:val="0FEE09CD"/>
    <w:rsid w:val="0FFEED6A"/>
    <w:rsid w:val="115425F0"/>
    <w:rsid w:val="11E74B6B"/>
    <w:rsid w:val="12575356"/>
    <w:rsid w:val="137A64F1"/>
    <w:rsid w:val="13BA284A"/>
    <w:rsid w:val="13C5797F"/>
    <w:rsid w:val="13FE7E03"/>
    <w:rsid w:val="14BE55C3"/>
    <w:rsid w:val="16897AA8"/>
    <w:rsid w:val="177BF65B"/>
    <w:rsid w:val="179D7E62"/>
    <w:rsid w:val="17A503E7"/>
    <w:rsid w:val="190A4A0E"/>
    <w:rsid w:val="1A075C36"/>
    <w:rsid w:val="1A535E5A"/>
    <w:rsid w:val="1C8675FD"/>
    <w:rsid w:val="1CA5128B"/>
    <w:rsid w:val="1CBE3600"/>
    <w:rsid w:val="214C004F"/>
    <w:rsid w:val="21B10CCD"/>
    <w:rsid w:val="28315A59"/>
    <w:rsid w:val="285E6FE6"/>
    <w:rsid w:val="2941623D"/>
    <w:rsid w:val="2A3A75DF"/>
    <w:rsid w:val="2A920966"/>
    <w:rsid w:val="2BF04B2D"/>
    <w:rsid w:val="2D071F24"/>
    <w:rsid w:val="2DE526BA"/>
    <w:rsid w:val="2E544143"/>
    <w:rsid w:val="2E813A2E"/>
    <w:rsid w:val="2F1464DE"/>
    <w:rsid w:val="2F9C2EEF"/>
    <w:rsid w:val="2FF42F0C"/>
    <w:rsid w:val="302A45CF"/>
    <w:rsid w:val="328B4E5D"/>
    <w:rsid w:val="332E5807"/>
    <w:rsid w:val="35442465"/>
    <w:rsid w:val="362D03BF"/>
    <w:rsid w:val="368F7069"/>
    <w:rsid w:val="370938B6"/>
    <w:rsid w:val="39AC733D"/>
    <w:rsid w:val="39B50A30"/>
    <w:rsid w:val="3BDF10DC"/>
    <w:rsid w:val="3C805FFF"/>
    <w:rsid w:val="3D6253AF"/>
    <w:rsid w:val="3E0E002D"/>
    <w:rsid w:val="3E1E0BF7"/>
    <w:rsid w:val="40F55A1F"/>
    <w:rsid w:val="42C13FA2"/>
    <w:rsid w:val="438D48CE"/>
    <w:rsid w:val="44203D57"/>
    <w:rsid w:val="44C377C0"/>
    <w:rsid w:val="44D96091"/>
    <w:rsid w:val="45261525"/>
    <w:rsid w:val="45FE41E2"/>
    <w:rsid w:val="46B362F7"/>
    <w:rsid w:val="47942E2B"/>
    <w:rsid w:val="47D98BB5"/>
    <w:rsid w:val="49636EBF"/>
    <w:rsid w:val="49777A2A"/>
    <w:rsid w:val="4A391054"/>
    <w:rsid w:val="4A5F2E12"/>
    <w:rsid w:val="4AA35599"/>
    <w:rsid w:val="4ABA52DA"/>
    <w:rsid w:val="4B272E63"/>
    <w:rsid w:val="4C416153"/>
    <w:rsid w:val="4CC978EE"/>
    <w:rsid w:val="4CF61B99"/>
    <w:rsid w:val="4F400A92"/>
    <w:rsid w:val="4F4E32C8"/>
    <w:rsid w:val="5206497D"/>
    <w:rsid w:val="527F1E27"/>
    <w:rsid w:val="54337E7F"/>
    <w:rsid w:val="543758BF"/>
    <w:rsid w:val="55E96D02"/>
    <w:rsid w:val="56FE2C66"/>
    <w:rsid w:val="57542D46"/>
    <w:rsid w:val="5821542F"/>
    <w:rsid w:val="58B315D2"/>
    <w:rsid w:val="59822285"/>
    <w:rsid w:val="59B210CD"/>
    <w:rsid w:val="59E6628D"/>
    <w:rsid w:val="5A6426D8"/>
    <w:rsid w:val="5AB63256"/>
    <w:rsid w:val="5B0D3AF1"/>
    <w:rsid w:val="5B57364D"/>
    <w:rsid w:val="5BF7E593"/>
    <w:rsid w:val="5CE608CD"/>
    <w:rsid w:val="5EF776CA"/>
    <w:rsid w:val="5F2B57AF"/>
    <w:rsid w:val="611A2C69"/>
    <w:rsid w:val="636D75BC"/>
    <w:rsid w:val="63DD145B"/>
    <w:rsid w:val="65921B45"/>
    <w:rsid w:val="65A13EF1"/>
    <w:rsid w:val="65B63E8C"/>
    <w:rsid w:val="66756074"/>
    <w:rsid w:val="66821DD7"/>
    <w:rsid w:val="66EF4CD2"/>
    <w:rsid w:val="67535261"/>
    <w:rsid w:val="6AD7BCD8"/>
    <w:rsid w:val="6BFE20EA"/>
    <w:rsid w:val="6DCF5C34"/>
    <w:rsid w:val="6E0C43BB"/>
    <w:rsid w:val="6E435F3E"/>
    <w:rsid w:val="6E712D28"/>
    <w:rsid w:val="6E76229E"/>
    <w:rsid w:val="6E7F6AD7"/>
    <w:rsid w:val="711D3929"/>
    <w:rsid w:val="71EF4F76"/>
    <w:rsid w:val="72CB5DE1"/>
    <w:rsid w:val="73B902DB"/>
    <w:rsid w:val="74EC787F"/>
    <w:rsid w:val="756B7075"/>
    <w:rsid w:val="78397BBF"/>
    <w:rsid w:val="79C60441"/>
    <w:rsid w:val="7A4375A1"/>
    <w:rsid w:val="7AE60B37"/>
    <w:rsid w:val="7B136D89"/>
    <w:rsid w:val="7B4038F6"/>
    <w:rsid w:val="7CDF47DD"/>
    <w:rsid w:val="7CF65CDE"/>
    <w:rsid w:val="7D8B0DDF"/>
    <w:rsid w:val="7DF92FE2"/>
    <w:rsid w:val="7E12593C"/>
    <w:rsid w:val="7E2766A8"/>
    <w:rsid w:val="7EEDC50A"/>
    <w:rsid w:val="7F330CBF"/>
    <w:rsid w:val="A60F1081"/>
    <w:rsid w:val="ABBDB06D"/>
    <w:rsid w:val="B9675176"/>
    <w:rsid w:val="BE9FED9E"/>
    <w:rsid w:val="BFEBD705"/>
    <w:rsid w:val="C1F76AA8"/>
    <w:rsid w:val="CB9590B6"/>
    <w:rsid w:val="DE6F2BA2"/>
    <w:rsid w:val="DF6F0613"/>
    <w:rsid w:val="DFFD99F9"/>
    <w:rsid w:val="E1BA801F"/>
    <w:rsid w:val="E7DEFF47"/>
    <w:rsid w:val="E9DB61C2"/>
    <w:rsid w:val="EBFEEBE4"/>
    <w:rsid w:val="EDFF04DE"/>
    <w:rsid w:val="EEF53999"/>
    <w:rsid w:val="F3EF6E73"/>
    <w:rsid w:val="F3FE79BA"/>
    <w:rsid w:val="F8750AE6"/>
    <w:rsid w:val="FF79E468"/>
    <w:rsid w:val="FFB09F7E"/>
    <w:rsid w:val="FFBA2740"/>
    <w:rsid w:val="FFFD0BF2"/>
    <w:rsid w:val="FFFEE792"/>
    <w:rsid w:val="FFFFE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kern w:val="0"/>
      <w:sz w:val="22"/>
      <w:szCs w:val="22"/>
      <w:lang w:val="en-US" w:eastAsia="en-US" w:bidi="ar-SA"/>
    </w:rPr>
  </w:style>
  <w:style w:type="paragraph" w:styleId="4">
    <w:name w:val="heading 1"/>
    <w:basedOn w:val="1"/>
    <w:next w:val="1"/>
    <w:link w:val="26"/>
    <w:qFormat/>
    <w:uiPriority w:val="0"/>
    <w:pPr>
      <w:keepNext/>
      <w:keepLines/>
      <w:spacing w:before="340" w:after="330" w:line="578" w:lineRule="auto"/>
      <w:jc w:val="both"/>
      <w:outlineLvl w:val="0"/>
    </w:pPr>
    <w:rPr>
      <w:rFonts w:ascii="Times New Roman" w:hAnsi="Times New Roman" w:eastAsia="宋体" w:cs="Times New Roman"/>
      <w:b/>
      <w:bCs/>
      <w:kern w:val="44"/>
      <w:sz w:val="44"/>
      <w:szCs w:val="44"/>
      <w:lang w:val="zh-CN" w:eastAsia="zh-CN"/>
    </w:rPr>
  </w:style>
  <w:style w:type="paragraph" w:styleId="5">
    <w:name w:val="heading 2"/>
    <w:basedOn w:val="1"/>
    <w:next w:val="1"/>
    <w:link w:val="20"/>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31"/>
    <w:unhideWhenUsed/>
    <w:qFormat/>
    <w:uiPriority w:val="99"/>
    <w:pPr>
      <w:tabs>
        <w:tab w:val="center" w:pos="4153"/>
        <w:tab w:val="right" w:pos="8306"/>
      </w:tabs>
      <w:snapToGrid w:val="0"/>
    </w:pPr>
    <w:rPr>
      <w:sz w:val="18"/>
      <w:szCs w:val="18"/>
    </w:rPr>
  </w:style>
  <w:style w:type="paragraph" w:styleId="3">
    <w:name w:val="Normal Indent"/>
    <w:basedOn w:val="1"/>
    <w:next w:val="1"/>
    <w:qFormat/>
    <w:uiPriority w:val="0"/>
    <w:pPr>
      <w:ind w:firstLine="200" w:firstLineChars="200"/>
    </w:pPr>
    <w:rPr>
      <w:rFonts w:ascii="Times New Roman" w:hAnsi="Times New Roman" w:cs="Times New Roman"/>
      <w:sz w:val="20"/>
      <w:szCs w:val="24"/>
    </w:rPr>
  </w:style>
  <w:style w:type="paragraph" w:styleId="6">
    <w:name w:val="annotation text"/>
    <w:basedOn w:val="1"/>
    <w:semiHidden/>
    <w:unhideWhenUsed/>
    <w:qFormat/>
    <w:uiPriority w:val="99"/>
    <w:pPr>
      <w:jc w:val="left"/>
    </w:pPr>
  </w:style>
  <w:style w:type="paragraph" w:styleId="7">
    <w:name w:val="Body Text"/>
    <w:basedOn w:val="1"/>
    <w:next w:val="8"/>
    <w:link w:val="22"/>
    <w:qFormat/>
    <w:uiPriority w:val="1"/>
    <w:pPr>
      <w:ind w:firstLine="200" w:firstLineChars="200"/>
      <w:jc w:val="both"/>
    </w:pPr>
    <w:rPr>
      <w:rFonts w:ascii="Microsoft YaHei UI" w:hAnsi="Microsoft YaHei UI" w:eastAsia="Microsoft YaHei UI"/>
      <w:sz w:val="21"/>
      <w:szCs w:val="21"/>
    </w:rPr>
  </w:style>
  <w:style w:type="paragraph" w:styleId="8">
    <w:name w:val="Body Text 2"/>
    <w:basedOn w:val="1"/>
    <w:semiHidden/>
    <w:unhideWhenUsed/>
    <w:qFormat/>
    <w:uiPriority w:val="99"/>
    <w:pPr>
      <w:spacing w:after="120" w:afterLines="0" w:afterAutospacing="0" w:line="480" w:lineRule="auto"/>
    </w:pPr>
  </w:style>
  <w:style w:type="paragraph" w:styleId="9">
    <w:name w:val="toc 3"/>
    <w:basedOn w:val="1"/>
    <w:next w:val="1"/>
    <w:unhideWhenUsed/>
    <w:qFormat/>
    <w:uiPriority w:val="39"/>
    <w:pPr>
      <w:widowControl/>
      <w:spacing w:after="100" w:line="259" w:lineRule="auto"/>
      <w:ind w:left="440"/>
    </w:pPr>
    <w:rPr>
      <w:rFonts w:cs="Times New Roman"/>
      <w:lang w:eastAsia="zh-CN"/>
    </w:rPr>
  </w:style>
  <w:style w:type="paragraph" w:styleId="10">
    <w:name w:val="Plain Text"/>
    <w:basedOn w:val="1"/>
    <w:qFormat/>
    <w:uiPriority w:val="0"/>
    <w:pPr>
      <w:widowControl w:val="0"/>
      <w:spacing w:after="0" w:line="240" w:lineRule="auto"/>
      <w:jc w:val="both"/>
    </w:pPr>
    <w:rPr>
      <w:rFonts w:ascii="宋体" w:hAnsi="Courier New" w:cs="Courier New"/>
      <w:kern w:val="2"/>
      <w:sz w:val="21"/>
      <w:szCs w:val="21"/>
      <w:lang w:eastAsia="zh-CN" w:bidi="ar-SA"/>
    </w:rPr>
  </w:style>
  <w:style w:type="paragraph" w:styleId="11">
    <w:name w:val="Balloon Text"/>
    <w:basedOn w:val="1"/>
    <w:link w:val="32"/>
    <w:semiHidden/>
    <w:unhideWhenUsed/>
    <w:qFormat/>
    <w:uiPriority w:val="99"/>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pPr>
    <w:rPr>
      <w:rFonts w:cs="Times New Roman"/>
      <w:lang w:eastAsia="zh-CN"/>
    </w:rPr>
  </w:style>
  <w:style w:type="paragraph" w:styleId="14">
    <w:name w:val="Subtitle"/>
    <w:basedOn w:val="1"/>
    <w:next w:val="1"/>
    <w:qFormat/>
    <w:uiPriority w:val="11"/>
    <w:pPr>
      <w:spacing w:before="240" w:after="60" w:line="312" w:lineRule="auto"/>
      <w:jc w:val="center"/>
      <w:outlineLvl w:val="1"/>
    </w:pPr>
    <w:rPr>
      <w:b/>
      <w:bCs/>
      <w:kern w:val="28"/>
      <w:sz w:val="32"/>
      <w:szCs w:val="3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semiHidden/>
    <w:unhideWhenUsed/>
    <w:qFormat/>
    <w:uiPriority w:val="99"/>
    <w:rPr>
      <w:color w:val="0000FF"/>
      <w:u w:val="single"/>
    </w:rPr>
  </w:style>
  <w:style w:type="character" w:customStyle="1" w:styleId="20">
    <w:name w:val="标题 2 Char"/>
    <w:basedOn w:val="18"/>
    <w:link w:val="5"/>
    <w:qFormat/>
    <w:uiPriority w:val="1"/>
    <w:rPr>
      <w:rFonts w:ascii="Microsoft YaHei UI" w:hAnsi="Microsoft YaHei UI" w:eastAsia="Microsoft YaHei UI"/>
      <w:spacing w:val="2"/>
      <w:kern w:val="0"/>
      <w:sz w:val="32"/>
      <w:szCs w:val="32"/>
    </w:rPr>
  </w:style>
  <w:style w:type="table" w:customStyle="1" w:styleId="21">
    <w:name w:val="Table Normal"/>
    <w:semiHidden/>
    <w:unhideWhenUsed/>
    <w:qFormat/>
    <w:uiPriority w:val="2"/>
    <w:pPr>
      <w:widowControl w:val="0"/>
    </w:pPr>
    <w:rPr>
      <w:kern w:val="0"/>
      <w:sz w:val="22"/>
      <w:lang w:eastAsia="en-US"/>
    </w:rPr>
    <w:tblPr>
      <w:tblCellMar>
        <w:top w:w="0" w:type="dxa"/>
        <w:left w:w="0" w:type="dxa"/>
        <w:bottom w:w="0" w:type="dxa"/>
        <w:right w:w="0" w:type="dxa"/>
      </w:tblCellMar>
    </w:tblPr>
  </w:style>
  <w:style w:type="character" w:customStyle="1" w:styleId="22">
    <w:name w:val="正文文本 Char"/>
    <w:basedOn w:val="18"/>
    <w:link w:val="7"/>
    <w:qFormat/>
    <w:uiPriority w:val="1"/>
    <w:rPr>
      <w:rFonts w:ascii="Microsoft YaHei UI" w:hAnsi="Microsoft YaHei UI" w:eastAsia="Microsoft YaHei UI"/>
      <w:kern w:val="0"/>
      <w:szCs w:val="21"/>
      <w:lang w:eastAsia="en-US"/>
    </w:rPr>
  </w:style>
  <w:style w:type="paragraph" w:customStyle="1" w:styleId="23">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
    <w:name w:val="Table Paragraph"/>
    <w:basedOn w:val="1"/>
    <w:qFormat/>
    <w:uiPriority w:val="1"/>
  </w:style>
  <w:style w:type="paragraph" w:customStyle="1" w:styleId="25">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character" w:customStyle="1" w:styleId="26">
    <w:name w:val="标题 1 Char"/>
    <w:basedOn w:val="18"/>
    <w:link w:val="4"/>
    <w:qFormat/>
    <w:uiPriority w:val="0"/>
    <w:rPr>
      <w:rFonts w:ascii="Times New Roman" w:hAnsi="Times New Roman" w:eastAsia="宋体" w:cs="Times New Roman"/>
      <w:b/>
      <w:bCs/>
      <w:kern w:val="44"/>
      <w:sz w:val="44"/>
      <w:szCs w:val="44"/>
      <w:lang w:val="zh-CN" w:eastAsia="zh-CN"/>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jc w:val="both"/>
    </w:pPr>
    <w:rPr>
      <w:rFonts w:ascii="Calibri" w:hAnsi="Calibri" w:eastAsia="宋体" w:cs="Times New Roman"/>
      <w:kern w:val="2"/>
      <w:sz w:val="21"/>
      <w:lang w:eastAsia="zh-CN"/>
    </w:rPr>
  </w:style>
  <w:style w:type="paragraph" w:customStyle="1" w:styleId="29">
    <w:name w:val="设计正文2"/>
    <w:basedOn w:val="1"/>
    <w:qFormat/>
    <w:uiPriority w:val="0"/>
    <w:pPr>
      <w:snapToGrid w:val="0"/>
      <w:spacing w:before="160" w:line="320" w:lineRule="atLeast"/>
      <w:jc w:val="both"/>
    </w:pPr>
    <w:rPr>
      <w:rFonts w:ascii="Times New Roman" w:hAnsi="Times New Roman" w:eastAsia="宋体" w:cs="Times New Roman"/>
      <w:kern w:val="2"/>
      <w:sz w:val="24"/>
      <w:szCs w:val="20"/>
      <w:lang w:eastAsia="zh-CN"/>
    </w:rPr>
  </w:style>
  <w:style w:type="character" w:customStyle="1" w:styleId="30">
    <w:name w:val="页眉 Char"/>
    <w:basedOn w:val="18"/>
    <w:link w:val="12"/>
    <w:qFormat/>
    <w:uiPriority w:val="99"/>
    <w:rPr>
      <w:kern w:val="0"/>
      <w:sz w:val="18"/>
      <w:szCs w:val="18"/>
      <w:lang w:eastAsia="en-US"/>
    </w:rPr>
  </w:style>
  <w:style w:type="character" w:customStyle="1" w:styleId="31">
    <w:name w:val="页脚 Char"/>
    <w:basedOn w:val="18"/>
    <w:link w:val="2"/>
    <w:qFormat/>
    <w:uiPriority w:val="99"/>
    <w:rPr>
      <w:kern w:val="0"/>
      <w:sz w:val="18"/>
      <w:szCs w:val="18"/>
      <w:lang w:eastAsia="en-US"/>
    </w:rPr>
  </w:style>
  <w:style w:type="character" w:customStyle="1" w:styleId="32">
    <w:name w:val="批注框文本 Char"/>
    <w:basedOn w:val="18"/>
    <w:link w:val="11"/>
    <w:semiHidden/>
    <w:qFormat/>
    <w:uiPriority w:val="99"/>
    <w:rPr>
      <w:kern w:val="0"/>
      <w:sz w:val="18"/>
      <w:szCs w:val="18"/>
      <w:lang w:eastAsia="en-US"/>
    </w:rPr>
  </w:style>
  <w:style w:type="paragraph" w:customStyle="1" w:styleId="33">
    <w:name w:val="正文文本_0"/>
    <w:basedOn w:val="34"/>
    <w:unhideWhenUsed/>
    <w:qFormat/>
    <w:uiPriority w:val="1"/>
    <w:pPr>
      <w:spacing w:line="360" w:lineRule="exact"/>
      <w:ind w:firstLine="200" w:firstLineChars="200"/>
    </w:pPr>
    <w:rPr>
      <w:rFonts w:ascii="Microsoft YaHei UI" w:hAnsi="Microsoft YaHei UI" w:eastAsia="Microsoft YaHei UI"/>
      <w:kern w:val="0"/>
      <w:szCs w:val="21"/>
    </w:rPr>
  </w:style>
  <w:style w:type="paragraph" w:customStyle="1" w:styleId="3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Table Text"/>
    <w:basedOn w:val="1"/>
    <w:semiHidden/>
    <w:qFormat/>
    <w:uiPriority w:val="0"/>
    <w:rPr>
      <w:rFonts w:ascii="宋体" w:hAnsi="宋体" w:eastAsia="宋体" w:cs="宋体"/>
      <w:sz w:val="30"/>
      <w:szCs w:val="30"/>
      <w:lang w:val="en-US" w:eastAsia="en-US" w:bidi="ar-SA"/>
    </w:rPr>
  </w:style>
  <w:style w:type="table" w:customStyle="1" w:styleId="36">
    <w:name w:val="网格型1"/>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7">
    <w:name w:val="font12"/>
    <w:basedOn w:val="18"/>
    <w:qFormat/>
    <w:uiPriority w:val="0"/>
    <w:rPr>
      <w:rFonts w:hint="default" w:ascii="Times New Roman" w:hAnsi="Times New Roman" w:cs="Times New Roman"/>
      <w:color w:val="000000"/>
      <w:sz w:val="24"/>
      <w:szCs w:val="24"/>
      <w:u w:val="none"/>
    </w:rPr>
  </w:style>
  <w:style w:type="character" w:customStyle="1" w:styleId="38">
    <w:name w:val="font51"/>
    <w:basedOn w:val="18"/>
    <w:qFormat/>
    <w:uiPriority w:val="0"/>
    <w:rPr>
      <w:rFonts w:hint="eastAsia" w:ascii="仿宋" w:hAnsi="仿宋" w:eastAsia="仿宋" w:cs="仿宋"/>
      <w:color w:val="000000"/>
      <w:sz w:val="24"/>
      <w:szCs w:val="24"/>
      <w:u w:val="none"/>
    </w:rPr>
  </w:style>
  <w:style w:type="table" w:customStyle="1" w:styleId="39">
    <w:name w:val="网格型2"/>
    <w:basedOn w:val="16"/>
    <w:qFormat/>
    <w:uiPriority w:val="59"/>
    <w:rPr>
      <w:rFonts w:ascii="微软雅黑" w:hAnsi="微软雅黑" w:eastAsia="微软雅黑"/>
      <w:kern w:val="2"/>
      <w:sz w:val="21"/>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
    <w:name w:val="_Style 0"/>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1">
    <w:name w:val="正文_1"/>
    <w:next w:val="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正文缩进1"/>
    <w:basedOn w:val="41"/>
    <w:unhideWhenUsed/>
    <w:qFormat/>
    <w:uiPriority w:val="0"/>
    <w:pPr>
      <w:spacing w:line="500" w:lineRule="exact"/>
      <w:ind w:firstLine="420" w:firstLineChars="200"/>
      <w:jc w:val="left"/>
    </w:pPr>
    <w:rPr>
      <w:rFonts w:ascii="仿宋" w:hAnsi="仿宋"/>
      <w:sz w:val="24"/>
      <w:szCs w:val="28"/>
    </w:rPr>
  </w:style>
  <w:style w:type="paragraph" w:customStyle="1" w:styleId="43">
    <w:name w:val="目录 71"/>
    <w:next w:val="1"/>
    <w:qFormat/>
    <w:uiPriority w:val="0"/>
    <w:pPr>
      <w:wordWrap w:val="0"/>
      <w:ind w:left="2550"/>
      <w:jc w:val="both"/>
    </w:pPr>
    <w:rPr>
      <w:rFonts w:ascii="宋体" w:hAnsi="宋体" w:eastAsia="Times New Roman"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3268</Words>
  <Characters>3928</Characters>
  <Lines>16</Lines>
  <Paragraphs>4</Paragraphs>
  <TotalTime>18</TotalTime>
  <ScaleCrop>false</ScaleCrop>
  <LinksUpToDate>false</LinksUpToDate>
  <CharactersWithSpaces>4183</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2019-08-26T15:58:00Z</dcterms:created>
  <dc:creator>王琴</dc:creator>
  <cp:lastModifiedBy>Administrator</cp:lastModifiedBy>
  <cp:lastPrinted>2024-12-23T13:58:00Z</cp:lastPrinted>
  <dcterms:modified xsi:type="dcterms:W3CDTF">2026-08-07T09:14:22Z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24A8F64FF0AB4F969A4FF67CD7034E74</vt:lpwstr>
  </property>
  <property fmtid="{D5CDD505-2E9C-101B-9397-08002B2CF9AE}" pid="4" name="KSOTemplateDocerSaveRecord">
    <vt:lpwstr>eyJoZGlkIjoiY2JmM2U0NDRlMzI1YmEzZGZhNjc4NDU2NDYxNzY0YTciLCJ1c2VySWQiOiI2NzA2NTU2NjgifQ==</vt:lpwstr>
  </property>
</Properties>
</file>