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1"/>
        <w:rPr>
          <w:rFonts w:ascii="黑体" w:hAnsi="黑体" w:eastAsia="黑体"/>
          <w:sz w:val="24"/>
          <w:szCs w:val="24"/>
        </w:rPr>
      </w:pPr>
      <w:r>
        <w:rPr>
          <w:rFonts w:hint="eastAsia" w:ascii="黑体" w:hAnsi="黑体" w:eastAsia="黑体"/>
          <w:sz w:val="24"/>
          <w:szCs w:val="24"/>
        </w:rPr>
        <w:t xml:space="preserve">附件1  </w:t>
      </w:r>
      <w:r>
        <w:rPr>
          <w:rFonts w:ascii="黑体" w:hAnsi="黑体" w:eastAsia="黑体"/>
          <w:sz w:val="24"/>
          <w:szCs w:val="24"/>
        </w:rPr>
        <w:t xml:space="preserve">                     </w:t>
      </w:r>
    </w:p>
    <w:p>
      <w:pPr>
        <w:ind w:firstLine="281" w:firstLineChars="100"/>
        <w:jc w:val="center"/>
        <w:rPr>
          <w:rFonts w:ascii="仿宋" w:hAnsi="仿宋" w:eastAsia="仿宋" w:cs="Calibri"/>
          <w:b/>
          <w:bCs/>
          <w:sz w:val="28"/>
          <w:szCs w:val="28"/>
        </w:rPr>
      </w:pPr>
      <w:r>
        <w:rPr>
          <w:rFonts w:hint="eastAsia" w:ascii="仿宋" w:hAnsi="仿宋" w:eastAsia="仿宋" w:cs="Calibri"/>
          <w:b/>
          <w:bCs/>
          <w:sz w:val="28"/>
          <w:szCs w:val="28"/>
        </w:rPr>
        <w:t>基本要求</w:t>
      </w:r>
    </w:p>
    <w:tbl>
      <w:tblPr>
        <w:tblStyle w:val="7"/>
        <w:tblW w:w="5697" w:type="pct"/>
        <w:jc w:val="center"/>
        <w:tblLayout w:type="autofit"/>
        <w:tblCellMar>
          <w:top w:w="0" w:type="dxa"/>
          <w:left w:w="0" w:type="dxa"/>
          <w:bottom w:w="0" w:type="dxa"/>
          <w:right w:w="0" w:type="dxa"/>
        </w:tblCellMar>
      </w:tblPr>
      <w:tblGrid>
        <w:gridCol w:w="614"/>
        <w:gridCol w:w="529"/>
        <w:gridCol w:w="2030"/>
        <w:gridCol w:w="6302"/>
      </w:tblGrid>
      <w:tr>
        <w:tblPrEx>
          <w:tblCellMar>
            <w:top w:w="0" w:type="dxa"/>
            <w:left w:w="0" w:type="dxa"/>
            <w:bottom w:w="0" w:type="dxa"/>
            <w:right w:w="0" w:type="dxa"/>
          </w:tblCellMar>
        </w:tblPrEx>
        <w:trPr>
          <w:trHeight w:val="397" w:hRule="atLeast"/>
          <w:jc w:val="center"/>
        </w:trPr>
        <w:tc>
          <w:tcPr>
            <w:tcW w:w="603" w:type="pct"/>
            <w:gridSpan w:val="2"/>
            <w:tcBorders>
              <w:top w:val="single" w:color="000000" w:sz="4" w:space="0"/>
              <w:left w:val="single" w:color="000000" w:sz="4" w:space="0"/>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序号</w:t>
            </w:r>
          </w:p>
        </w:tc>
        <w:tc>
          <w:tcPr>
            <w:tcW w:w="1071" w:type="pct"/>
            <w:tcBorders>
              <w:top w:val="single" w:color="000000" w:sz="4" w:space="0"/>
              <w:left w:val="nil"/>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内容</w:t>
            </w:r>
          </w:p>
        </w:tc>
        <w:tc>
          <w:tcPr>
            <w:tcW w:w="3325" w:type="pct"/>
            <w:tcBorders>
              <w:top w:val="single" w:color="000000" w:sz="4" w:space="0"/>
              <w:left w:val="nil"/>
              <w:bottom w:val="single" w:color="000000" w:sz="4" w:space="0"/>
              <w:right w:val="single" w:color="000000" w:sz="4" w:space="0"/>
            </w:tcBorders>
            <w:vAlign w:val="center"/>
          </w:tcPr>
          <w:p>
            <w:pPr>
              <w:pStyle w:val="9"/>
              <w:spacing w:line="300" w:lineRule="exact"/>
              <w:jc w:val="center"/>
              <w:rPr>
                <w:rFonts w:ascii="仿宋" w:hAnsi="仿宋" w:eastAsia="仿宋" w:cs="Calibri"/>
                <w:b/>
                <w:bCs/>
                <w:sz w:val="21"/>
                <w:szCs w:val="21"/>
                <w:lang w:eastAsia="zh-CN"/>
              </w:rPr>
            </w:pPr>
            <w:r>
              <w:rPr>
                <w:rFonts w:hint="eastAsia" w:ascii="仿宋" w:hAnsi="仿宋" w:eastAsia="仿宋" w:cs="Calibri"/>
                <w:b/>
                <w:bCs/>
                <w:sz w:val="21"/>
                <w:szCs w:val="21"/>
                <w:lang w:eastAsia="zh-CN"/>
              </w:rPr>
              <w:t>标准</w:t>
            </w:r>
          </w:p>
        </w:tc>
      </w:tr>
      <w:tr>
        <w:tblPrEx>
          <w:tblCellMar>
            <w:top w:w="0" w:type="dxa"/>
            <w:left w:w="0" w:type="dxa"/>
            <w:bottom w:w="0" w:type="dxa"/>
            <w:right w:w="0" w:type="dxa"/>
          </w:tblCellMar>
        </w:tblPrEx>
        <w:trPr>
          <w:trHeight w:val="1924" w:hRule="atLeast"/>
          <w:jc w:val="center"/>
        </w:trPr>
        <w:tc>
          <w:tcPr>
            <w:tcW w:w="324" w:type="pct"/>
            <w:vMerge w:val="restart"/>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restart"/>
            <w:tcBorders>
              <w:left w:val="single" w:color="000000" w:sz="6" w:space="0"/>
              <w:right w:val="single" w:color="000000" w:sz="6" w:space="0"/>
            </w:tcBorders>
            <w:vAlign w:val="center"/>
          </w:tcPr>
          <w:p>
            <w:pPr>
              <w:pStyle w:val="9"/>
              <w:spacing w:line="300" w:lineRule="exact"/>
              <w:jc w:val="center"/>
              <w:rPr>
                <w:rFonts w:ascii="仿宋" w:hAnsi="仿宋" w:eastAsia="仿宋" w:cs="Calibri"/>
                <w:bCs/>
                <w:color w:val="FF0000"/>
                <w:sz w:val="21"/>
                <w:szCs w:val="21"/>
                <w:lang w:eastAsia="zh-CN"/>
              </w:rPr>
            </w:pPr>
          </w:p>
        </w:tc>
        <w:tc>
          <w:tcPr>
            <w:tcW w:w="1071" w:type="pct"/>
            <w:tcBorders>
              <w:top w:val="single" w:color="000000" w:sz="4" w:space="0"/>
              <w:left w:val="single" w:color="000000" w:sz="6" w:space="0"/>
              <w:bottom w:val="single" w:color="auto" w:sz="4" w:space="0"/>
              <w:right w:val="single" w:color="000000" w:sz="4" w:space="0"/>
            </w:tcBorders>
            <w:vAlign w:val="center"/>
          </w:tcPr>
          <w:p>
            <w:pPr>
              <w:pStyle w:val="9"/>
              <w:spacing w:line="300" w:lineRule="exact"/>
              <w:jc w:val="left"/>
              <w:rPr>
                <w:rFonts w:ascii="仿宋" w:hAnsi="仿宋" w:eastAsia="仿宋" w:cs="Calibri"/>
                <w:bCs/>
                <w:color w:val="FF0000"/>
                <w:sz w:val="21"/>
                <w:szCs w:val="21"/>
                <w:highlight w:val="none"/>
                <w:lang w:eastAsia="zh-CN"/>
              </w:rPr>
            </w:pPr>
            <w:r>
              <w:rPr>
                <w:rFonts w:hint="eastAsia" w:ascii="仿宋" w:hAnsi="仿宋" w:eastAsia="仿宋" w:cs="Calibri"/>
                <w:bCs/>
                <w:color w:val="FF0000"/>
                <w:sz w:val="21"/>
                <w:szCs w:val="21"/>
                <w:highlight w:val="none"/>
                <w:lang w:eastAsia="zh-CN"/>
              </w:rPr>
              <w:t>★资质要求</w:t>
            </w:r>
          </w:p>
        </w:tc>
        <w:tc>
          <w:tcPr>
            <w:tcW w:w="3325" w:type="pct"/>
            <w:tcBorders>
              <w:top w:val="single" w:color="000000" w:sz="4" w:space="0"/>
              <w:left w:val="nil"/>
              <w:bottom w:val="single" w:color="auto" w:sz="4" w:space="0"/>
              <w:right w:val="single" w:color="000000" w:sz="4" w:space="0"/>
            </w:tcBorders>
            <w:vAlign w:val="center"/>
          </w:tcPr>
          <w:p>
            <w:pPr>
              <w:pStyle w:val="9"/>
              <w:jc w:val="both"/>
              <w:rPr>
                <w:rFonts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一、资质要求</w:t>
            </w:r>
          </w:p>
          <w:p>
            <w:pPr>
              <w:pStyle w:val="9"/>
              <w:jc w:val="both"/>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1.营业执照：投标人须是中华人民共和国境内具有独立承担民事责任能力的法人，或具备国家认可经营资格的其他组织。 （1）投标人为企业的，应具有合法有效的企业法人营业执照、税务登记证及组织机构代码证或证照合一的营业执照； （2）投标人为分公司的，应具有合法有效的营业执照、税务登记证及组织机构代码证或证照合一的营业执照和总公司合法授权书。总公司与分支机构只可一家参与投标，同时参与投标视为投标无效。</w:t>
            </w:r>
          </w:p>
          <w:p>
            <w:pPr>
              <w:pStyle w:val="9"/>
              <w:jc w:val="both"/>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2</w:t>
            </w:r>
            <w:r>
              <w:rPr>
                <w:rFonts w:hint="eastAsia" w:ascii="仿宋" w:hAnsi="仿宋" w:eastAsia="仿宋" w:cs="仿宋"/>
                <w:sz w:val="21"/>
                <w:szCs w:val="21"/>
                <w:highlight w:val="none"/>
                <w:lang w:eastAsia="zh-CN"/>
              </w:rPr>
              <w:t>.专业资质要求(如涉及)</w:t>
            </w:r>
          </w:p>
          <w:p>
            <w:pPr>
              <w:pStyle w:val="9"/>
              <w:jc w:val="both"/>
              <w:rPr>
                <w:rFonts w:hint="eastAsia" w:ascii="仿宋" w:hAnsi="仿宋" w:eastAsia="仿宋" w:cs="仿宋"/>
                <w:color w:val="auto"/>
                <w:sz w:val="21"/>
                <w:szCs w:val="21"/>
                <w:highlight w:val="none"/>
                <w:lang w:eastAsia="zh-CN"/>
              </w:rPr>
            </w:pPr>
            <w:r>
              <w:rPr>
                <w:rFonts w:hint="eastAsia" w:ascii="仿宋" w:hAnsi="仿宋" w:eastAsia="仿宋" w:cs="仿宋"/>
                <w:sz w:val="21"/>
                <w:szCs w:val="21"/>
                <w:highlight w:val="none"/>
                <w:lang w:val="en-US" w:eastAsia="zh-CN"/>
              </w:rPr>
              <w:t>3</w:t>
            </w:r>
            <w:r>
              <w:rPr>
                <w:rFonts w:hint="eastAsia" w:ascii="仿宋" w:hAnsi="仿宋" w:eastAsia="仿宋" w:cs="仿宋"/>
                <w:sz w:val="21"/>
                <w:szCs w:val="21"/>
                <w:highlight w:val="none"/>
                <w:lang w:eastAsia="zh-CN"/>
              </w:rPr>
              <w:t>.体系要求(如涉及)</w:t>
            </w:r>
            <w:r>
              <w:rPr>
                <w:rFonts w:hint="eastAsia" w:ascii="仿宋" w:hAnsi="仿宋" w:eastAsia="仿宋" w:cs="仿宋"/>
                <w:color w:val="auto"/>
                <w:sz w:val="21"/>
                <w:szCs w:val="21"/>
                <w:highlight w:val="none"/>
                <w:lang w:eastAsia="zh-CN"/>
              </w:rPr>
              <w:t>。</w:t>
            </w:r>
          </w:p>
        </w:tc>
      </w:tr>
      <w:tr>
        <w:tblPrEx>
          <w:tblCellMar>
            <w:top w:w="0" w:type="dxa"/>
            <w:left w:w="0" w:type="dxa"/>
            <w:bottom w:w="0" w:type="dxa"/>
            <w:right w:w="0" w:type="dxa"/>
          </w:tblCellMar>
        </w:tblPrEx>
        <w:trPr>
          <w:trHeight w:val="1393"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color w:val="FF0000"/>
                <w:sz w:val="21"/>
                <w:szCs w:val="21"/>
                <w:lang w:eastAsia="zh-CN"/>
              </w:rPr>
            </w:pPr>
          </w:p>
        </w:tc>
        <w:tc>
          <w:tcPr>
            <w:tcW w:w="1071" w:type="pct"/>
            <w:tcBorders>
              <w:top w:val="single" w:color="auto" w:sz="4" w:space="0"/>
              <w:left w:val="single" w:color="000000" w:sz="6" w:space="0"/>
              <w:bottom w:val="single" w:color="auto" w:sz="4" w:space="0"/>
              <w:right w:val="single" w:color="000000" w:sz="4" w:space="0"/>
            </w:tcBorders>
            <w:vAlign w:val="center"/>
          </w:tcPr>
          <w:p>
            <w:pPr>
              <w:pStyle w:val="9"/>
              <w:jc w:val="left"/>
              <w:rPr>
                <w:rFonts w:hint="default" w:ascii="仿宋" w:hAnsi="仿宋" w:eastAsia="仿宋" w:cs="Calibri"/>
                <w:bCs/>
                <w:color w:val="FF0000"/>
                <w:sz w:val="21"/>
                <w:szCs w:val="21"/>
                <w:highlight w:val="none"/>
                <w:lang w:val="en-US" w:eastAsia="zh-CN"/>
              </w:rPr>
            </w:pPr>
            <w:r>
              <w:rPr>
                <w:rFonts w:hint="eastAsia" w:ascii="仿宋" w:hAnsi="仿宋" w:eastAsia="仿宋" w:cs="仿宋"/>
                <w:color w:val="FF0000"/>
                <w:sz w:val="21"/>
                <w:szCs w:val="21"/>
                <w:highlight w:val="none"/>
                <w:lang w:val="en-US" w:eastAsia="zh-CN"/>
              </w:rPr>
              <w:t>★</w:t>
            </w:r>
            <w:r>
              <w:rPr>
                <w:rFonts w:hint="eastAsia" w:ascii="仿宋" w:hAnsi="仿宋" w:eastAsia="仿宋" w:cs="仿宋"/>
                <w:color w:val="FF0000"/>
                <w:sz w:val="21"/>
                <w:szCs w:val="21"/>
                <w:highlight w:val="none"/>
                <w:lang w:eastAsia="zh-CN"/>
              </w:rPr>
              <w:t>信誉要求（</w:t>
            </w:r>
            <w:r>
              <w:rPr>
                <w:rFonts w:hint="eastAsia" w:ascii="仿宋" w:hAnsi="仿宋" w:eastAsia="仿宋" w:cs="仿宋"/>
                <w:color w:val="FF0000"/>
                <w:sz w:val="21"/>
                <w:szCs w:val="21"/>
                <w:highlight w:val="none"/>
                <w:lang w:val="en-US" w:eastAsia="zh-CN"/>
              </w:rPr>
              <w:t>投标时提供）</w:t>
            </w:r>
          </w:p>
        </w:tc>
        <w:tc>
          <w:tcPr>
            <w:tcW w:w="3325" w:type="pct"/>
            <w:tcBorders>
              <w:top w:val="single" w:color="auto" w:sz="4" w:space="0"/>
              <w:left w:val="nil"/>
              <w:bottom w:val="single" w:color="auto" w:sz="4" w:space="0"/>
              <w:right w:val="single" w:color="000000" w:sz="4" w:space="0"/>
            </w:tcBorders>
            <w:vAlign w:val="center"/>
          </w:tcPr>
          <w:p>
            <w:pPr>
              <w:pStyle w:val="9"/>
              <w:jc w:val="both"/>
              <w:rPr>
                <w:rFonts w:hint="eastAsia" w:ascii="仿宋" w:hAnsi="仿宋" w:eastAsia="仿宋" w:cs="仿宋"/>
                <w:color w:val="auto"/>
                <w:sz w:val="21"/>
                <w:szCs w:val="21"/>
                <w:highlight w:val="none"/>
                <w:lang w:eastAsia="zh-CN"/>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应答人应提供《5.7：供应商承诺书》，应答人应按照模版格式，对涉及信誉情形进行承诺，并加盖</w:t>
            </w:r>
            <w:r>
              <w:rPr>
                <w:rFonts w:hint="eastAsia" w:ascii="仿宋" w:hAnsi="仿宋" w:eastAsia="仿宋" w:cs="仿宋"/>
                <w:color w:val="000000" w:themeColor="text1"/>
                <w:sz w:val="21"/>
                <w:szCs w:val="21"/>
                <w:highlight w:val="none"/>
                <w:lang w:eastAsia="zh-CN"/>
                <w14:textFill>
                  <w14:solidFill>
                    <w14:schemeClr w14:val="tx1"/>
                  </w14:solidFill>
                </w14:textFill>
              </w:rPr>
              <w:t>单位章</w:t>
            </w:r>
            <w:r>
              <w:rPr>
                <w:rFonts w:hint="eastAsia" w:ascii="仿宋" w:hAnsi="仿宋" w:eastAsia="仿宋" w:cs="仿宋"/>
                <w:color w:val="000000" w:themeColor="text1"/>
                <w:sz w:val="21"/>
                <w:szCs w:val="21"/>
                <w:highlight w:val="none"/>
                <w:lang w:val="en-US" w:eastAsia="zh-CN"/>
                <w14:textFill>
                  <w14:solidFill>
                    <w14:schemeClr w14:val="tx1"/>
                  </w14:solidFill>
                </w14:textFill>
              </w:rPr>
              <w:t>。如应答人未提供或不符合填报要求以及无法满足承诺项的，都将影响评审结果。</w:t>
            </w:r>
            <w:r>
              <w:rPr>
                <w:rFonts w:hint="eastAsia" w:ascii="仿宋" w:hAnsi="仿宋" w:eastAsia="仿宋" w:cs="仿宋"/>
                <w:b/>
                <w:bCs/>
                <w:color w:val="000000" w:themeColor="text1"/>
                <w:sz w:val="21"/>
                <w:szCs w:val="21"/>
                <w:highlight w:val="none"/>
                <w:lang w:val="en-US" w:eastAsia="zh-CN"/>
                <w14:textFill>
                  <w14:solidFill>
                    <w14:schemeClr w14:val="tx1"/>
                  </w14:solidFill>
                </w14:textFill>
              </w:rPr>
              <w:t>（备注：评审时评委通过网上查询结果进行评审，如查询不合格则废标处理。）</w:t>
            </w:r>
          </w:p>
        </w:tc>
      </w:tr>
      <w:tr>
        <w:tblPrEx>
          <w:tblCellMar>
            <w:top w:w="0" w:type="dxa"/>
            <w:left w:w="0" w:type="dxa"/>
            <w:bottom w:w="0" w:type="dxa"/>
            <w:right w:w="0" w:type="dxa"/>
          </w:tblCellMar>
        </w:tblPrEx>
        <w:trPr>
          <w:trHeight w:val="1877"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sz w:val="21"/>
                <w:szCs w:val="21"/>
                <w:lang w:eastAsia="zh-CN"/>
              </w:rPr>
            </w:pPr>
          </w:p>
        </w:tc>
        <w:tc>
          <w:tcPr>
            <w:tcW w:w="1071" w:type="pct"/>
            <w:tcBorders>
              <w:top w:val="single" w:color="auto" w:sz="4" w:space="0"/>
              <w:left w:val="single" w:color="000000" w:sz="6" w:space="0"/>
              <w:bottom w:val="single" w:color="000000" w:sz="4" w:space="0"/>
              <w:right w:val="single" w:color="000000" w:sz="4" w:space="0"/>
            </w:tcBorders>
            <w:vAlign w:val="center"/>
          </w:tcPr>
          <w:p>
            <w:pPr>
              <w:pStyle w:val="9"/>
              <w:numPr>
                <w:ilvl w:val="-1"/>
                <w:numId w:val="0"/>
              </w:numPr>
              <w:jc w:val="both"/>
              <w:rPr>
                <w:rFonts w:hint="eastAsia" w:ascii="仿宋" w:hAnsi="仿宋" w:eastAsia="仿宋" w:cs="仿宋"/>
                <w:color w:val="C00000"/>
                <w:kern w:val="2"/>
                <w:sz w:val="21"/>
                <w:szCs w:val="21"/>
                <w:highlight w:val="none"/>
                <w:lang w:eastAsia="zh-CN"/>
              </w:rPr>
            </w:pPr>
            <w:r>
              <w:rPr>
                <w:rFonts w:hint="eastAsia" w:ascii="仿宋" w:hAnsi="仿宋" w:eastAsia="仿宋" w:cs="仿宋"/>
                <w:color w:val="auto"/>
                <w:kern w:val="2"/>
                <w:sz w:val="21"/>
                <w:szCs w:val="21"/>
                <w:highlight w:val="none"/>
                <w:lang w:val="en-US" w:eastAsia="zh-CN" w:bidi="ar-SA"/>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应答人或应答人所提供的第三方不得存在的其他情形</w:t>
            </w:r>
          </w:p>
          <w:p>
            <w:pPr>
              <w:pStyle w:val="9"/>
              <w:jc w:val="center"/>
              <w:rPr>
                <w:rFonts w:hint="eastAsia" w:ascii="仿宋" w:hAnsi="仿宋" w:eastAsia="仿宋" w:cs="Calibri"/>
                <w:bCs/>
                <w:color w:val="FF0000"/>
                <w:sz w:val="21"/>
                <w:szCs w:val="21"/>
                <w:highlight w:val="none"/>
                <w:lang w:eastAsia="zh-CN"/>
              </w:rPr>
            </w:pPr>
          </w:p>
        </w:tc>
        <w:tc>
          <w:tcPr>
            <w:tcW w:w="3325" w:type="pct"/>
            <w:tcBorders>
              <w:top w:val="single" w:color="auto" w:sz="4" w:space="0"/>
              <w:left w:val="nil"/>
              <w:bottom w:val="single" w:color="000000" w:sz="4" w:space="0"/>
              <w:right w:val="single" w:color="000000" w:sz="4" w:space="0"/>
            </w:tcBorders>
            <w:vAlign w:val="center"/>
          </w:tcPr>
          <w:p>
            <w:pPr>
              <w:pStyle w:val="9"/>
              <w:jc w:val="left"/>
              <w:rPr>
                <w:rFonts w:hint="eastAsia" w:ascii="仿宋" w:hAnsi="仿宋" w:eastAsia="仿宋" w:cs="仿宋"/>
                <w:color w:val="000000" w:themeColor="text1"/>
                <w:sz w:val="21"/>
                <w:szCs w:val="21"/>
                <w:highlight w:val="none"/>
                <w:lang w:eastAsia="zh-CN"/>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1.</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被中国海洋石油集团有限公司在集团范围内进行风险提示，且在中国海洋石油集团有限公司《中国海油供应链数字化平台》中被采购冻结，进入调查程序的；</w:t>
            </w:r>
          </w:p>
          <w:p>
            <w:pPr>
              <w:pStyle w:val="9"/>
              <w:jc w:val="left"/>
              <w:rPr>
                <w:rFonts w:hint="eastAsia" w:ascii="仿宋" w:hAnsi="仿宋" w:eastAsia="仿宋" w:cs="仿宋"/>
                <w:sz w:val="21"/>
                <w:szCs w:val="21"/>
                <w:lang w:val="en-US" w:eastAsia="zh-CN"/>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2.</w:t>
            </w:r>
            <w:r>
              <w:rPr>
                <w:rFonts w:hint="eastAsia" w:ascii="仿宋" w:hAnsi="仿宋" w:eastAsia="仿宋" w:cs="仿宋"/>
                <w:color w:val="000000" w:themeColor="text1"/>
                <w:sz w:val="21"/>
                <w:szCs w:val="21"/>
                <w:highlight w:val="none"/>
                <w:lang w:eastAsia="zh-CN"/>
                <w14:textFill>
                  <w14:solidFill>
                    <w14:schemeClr w14:val="tx1"/>
                  </w14:solidFill>
                </w14:textFill>
              </w:rPr>
              <w:t>被中国海洋石油集团有限公司</w:t>
            </w:r>
            <w:r>
              <w:rPr>
                <w:rFonts w:hint="eastAsia" w:ascii="仿宋" w:hAnsi="仿宋" w:eastAsia="仿宋" w:cs="仿宋"/>
                <w:color w:val="000000" w:themeColor="text1"/>
                <w:sz w:val="21"/>
                <w:szCs w:val="21"/>
                <w:highlight w:val="none"/>
                <w:lang w:val="en-US" w:eastAsia="zh-CN"/>
                <w14:textFill>
                  <w14:solidFill>
                    <w14:schemeClr w14:val="tx1"/>
                  </w14:solidFill>
                </w14:textFill>
              </w:rPr>
              <w:t>及</w:t>
            </w:r>
            <w:r>
              <w:rPr>
                <w:rFonts w:hint="eastAsia" w:ascii="仿宋" w:hAnsi="仿宋" w:eastAsia="仿宋" w:cs="仿宋"/>
                <w:color w:val="000000" w:themeColor="text1"/>
                <w:sz w:val="21"/>
                <w:szCs w:val="21"/>
                <w:highlight w:val="none"/>
                <w:lang w:eastAsia="zh-CN"/>
                <w14:textFill>
                  <w14:solidFill>
                    <w14:schemeClr w14:val="tx1"/>
                  </w14:solidFill>
                </w14:textFill>
              </w:rPr>
              <w:t>所属单位处以“</w:t>
            </w:r>
            <w:r>
              <w:rPr>
                <w:rFonts w:hint="eastAsia" w:ascii="仿宋" w:hAnsi="仿宋" w:eastAsia="仿宋" w:cs="仿宋"/>
                <w:color w:val="000000" w:themeColor="text1"/>
                <w:sz w:val="21"/>
                <w:szCs w:val="21"/>
                <w:highlight w:val="none"/>
                <w:lang w:val="en-US" w:eastAsia="zh-CN"/>
                <w14:textFill>
                  <w14:solidFill>
                    <w14:schemeClr w14:val="tx1"/>
                  </w14:solidFill>
                </w14:textFill>
              </w:rPr>
              <w:t>禁用</w:t>
            </w:r>
            <w:r>
              <w:rPr>
                <w:rFonts w:hint="eastAsia" w:ascii="仿宋" w:hAnsi="仿宋" w:eastAsia="仿宋" w:cs="仿宋"/>
                <w:color w:val="000000" w:themeColor="text1"/>
                <w:sz w:val="21"/>
                <w:szCs w:val="21"/>
                <w:highlight w:val="none"/>
                <w:lang w:eastAsia="zh-CN"/>
                <w14:textFill>
                  <w14:solidFill>
                    <w14:schemeClr w14:val="tx1"/>
                  </w14:solidFill>
                </w14:textFill>
              </w:rPr>
              <w:t>”处罚，且仍在处罚期内或处罚期满但在系统中的供应商档案中的“档案状态”为“</w:t>
            </w:r>
            <w:r>
              <w:rPr>
                <w:rFonts w:hint="eastAsia" w:ascii="仿宋" w:hAnsi="仿宋" w:eastAsia="仿宋" w:cs="仿宋"/>
                <w:color w:val="000000" w:themeColor="text1"/>
                <w:sz w:val="21"/>
                <w:szCs w:val="21"/>
                <w:highlight w:val="none"/>
                <w:lang w:val="en-US" w:eastAsia="zh-CN"/>
                <w14:textFill>
                  <w14:solidFill>
                    <w14:schemeClr w14:val="tx1"/>
                  </w14:solidFill>
                </w14:textFill>
              </w:rPr>
              <w:t>受控</w:t>
            </w:r>
            <w:r>
              <w:rPr>
                <w:rFonts w:hint="eastAsia" w:ascii="仿宋" w:hAnsi="仿宋" w:eastAsia="仿宋" w:cs="仿宋"/>
                <w:color w:val="000000" w:themeColor="text1"/>
                <w:sz w:val="21"/>
                <w:szCs w:val="21"/>
                <w:highlight w:val="none"/>
                <w:lang w:eastAsia="zh-CN"/>
                <w14:textFill>
                  <w14:solidFill>
                    <w14:schemeClr w14:val="tx1"/>
                  </w14:solidFill>
                </w14:textFill>
              </w:rPr>
              <w:t>”、“业务状态”为“采购冻结”的。</w:t>
            </w:r>
          </w:p>
        </w:tc>
      </w:tr>
      <w:tr>
        <w:tblPrEx>
          <w:tblCellMar>
            <w:top w:w="0" w:type="dxa"/>
            <w:left w:w="0" w:type="dxa"/>
            <w:bottom w:w="0" w:type="dxa"/>
            <w:right w:w="0" w:type="dxa"/>
          </w:tblCellMar>
        </w:tblPrEx>
        <w:trPr>
          <w:trHeight w:val="1885" w:hRule="atLeast"/>
          <w:jc w:val="center"/>
        </w:trPr>
        <w:tc>
          <w:tcPr>
            <w:tcW w:w="324" w:type="pct"/>
            <w:vMerge w:val="continue"/>
            <w:tcBorders>
              <w:left w:val="single" w:color="000000" w:sz="6" w:space="0"/>
              <w:right w:val="single" w:color="000000" w:sz="6" w:space="0"/>
            </w:tcBorders>
            <w:vAlign w:val="center"/>
          </w:tcPr>
          <w:p>
            <w:pPr>
              <w:spacing w:line="300" w:lineRule="exact"/>
              <w:jc w:val="center"/>
              <w:rPr>
                <w:rFonts w:ascii="仿宋" w:hAnsi="仿宋" w:eastAsia="仿宋" w:cs="Calibri"/>
                <w:bCs/>
                <w:kern w:val="0"/>
                <w:szCs w:val="21"/>
              </w:rPr>
            </w:pPr>
          </w:p>
        </w:tc>
        <w:tc>
          <w:tcPr>
            <w:tcW w:w="278" w:type="pct"/>
            <w:vMerge w:val="continue"/>
            <w:tcBorders>
              <w:left w:val="single" w:color="000000" w:sz="6" w:space="0"/>
              <w:right w:val="single" w:color="000000" w:sz="6" w:space="0"/>
            </w:tcBorders>
            <w:vAlign w:val="center"/>
          </w:tcPr>
          <w:p>
            <w:pPr>
              <w:pStyle w:val="9"/>
              <w:spacing w:line="300" w:lineRule="exact"/>
              <w:jc w:val="center"/>
              <w:rPr>
                <w:rFonts w:ascii="仿宋" w:hAnsi="仿宋" w:eastAsia="仿宋" w:cs="Calibri"/>
                <w:bCs/>
                <w:sz w:val="21"/>
                <w:szCs w:val="21"/>
                <w:lang w:eastAsia="zh-CN"/>
              </w:rPr>
            </w:pPr>
          </w:p>
        </w:tc>
        <w:tc>
          <w:tcPr>
            <w:tcW w:w="1071" w:type="pct"/>
            <w:tcBorders>
              <w:top w:val="single" w:color="000000" w:sz="4" w:space="0"/>
              <w:left w:val="single" w:color="000000" w:sz="6" w:space="0"/>
              <w:bottom w:val="single" w:color="auto" w:sz="4" w:space="0"/>
              <w:right w:val="single" w:color="000000" w:sz="4" w:space="0"/>
            </w:tcBorders>
            <w:vAlign w:val="center"/>
          </w:tcPr>
          <w:p>
            <w:pPr>
              <w:pStyle w:val="5"/>
              <w:tabs>
                <w:tab w:val="left" w:pos="770"/>
              </w:tabs>
              <w:ind w:left="0" w:leftChars="0" w:right="134" w:rightChars="0"/>
              <w:jc w:val="left"/>
              <w:rPr>
                <w:rFonts w:hint="default" w:ascii="仿宋" w:hAnsi="仿宋" w:eastAsia="仿宋" w:cs="Calibri"/>
                <w:bCs/>
                <w:color w:val="FF0000"/>
                <w:sz w:val="21"/>
                <w:szCs w:val="21"/>
                <w:highlight w:val="none"/>
                <w:lang w:val="en-US" w:eastAsia="zh-CN"/>
              </w:rPr>
            </w:pPr>
            <w:r>
              <w:rPr>
                <w:rFonts w:hint="eastAsia" w:ascii="仿宋" w:hAnsi="仿宋" w:eastAsia="仿宋" w:cs="仿宋"/>
                <w:color w:val="FF0000"/>
                <w:sz w:val="21"/>
                <w:szCs w:val="21"/>
                <w:highlight w:val="none"/>
                <w:lang w:val="en-US" w:eastAsia="zh-CN"/>
              </w:rPr>
              <w:t>★服务商要求（投标时提供）</w:t>
            </w:r>
          </w:p>
        </w:tc>
        <w:tc>
          <w:tcPr>
            <w:tcW w:w="3325" w:type="pct"/>
            <w:tcBorders>
              <w:top w:val="single" w:color="000000" w:sz="4" w:space="0"/>
              <w:left w:val="nil"/>
              <w:bottom w:val="single" w:color="auto" w:sz="4" w:space="0"/>
              <w:right w:val="single" w:color="000000" w:sz="4" w:space="0"/>
            </w:tcBorders>
            <w:vAlign w:val="center"/>
          </w:tcPr>
          <w:p>
            <w:pPr>
              <w:tabs>
                <w:tab w:val="left" w:pos="770"/>
              </w:tabs>
              <w:ind w:right="134" w:rightChars="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1)我司承诺承揽中国海油的业务量与其资质能力、财务状况、质量保障能力相匹配；</w:t>
            </w:r>
          </w:p>
          <w:p>
            <w:pPr>
              <w:tabs>
                <w:tab w:val="left" w:pos="770"/>
              </w:tabs>
              <w:ind w:right="134" w:rightChars="0"/>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2</w:t>
            </w:r>
            <w:r>
              <w:rPr>
                <w:rFonts w:hint="eastAsia" w:ascii="仿宋" w:hAnsi="仿宋" w:eastAsia="仿宋" w:cs="仿宋"/>
                <w:color w:val="FF0000"/>
                <w:kern w:val="0"/>
                <w:sz w:val="21"/>
                <w:szCs w:val="21"/>
                <w:highlight w:val="none"/>
                <w:lang w:val="en-US" w:eastAsia="zh-CN" w:bidi="ar-SA"/>
              </w:rPr>
              <w:t>)我司承诺员工缴纳社保人数不为0，可提供近三月连续社保证明；</w:t>
            </w: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 xml:space="preserve"> </w:t>
            </w:r>
          </w:p>
          <w:p>
            <w:pPr>
              <w:tabs>
                <w:tab w:val="left" w:pos="770"/>
              </w:tabs>
              <w:ind w:right="134" w:rightChars="0"/>
              <w:rPr>
                <w:rFonts w:hint="eastAsia" w:ascii="仿宋" w:hAnsi="仿宋" w:eastAsia="仿宋" w:cs="仿宋"/>
                <w:sz w:val="21"/>
                <w:szCs w:val="21"/>
                <w:highlight w:val="none"/>
                <w:lang w:eastAsia="zh-CN"/>
              </w:rPr>
            </w:pPr>
            <w:r>
              <w:rPr>
                <w:rFonts w:hint="eastAsia" w:ascii="仿宋" w:hAnsi="仿宋" w:eastAsia="仿宋" w:cs="仿宋"/>
                <w:color w:val="000000" w:themeColor="text1"/>
                <w:kern w:val="0"/>
                <w:sz w:val="21"/>
                <w:szCs w:val="21"/>
                <w:highlight w:val="none"/>
                <w:lang w:val="en-US" w:eastAsia="zh-CN" w:bidi="ar-SA"/>
                <w14:textFill>
                  <w14:solidFill>
                    <w14:schemeClr w14:val="tx1"/>
                  </w14:solidFill>
                </w14:textFill>
              </w:rPr>
              <w:t>3)我司承诺中国海油不是我司唯一服务客户，我司具有中国海油外业绩，且为近三年内已完成业绩，并可提供原件合同及发票备查。</w:t>
            </w:r>
          </w:p>
        </w:tc>
      </w:tr>
    </w:tbl>
    <w:p/>
    <w:p>
      <w:pPr>
        <w:pStyle w:val="3"/>
        <w:numPr>
          <w:ilvl w:val="0"/>
          <w:numId w:val="0"/>
        </w:numPr>
        <w:ind w:leftChars="0"/>
        <w:rPr>
          <w:rFonts w:hint="eastAsia" w:ascii="仿宋" w:hAnsi="仿宋" w:eastAsia="仿宋" w:cs="仿宋"/>
          <w:b/>
          <w:bCs/>
          <w:sz w:val="44"/>
          <w:szCs w:val="44"/>
          <w:lang w:val="en-US" w:eastAsia="zh-CN"/>
        </w:rPr>
      </w:pPr>
      <w:r>
        <w:rPr>
          <w:rFonts w:hint="eastAsia" w:ascii="黑体" w:hAnsi="黑体" w:eastAsia="黑体"/>
          <w:b/>
          <w:bCs/>
          <w:color w:val="000000" w:themeColor="text1"/>
          <w:sz w:val="24"/>
          <w:szCs w:val="24"/>
          <w:highlight w:val="none"/>
          <w:lang w:val="en-US" w:eastAsia="zh-CN"/>
          <w14:textFill>
            <w14:solidFill>
              <w14:schemeClr w14:val="tx1"/>
            </w14:solidFill>
          </w14:textFill>
        </w:rPr>
        <w:t xml:space="preserve">5.7：供应商承诺书  </w:t>
      </w:r>
    </w:p>
    <w:p>
      <w:pPr>
        <w:keepNext w:val="0"/>
        <w:keepLines w:val="0"/>
        <w:widowControl/>
        <w:suppressLineNumbers w:val="0"/>
        <w:jc w:val="center"/>
        <w:rPr>
          <w:rFonts w:hint="eastAsia" w:ascii="仿宋" w:hAnsi="仿宋" w:eastAsia="仿宋" w:cs="仿宋"/>
          <w:b/>
          <w:bCs/>
          <w:sz w:val="44"/>
          <w:szCs w:val="44"/>
          <w:lang w:val="en-US" w:eastAsia="zh-CN"/>
        </w:rPr>
      </w:pPr>
    </w:p>
    <w:p>
      <w:pPr>
        <w:jc w:val="center"/>
        <w:outlineLvl w:val="9"/>
        <w:rPr>
          <w:rFonts w:hint="default" w:ascii="Times New Roman" w:hAnsi="Times New Roman" w:cs="Times New Roman" w:eastAsiaTheme="minorEastAsia"/>
          <w:color w:val="C00000"/>
          <w:highlight w:val="none"/>
          <w:lang w:eastAsia="zh-CN"/>
        </w:rPr>
      </w:pPr>
      <w:r>
        <w:rPr>
          <w:rFonts w:hint="default" w:ascii="Times New Roman" w:hAnsi="Times New Roman" w:eastAsia="黑体" w:cs="Times New Roman"/>
          <w:b/>
          <w:color w:val="000000" w:themeColor="text1"/>
          <w:sz w:val="36"/>
          <w:szCs w:val="36"/>
          <w:highlight w:val="none"/>
          <w:lang w:val="en-US" w:eastAsia="zh-CN"/>
          <w14:textFill>
            <w14:solidFill>
              <w14:schemeClr w14:val="tx1"/>
            </w14:solidFill>
          </w14:textFill>
        </w:rPr>
        <w:t xml:space="preserve"> </w:t>
      </w:r>
      <w:r>
        <w:rPr>
          <w:rFonts w:hint="default" w:ascii="Times New Roman" w:hAnsi="Times New Roman" w:eastAsia="黑体" w:cs="Times New Roman"/>
          <w:b/>
          <w:color w:val="000000" w:themeColor="text1"/>
          <w:sz w:val="36"/>
          <w:szCs w:val="36"/>
          <w:highlight w:val="none"/>
          <w14:textFill>
            <w14:solidFill>
              <w14:schemeClr w14:val="tx1"/>
            </w14:solidFill>
          </w14:textFill>
        </w:rPr>
        <w:t>供应商承诺</w:t>
      </w:r>
      <w:r>
        <w:rPr>
          <w:rFonts w:hint="default" w:ascii="Times New Roman" w:hAnsi="Times New Roman" w:eastAsia="黑体" w:cs="Times New Roman"/>
          <w:b/>
          <w:color w:val="000000" w:themeColor="text1"/>
          <w:sz w:val="36"/>
          <w:szCs w:val="36"/>
          <w:highlight w:val="none"/>
          <w:lang w:val="en-US" w:eastAsia="zh-CN"/>
          <w14:textFill>
            <w14:solidFill>
              <w14:schemeClr w14:val="tx1"/>
            </w14:solidFill>
          </w14:textFill>
        </w:rPr>
        <w:t>书</w:t>
      </w:r>
      <w:r>
        <w:rPr>
          <w:rFonts w:hint="default" w:ascii="Times New Roman" w:hAnsi="Times New Roman" w:cs="Times New Roman"/>
          <w:lang w:eastAsia="zh-CN"/>
        </w:rPr>
        <w:t>（</w:t>
      </w:r>
      <w:r>
        <w:rPr>
          <w:rFonts w:hint="default" w:ascii="Times New Roman" w:hAnsi="Times New Roman" w:cs="Times New Roman"/>
          <w:lang w:val="en-US" w:eastAsia="zh-CN"/>
        </w:rPr>
        <w:t>服务商适用</w:t>
      </w:r>
      <w:r>
        <w:rPr>
          <w:rFonts w:hint="default" w:ascii="Times New Roman" w:hAnsi="Times New Roman" w:cs="Times New Roman"/>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中海油能源发展股份有限公司：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我公司/单位对以下情况经认真核查后确认及承诺如下</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信用中国”网站（https://www.creditchina.gov.cn/）或</w:t>
      </w:r>
      <w:r>
        <w:rPr>
          <w:rFonts w:hint="default" w:ascii="Times New Roman" w:hAnsi="Times New Roman" w:eastAsia="宋体" w:cs="Times New Roman"/>
          <w:color w:val="000000" w:themeColor="text1"/>
          <w:sz w:val="21"/>
          <w:szCs w:val="21"/>
          <w:highlight w:val="none"/>
          <w14:textFill>
            <w14:solidFill>
              <w14:schemeClr w14:val="tx1"/>
            </w14:solidFill>
          </w14:textFill>
        </w:rPr>
        <w:t>“中国执行信息公开网”网站（http://zxgk.court.gov.cn/），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我公司未</w:t>
      </w:r>
      <w:r>
        <w:rPr>
          <w:rFonts w:hint="default" w:ascii="Times New Roman" w:hAnsi="Times New Roman" w:eastAsia="宋体" w:cs="Times New Roman"/>
          <w:color w:val="000000" w:themeColor="text1"/>
          <w:sz w:val="21"/>
          <w:szCs w:val="21"/>
          <w:highlight w:val="none"/>
          <w14:textFill>
            <w14:solidFill>
              <w14:schemeClr w14:val="tx1"/>
            </w14:solidFill>
          </w14:textFill>
        </w:rPr>
        <w:t>被列入失信被执行人名单；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经查询“国家企业信用信息公示系统”（http://www.gsxt.gov.cn），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我公司未</w:t>
      </w:r>
      <w:r>
        <w:rPr>
          <w:rFonts w:hint="default" w:ascii="Times New Roman" w:hAnsi="Times New Roman" w:eastAsia="宋体" w:cs="Times New Roman"/>
          <w:color w:val="000000" w:themeColor="text1"/>
          <w:sz w:val="21"/>
          <w:szCs w:val="21"/>
          <w:highlight w:val="none"/>
          <w14:textFill>
            <w14:solidFill>
              <w14:schemeClr w14:val="tx1"/>
            </w14:solidFill>
          </w14:textFill>
        </w:rPr>
        <w:t>被列入严重违法失信企业名单</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（事业单位、大学除外）</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14:textFill>
            <w14:solidFill>
              <w14:schemeClr w14:val="tx1"/>
            </w14:solidFill>
          </w14:textFill>
        </w:rPr>
        <w:t>经查询“中国裁判文书网”（http://wenshu.court.gov.cn），</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我公司及法定代表人和拟委任的项目负责人近三年（202</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年1月1日-报价截止日前）不</w:t>
      </w:r>
      <w:r>
        <w:rPr>
          <w:rFonts w:hint="default" w:ascii="Times New Roman" w:hAnsi="Times New Roman" w:eastAsia="宋体" w:cs="Times New Roman"/>
          <w:color w:val="000000" w:themeColor="text1"/>
          <w:sz w:val="21"/>
          <w:szCs w:val="21"/>
          <w:highlight w:val="none"/>
          <w14:textFill>
            <w14:solidFill>
              <w14:schemeClr w14:val="tx1"/>
            </w14:solidFill>
          </w14:textFill>
        </w:rPr>
        <w:t>存在行贿犯罪记录；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我公司与本采购项目其他应答人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存在</w:t>
      </w:r>
      <w:r>
        <w:rPr>
          <w:rFonts w:hint="default" w:ascii="Times New Roman" w:hAnsi="Times New Roman" w:eastAsia="宋体" w:cs="Times New Roman"/>
          <w:b/>
          <w:bCs/>
          <w:color w:val="000000" w:themeColor="text1"/>
          <w:sz w:val="21"/>
          <w:szCs w:val="21"/>
          <w:highlight w:val="none"/>
          <w:lang w:eastAsia="zh-CN"/>
          <w14:textFill>
            <w14:solidFill>
              <w14:schemeClr w14:val="tx1"/>
            </w14:solidFill>
          </w14:textFill>
        </w:rPr>
        <w:t>控股关系或管理关系</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、单位负责人为同一人，同一自然人同时持有两家公司非公开上市股份的情形。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14:textFill>
            <w14:solidFill>
              <w14:schemeClr w14:val="tx1"/>
            </w14:solidFill>
          </w14:textFill>
        </w:rPr>
        <w:t>经</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确认，我公司</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不存在中国海油员工</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（不含中国海油正式派出的）、海油发展离职未满三年的员工在我公司担任股东、法人代表、董事、监事和其他任职人员</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kern w:val="0"/>
          <w:sz w:val="21"/>
          <w:szCs w:val="21"/>
          <w:highlight w:val="none"/>
          <w:lang w:val="en-US" w:eastAsia="zh-CN" w:bidi="ar-SA"/>
        </w:rPr>
        <w:t>6、我公司如涉及雇用农民工，承诺与农民工签订劳动合同，及时、足额发放工资、缴纳社会保险费用，且不拖欠农民工工资。</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7、我公司承诺</w:t>
      </w:r>
      <w:r>
        <w:rPr>
          <w:rFonts w:hint="default" w:ascii="Times New Roman" w:hAnsi="Times New Roman" w:eastAsia="宋体" w:cs="Times New Roman"/>
          <w:kern w:val="0"/>
          <w:sz w:val="21"/>
          <w:szCs w:val="21"/>
          <w:highlight w:val="none"/>
          <w:lang w:val="en-US" w:eastAsia="zh-CN" w:bidi="ar-SA"/>
        </w:rPr>
        <w:t>积极响应国家节能减排和绿色环保政策，切实推进绿色供应链建设。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8、我公司为：□中小微企业；□大型企业；□国有企业、事业单位、大学；□境外或港澳台企业。</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9、我公司此次投标涉及供应商属性为：服务商，承诺满足以下条件：</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strike w:val="0"/>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)我司承诺承揽中国海油的业务量与其资质能力、财务状况、质量保障能力相匹配；</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strike w:val="0"/>
          <w:color w:val="FF0000"/>
          <w:sz w:val="21"/>
          <w:szCs w:val="21"/>
          <w:highlight w:val="none"/>
          <w:lang w:val="en-US" w:eastAsia="zh-CN"/>
        </w:rPr>
        <w:t>2</w:t>
      </w:r>
      <w:r>
        <w:rPr>
          <w:rFonts w:hint="default" w:ascii="Times New Roman" w:hAnsi="Times New Roman" w:eastAsia="宋体" w:cs="Times New Roman"/>
          <w:strike w:val="0"/>
          <w:color w:val="FF0000"/>
          <w:sz w:val="21"/>
          <w:szCs w:val="21"/>
          <w:highlight w:val="none"/>
          <w:lang w:val="en-US" w:eastAsia="zh-CN"/>
        </w:rPr>
        <w:t>)我司承诺员工缴纳社保人数不为0，可提供近三月连续社保证明；</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 xml:space="preserve"> </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right="134" w:firstLine="420" w:firstLineChars="200"/>
        <w:textAlignment w:val="auto"/>
        <w:rPr>
          <w:rFonts w:hint="default" w:ascii="Times New Roman" w:hAnsi="Times New Roman" w:cs="Times New Roman"/>
          <w:lang w:val="en-US" w:eastAsia="zh-CN"/>
        </w:rPr>
      </w:pPr>
      <w:r>
        <w:rPr>
          <w:rFonts w:hint="default" w:ascii="Times New Roman" w:hAnsi="Times New Roman" w:cs="Times New Roman"/>
          <w:strike w:val="0"/>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strike w:val="0"/>
          <w:color w:val="000000" w:themeColor="text1"/>
          <w:sz w:val="21"/>
          <w:szCs w:val="21"/>
          <w:highlight w:val="none"/>
          <w:lang w:val="en-US" w:eastAsia="zh-CN"/>
          <w14:textFill>
            <w14:solidFill>
              <w14:schemeClr w14:val="tx1"/>
            </w14:solidFill>
          </w14:textFill>
        </w:rPr>
        <w:t>我司承诺中国海油不是我司唯一服务客户，我司具有中国海油外业绩，且为近三年内已完成业绩，并可提供原件合同及发票备查</w:t>
      </w:r>
      <w:r>
        <w:rPr>
          <w:rFonts w:hint="default" w:ascii="Times New Roman" w:hAnsi="Times New Roman" w:cs="Times New Roman"/>
          <w:strike w:val="0"/>
          <w:color w:val="000000" w:themeColor="text1"/>
          <w:kern w:val="2"/>
          <w:sz w:val="21"/>
          <w:szCs w:val="21"/>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rPr>
      </w:pPr>
      <w:r>
        <w:rPr>
          <w:rFonts w:hint="eastAsia" w:ascii="宋体" w:hAnsi="宋体" w:eastAsia="宋体" w:cs="宋体"/>
          <w:b/>
          <w:bCs/>
          <w:color w:val="000000" w:themeColor="text1"/>
          <w:sz w:val="21"/>
          <w:szCs w:val="21"/>
          <w:highlight w:val="none"/>
          <w14:textFill>
            <w14:solidFill>
              <w14:schemeClr w14:val="tx1"/>
            </w14:solidFill>
          </w14:textFill>
        </w:rPr>
        <w:t>郑重承诺：</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本次</w:t>
      </w:r>
      <w:r>
        <w:rPr>
          <w:rFonts w:hint="eastAsia" w:ascii="宋体" w:hAnsi="宋体" w:eastAsia="宋体" w:cs="宋体"/>
          <w:color w:val="000000" w:themeColor="text1"/>
          <w:sz w:val="21"/>
          <w:szCs w:val="21"/>
          <w:highlight w:val="none"/>
          <w14:textFill>
            <w14:solidFill>
              <w14:schemeClr w14:val="tx1"/>
            </w14:solidFill>
          </w14:textFill>
        </w:rPr>
        <w:t>采办项目中</w:t>
      </w:r>
      <w:r>
        <w:rPr>
          <w:rFonts w:hint="eastAsia" w:ascii="宋体" w:hAnsi="宋体" w:eastAsia="宋体" w:cs="宋体"/>
          <w:color w:val="000000" w:themeColor="text1"/>
          <w:sz w:val="21"/>
          <w:szCs w:val="21"/>
          <w:highlight w:val="none"/>
          <w:lang w:val="en-US" w:eastAsia="zh-CN"/>
          <w14:textFill>
            <w14:solidFill>
              <w14:schemeClr w14:val="tx1"/>
            </w14:solidFill>
          </w14:textFill>
        </w:rPr>
        <w:t>将严格遵守法律法规和中国海油各项管理要求</w:t>
      </w:r>
      <w:r>
        <w:rPr>
          <w:rFonts w:hint="eastAsia" w:ascii="宋体" w:hAnsi="宋体" w:eastAsia="宋体" w:cs="宋体"/>
          <w:color w:val="000000" w:themeColor="text1"/>
          <w:sz w:val="21"/>
          <w:szCs w:val="21"/>
          <w:highlight w:val="none"/>
          <w14:textFill>
            <w14:solidFill>
              <w14:schemeClr w14:val="tx1"/>
            </w14:solidFill>
          </w14:textFill>
        </w:rPr>
        <w:t>，不发生关联公司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共同</w:t>
      </w:r>
      <w:r>
        <w:rPr>
          <w:rFonts w:hint="eastAsia" w:ascii="宋体" w:hAnsi="宋体" w:eastAsia="宋体" w:cs="宋体"/>
          <w:color w:val="000000" w:themeColor="text1"/>
          <w:sz w:val="21"/>
          <w:szCs w:val="21"/>
          <w:highlight w:val="none"/>
          <w14:textFill>
            <w14:solidFill>
              <w14:schemeClr w14:val="tx1"/>
            </w14:solidFill>
          </w14:textFill>
        </w:rPr>
        <w:t>参与</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采办</w:t>
      </w:r>
      <w:r>
        <w:rPr>
          <w:rFonts w:hint="eastAsia" w:ascii="宋体" w:hAnsi="宋体" w:eastAsia="宋体" w:cs="宋体"/>
          <w:color w:val="000000" w:themeColor="text1"/>
          <w:sz w:val="21"/>
          <w:szCs w:val="21"/>
          <w:highlight w:val="none"/>
          <w14:textFill>
            <w14:solidFill>
              <w14:schemeClr w14:val="tx1"/>
            </w14:solidFill>
          </w14:textFill>
        </w:rPr>
        <w:t>竞争情况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不发生围标串标情况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我公司所提供信息真实、准确、合法、有效，不存在为规避中海油能源发展股份有限公司（简称“海油发展”）有关要求采取的变通行为</w:t>
      </w:r>
      <w:r>
        <w:rPr>
          <w:rFonts w:hint="eastAsia" w:ascii="宋体" w:hAnsi="宋体" w:eastAsia="宋体" w:cs="宋体"/>
          <w:color w:val="000000" w:themeColor="text1"/>
          <w:sz w:val="21"/>
          <w:szCs w:val="21"/>
          <w:highlight w:val="none"/>
          <w:lang w:eastAsia="zh-CN"/>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lang w:eastAsia="zh-CN"/>
          <w14:textFill>
            <w14:solidFill>
              <w14:schemeClr w14:val="tx1"/>
            </w14:solidFill>
          </w14:textFill>
        </w:rPr>
        <w:t>将严格遵守国家相关法律法规</w:t>
      </w:r>
      <w:r>
        <w:rPr>
          <w:rFonts w:hint="eastAsia" w:ascii="宋体" w:hAnsi="宋体" w:eastAsia="宋体" w:cs="宋体"/>
          <w:color w:val="000000" w:themeColor="text1"/>
          <w:sz w:val="21"/>
          <w:szCs w:val="21"/>
          <w:highlight w:val="none"/>
          <w:lang w:val="en-US" w:eastAsia="zh-CN"/>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及</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lang w:eastAsia="zh-CN"/>
          <w14:textFill>
            <w14:solidFill>
              <w14:schemeClr w14:val="tx1"/>
            </w14:solidFill>
          </w14:textFill>
        </w:rPr>
        <w:t>对供应商管理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及准入时效</w:t>
      </w:r>
      <w:r>
        <w:rPr>
          <w:rFonts w:hint="eastAsia" w:ascii="宋体" w:hAnsi="宋体" w:eastAsia="宋体" w:cs="宋体"/>
          <w:color w:val="000000" w:themeColor="text1"/>
          <w:sz w:val="21"/>
          <w:szCs w:val="21"/>
          <w:highlight w:val="none"/>
          <w:lang w:eastAsia="zh-CN"/>
          <w14:textFill>
            <w14:solidFill>
              <w14:schemeClr w14:val="tx1"/>
            </w14:solidFill>
          </w14:textFill>
        </w:rPr>
        <w:t>的要求，</w:t>
      </w:r>
      <w:r>
        <w:rPr>
          <w:rFonts w:hint="eastAsia" w:ascii="宋体" w:hAnsi="宋体" w:eastAsia="宋体" w:cs="宋体"/>
          <w:color w:val="000000" w:themeColor="text1"/>
          <w:sz w:val="21"/>
          <w:szCs w:val="21"/>
          <w:highlight w:val="none"/>
          <w14:textFill>
            <w14:solidFill>
              <w14:schemeClr w14:val="tx1"/>
            </w14:solidFill>
          </w14:textFill>
        </w:rPr>
        <w:t>无条件接</w:t>
      </w:r>
      <w:r>
        <w:rPr>
          <w:rFonts w:hint="eastAsia" w:ascii="宋体" w:hAnsi="宋体" w:eastAsia="宋体" w:cs="宋体"/>
          <w:color w:val="000000" w:themeColor="text1"/>
          <w:sz w:val="21"/>
          <w:szCs w:val="21"/>
          <w:highlight w:val="none"/>
          <w:lang w:val="en-US" w:eastAsia="zh-CN"/>
          <w14:textFill>
            <w14:solidFill>
              <w14:schemeClr w14:val="tx1"/>
            </w14:solidFill>
          </w14:textFill>
        </w:rPr>
        <w:t>受</w:t>
      </w:r>
      <w:r>
        <w:rPr>
          <w:rFonts w:hint="eastAsia" w:ascii="宋体" w:hAnsi="宋体" w:eastAsia="宋体" w:cs="宋体"/>
          <w:color w:val="000000" w:themeColor="text1"/>
          <w:sz w:val="21"/>
          <w:szCs w:val="21"/>
          <w:highlight w:val="none"/>
          <w14:textFill>
            <w14:solidFill>
              <w14:schemeClr w14:val="tx1"/>
            </w14:solidFill>
          </w14:textFill>
        </w:rPr>
        <w:t>和配合海油发展或海油发展委托的有关机构进行的与上述内容相关的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现场考察、核查与审计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若现场考察、核查与审计发现本供应商承诺内容与实际情况存在实质性偏差，采购人有权取消我公司/单位成交资格并按照</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进行处理。</w:t>
      </w:r>
      <w:r>
        <w:rPr>
          <w:rFonts w:hint="eastAsia" w:ascii="宋体" w:hAnsi="宋体" w:eastAsia="宋体" w:cs="宋体"/>
          <w:color w:val="000000" w:themeColor="text1"/>
          <w:sz w:val="21"/>
          <w:szCs w:val="21"/>
          <w:highlight w:val="none"/>
          <w14:textFill>
            <w14:solidFill>
              <w14:schemeClr w14:val="tx1"/>
            </w14:solidFill>
          </w14:textFill>
        </w:rPr>
        <w:t>上述</w:t>
      </w:r>
      <w:r>
        <w:rPr>
          <w:rFonts w:hint="eastAsia" w:ascii="宋体" w:hAnsi="宋体" w:eastAsia="宋体" w:cs="宋体"/>
          <w:color w:val="000000" w:themeColor="text1"/>
          <w:sz w:val="21"/>
          <w:szCs w:val="21"/>
          <w:highlight w:val="none"/>
          <w:lang w:val="en-US" w:eastAsia="zh-CN"/>
          <w14:textFill>
            <w14:solidFill>
              <w14:schemeClr w14:val="tx1"/>
            </w14:solidFill>
          </w14:textFill>
        </w:rPr>
        <w:t>承诺</w:t>
      </w:r>
      <w:r>
        <w:rPr>
          <w:rFonts w:hint="eastAsia" w:ascii="宋体" w:hAnsi="宋体" w:eastAsia="宋体" w:cs="宋体"/>
          <w:color w:val="000000" w:themeColor="text1"/>
          <w:sz w:val="21"/>
          <w:szCs w:val="21"/>
          <w:highlight w:val="none"/>
          <w14:textFill>
            <w14:solidFill>
              <w14:schemeClr w14:val="tx1"/>
            </w14:solidFill>
          </w14:textFill>
        </w:rPr>
        <w:t>信息如有虚假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不实或在中标后违反，</w:t>
      </w:r>
      <w:r>
        <w:rPr>
          <w:rFonts w:hint="eastAsia" w:ascii="宋体" w:hAnsi="宋体" w:eastAsia="宋体" w:cs="宋体"/>
          <w:color w:val="000000" w:themeColor="text1"/>
          <w:sz w:val="21"/>
          <w:szCs w:val="21"/>
          <w:highlight w:val="none"/>
          <w14:textFill>
            <w14:solidFill>
              <w14:schemeClr w14:val="tx1"/>
            </w14:solidFill>
          </w14:textFill>
        </w:rPr>
        <w:t>我公司</w:t>
      </w:r>
      <w:r>
        <w:rPr>
          <w:rFonts w:hint="eastAsia" w:ascii="宋体" w:hAnsi="宋体" w:eastAsia="宋体" w:cs="宋体"/>
          <w:color w:val="000000" w:themeColor="text1"/>
          <w:sz w:val="21"/>
          <w:szCs w:val="21"/>
          <w:highlight w:val="none"/>
          <w:lang w:val="en-US"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将承担相关责任，并按照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海油发展</w:t>
      </w:r>
      <w:r>
        <w:rPr>
          <w:rFonts w:hint="eastAsia" w:ascii="宋体" w:hAnsi="宋体" w:eastAsia="宋体" w:cs="宋体"/>
          <w:color w:val="000000" w:themeColor="text1"/>
          <w:sz w:val="21"/>
          <w:szCs w:val="21"/>
          <w:highlight w:val="none"/>
          <w14:textFill>
            <w14:solidFill>
              <w14:schemeClr w14:val="tx1"/>
            </w14:solidFill>
          </w14:textFill>
        </w:rPr>
        <w:t>相关管理规定</w:t>
      </w:r>
      <w:r>
        <w:rPr>
          <w:rFonts w:hint="eastAsia" w:ascii="宋体" w:hAnsi="宋体" w:eastAsia="宋体" w:cs="宋体"/>
          <w:color w:val="000000" w:themeColor="text1"/>
          <w:sz w:val="21"/>
          <w:szCs w:val="21"/>
          <w:highlight w:val="none"/>
          <w:lang w:val="en-US" w:eastAsia="zh-CN"/>
          <w14:textFill>
            <w14:solidFill>
              <w14:schemeClr w14:val="tx1"/>
            </w14:solidFill>
          </w14:textFill>
        </w:rPr>
        <w:t>无条件</w:t>
      </w:r>
      <w:r>
        <w:rPr>
          <w:rFonts w:hint="eastAsia" w:ascii="宋体" w:hAnsi="宋体" w:eastAsia="宋体" w:cs="宋体"/>
          <w:color w:val="000000" w:themeColor="text1"/>
          <w:sz w:val="21"/>
          <w:szCs w:val="21"/>
          <w:highlight w:val="none"/>
          <w14:textFill>
            <w14:solidFill>
              <w14:schemeClr w14:val="tx1"/>
            </w14:solidFill>
          </w14:textFill>
        </w:rPr>
        <w:t>接受处</w:t>
      </w:r>
      <w:r>
        <w:rPr>
          <w:rFonts w:hint="eastAsia" w:ascii="宋体" w:hAnsi="宋体" w:eastAsia="宋体" w:cs="宋体"/>
          <w:color w:val="000000" w:themeColor="text1"/>
          <w:sz w:val="21"/>
          <w:szCs w:val="21"/>
          <w:highlight w:val="none"/>
          <w:lang w:val="en-US" w:eastAsia="zh-CN"/>
          <w14:textFill>
            <w14:solidFill>
              <w14:schemeClr w14:val="tx1"/>
            </w14:solidFill>
          </w14:textFill>
        </w:rPr>
        <w:t>理</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（公司/单位盖章）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br w:type="textWrapping"/>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年    月   </w:t>
      </w:r>
      <w:r>
        <w:rPr>
          <w:rFonts w:hint="eastAsia" w:ascii="宋体" w:hAnsi="宋体" w:eastAsia="宋体" w:cs="宋体"/>
          <w:color w:val="000000" w:themeColor="text1"/>
          <w:sz w:val="21"/>
          <w:szCs w:val="21"/>
          <w:highlight w:val="none"/>
          <w:lang w:val="en-US" w:eastAsia="zh-CN"/>
          <w14:textFill>
            <w14:solidFill>
              <w14:schemeClr w14:val="tx1"/>
            </w14:solidFill>
          </w14:textFill>
        </w:rPr>
        <w:t>日</w:t>
      </w:r>
    </w:p>
    <w:p>
      <w:pPr>
        <w:pStyle w:val="10"/>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p>
    <w:p>
      <w:pPr>
        <w:pStyle w:val="10"/>
        <w:adjustRightInd/>
        <w:jc w:val="both"/>
        <w:outlineLvl w:val="1"/>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pPr>
      <w:r>
        <w:rPr>
          <w:rFonts w:hint="eastAsia" w:ascii="黑体" w:hAnsi="黑体" w:eastAsia="黑体" w:cstheme="minorBidi"/>
          <w:b/>
          <w:bCs/>
          <w:color w:val="000000" w:themeColor="text1"/>
          <w:kern w:val="2"/>
          <w:sz w:val="24"/>
          <w:szCs w:val="24"/>
          <w:highlight w:val="none"/>
          <w:lang w:val="en-US" w:eastAsia="zh-CN"/>
          <w14:textFill>
            <w14:solidFill>
              <w14:schemeClr w14:val="tx1"/>
            </w14:solidFill>
          </w14:textFill>
        </w:rPr>
        <w:t>5.8：证明材料</w:t>
      </w:r>
    </w:p>
    <w:p>
      <w:pPr>
        <w:pStyle w:val="2"/>
        <w:rPr>
          <w:rFonts w:hint="eastAsia" w:hAnsi="宋体" w:eastAsia="黑体"/>
          <w:b/>
          <w:bCs w:val="0"/>
          <w:sz w:val="21"/>
          <w:szCs w:val="21"/>
          <w:lang w:eastAsia="zh-CN"/>
        </w:rPr>
      </w:pPr>
    </w:p>
    <w:p>
      <w:pPr>
        <w:pStyle w:val="2"/>
        <w:ind w:left="0" w:leftChars="0" w:firstLine="0" w:firstLineChars="0"/>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业绩资料</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1、2023年1月1日至投标截止日（以合同签署时间为准）具有至少1个已完成的车辆维修或者监控维修服务验收业绩。  </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2、投标人须提交业绩表，并提交相关</w:t>
      </w:r>
      <w:bookmarkStart w:id="0" w:name="_GoBack"/>
      <w:bookmarkEnd w:id="0"/>
      <w:r>
        <w:rPr>
          <w:rFonts w:hint="default" w:ascii="Times New Roman" w:hAnsi="Times New Roman" w:eastAsia="宋体" w:cs="Times New Roman"/>
          <w:sz w:val="21"/>
          <w:szCs w:val="21"/>
        </w:rPr>
        <w:t xml:space="preserve">业绩证明文件。业绩证明文件包括：1）合同和2）服务验收证明材料。投标人所提交的业绩证明文件必须至少体现以下内容：合同签署时间、合同签署页（应有双方签署或盖章）、服务内容和有甲方签署或盖章的服务验收证明材料。 </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3、若业绩合同为年度协议/框架协议/费率合同，除提供年度协议/框架协议/费率合同外，还应提供相应的已完工订单，订单内容或编号应与年度协议/框架协议/费率合同相关联。同一个年度协议/框架协议/费率合同下提供1个或以上的订单及与订单对应的服务验收证明材料均算为1个有效业绩。 </w:t>
      </w: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4、未提交业绩证明文件，或通过所提供的业绩证明文件无法认定满足上述业绩要求的，均视为无效业绩。</w:t>
      </w:r>
    </w:p>
    <w:p>
      <w:pPr>
        <w:pStyle w:val="2"/>
        <w:rPr>
          <w:rFonts w:hint="default" w:ascii="Times New Roman" w:hAnsi="Times New Roman" w:eastAsia="宋体" w:cs="Times New Roman"/>
          <w:sz w:val="21"/>
          <w:szCs w:val="21"/>
        </w:rPr>
      </w:pPr>
    </w:p>
    <w:p>
      <w:pPr>
        <w:rPr>
          <w:rFonts w:hint="default" w:ascii="Times New Roman" w:hAnsi="Times New Roman" w:eastAsia="宋体" w:cs="Times New Roman"/>
          <w:sz w:val="21"/>
          <w:szCs w:val="21"/>
        </w:rPr>
      </w:pPr>
    </w:p>
    <w:p>
      <w:pPr>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 xml:space="preserve">员工缴纳社保人数不为0，可提供近三月连续社保证明； </w:t>
      </w: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中国海油不是</w:t>
      </w:r>
      <w:r>
        <w:rPr>
          <w:rFonts w:hint="eastAsia"/>
          <w:lang w:val="en-US" w:eastAsia="zh-CN"/>
        </w:rPr>
        <w:t>公</w:t>
      </w:r>
      <w:r>
        <w:rPr>
          <w:rFonts w:hint="default"/>
          <w:lang w:val="en-US" w:eastAsia="zh-CN"/>
        </w:rPr>
        <w:t>司唯一服务客户，</w:t>
      </w:r>
      <w:r>
        <w:rPr>
          <w:rFonts w:hint="eastAsia"/>
          <w:lang w:val="en-US" w:eastAsia="zh-CN"/>
        </w:rPr>
        <w:t>公</w:t>
      </w:r>
      <w:r>
        <w:rPr>
          <w:rFonts w:hint="default"/>
          <w:lang w:val="en-US" w:eastAsia="zh-CN"/>
        </w:rPr>
        <w:t>司具有中国海油外业绩，且为近三年内已完成业绩，并可提供原件合同及发票备查。</w:t>
      </w:r>
    </w:p>
    <w:p>
      <w:pPr>
        <w:pStyle w:val="2"/>
        <w:rPr>
          <w:rFonts w:hint="default"/>
          <w:lang w:val="en-US" w:eastAsia="zh-CN"/>
        </w:rPr>
      </w:pPr>
    </w:p>
    <w:p>
      <w:pPr>
        <w:rPr>
          <w:rFonts w:hint="default"/>
          <w:lang w:val="en-US" w:eastAsia="zh-CN"/>
        </w:rPr>
      </w:pPr>
    </w:p>
    <w:p>
      <w:pPr>
        <w:pStyle w:val="2"/>
        <w:ind w:left="0" w:leftChars="0" w:firstLine="0" w:firstLineChars="0"/>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CD20B2"/>
    <w:multiLevelType w:val="multilevel"/>
    <w:tmpl w:val="20CD20B2"/>
    <w:lvl w:ilvl="0" w:tentative="0">
      <w:start w:val="1"/>
      <w:numFmt w:val="decimal"/>
      <w:pStyle w:val="3"/>
      <w:lvlText w:val="%1"/>
      <w:lvlJc w:val="left"/>
      <w:pPr>
        <w:ind w:left="0" w:firstLine="0"/>
      </w:pPr>
      <w:rPr>
        <w:rFonts w:hint="default" w:ascii="Times New Roman" w:hAnsi="Times New Roman" w:eastAsia="黑体" w:cs="Times New Roman"/>
        <w:color w:val="000000"/>
      </w:rPr>
    </w:lvl>
    <w:lvl w:ilvl="1" w:tentative="0">
      <w:start w:val="1"/>
      <w:numFmt w:val="decimal"/>
      <w:lvlText w:val="%1.%2"/>
      <w:lvlJc w:val="left"/>
      <w:pPr>
        <w:ind w:left="-31" w:firstLine="315"/>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2" w:tentative="0">
      <w:start w:val="1"/>
      <w:numFmt w:val="decimal"/>
      <w:lvlText w:val="%1.%2.%3"/>
      <w:lvlJc w:val="left"/>
      <w:pPr>
        <w:ind w:left="-142" w:firstLine="0"/>
      </w:pPr>
      <w:rPr>
        <w:rFonts w:hint="default" w:ascii="Times New Roman" w:hAnsi="Times New Roman" w:eastAsia="黑体" w:cs="Times New Roman"/>
        <w:b w:val="0"/>
        <w:bCs w:val="0"/>
        <w:i w:val="0"/>
        <w:iCs w:val="0"/>
        <w:caps w:val="0"/>
        <w:smallCaps w:val="0"/>
        <w:strike w:val="0"/>
        <w:dstrike w:val="0"/>
        <w:snapToGrid w:val="0"/>
        <w:vanish w:val="0"/>
        <w:color w:val="000000"/>
        <w:spacing w:val="0"/>
        <w:w w:val="0"/>
        <w:kern w:val="0"/>
        <w:position w:val="0"/>
        <w:sz w:val="24"/>
        <w:szCs w:val="24"/>
        <w:u w:val="none" w:color="000000"/>
        <w:shd w:val="clear" w:color="000000" w:fill="000000"/>
        <w:vertAlign w:val="baseline"/>
        <w:lang w:val="zh-CN" w:eastAsia="zh-CN" w:bidi="zh-CN"/>
      </w:rPr>
    </w:lvl>
    <w:lvl w:ilvl="3" w:tentative="0">
      <w:start w:val="1"/>
      <w:numFmt w:val="decimal"/>
      <w:lvlText w:val="%1.%2.%3.%4."/>
      <w:lvlJc w:val="left"/>
      <w:pPr>
        <w:ind w:left="-37" w:firstLine="0"/>
      </w:pPr>
      <w:rPr>
        <w:rFonts w:hint="eastAsia" w:ascii="黑体" w:hAnsi="黑体" w:eastAsia="黑体"/>
      </w:rPr>
    </w:lvl>
    <w:lvl w:ilvl="4" w:tentative="0">
      <w:start w:val="1"/>
      <w:numFmt w:val="decimal"/>
      <w:lvlText w:val="%1.%2.%3.%4.%5."/>
      <w:lvlJc w:val="left"/>
      <w:pPr>
        <w:ind w:left="-142" w:firstLine="0"/>
      </w:pPr>
      <w:rPr>
        <w:rFonts w:hint="eastAsia"/>
      </w:rPr>
    </w:lvl>
    <w:lvl w:ilvl="5" w:tentative="0">
      <w:start w:val="1"/>
      <w:numFmt w:val="decimal"/>
      <w:lvlText w:val="%1.%2.%3.%4.%5.%6."/>
      <w:lvlJc w:val="left"/>
      <w:pPr>
        <w:ind w:left="-142" w:firstLine="0"/>
      </w:pPr>
      <w:rPr>
        <w:rFonts w:hint="eastAsia"/>
      </w:rPr>
    </w:lvl>
    <w:lvl w:ilvl="6" w:tentative="0">
      <w:start w:val="1"/>
      <w:numFmt w:val="decimal"/>
      <w:lvlText w:val="%1.%2.%3.%4.%5.%6.%7."/>
      <w:lvlJc w:val="left"/>
      <w:pPr>
        <w:ind w:left="-142" w:firstLine="0"/>
      </w:pPr>
      <w:rPr>
        <w:rFonts w:hint="eastAsia"/>
      </w:rPr>
    </w:lvl>
    <w:lvl w:ilvl="7" w:tentative="0">
      <w:start w:val="1"/>
      <w:numFmt w:val="decimal"/>
      <w:lvlText w:val="%1.%2.%3.%4.%5.%6.%7.%8."/>
      <w:lvlJc w:val="left"/>
      <w:pPr>
        <w:ind w:left="-142" w:firstLine="0"/>
      </w:pPr>
      <w:rPr>
        <w:rFonts w:hint="eastAsia"/>
      </w:rPr>
    </w:lvl>
    <w:lvl w:ilvl="8" w:tentative="0">
      <w:start w:val="1"/>
      <w:numFmt w:val="decimal"/>
      <w:lvlText w:val="%1.%2.%3.%4.%5.%6.%7.%8.%9."/>
      <w:lvlJc w:val="left"/>
      <w:pPr>
        <w:ind w:left="-142"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40DDA"/>
    <w:rsid w:val="02EF5E6A"/>
    <w:rsid w:val="0310721B"/>
    <w:rsid w:val="039160D5"/>
    <w:rsid w:val="042D6CDF"/>
    <w:rsid w:val="04B56771"/>
    <w:rsid w:val="056E00BE"/>
    <w:rsid w:val="06797785"/>
    <w:rsid w:val="06EB7286"/>
    <w:rsid w:val="070F7971"/>
    <w:rsid w:val="076723F2"/>
    <w:rsid w:val="0838230D"/>
    <w:rsid w:val="08B40E0C"/>
    <w:rsid w:val="09991FC5"/>
    <w:rsid w:val="0B244B23"/>
    <w:rsid w:val="0D3760D0"/>
    <w:rsid w:val="0F4C7B72"/>
    <w:rsid w:val="0FA51344"/>
    <w:rsid w:val="100F707A"/>
    <w:rsid w:val="11A616C6"/>
    <w:rsid w:val="11E95803"/>
    <w:rsid w:val="12041F9A"/>
    <w:rsid w:val="12584A32"/>
    <w:rsid w:val="1322323A"/>
    <w:rsid w:val="138D5716"/>
    <w:rsid w:val="13937DE7"/>
    <w:rsid w:val="13AB5BF4"/>
    <w:rsid w:val="13FA1CEA"/>
    <w:rsid w:val="17764669"/>
    <w:rsid w:val="182D393D"/>
    <w:rsid w:val="18A274A7"/>
    <w:rsid w:val="1ACB19BF"/>
    <w:rsid w:val="1B7E4952"/>
    <w:rsid w:val="1BDA4588"/>
    <w:rsid w:val="1BE87151"/>
    <w:rsid w:val="1C9C1105"/>
    <w:rsid w:val="1CCB71BE"/>
    <w:rsid w:val="1D623620"/>
    <w:rsid w:val="1F090EAC"/>
    <w:rsid w:val="220622F0"/>
    <w:rsid w:val="246F7569"/>
    <w:rsid w:val="25402978"/>
    <w:rsid w:val="262A7B0D"/>
    <w:rsid w:val="26755F61"/>
    <w:rsid w:val="27BF0471"/>
    <w:rsid w:val="28BB3DF8"/>
    <w:rsid w:val="29090331"/>
    <w:rsid w:val="29257AEA"/>
    <w:rsid w:val="2A00239E"/>
    <w:rsid w:val="2BCA72F7"/>
    <w:rsid w:val="2E1C18A3"/>
    <w:rsid w:val="2F351E80"/>
    <w:rsid w:val="3056073D"/>
    <w:rsid w:val="30EA3DB4"/>
    <w:rsid w:val="31571D54"/>
    <w:rsid w:val="31B31EF2"/>
    <w:rsid w:val="33940DDA"/>
    <w:rsid w:val="33A55044"/>
    <w:rsid w:val="356A3389"/>
    <w:rsid w:val="3715712E"/>
    <w:rsid w:val="374A4EDD"/>
    <w:rsid w:val="379C1A54"/>
    <w:rsid w:val="37AB17F6"/>
    <w:rsid w:val="3A84620E"/>
    <w:rsid w:val="3AA2099B"/>
    <w:rsid w:val="3AE0365F"/>
    <w:rsid w:val="3B631268"/>
    <w:rsid w:val="3D7078F4"/>
    <w:rsid w:val="3E486A63"/>
    <w:rsid w:val="3EC02EA1"/>
    <w:rsid w:val="3FA85D61"/>
    <w:rsid w:val="4143267B"/>
    <w:rsid w:val="42A57837"/>
    <w:rsid w:val="42FA4677"/>
    <w:rsid w:val="43F777EE"/>
    <w:rsid w:val="444A39A5"/>
    <w:rsid w:val="46BC369C"/>
    <w:rsid w:val="46F9595E"/>
    <w:rsid w:val="470C3097"/>
    <w:rsid w:val="478A163A"/>
    <w:rsid w:val="47AC7CAC"/>
    <w:rsid w:val="4852781F"/>
    <w:rsid w:val="48707448"/>
    <w:rsid w:val="4883212D"/>
    <w:rsid w:val="4AC03DC8"/>
    <w:rsid w:val="4C3A4ABA"/>
    <w:rsid w:val="4C8A3BDB"/>
    <w:rsid w:val="4CAE6375"/>
    <w:rsid w:val="4D9B3603"/>
    <w:rsid w:val="4DAB12AA"/>
    <w:rsid w:val="4F3437BA"/>
    <w:rsid w:val="50894E4B"/>
    <w:rsid w:val="52061576"/>
    <w:rsid w:val="52C74F9B"/>
    <w:rsid w:val="537B7254"/>
    <w:rsid w:val="53AF6941"/>
    <w:rsid w:val="54475749"/>
    <w:rsid w:val="5473009A"/>
    <w:rsid w:val="55614DF3"/>
    <w:rsid w:val="55A374E3"/>
    <w:rsid w:val="56CB2398"/>
    <w:rsid w:val="5A592F28"/>
    <w:rsid w:val="5C7E3178"/>
    <w:rsid w:val="5E14403D"/>
    <w:rsid w:val="5E4B1665"/>
    <w:rsid w:val="60F608B4"/>
    <w:rsid w:val="63F50FEA"/>
    <w:rsid w:val="640D4D41"/>
    <w:rsid w:val="643861F8"/>
    <w:rsid w:val="64D02B43"/>
    <w:rsid w:val="65874A3F"/>
    <w:rsid w:val="65AC434E"/>
    <w:rsid w:val="66F060B5"/>
    <w:rsid w:val="67472326"/>
    <w:rsid w:val="675E6495"/>
    <w:rsid w:val="690F28BC"/>
    <w:rsid w:val="698A6FB3"/>
    <w:rsid w:val="6B224886"/>
    <w:rsid w:val="6BB02B14"/>
    <w:rsid w:val="6BBA5DF5"/>
    <w:rsid w:val="6C1443C6"/>
    <w:rsid w:val="6D162D88"/>
    <w:rsid w:val="6EF37E9B"/>
    <w:rsid w:val="703F7E05"/>
    <w:rsid w:val="713A6A44"/>
    <w:rsid w:val="71517ABC"/>
    <w:rsid w:val="71643B0A"/>
    <w:rsid w:val="72224068"/>
    <w:rsid w:val="73D413B4"/>
    <w:rsid w:val="748F6BA3"/>
    <w:rsid w:val="74D74B52"/>
    <w:rsid w:val="76FA4C42"/>
    <w:rsid w:val="775B291C"/>
    <w:rsid w:val="79E142CC"/>
    <w:rsid w:val="7B58139B"/>
    <w:rsid w:val="7BC66069"/>
    <w:rsid w:val="7BE04AE2"/>
    <w:rsid w:val="7CA20A93"/>
    <w:rsid w:val="7E121AD5"/>
    <w:rsid w:val="7EB81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widowControl w:val="0"/>
      <w:numPr>
        <w:ilvl w:val="0"/>
        <w:numId w:val="1"/>
      </w:numPr>
      <w:spacing w:line="360" w:lineRule="auto"/>
      <w:outlineLvl w:val="0"/>
    </w:pPr>
    <w:rPr>
      <w:rFonts w:ascii="Times New Roman" w:hAnsi="Times New Roman" w:eastAsia="黑体" w:cs="Times New Roman"/>
      <w:bCs/>
      <w:kern w:val="44"/>
      <w:szCs w:val="44"/>
      <w:lang w:val="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rPr>
      <w:rFonts w:ascii="Times New Roman" w:hAnsi="Times New Roman"/>
      <w:szCs w:val="24"/>
    </w:rPr>
  </w:style>
  <w:style w:type="paragraph" w:styleId="4">
    <w:name w:val="annotation text"/>
    <w:basedOn w:val="1"/>
    <w:unhideWhenUsed/>
    <w:qFormat/>
    <w:uiPriority w:val="99"/>
    <w:pPr>
      <w:jc w:val="left"/>
    </w:pPr>
  </w:style>
  <w:style w:type="paragraph" w:styleId="5">
    <w:name w:val="Body Text"/>
    <w:basedOn w:val="1"/>
    <w:next w:val="1"/>
    <w:qFormat/>
    <w:uiPriority w:val="1"/>
    <w:pPr>
      <w:spacing w:before="36"/>
      <w:ind w:left="780"/>
      <w:jc w:val="left"/>
    </w:pPr>
    <w:rPr>
      <w:rFonts w:ascii="宋体" w:hAnsi="宋体" w:eastAsia="宋体"/>
      <w:kern w:val="0"/>
      <w:szCs w:val="21"/>
      <w:lang w:eastAsia="en-US"/>
    </w:rPr>
  </w:style>
  <w:style w:type="paragraph" w:styleId="6">
    <w:name w:val="footer"/>
    <w:basedOn w:val="1"/>
    <w:next w:val="2"/>
    <w:unhideWhenUsed/>
    <w:qFormat/>
    <w:uiPriority w:val="99"/>
    <w:pPr>
      <w:tabs>
        <w:tab w:val="center" w:pos="4153"/>
        <w:tab w:val="right" w:pos="8306"/>
      </w:tabs>
      <w:snapToGrid w:val="0"/>
      <w:jc w:val="left"/>
    </w:pPr>
    <w:rPr>
      <w:sz w:val="18"/>
      <w:szCs w:val="18"/>
    </w:rPr>
  </w:style>
  <w:style w:type="paragraph" w:customStyle="1" w:styleId="9">
    <w:name w:val="Table Paragraph"/>
    <w:basedOn w:val="1"/>
    <w:qFormat/>
    <w:uiPriority w:val="0"/>
    <w:pPr>
      <w:jc w:val="left"/>
    </w:pPr>
    <w:rPr>
      <w:kern w:val="0"/>
      <w:sz w:val="22"/>
      <w:lang w:eastAsia="en-US"/>
    </w:rPr>
  </w:style>
  <w:style w:type="paragraph" w:customStyle="1" w:styleId="10">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2025-12-30T02:39:00Z</dcterms:created>
  <dc:creator>安全锋</dc:creator>
  <cp:lastModifiedBy>安全锋</cp:lastModifiedBy>
  <dcterms:modified xsi:type="dcterms:W3CDTF">2026-06-10T03:16:52Z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DF07F62550D146A29610E01D7F0722BF</vt:lpwstr>
  </property>
</Properties>
</file>