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rPr>
          <w:rFonts w:hint="eastAsia" w:ascii="黑体" w:hAnsi="黑体" w:eastAsia="黑体" w:cs="黑体"/>
          <w:b/>
          <w:bCs/>
          <w:spacing w:val="0"/>
          <w:kern w:val="0"/>
          <w:sz w:val="28"/>
          <w:szCs w:val="28"/>
          <w:highlight w:val="none"/>
          <w:lang w:val="en-US" w:eastAsia="en-US" w:bidi="ar-SA"/>
        </w:rPr>
      </w:pPr>
      <w:bookmarkStart w:id="0" w:name="_Toc13248927"/>
      <w:bookmarkStart w:id="1" w:name="_Toc13249324"/>
      <w:r>
        <w:rPr>
          <w:rFonts w:hint="eastAsia" w:ascii="黑体" w:hAnsi="黑体" w:eastAsia="黑体" w:cs="黑体"/>
          <w:b/>
          <w:bCs/>
          <w:spacing w:val="0"/>
          <w:kern w:val="0"/>
          <w:sz w:val="28"/>
          <w:szCs w:val="28"/>
          <w:highlight w:val="none"/>
          <w:lang w:val="en-US" w:eastAsia="en-US" w:bidi="ar-SA"/>
        </w:rPr>
        <w:t>一、</w:t>
      </w:r>
      <w:bookmarkEnd w:id="0"/>
      <w:bookmarkEnd w:id="1"/>
      <w:r>
        <w:rPr>
          <w:rFonts w:hint="eastAsia" w:ascii="黑体" w:hAnsi="黑体" w:eastAsia="黑体" w:cs="黑体"/>
          <w:b/>
          <w:bCs/>
          <w:spacing w:val="0"/>
          <w:kern w:val="0"/>
          <w:sz w:val="28"/>
          <w:szCs w:val="28"/>
          <w:highlight w:val="none"/>
          <w:lang w:val="en-US" w:eastAsia="zh-CN" w:bidi="ar-SA"/>
        </w:rPr>
        <w:t>项目概况及总体要求</w:t>
      </w:r>
    </w:p>
    <w:p>
      <w:pPr>
        <w:widowControl/>
        <w:numPr>
          <w:ilvl w:val="0"/>
          <w:numId w:val="0"/>
        </w:numPr>
        <w:overflowPunct w:val="0"/>
        <w:autoSpaceDE w:val="0"/>
        <w:autoSpaceDN w:val="0"/>
        <w:adjustRightInd w:val="0"/>
        <w:spacing w:line="360" w:lineRule="auto"/>
        <w:ind w:leftChars="0" w:right="122" w:rightChars="0" w:firstLine="560" w:firstLineChars="200"/>
        <w:textAlignment w:val="baseline"/>
        <w:rPr>
          <w:rFonts w:hint="eastAsia" w:ascii="仿宋" w:hAnsi="仿宋" w:eastAsia="仿宋" w:cs="仿宋"/>
          <w:sz w:val="28"/>
          <w:szCs w:val="28"/>
          <w:highlight w:val="none"/>
          <w:lang w:val="en-US" w:eastAsia="zh-CN" w:bidi="ar-SA"/>
        </w:rPr>
      </w:pPr>
      <w:bookmarkStart w:id="2" w:name="_Toc13249325"/>
      <w:bookmarkStart w:id="3" w:name="_Toc13248928"/>
      <w:r>
        <w:rPr>
          <w:rFonts w:hint="eastAsia" w:ascii="仿宋" w:hAnsi="仿宋" w:eastAsia="仿宋" w:cs="仿宋"/>
          <w:sz w:val="28"/>
          <w:szCs w:val="28"/>
          <w:highlight w:val="none"/>
          <w:lang w:val="en-US" w:eastAsia="zh-CN" w:bidi="ar-SA"/>
        </w:rPr>
        <w:t>1.1项目概况：物流湛江南海西部油田港口码头配套设施泥浆中心新建项目位于湛江市坡头区南调街道中海油物流湛江公司码头区域现有泥浆站的北侧。项目总用地面积为5193平方米，主要建设内容包括一座泥浆库房，一个综合储罐区土建工程，配浆罐遮雨棚，固控重晶石回收区遮雨棚，污水暂存池及配套的道路等。泥浆中心由中海油田服务股份有限公司油田化学事业部投资建设有15个立式储罐，其中包括11个泥浆储罐、1个白油储罐和3个配浆罐，总储存能力为2340立方米。本项目主要功能是为中海石油（中国）有限公司湛江分公司海上钻井作业提供配制、储存、回收处理钻完井液，属于海上作业配套设施。根据《建设项目安全设施“三同时”监督管理办法》要求，现需委托专业机构对泥浆中心开展项目竣工安全验收评价。</w:t>
      </w:r>
    </w:p>
    <w:p>
      <w:pPr>
        <w:widowControl/>
        <w:numPr>
          <w:ilvl w:val="0"/>
          <w:numId w:val="0"/>
        </w:numPr>
        <w:overflowPunct w:val="0"/>
        <w:autoSpaceDE w:val="0"/>
        <w:autoSpaceDN w:val="0"/>
        <w:adjustRightInd w:val="0"/>
        <w:spacing w:line="360" w:lineRule="auto"/>
        <w:ind w:leftChars="0" w:right="122" w:rightChars="0" w:firstLine="560" w:firstLineChars="200"/>
        <w:textAlignment w:val="baseline"/>
        <w:rPr>
          <w:rFonts w:hint="eastAsia"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1.2总体要求：乙方根据国家及行业规范为甲方提供安全验收评价技术服务，完成甲方指定项目规定的全部工作，出具安全验收评价报告，并向安全生产监督管理部门提供验收评价报告取得地方应急管理局的审查意见或备案（或效力视同备案，如形成书面报告备查）。乙方提供的评价服务、出具的报告、协助甲方完成的评审、备案程序等应符合现行的国家法律法规、标准以及当地政府部门的要求。</w:t>
      </w:r>
    </w:p>
    <w:p>
      <w:pPr>
        <w:widowControl/>
        <w:numPr>
          <w:ilvl w:val="0"/>
          <w:numId w:val="0"/>
        </w:numPr>
        <w:overflowPunct w:val="0"/>
        <w:autoSpaceDE w:val="0"/>
        <w:autoSpaceDN w:val="0"/>
        <w:adjustRightInd w:val="0"/>
        <w:spacing w:line="360" w:lineRule="auto"/>
        <w:ind w:leftChars="0" w:right="122" w:rightChars="0" w:firstLine="560" w:firstLineChars="200"/>
        <w:textAlignment w:val="baseline"/>
        <w:rPr>
          <w:rFonts w:hint="default"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本需求部分引用《</w:t>
      </w:r>
      <w:r>
        <w:rPr>
          <w:rFonts w:hint="default" w:ascii="仿宋" w:hAnsi="仿宋" w:eastAsia="仿宋" w:cs="仿宋"/>
          <w:sz w:val="28"/>
          <w:szCs w:val="28"/>
          <w:highlight w:val="none"/>
          <w:lang w:val="en-US" w:eastAsia="zh-CN" w:bidi="ar-SA"/>
        </w:rPr>
        <w:t>中华人民共和国安全生产法</w:t>
      </w:r>
      <w:r>
        <w:rPr>
          <w:rFonts w:hint="eastAsia" w:ascii="仿宋" w:hAnsi="仿宋" w:eastAsia="仿宋" w:cs="仿宋"/>
          <w:sz w:val="28"/>
          <w:szCs w:val="28"/>
          <w:highlight w:val="none"/>
          <w:lang w:val="en-US" w:eastAsia="zh-CN" w:bidi="ar-SA"/>
        </w:rPr>
        <w:t>》（2021年修正版）、《</w:t>
      </w:r>
      <w:r>
        <w:rPr>
          <w:rFonts w:hint="default" w:ascii="仿宋" w:hAnsi="仿宋" w:eastAsia="仿宋" w:cs="仿宋"/>
          <w:sz w:val="28"/>
          <w:szCs w:val="28"/>
          <w:highlight w:val="none"/>
          <w:lang w:val="en-US" w:eastAsia="zh-CN" w:bidi="ar-SA"/>
        </w:rPr>
        <w:t>建设项目安全设施“三同时”监督管理办法</w:t>
      </w:r>
      <w:r>
        <w:rPr>
          <w:rFonts w:hint="eastAsia" w:ascii="仿宋" w:hAnsi="仿宋" w:eastAsia="仿宋" w:cs="仿宋"/>
          <w:sz w:val="28"/>
          <w:szCs w:val="28"/>
          <w:highlight w:val="none"/>
          <w:lang w:val="en-US" w:eastAsia="zh-CN" w:bidi="ar-SA"/>
        </w:rPr>
        <w:t>》</w:t>
      </w:r>
      <w:r>
        <w:rPr>
          <w:rFonts w:hint="default" w:ascii="仿宋" w:hAnsi="仿宋" w:eastAsia="仿宋" w:cs="仿宋"/>
          <w:sz w:val="28"/>
          <w:szCs w:val="28"/>
          <w:highlight w:val="none"/>
          <w:lang w:val="en-US" w:eastAsia="zh-CN" w:bidi="ar-SA"/>
        </w:rPr>
        <w:t>（总局令 第77号 修正）</w:t>
      </w:r>
      <w:r>
        <w:rPr>
          <w:rFonts w:hint="eastAsia" w:ascii="仿宋" w:hAnsi="仿宋" w:eastAsia="仿宋" w:cs="仿宋"/>
          <w:sz w:val="28"/>
          <w:szCs w:val="28"/>
          <w:highlight w:val="none"/>
          <w:lang w:val="en-US" w:eastAsia="zh-CN" w:bidi="ar-SA"/>
        </w:rPr>
        <w:t>。</w:t>
      </w:r>
    </w:p>
    <w:bookmarkEnd w:id="2"/>
    <w:bookmarkEnd w:id="3"/>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二、服务内容和范围</w:t>
      </w:r>
    </w:p>
    <w:p>
      <w:pPr>
        <w:widowControl w:val="0"/>
        <w:spacing w:line="360" w:lineRule="auto"/>
        <w:ind w:left="0" w:leftChars="0" w:right="121" w:rightChars="55" w:firstLine="560" w:firstLineChars="200"/>
        <w:rPr>
          <w:rFonts w:hint="default" w:ascii="仿宋" w:hAnsi="仿宋" w:eastAsia="仿宋" w:cs="仿宋"/>
          <w:snapToGrid/>
          <w:kern w:val="0"/>
          <w:sz w:val="28"/>
          <w:szCs w:val="28"/>
          <w:highlight w:val="none"/>
          <w:lang w:val="en-US" w:eastAsia="zh-CN" w:bidi="ar"/>
        </w:rPr>
      </w:pPr>
      <w:r>
        <w:rPr>
          <w:rFonts w:hint="eastAsia" w:ascii="仿宋" w:hAnsi="仿宋" w:eastAsia="仿宋" w:cs="仿宋"/>
          <w:snapToGrid/>
          <w:kern w:val="0"/>
          <w:sz w:val="28"/>
          <w:szCs w:val="28"/>
          <w:highlight w:val="none"/>
          <w:lang w:val="en-US" w:eastAsia="zh-CN" w:bidi="ar"/>
        </w:rPr>
        <w:t>2.1 服务内容：泥浆中心项目</w:t>
      </w:r>
      <w:r>
        <w:rPr>
          <w:rFonts w:hint="eastAsia" w:ascii="仿宋" w:hAnsi="仿宋" w:eastAsia="仿宋" w:cs="仿宋"/>
          <w:sz w:val="28"/>
          <w:szCs w:val="28"/>
          <w:highlight w:val="none"/>
          <w:lang w:val="en-US" w:eastAsia="zh-CN" w:bidi="ar-SA"/>
        </w:rPr>
        <w:t>安全验收评价</w:t>
      </w:r>
      <w:r>
        <w:rPr>
          <w:rFonts w:hint="eastAsia" w:ascii="仿宋" w:hAnsi="仿宋" w:eastAsia="仿宋" w:cs="仿宋"/>
          <w:snapToGrid/>
          <w:kern w:val="0"/>
          <w:sz w:val="28"/>
          <w:szCs w:val="28"/>
          <w:highlight w:val="none"/>
          <w:lang w:val="en-US" w:eastAsia="zh-CN" w:bidi="ar"/>
        </w:rPr>
        <w:t>服务</w:t>
      </w:r>
    </w:p>
    <w:p>
      <w:pPr>
        <w:widowControl w:val="0"/>
        <w:spacing w:line="360" w:lineRule="auto"/>
        <w:ind w:left="0" w:leftChars="0" w:right="121" w:rightChars="55" w:firstLine="560" w:firstLineChars="200"/>
        <w:rPr>
          <w:rFonts w:hint="eastAsia" w:ascii="仿宋" w:hAnsi="仿宋" w:eastAsia="仿宋" w:cs="仿宋"/>
          <w:snapToGrid/>
          <w:kern w:val="0"/>
          <w:sz w:val="28"/>
          <w:szCs w:val="28"/>
          <w:highlight w:val="none"/>
          <w:lang w:val="en-US" w:eastAsia="zh-CN" w:bidi="ar"/>
        </w:rPr>
      </w:pPr>
      <w:r>
        <w:rPr>
          <w:rFonts w:hint="eastAsia" w:ascii="仿宋" w:hAnsi="仿宋" w:eastAsia="仿宋" w:cs="仿宋"/>
          <w:snapToGrid/>
          <w:kern w:val="0"/>
          <w:sz w:val="28"/>
          <w:szCs w:val="28"/>
          <w:highlight w:val="none"/>
          <w:lang w:val="en-US" w:eastAsia="zh-CN" w:bidi="ar"/>
        </w:rPr>
        <w:t>根</w:t>
      </w:r>
      <w:r>
        <w:rPr>
          <w:rFonts w:hint="eastAsia" w:ascii="仿宋" w:hAnsi="仿宋" w:eastAsia="仿宋" w:cs="仿宋"/>
          <w:sz w:val="28"/>
          <w:szCs w:val="28"/>
          <w:highlight w:val="none"/>
          <w:lang w:val="en-US" w:eastAsia="zh-CN" w:bidi="ar-SA"/>
        </w:rPr>
        <w:t>据《</w:t>
      </w:r>
      <w:r>
        <w:rPr>
          <w:rFonts w:hint="default" w:ascii="仿宋" w:hAnsi="仿宋" w:eastAsia="仿宋" w:cs="仿宋"/>
          <w:sz w:val="28"/>
          <w:szCs w:val="28"/>
          <w:highlight w:val="none"/>
          <w:lang w:val="en-US" w:eastAsia="zh-CN" w:bidi="ar-SA"/>
        </w:rPr>
        <w:t>中华人民共和国安全生产法</w:t>
      </w:r>
      <w:r>
        <w:rPr>
          <w:rFonts w:hint="eastAsia" w:ascii="仿宋" w:hAnsi="仿宋" w:eastAsia="仿宋" w:cs="仿宋"/>
          <w:sz w:val="28"/>
          <w:szCs w:val="28"/>
          <w:highlight w:val="none"/>
          <w:lang w:val="en-US" w:eastAsia="zh-CN" w:bidi="ar-SA"/>
        </w:rPr>
        <w:t>》、《</w:t>
      </w:r>
      <w:r>
        <w:rPr>
          <w:rFonts w:hint="default" w:ascii="仿宋" w:hAnsi="仿宋" w:eastAsia="仿宋" w:cs="仿宋"/>
          <w:color w:val="auto"/>
          <w:sz w:val="28"/>
          <w:szCs w:val="28"/>
          <w:highlight w:val="none"/>
          <w:shd w:val="clear" w:color="auto" w:fill="auto"/>
          <w:lang w:val="en-US" w:eastAsia="zh-CN" w:bidi="ar"/>
        </w:rPr>
        <w:t>建设项目安全设施“三同时”监督管理办</w:t>
      </w:r>
      <w:r>
        <w:rPr>
          <w:rFonts w:hint="default" w:ascii="仿宋" w:hAnsi="仿宋" w:eastAsia="仿宋" w:cs="仿宋"/>
          <w:sz w:val="28"/>
          <w:szCs w:val="28"/>
          <w:highlight w:val="none"/>
          <w:lang w:val="en-US" w:eastAsia="zh-CN" w:bidi="ar-SA"/>
        </w:rPr>
        <w:t>法</w:t>
      </w:r>
      <w:r>
        <w:rPr>
          <w:rFonts w:hint="eastAsia" w:ascii="仿宋" w:hAnsi="仿宋" w:eastAsia="仿宋" w:cs="仿宋"/>
          <w:sz w:val="28"/>
          <w:szCs w:val="28"/>
          <w:highlight w:val="none"/>
          <w:lang w:val="en-US" w:eastAsia="zh-CN" w:bidi="ar-SA"/>
        </w:rPr>
        <w:t>》，结合泥浆中心项目现场情况，乙方负责为甲方提供安全验收评价工作，完成甲方指定项目规定的全部工作，并取得政府行政主管部门的批复或备案等（或效力视同备案，如形成书面报告备查）</w:t>
      </w:r>
      <w:r>
        <w:rPr>
          <w:rFonts w:hint="eastAsia" w:ascii="仿宋" w:hAnsi="仿宋" w:eastAsia="仿宋" w:cs="仿宋"/>
          <w:snapToGrid/>
          <w:kern w:val="0"/>
          <w:sz w:val="28"/>
          <w:szCs w:val="28"/>
          <w:highlight w:val="none"/>
          <w:lang w:val="en-US" w:eastAsia="zh-CN" w:bidi="ar"/>
        </w:rPr>
        <w:t>。</w:t>
      </w:r>
    </w:p>
    <w:p>
      <w:pPr>
        <w:widowControl w:val="0"/>
        <w:spacing w:line="360" w:lineRule="auto"/>
        <w:ind w:left="0" w:leftChars="0" w:right="121" w:rightChars="55" w:firstLine="560" w:firstLineChars="200"/>
        <w:rPr>
          <w:rFonts w:hint="default"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2.2 工作量清单：</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bookmarkStart w:id="4" w:name="_Toc13249326"/>
      <w:bookmarkStart w:id="5" w:name="_Toc13248929"/>
      <w:r>
        <w:rPr>
          <w:rFonts w:hint="eastAsia" w:ascii="仿宋" w:hAnsi="仿宋" w:eastAsia="仿宋" w:cs="仿宋"/>
          <w:color w:val="auto"/>
          <w:sz w:val="28"/>
          <w:szCs w:val="28"/>
          <w:highlight w:val="none"/>
          <w:shd w:val="clear" w:color="auto" w:fill="auto"/>
          <w:lang w:val="en-US" w:eastAsia="zh-CN" w:bidi="ar-SA"/>
        </w:rPr>
        <w:t xml:space="preserve">负责项目安全设施设计专篇审查、安全验收评价：进行资料收集，负责按《建设项目安全设施“三同时”监督管理办法》规定要求组织专家审查安全设施设计专篇，形成书面审查报告；完成安全验收评价报告编制，按政府主管部门要求和相关规定组织召开专家评审，根据专家意见进行报告的完善修改，并通过专家评审会；负责完成安全验收评价报告审批、报批工作，并取得政府部门的批复意见或备案（或效力视同备案，如形成书面报告备查）。    </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2.3 服务地点：广东省湛江市坡头区南调路以南（南油一区）南油基地。</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2.4 服务时间：自合同签订之日起并收到甲方通知后45个工作日内完成</w:t>
      </w:r>
      <w:r>
        <w:rPr>
          <w:rFonts w:hint="eastAsia" w:ascii="仿宋" w:hAnsi="仿宋" w:eastAsia="仿宋" w:cs="仿宋"/>
          <w:sz w:val="28"/>
          <w:szCs w:val="28"/>
          <w:highlight w:val="none"/>
          <w:lang w:val="en-US" w:eastAsia="zh-CN" w:bidi="ar-SA"/>
        </w:rPr>
        <w:t>安全验收评价报告编制和专家审查工作，15个工作日内通过政府主管部门的确认和批复（</w:t>
      </w:r>
      <w:r>
        <w:rPr>
          <w:rFonts w:hint="eastAsia" w:ascii="仿宋" w:hAnsi="仿宋" w:eastAsia="仿宋" w:cs="仿宋"/>
          <w:b w:val="0"/>
          <w:bCs w:val="0"/>
          <w:kern w:val="0"/>
          <w:sz w:val="28"/>
          <w:szCs w:val="28"/>
          <w:highlight w:val="none"/>
          <w:lang w:val="en-US" w:eastAsia="zh-CN" w:bidi="ar-SA"/>
        </w:rPr>
        <w:t>或效力视同备案</w:t>
      </w:r>
      <w:r>
        <w:rPr>
          <w:rFonts w:hint="eastAsia" w:ascii="仿宋" w:hAnsi="仿宋" w:eastAsia="仿宋" w:cs="仿宋"/>
          <w:sz w:val="28"/>
          <w:szCs w:val="28"/>
          <w:highlight w:val="none"/>
          <w:lang w:val="en-US" w:eastAsia="zh-CN" w:bidi="ar-SA"/>
        </w:rPr>
        <w:t>）</w:t>
      </w:r>
      <w:r>
        <w:rPr>
          <w:rFonts w:hint="eastAsia" w:ascii="仿宋" w:hAnsi="仿宋" w:eastAsia="仿宋" w:cs="仿宋"/>
          <w:color w:val="auto"/>
          <w:sz w:val="28"/>
          <w:szCs w:val="28"/>
          <w:highlight w:val="none"/>
          <w:shd w:val="clear" w:color="auto" w:fill="auto"/>
          <w:lang w:val="en-US" w:eastAsia="zh-CN" w:bidi="ar-SA"/>
        </w:rPr>
        <w:t>。</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三、执行标准/规范</w:t>
      </w:r>
    </w:p>
    <w:p>
      <w:pPr>
        <w:keepNext w:val="0"/>
        <w:keepLines w:val="0"/>
        <w:pageBreakBefore w:val="0"/>
        <w:widowControl/>
        <w:numPr>
          <w:ilvl w:val="0"/>
          <w:numId w:val="0"/>
        </w:numPr>
        <w:kinsoku/>
        <w:wordWrap/>
        <w:overflowPunct w:val="0"/>
        <w:topLinePunct w:val="0"/>
        <w:autoSpaceDE w:val="0"/>
        <w:autoSpaceDN w:val="0"/>
        <w:bidi w:val="0"/>
        <w:adjustRightInd w:val="0"/>
        <w:snapToGrid/>
        <w:spacing w:line="360" w:lineRule="auto"/>
        <w:ind w:right="125" w:rightChars="0" w:firstLine="560" w:firstLineChars="200"/>
        <w:textAlignment w:val="baseline"/>
        <w:rPr>
          <w:rFonts w:hint="eastAsia" w:ascii="仿宋" w:hAnsi="仿宋" w:eastAsia="仿宋" w:cs="仿宋"/>
          <w:color w:val="auto"/>
          <w:sz w:val="28"/>
          <w:szCs w:val="28"/>
          <w:highlight w:val="none"/>
          <w:shd w:val="clear" w:color="auto" w:fill="auto"/>
          <w:lang w:val="en-US" w:eastAsia="zh-CN" w:bidi="ar"/>
        </w:rPr>
      </w:pPr>
      <w:r>
        <w:rPr>
          <w:rFonts w:hint="eastAsia" w:ascii="仿宋" w:hAnsi="仿宋" w:eastAsia="仿宋" w:cs="仿宋"/>
          <w:color w:val="auto"/>
          <w:sz w:val="28"/>
          <w:szCs w:val="28"/>
          <w:highlight w:val="none"/>
          <w:shd w:val="clear" w:color="auto" w:fill="auto"/>
          <w:lang w:val="en-US" w:eastAsia="zh-CN" w:bidi="ar"/>
        </w:rPr>
        <w:t>该服务项目应用或执行的标准或规范，应为国家及行业相关法规、标准，包括不限于以下内容：</w:t>
      </w:r>
    </w:p>
    <w:p>
      <w:pPr>
        <w:keepNext w:val="0"/>
        <w:keepLines w:val="0"/>
        <w:pageBreakBefore w:val="0"/>
        <w:widowControl/>
        <w:numPr>
          <w:ilvl w:val="0"/>
          <w:numId w:val="0"/>
        </w:numPr>
        <w:kinsoku/>
        <w:wordWrap/>
        <w:overflowPunct w:val="0"/>
        <w:topLinePunct w:val="0"/>
        <w:autoSpaceDE w:val="0"/>
        <w:autoSpaceDN w:val="0"/>
        <w:bidi w:val="0"/>
        <w:adjustRightInd w:val="0"/>
        <w:snapToGrid/>
        <w:spacing w:line="360" w:lineRule="auto"/>
        <w:ind w:right="125" w:rightChars="0" w:firstLine="560" w:firstLineChars="200"/>
        <w:textAlignment w:val="baseline"/>
        <w:rPr>
          <w:rFonts w:hint="default" w:ascii="仿宋" w:hAnsi="仿宋" w:eastAsia="仿宋" w:cs="仿宋"/>
          <w:color w:val="auto"/>
          <w:sz w:val="28"/>
          <w:szCs w:val="28"/>
          <w:highlight w:val="none"/>
          <w:shd w:val="clear" w:color="auto" w:fill="auto"/>
          <w:lang w:val="en-US" w:eastAsia="zh-CN" w:bidi="ar"/>
        </w:rPr>
      </w:pPr>
      <w:r>
        <w:rPr>
          <w:rFonts w:hint="default" w:ascii="仿宋" w:hAnsi="仿宋" w:eastAsia="仿宋" w:cs="仿宋"/>
          <w:color w:val="auto"/>
          <w:sz w:val="28"/>
          <w:szCs w:val="28"/>
          <w:highlight w:val="none"/>
          <w:shd w:val="clear" w:color="auto" w:fill="auto"/>
          <w:lang w:val="en-US" w:eastAsia="zh-CN" w:bidi="ar"/>
        </w:rPr>
        <w:t>《中华人民共和国安全生产法</w:t>
      </w:r>
      <w:r>
        <w:rPr>
          <w:rFonts w:hint="eastAsia" w:ascii="仿宋" w:hAnsi="仿宋" w:eastAsia="仿宋" w:cs="仿宋"/>
          <w:color w:val="auto"/>
          <w:sz w:val="28"/>
          <w:szCs w:val="28"/>
          <w:highlight w:val="none"/>
          <w:shd w:val="clear" w:color="auto" w:fill="auto"/>
          <w:lang w:val="en-US" w:eastAsia="zh-CN" w:bidi="ar"/>
        </w:rPr>
        <w:t>》（2021年修正版）</w:t>
      </w:r>
    </w:p>
    <w:p>
      <w:pPr>
        <w:keepNext w:val="0"/>
        <w:keepLines w:val="0"/>
        <w:pageBreakBefore w:val="0"/>
        <w:widowControl/>
        <w:numPr>
          <w:ilvl w:val="0"/>
          <w:numId w:val="0"/>
        </w:numPr>
        <w:kinsoku/>
        <w:wordWrap/>
        <w:overflowPunct w:val="0"/>
        <w:topLinePunct w:val="0"/>
        <w:autoSpaceDE w:val="0"/>
        <w:autoSpaceDN w:val="0"/>
        <w:bidi w:val="0"/>
        <w:adjustRightInd w:val="0"/>
        <w:snapToGrid/>
        <w:spacing w:line="360" w:lineRule="auto"/>
        <w:ind w:right="125" w:rightChars="0" w:firstLine="560" w:firstLineChars="200"/>
        <w:textAlignment w:val="baseline"/>
        <w:rPr>
          <w:rFonts w:hint="eastAsia" w:ascii="仿宋" w:hAnsi="仿宋" w:eastAsia="仿宋" w:cs="仿宋"/>
          <w:color w:val="auto"/>
          <w:sz w:val="28"/>
          <w:szCs w:val="28"/>
          <w:highlight w:val="none"/>
          <w:shd w:val="clear" w:color="auto" w:fill="auto"/>
          <w:lang w:val="en-US" w:eastAsia="zh-CN" w:bidi="ar"/>
        </w:rPr>
      </w:pPr>
      <w:r>
        <w:rPr>
          <w:rFonts w:hint="default" w:ascii="仿宋" w:hAnsi="仿宋" w:eastAsia="仿宋" w:cs="仿宋"/>
          <w:color w:val="auto"/>
          <w:sz w:val="28"/>
          <w:szCs w:val="28"/>
          <w:highlight w:val="none"/>
          <w:shd w:val="clear" w:color="auto" w:fill="auto"/>
          <w:lang w:val="en-US" w:eastAsia="zh-CN" w:bidi="ar"/>
        </w:rPr>
        <w:t>《建设项目安全设施“三同时”监督管理办法》（总局令 第77号 修正）</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四、服务要求</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4.1乙方</w:t>
      </w:r>
      <w:r>
        <w:rPr>
          <w:rFonts w:hint="default" w:ascii="仿宋" w:hAnsi="仿宋" w:eastAsia="仿宋" w:cs="仿宋"/>
          <w:b w:val="0"/>
          <w:bCs w:val="0"/>
          <w:color w:val="auto"/>
          <w:kern w:val="0"/>
          <w:sz w:val="28"/>
          <w:szCs w:val="28"/>
          <w:highlight w:val="none"/>
          <w:lang w:val="en-US" w:eastAsia="zh-CN" w:bidi="ar-SA"/>
        </w:rPr>
        <w:t>应当具备国家规定的资质条件，</w:t>
      </w:r>
      <w:r>
        <w:rPr>
          <w:rFonts w:hint="eastAsia" w:ascii="仿宋" w:hAnsi="仿宋" w:eastAsia="仿宋" w:cs="仿宋"/>
          <w:b w:val="0"/>
          <w:bCs w:val="0"/>
          <w:color w:val="auto"/>
          <w:kern w:val="0"/>
          <w:sz w:val="28"/>
          <w:szCs w:val="28"/>
          <w:highlight w:val="none"/>
          <w:lang w:val="en-US" w:eastAsia="zh-CN" w:bidi="ar-SA"/>
        </w:rPr>
        <w:t>熟悉本项目相关的国家和地方法律法规、政策，乙方需在甲方指定的时间内按照相关规范要求完成甲方指定的评价服务。甲方负责提供需评价区域的准确地址、联系人、联系电话。</w:t>
      </w:r>
    </w:p>
    <w:p>
      <w:pPr>
        <w:pStyle w:val="23"/>
        <w:numPr>
          <w:ilvl w:val="0"/>
          <w:numId w:val="0"/>
        </w:numPr>
        <w:spacing w:before="120" w:after="120" w:line="360" w:lineRule="auto"/>
        <w:ind w:firstLine="560" w:firstLineChars="200"/>
        <w:outlineLvl w:val="0"/>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bidi="ar-SA"/>
        </w:rPr>
        <w:t>引用自《中华人民共和国安全生产法》</w:t>
      </w:r>
      <w:r>
        <w:rPr>
          <w:rFonts w:hint="default" w:ascii="仿宋" w:hAnsi="仿宋" w:eastAsia="仿宋" w:cs="仿宋"/>
          <w:color w:val="auto"/>
          <w:kern w:val="0"/>
          <w:sz w:val="28"/>
          <w:szCs w:val="28"/>
          <w:highlight w:val="none"/>
          <w:lang w:val="en-US" w:eastAsia="zh-CN" w:bidi="ar-SA"/>
        </w:rPr>
        <w:t>第六十九条 承担安全评价、认证、检测、检验职责的机构应当具备国家规定的资质条件，并对其作出的安全评价、认证、检测、检验结果的合法性、真实性负责。</w:t>
      </w:r>
    </w:p>
    <w:p>
      <w:pPr>
        <w:pStyle w:val="23"/>
        <w:numPr>
          <w:ilvl w:val="0"/>
          <w:numId w:val="0"/>
        </w:numPr>
        <w:spacing w:before="120" w:after="120" w:line="360" w:lineRule="auto"/>
        <w:ind w:firstLine="560" w:firstLineChars="200"/>
        <w:outlineLvl w:val="0"/>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w:t>
      </w:r>
      <w:r>
        <w:rPr>
          <w:rFonts w:hint="eastAsia" w:ascii="仿宋" w:hAnsi="仿宋" w:eastAsia="仿宋" w:cs="仿宋"/>
          <w:color w:val="auto"/>
          <w:kern w:val="0"/>
          <w:sz w:val="28"/>
          <w:szCs w:val="28"/>
          <w:highlight w:val="none"/>
          <w:lang w:val="en-US" w:eastAsia="zh-CN" w:bidi="ar-SA"/>
        </w:rPr>
        <w:t>4.2乙方提供的评价服务、出具的报告、负责完成评审、备案程序等应符合现行的国家法律法规、标准以及当地政府部门的要求。</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引用自</w:t>
      </w:r>
      <w:r>
        <w:rPr>
          <w:rFonts w:hint="default" w:ascii="仿宋" w:hAnsi="仿宋" w:eastAsia="仿宋" w:cs="仿宋"/>
          <w:b w:val="0"/>
          <w:bCs w:val="0"/>
          <w:color w:val="auto"/>
          <w:kern w:val="0"/>
          <w:sz w:val="28"/>
          <w:szCs w:val="28"/>
          <w:highlight w:val="none"/>
          <w:lang w:val="en-US" w:eastAsia="zh-CN" w:bidi="ar-SA"/>
        </w:rPr>
        <w:t>《建设项目安全设施“三同时”监督管理办法》</w:t>
      </w:r>
      <w:r>
        <w:rPr>
          <w:rFonts w:hint="eastAsia" w:ascii="仿宋" w:hAnsi="仿宋" w:eastAsia="仿宋" w:cs="仿宋"/>
          <w:b w:val="0"/>
          <w:bCs w:val="0"/>
          <w:color w:val="auto"/>
          <w:kern w:val="0"/>
          <w:sz w:val="28"/>
          <w:szCs w:val="28"/>
          <w:highlight w:val="none"/>
          <w:lang w:val="en-US" w:eastAsia="zh-CN" w:bidi="ar-SA"/>
        </w:rPr>
        <w:t>第二十二条</w:t>
      </w:r>
      <w:r>
        <w:rPr>
          <w:rFonts w:hint="default" w:ascii="仿宋" w:hAnsi="仿宋" w:eastAsia="仿宋" w:cs="仿宋"/>
          <w:b w:val="0"/>
          <w:bCs w:val="0"/>
          <w:color w:val="auto"/>
          <w:kern w:val="0"/>
          <w:sz w:val="28"/>
          <w:szCs w:val="28"/>
          <w:highlight w:val="none"/>
          <w:lang w:val="en-US" w:eastAsia="zh-CN" w:bidi="ar-SA"/>
        </w:rPr>
        <w:t> 建设项目安全验收评价报告应当符合国家标准或者行业标准的规定。</w:t>
      </w:r>
    </w:p>
    <w:p>
      <w:pPr>
        <w:pStyle w:val="23"/>
        <w:numPr>
          <w:ilvl w:val="0"/>
          <w:numId w:val="0"/>
        </w:numPr>
        <w:spacing w:before="120" w:after="120" w:line="360" w:lineRule="auto"/>
        <w:ind w:firstLine="560" w:firstLineChars="200"/>
        <w:outlineLvl w:val="0"/>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b w:val="0"/>
          <w:bCs w:val="0"/>
          <w:color w:val="auto"/>
          <w:kern w:val="0"/>
          <w:sz w:val="28"/>
          <w:szCs w:val="28"/>
          <w:highlight w:val="none"/>
          <w:lang w:val="en-US" w:eastAsia="zh-CN" w:bidi="ar-SA"/>
        </w:rPr>
        <w:t>4.3为保证服务工期、质量，按</w:t>
      </w:r>
      <w:r>
        <w:rPr>
          <w:rFonts w:hint="eastAsia" w:ascii="仿宋" w:hAnsi="仿宋" w:eastAsia="仿宋" w:cs="仿宋"/>
          <w:color w:val="auto"/>
          <w:sz w:val="28"/>
          <w:szCs w:val="28"/>
          <w:highlight w:val="none"/>
          <w:shd w:val="clear" w:color="auto" w:fill="auto"/>
          <w:lang w:val="en-US" w:eastAsia="zh-CN" w:bidi="ar-SA"/>
        </w:rPr>
        <w:t>项目建设计划顺利推进，乙方必须在本项目开展工作期间，派专业技术人员常驻湛江进行资料收集、报告编制、项目评审等，并现场指导、及时解决相关政策、技术等方面的难点疑点问题。</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4.4为保证技术服务的全过程质量控制，乙方常驻技术人员一般在服务过程中不予更换，如确需更换需对甲方进行书面说明，征得甲方同意；甲方有权对乙方进入评价区域的技术人员进行检查，若不符合甲方工作要求，甲方有权要求更换。</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4.5其他要求：</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①本服务所有工作中产生的报告文件打印、出版、装订和乙方人员的差旅费用由乙方负责。本服务中相关监测费、专家费及会务费等由乙方负责。</w:t>
      </w:r>
    </w:p>
    <w:p>
      <w:pPr>
        <w:widowControl w:val="0"/>
        <w:spacing w:line="360" w:lineRule="auto"/>
        <w:ind w:right="108" w:firstLine="560" w:firstLineChars="200"/>
        <w:outlineLvl w:val="1"/>
        <w:rPr>
          <w:rFonts w:hint="eastAsia"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②乙方提供的成果需满足符合国家相关规范要求、甲方要求及当地政府相关职能部门管理要求。期间如果要修改，乙方应无偿提供服务，直至通过审查。</w:t>
      </w:r>
    </w:p>
    <w:p>
      <w:pPr>
        <w:pStyle w:val="2"/>
        <w:ind w:firstLine="560" w:firstLineChars="200"/>
        <w:rPr>
          <w:rFonts w:hint="eastAsia"/>
          <w:highlight w:val="none"/>
          <w:lang w:val="en-US" w:eastAsia="zh-CN"/>
        </w:rPr>
      </w:pPr>
      <w:r>
        <w:rPr>
          <w:rFonts w:hint="eastAsia" w:ascii="仿宋" w:hAnsi="仿宋" w:eastAsia="仿宋" w:cs="仿宋"/>
          <w:color w:val="auto"/>
          <w:sz w:val="28"/>
          <w:szCs w:val="28"/>
          <w:highlight w:val="none"/>
          <w:shd w:val="clear" w:color="auto" w:fill="auto"/>
          <w:lang w:val="en-US" w:eastAsia="zh-CN" w:bidi="ar-SA"/>
        </w:rPr>
        <w:t>③因乙方或乙方相关人员（包括但不限于乙方的雇员、代理人等）的过错造成甲方、第三方财产损失或人身伤害的，由乙方负责赔偿，由此所产生的全部费用和责任均由乙方承担。</w:t>
      </w:r>
    </w:p>
    <w:p>
      <w:pPr>
        <w:widowControl w:val="0"/>
        <w:spacing w:line="360" w:lineRule="auto"/>
        <w:ind w:right="108" w:firstLine="560" w:firstLineChars="200"/>
        <w:outlineLvl w:val="1"/>
        <w:rPr>
          <w:rFonts w:hint="default" w:ascii="仿宋" w:hAnsi="仿宋" w:eastAsia="仿宋" w:cs="仿宋"/>
          <w:color w:val="auto"/>
          <w:sz w:val="28"/>
          <w:szCs w:val="28"/>
          <w:highlight w:val="none"/>
          <w:shd w:val="clear" w:color="auto" w:fill="auto"/>
          <w:lang w:val="en-US" w:eastAsia="zh-CN" w:bidi="ar-SA"/>
        </w:rPr>
      </w:pPr>
      <w:r>
        <w:rPr>
          <w:rFonts w:hint="eastAsia" w:ascii="仿宋" w:hAnsi="仿宋" w:eastAsia="仿宋" w:cs="仿宋"/>
          <w:color w:val="auto"/>
          <w:sz w:val="28"/>
          <w:szCs w:val="28"/>
          <w:highlight w:val="none"/>
          <w:shd w:val="clear" w:color="auto" w:fill="auto"/>
          <w:lang w:val="en-US" w:eastAsia="zh-CN" w:bidi="ar-SA"/>
        </w:rPr>
        <w:t>④保密要求：按国家、行业及中国海油相关要求执行，未经甲方许可，不得将项目内容信息泄露给无关的第三方。</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五、配备资源要求</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5.1 设备要求：勘察现场、安全评价所需设备由乙方负责。</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5.2 材料要求：勘察现场、安全评价所需材料由乙方负责。</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5.3 人员要求</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①乙方开展工作之日起至服务完成，乙方指定至少一名有专业资质的技术人员在湛江固定办公，以便双方及时协调、跟进项目进展。乙方提供的驻场评价技术人员必须持有安全评价师证书或中级注册安全工程师证书</w:t>
      </w:r>
      <w:r>
        <w:rPr>
          <w:rFonts w:hint="eastAsia" w:ascii="仿宋" w:hAnsi="仿宋" w:eastAsia="仿宋" w:cs="仿宋"/>
          <w:color w:val="auto"/>
          <w:sz w:val="28"/>
          <w:szCs w:val="28"/>
          <w:highlight w:val="none"/>
          <w:shd w:val="clear" w:color="auto" w:fill="auto"/>
          <w:lang w:val="en-US" w:eastAsia="zh-CN" w:bidi="ar-SA"/>
        </w:rPr>
        <w:t>（入场时需提供人员资质证明材料、社保证明、人员姓名、联系电话）</w:t>
      </w:r>
      <w:r>
        <w:rPr>
          <w:rFonts w:hint="eastAsia" w:ascii="仿宋" w:hAnsi="仿宋" w:eastAsia="仿宋" w:cs="仿宋"/>
          <w:b w:val="0"/>
          <w:bCs w:val="0"/>
          <w:sz w:val="28"/>
          <w:szCs w:val="28"/>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②乙方负责乙方评价技术人员的管理工作，乙方所提供相关人员的取证费用、意外伤害险、食宿、保险等所有费用均由乙方负责。</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③乙方提供的技术人员进入甲方现场工作必须自觉遵守甲方的规章制度和作业管理程序。</w:t>
      </w:r>
    </w:p>
    <w:p>
      <w:pPr>
        <w:keepNext w:val="0"/>
        <w:keepLines w:val="0"/>
        <w:pageBreakBefore w:val="0"/>
        <w:widowControl w:val="0"/>
        <w:kinsoku/>
        <w:wordWrap/>
        <w:overflowPunct/>
        <w:topLinePunct w:val="0"/>
        <w:autoSpaceDE/>
        <w:autoSpaceDN/>
        <w:bidi w:val="0"/>
        <w:adjustRightInd/>
        <w:snapToGrid/>
        <w:spacing w:line="360" w:lineRule="auto"/>
        <w:ind w:left="0" w:firstLine="560" w:firstLineChars="200"/>
        <w:textAlignment w:val="auto"/>
        <w:outlineLvl w:val="0"/>
        <w:rPr>
          <w:rFonts w:hint="eastAsia" w:ascii="仿宋" w:hAnsi="仿宋" w:eastAsia="仿宋" w:cs="仿宋"/>
          <w:b w:val="0"/>
          <w:bCs w:val="0"/>
          <w:sz w:val="28"/>
          <w:szCs w:val="28"/>
          <w:highlight w:val="none"/>
          <w:lang w:val="en-US" w:eastAsia="zh-CN" w:bidi="ar-SA"/>
        </w:rPr>
      </w:pPr>
      <w:r>
        <w:rPr>
          <w:rFonts w:hint="eastAsia" w:ascii="仿宋" w:hAnsi="仿宋" w:eastAsia="仿宋" w:cs="仿宋"/>
          <w:b w:val="0"/>
          <w:bCs w:val="0"/>
          <w:sz w:val="28"/>
          <w:szCs w:val="28"/>
          <w:highlight w:val="none"/>
          <w:lang w:val="en-US" w:eastAsia="zh-CN" w:bidi="ar-SA"/>
        </w:rPr>
        <w:t>④乙方提供的现场评价工作人员在甲方现场的一切行为后果由乙方负责。</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六、服务进度跟踪</w:t>
      </w:r>
    </w:p>
    <w:p>
      <w:pPr>
        <w:pStyle w:val="3"/>
        <w:spacing w:line="360" w:lineRule="auto"/>
        <w:ind w:firstLine="568" w:firstLineChars="200"/>
        <w:rPr>
          <w:rFonts w:hint="default" w:ascii="仿宋" w:hAnsi="仿宋" w:eastAsia="仿宋" w:cs="仿宋"/>
          <w:sz w:val="28"/>
          <w:szCs w:val="28"/>
          <w:highlight w:val="none"/>
          <w:lang w:val="en-US" w:eastAsia="zh-CN" w:bidi="ar-SA"/>
        </w:rPr>
      </w:pPr>
      <w:r>
        <w:rPr>
          <w:rFonts w:hint="eastAsia" w:ascii="仿宋" w:hAnsi="仿宋" w:eastAsia="仿宋" w:cs="仿宋"/>
          <w:sz w:val="28"/>
          <w:szCs w:val="28"/>
          <w:highlight w:val="none"/>
          <w:lang w:val="en-US" w:eastAsia="zh-CN" w:bidi="ar-SA"/>
        </w:rPr>
        <w:t>乙方需要按照要求在合同签订后45个工作日内完成安全验收评价报告编制和专家审查工作，之后15个工作日内通过政府主管部门的确认和批复（</w:t>
      </w:r>
      <w:r>
        <w:rPr>
          <w:rFonts w:hint="eastAsia" w:ascii="仿宋" w:hAnsi="仿宋" w:eastAsia="仿宋" w:cs="仿宋"/>
          <w:b w:val="0"/>
          <w:bCs w:val="0"/>
          <w:kern w:val="0"/>
          <w:sz w:val="28"/>
          <w:szCs w:val="28"/>
          <w:highlight w:val="none"/>
          <w:lang w:val="en-US" w:eastAsia="zh-CN" w:bidi="ar-SA"/>
        </w:rPr>
        <w:t>或效力视同备案</w:t>
      </w:r>
      <w:r>
        <w:rPr>
          <w:rFonts w:hint="eastAsia" w:ascii="仿宋" w:hAnsi="仿宋" w:eastAsia="仿宋" w:cs="仿宋"/>
          <w:sz w:val="28"/>
          <w:szCs w:val="28"/>
          <w:highlight w:val="none"/>
          <w:lang w:val="en-US" w:eastAsia="zh-CN" w:bidi="ar-SA"/>
        </w:rPr>
        <w:t>）。</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七、服务及验收标准</w:t>
      </w:r>
    </w:p>
    <w:p>
      <w:pPr>
        <w:pStyle w:val="6"/>
        <w:keepNext w:val="0"/>
        <w:keepLines w:val="0"/>
        <w:pageBreakBefore w:val="0"/>
        <w:kinsoku/>
        <w:wordWrap/>
        <w:overflowPunct/>
        <w:topLinePunct w:val="0"/>
        <w:autoSpaceDE/>
        <w:autoSpaceDN/>
        <w:bidi w:val="0"/>
        <w:adjustRightInd/>
        <w:snapToGrid/>
        <w:spacing w:after="0" w:line="360" w:lineRule="auto"/>
        <w:ind w:left="0" w:firstLine="560" w:firstLineChars="200"/>
        <w:textAlignment w:val="auto"/>
        <w:outlineLvl w:val="0"/>
        <w:rPr>
          <w:rFonts w:hint="eastAsia" w:ascii="仿宋" w:hAnsi="仿宋" w:eastAsia="仿宋" w:cs="仿宋"/>
          <w:b w:val="0"/>
          <w:bCs w:val="0"/>
          <w:kern w:val="0"/>
          <w:sz w:val="28"/>
          <w:szCs w:val="28"/>
          <w:highlight w:val="none"/>
          <w:lang w:val="en-US" w:eastAsia="zh-CN" w:bidi="ar-SA"/>
        </w:rPr>
      </w:pPr>
      <w:r>
        <w:rPr>
          <w:rFonts w:hint="eastAsia" w:ascii="仿宋" w:hAnsi="仿宋" w:eastAsia="仿宋" w:cs="仿宋"/>
          <w:b w:val="0"/>
          <w:bCs w:val="0"/>
          <w:kern w:val="0"/>
          <w:sz w:val="28"/>
          <w:szCs w:val="28"/>
          <w:highlight w:val="none"/>
          <w:lang w:val="en-US" w:eastAsia="zh-CN" w:bidi="ar-SA"/>
        </w:rPr>
        <w:t>7.1 乙方出具的评价报告符合国家法律法规和标准的要求。</w:t>
      </w:r>
    </w:p>
    <w:p>
      <w:pPr>
        <w:pStyle w:val="6"/>
        <w:keepNext w:val="0"/>
        <w:keepLines w:val="0"/>
        <w:pageBreakBefore w:val="0"/>
        <w:kinsoku/>
        <w:wordWrap/>
        <w:overflowPunct/>
        <w:topLinePunct w:val="0"/>
        <w:autoSpaceDE/>
        <w:autoSpaceDN/>
        <w:bidi w:val="0"/>
        <w:adjustRightInd/>
        <w:snapToGrid/>
        <w:spacing w:after="0" w:line="360" w:lineRule="auto"/>
        <w:ind w:left="0" w:firstLine="560" w:firstLineChars="200"/>
        <w:textAlignment w:val="auto"/>
        <w:outlineLvl w:val="0"/>
        <w:rPr>
          <w:rFonts w:hint="eastAsia" w:ascii="仿宋" w:hAnsi="仿宋" w:eastAsia="仿宋" w:cs="仿宋"/>
          <w:b w:val="0"/>
          <w:bCs w:val="0"/>
          <w:kern w:val="0"/>
          <w:sz w:val="28"/>
          <w:szCs w:val="28"/>
          <w:highlight w:val="none"/>
          <w:lang w:val="en-US" w:eastAsia="en-US" w:bidi="ar-SA"/>
        </w:rPr>
      </w:pPr>
      <w:r>
        <w:rPr>
          <w:rFonts w:hint="eastAsia" w:ascii="仿宋" w:hAnsi="仿宋" w:eastAsia="仿宋" w:cs="仿宋"/>
          <w:b w:val="0"/>
          <w:bCs w:val="0"/>
          <w:kern w:val="0"/>
          <w:sz w:val="28"/>
          <w:szCs w:val="28"/>
          <w:highlight w:val="none"/>
          <w:lang w:val="en-US" w:eastAsia="zh-CN" w:bidi="ar-SA"/>
        </w:rPr>
        <w:t>7.2 乙方出具的专篇和报告等需取得各相关行政主管部门的批复或备案（或效力视同备案），否则视为无效。</w:t>
      </w:r>
    </w:p>
    <w:p>
      <w:pPr>
        <w:pStyle w:val="3"/>
        <w:spacing w:line="360" w:lineRule="auto"/>
        <w:rPr>
          <w:rFonts w:hint="eastAsia" w:ascii="黑体" w:hAnsi="黑体" w:eastAsia="黑体" w:cs="黑体"/>
          <w:b/>
          <w:bCs/>
          <w:spacing w:val="0"/>
          <w:kern w:val="0"/>
          <w:sz w:val="28"/>
          <w:szCs w:val="28"/>
          <w:highlight w:val="none"/>
          <w:lang w:val="en-US" w:eastAsia="en-US" w:bidi="ar-SA"/>
        </w:rPr>
      </w:pPr>
      <w:r>
        <w:rPr>
          <w:rFonts w:hint="eastAsia" w:ascii="黑体" w:hAnsi="黑体" w:eastAsia="黑体" w:cs="黑体"/>
          <w:b/>
          <w:bCs/>
          <w:spacing w:val="0"/>
          <w:kern w:val="0"/>
          <w:sz w:val="28"/>
          <w:szCs w:val="28"/>
          <w:highlight w:val="none"/>
          <w:lang w:val="en-US" w:eastAsia="en-US" w:bidi="ar-SA"/>
        </w:rPr>
        <w:t>八、质量保证</w:t>
      </w:r>
    </w:p>
    <w:p>
      <w:pPr>
        <w:pStyle w:val="23"/>
        <w:numPr>
          <w:ilvl w:val="0"/>
          <w:numId w:val="0"/>
        </w:numPr>
        <w:spacing w:before="120" w:after="120" w:line="360" w:lineRule="auto"/>
        <w:ind w:firstLine="560" w:firstLineChars="200"/>
        <w:outlineLvl w:val="0"/>
        <w:rPr>
          <w:rFonts w:hint="default"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8.1 履约保证金或履约保函</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★8.1.1乙方需自合同签署日起7个工作日内向甲方缴纳履约保证金或履约保函，金额为中标合同总价的10%（向下取整至元）。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8.1.2履约保证金/履约保函提交方式：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（1）履约保证金应以银行转帐或电汇的形式存入招标方账号并提交转帐证明如银行出局的支付业务付</w:t>
      </w:r>
      <w:bookmarkStart w:id="6" w:name="_GoBack"/>
      <w:bookmarkEnd w:id="6"/>
      <w:r>
        <w:rPr>
          <w:rFonts w:hint="eastAsia" w:ascii="仿宋" w:hAnsi="仿宋" w:eastAsia="仿宋" w:cs="仿宋"/>
          <w:b w:val="0"/>
          <w:bCs w:val="0"/>
          <w:color w:val="auto"/>
          <w:kern w:val="0"/>
          <w:sz w:val="28"/>
          <w:szCs w:val="28"/>
          <w:highlight w:val="none"/>
          <w:lang w:val="en-US" w:eastAsia="zh-CN" w:bidi="ar-SA"/>
        </w:rPr>
        <w:t xml:space="preserve">款回单；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履约保证金收取账户：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名称:中海油（湛江）能源物流有限公司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账号: 111902010400039680000002854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开户行:中国农业银行北京分行东城支行营业部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（2）乙方开具履约保函后需将原件寄至甲方公司</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收件地址： 广东省湛江市坡头区南调路11号中海油能源物流有限公司湛江南海西部物资分公司</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收件人：</w:t>
      </w:r>
      <w:r>
        <w:rPr>
          <w:rFonts w:hint="default" w:ascii="仿宋" w:hAnsi="仿宋" w:eastAsia="仿宋" w:cs="仿宋"/>
          <w:b w:val="0"/>
          <w:bCs w:val="0"/>
          <w:color w:val="auto"/>
          <w:kern w:val="0"/>
          <w:sz w:val="28"/>
          <w:szCs w:val="28"/>
          <w:highlight w:val="none"/>
          <w:lang w:eastAsia="zh-CN" w:bidi="ar-SA"/>
        </w:rPr>
        <w:t>莫彩玲13434679869</w:t>
      </w:r>
      <w:r>
        <w:rPr>
          <w:rFonts w:hint="eastAsia" w:ascii="仿宋" w:hAnsi="仿宋" w:eastAsia="仿宋" w:cs="仿宋"/>
          <w:b w:val="0"/>
          <w:bCs w:val="0"/>
          <w:color w:val="auto"/>
          <w:kern w:val="0"/>
          <w:sz w:val="28"/>
          <w:szCs w:val="28"/>
          <w:highlight w:val="none"/>
          <w:lang w:val="en-US" w:eastAsia="zh-CN" w:bidi="ar-SA"/>
        </w:rPr>
        <w:t xml:space="preserve">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履约保函受益方：中海油（湛江）能源物流有限公司</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地址：广东省湛江市坡头区南调路11号信箱物资大院；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8.1.3履约保证金或履约保函提交时间：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乙方应在自合同签署日起7个工作日内通过银行转账的方式向甲方一次性缴纳本技术要求约定的足额履约保证金或履约保函。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8.1.4履约保证金或履约保函的有效期：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履约保证金的有效期应覆盖合同约定的整个履约期限，直至合同终止并结算完毕或根据合同约定的其他条件解除。履约保函应自出具之日起生效，履约保函的开具覆盖合同有效期。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8.1.5履约保证金的扣除条款：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乙方提交的工作成果不符合政府规范要求及合同技术要求，未能取得各相关行政主管部门的批复或备案（或效力视同备案），且无法整改或拒绝整改的，甲方有权扣除乙方履约保证金10%。</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8.1.6扣除程序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① 甲方在发现乙方违约后24小时内以书面或邮件或电话通知乙方。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② 乙方在收到通知后3个工作日内可以提报书面申诉，如乙方未能在3个工作日内提出申诉，视为乙方放弃申诉权利，甲方在5个日历天内完成保证金扣除并书面告知乙方。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8.1.7履约保证金的返还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① 履约保证金有效期届满后。甲方应当将该履约保证金无息退还乙方。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② 如乙方未能履行或者未能全部履行合同规定的义务，甲方有权从履约保证金中获得赔偿。履约保证金扣除完甲方应当获得的赔偿后，应当在有效期届满后无息退还乙方。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③ 如若履约保证金不足以赔付甲方因乙方未能履行或者未能全部履行合同规定的义务所造成的损失的，乙方应对不足部分继续承担赔偿责任。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④ 合同履行完毕后乙方向甲方提交申请，甲方将于收到乙方申请后 45 个日历天内无息退还剩余履约保证金。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⑤保函正本将在其有效期届满且甲方无未决索赔后【30】日内退还给保证人（如适用）。乙方未按时提交合格保函或保函失效未续期，构成严重违约，甲方有权解除合同并追究其责任。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xml:space="preserve">8.1.8上述扣除保证金的百分比是以乙方存入甲方账号金额为基数扣除，如乙方履约保证金不足扣除的额度时甲方有权解除合同。 </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 8.1.9 履约保函的开立方式为：信开方式。</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8.2乙方承诺，其任何工作和交付的工作成果符合本合同及法律法规行业规范、标准和良好的行业惯例的要求，不存在任何缺陷。</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8.3如果乙方完成的工作或提交的工作成果出现任何属于规定质量保证范围内的问题，乙方应在甲方要求的合理时间内委派人员进行修复或重新实施相关工作，直至消除该等缺陷。如乙方未能按照上述约定采取相关措施，甲方有权委托第三方完成，由此产生的相关费用由乙方承担。</w:t>
      </w:r>
    </w:p>
    <w:p>
      <w:pPr>
        <w:pStyle w:val="3"/>
        <w:spacing w:line="360" w:lineRule="auto"/>
        <w:rPr>
          <w:rFonts w:hint="eastAsia" w:ascii="黑体" w:hAnsi="黑体" w:eastAsia="黑体" w:cs="黑体"/>
          <w:b/>
          <w:bCs/>
          <w:spacing w:val="0"/>
          <w:kern w:val="0"/>
          <w:sz w:val="28"/>
          <w:szCs w:val="28"/>
          <w:highlight w:val="none"/>
          <w:lang w:val="en-US" w:eastAsia="zh-CN" w:bidi="ar-SA"/>
        </w:rPr>
      </w:pPr>
      <w:r>
        <w:rPr>
          <w:rFonts w:hint="eastAsia" w:ascii="黑体" w:hAnsi="黑体" w:eastAsia="黑体" w:cs="黑体"/>
          <w:b/>
          <w:bCs/>
          <w:spacing w:val="0"/>
          <w:kern w:val="0"/>
          <w:sz w:val="28"/>
          <w:szCs w:val="28"/>
          <w:highlight w:val="none"/>
          <w:lang w:val="en-US" w:eastAsia="en-US" w:bidi="ar-SA"/>
        </w:rPr>
        <w:t>九、其他要求</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9.1乙方按照甲方项目时间要求全权负责协调行政主管部门、组织召开专家评审会等，乙方需承诺，承担编制的报告需通过专家评审并取得主管部门批复或备案（或效力视同备案），否则视为无效工作，该条件在合同约定中作为付款条件。</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9.2乙方对全部工作和相关工作人员的健康、安全、环保负责。乙方在服务过程中，如果由其造成严重后果包括但不限于人员的伤亡、设备的损坏、环境污染事故、职业健康伤害事件等一系列后果由乙方全权负责。</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9.3合同为固定总价合同，没有任何额外费用。本价格标准不受通货膨胀、利率、汇率、税费、成本及市场等因素变化的影响。 除非合同另有规定，乙方应承担其在履行合同义务时产生的全部费用和税费。包括但不限于：完成工作所需直接成本、间接成本、 人力成本；履行质量保证责任的费用；与合同相关的所有税费；或有费用及合同没有列明但系为实现合同目的所必需的工作和服务费用；乙方所有的风险、义务和责任，以及合同中明确说明由乙方承担的成本和费用等。</w:t>
      </w:r>
    </w:p>
    <w:p>
      <w:pPr>
        <w:pStyle w:val="23"/>
        <w:numPr>
          <w:ilvl w:val="0"/>
          <w:numId w:val="0"/>
        </w:numPr>
        <w:spacing w:before="120" w:after="120" w:line="360" w:lineRule="auto"/>
        <w:ind w:firstLine="560" w:firstLineChars="200"/>
        <w:outlineLvl w:val="0"/>
        <w:rPr>
          <w:rFonts w:hint="eastAsia" w:ascii="仿宋" w:hAnsi="仿宋" w:eastAsia="仿宋" w:cs="仿宋"/>
          <w:b w:val="0"/>
          <w:bCs w:val="0"/>
          <w:color w:val="auto"/>
          <w:kern w:val="0"/>
          <w:sz w:val="28"/>
          <w:szCs w:val="28"/>
          <w:highlight w:val="none"/>
          <w:lang w:val="en-US" w:eastAsia="zh-CN" w:bidi="ar-SA"/>
        </w:rPr>
      </w:pPr>
      <w:r>
        <w:rPr>
          <w:rFonts w:hint="eastAsia" w:ascii="仿宋" w:hAnsi="仿宋" w:eastAsia="仿宋" w:cs="仿宋"/>
          <w:b w:val="0"/>
          <w:bCs w:val="0"/>
          <w:color w:val="auto"/>
          <w:kern w:val="0"/>
          <w:sz w:val="28"/>
          <w:szCs w:val="28"/>
          <w:highlight w:val="none"/>
          <w:lang w:val="en-US" w:eastAsia="zh-CN" w:bidi="ar-SA"/>
        </w:rPr>
        <w:t>9.4结算方式：总价结算。乙方完成服务并经甲方进行服务完工确认后，向甲方提供所完工服务价款相应的有效增值税专用发票及相关支持文件。如果甲方对乙方出具的该等发票和提供的相关支持文件无异议，应于收到该等发票和相关支持文件之日起45日内向乙方一次性付款。</w:t>
      </w:r>
    </w:p>
    <w:bookmarkEnd w:id="4"/>
    <w:bookmarkEnd w:id="5"/>
    <w:p>
      <w:pPr>
        <w:pStyle w:val="23"/>
        <w:spacing w:before="120" w:after="120" w:line="360" w:lineRule="auto"/>
        <w:outlineLvl w:val="0"/>
        <w:rPr>
          <w:rFonts w:hint="default" w:ascii="仿宋" w:hAnsi="仿宋" w:eastAsia="仿宋" w:cs="仿宋"/>
          <w:color w:val="auto"/>
          <w:kern w:val="0"/>
          <w:sz w:val="24"/>
          <w:szCs w:val="24"/>
          <w:highlight w:val="none"/>
          <w:lang w:val="en-US" w:eastAsia="zh-CN" w:bidi="ar-SA"/>
        </w:rPr>
      </w:pPr>
    </w:p>
    <w:sectPr>
      <w:pgSz w:w="11906" w:h="16838"/>
      <w:pgMar w:top="1440" w:right="1306" w:bottom="1440" w:left="13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D12"/>
    <w:rsid w:val="00045459"/>
    <w:rsid w:val="00070B36"/>
    <w:rsid w:val="000C3CDF"/>
    <w:rsid w:val="000D43A5"/>
    <w:rsid w:val="00110ABB"/>
    <w:rsid w:val="001644CF"/>
    <w:rsid w:val="001B3054"/>
    <w:rsid w:val="002217C9"/>
    <w:rsid w:val="002979DA"/>
    <w:rsid w:val="002B756F"/>
    <w:rsid w:val="003F3035"/>
    <w:rsid w:val="004A3192"/>
    <w:rsid w:val="00504168"/>
    <w:rsid w:val="005560B6"/>
    <w:rsid w:val="00571B42"/>
    <w:rsid w:val="006C2FB3"/>
    <w:rsid w:val="00723A5A"/>
    <w:rsid w:val="007E114E"/>
    <w:rsid w:val="0081241A"/>
    <w:rsid w:val="00834BD4"/>
    <w:rsid w:val="008951A5"/>
    <w:rsid w:val="009A2D10"/>
    <w:rsid w:val="009B442A"/>
    <w:rsid w:val="009C2FD5"/>
    <w:rsid w:val="009E12FE"/>
    <w:rsid w:val="00AB5566"/>
    <w:rsid w:val="00AF7529"/>
    <w:rsid w:val="00B15418"/>
    <w:rsid w:val="00B34B78"/>
    <w:rsid w:val="00B46A5C"/>
    <w:rsid w:val="00B71963"/>
    <w:rsid w:val="00B82355"/>
    <w:rsid w:val="00BC2863"/>
    <w:rsid w:val="00BE4441"/>
    <w:rsid w:val="00C855ED"/>
    <w:rsid w:val="00CB4728"/>
    <w:rsid w:val="00CF7FFB"/>
    <w:rsid w:val="00D42B37"/>
    <w:rsid w:val="00D75ECA"/>
    <w:rsid w:val="00DD112D"/>
    <w:rsid w:val="00DD495F"/>
    <w:rsid w:val="00DD75E0"/>
    <w:rsid w:val="00E53CCA"/>
    <w:rsid w:val="00E93769"/>
    <w:rsid w:val="00EE6793"/>
    <w:rsid w:val="00F84DC2"/>
    <w:rsid w:val="0125453E"/>
    <w:rsid w:val="01761E20"/>
    <w:rsid w:val="02A93B2F"/>
    <w:rsid w:val="037C416C"/>
    <w:rsid w:val="039C5442"/>
    <w:rsid w:val="039D481C"/>
    <w:rsid w:val="03EF5EB9"/>
    <w:rsid w:val="04697A1A"/>
    <w:rsid w:val="04BF763A"/>
    <w:rsid w:val="04F80D9E"/>
    <w:rsid w:val="054144F3"/>
    <w:rsid w:val="054467DE"/>
    <w:rsid w:val="05A86320"/>
    <w:rsid w:val="05B77208"/>
    <w:rsid w:val="063F4ED6"/>
    <w:rsid w:val="0653478F"/>
    <w:rsid w:val="06897EFF"/>
    <w:rsid w:val="069B7C33"/>
    <w:rsid w:val="07004806"/>
    <w:rsid w:val="072D4D2F"/>
    <w:rsid w:val="076B3AA9"/>
    <w:rsid w:val="078A5ACB"/>
    <w:rsid w:val="07A73C1C"/>
    <w:rsid w:val="08205B3B"/>
    <w:rsid w:val="082779D0"/>
    <w:rsid w:val="08CE609D"/>
    <w:rsid w:val="08E40F21"/>
    <w:rsid w:val="08F8491E"/>
    <w:rsid w:val="08FF6B9F"/>
    <w:rsid w:val="094139BD"/>
    <w:rsid w:val="0941725D"/>
    <w:rsid w:val="09560354"/>
    <w:rsid w:val="096E7880"/>
    <w:rsid w:val="09842C00"/>
    <w:rsid w:val="09B12A03"/>
    <w:rsid w:val="0A523055"/>
    <w:rsid w:val="0A7D65E1"/>
    <w:rsid w:val="0B0009AC"/>
    <w:rsid w:val="0B705B32"/>
    <w:rsid w:val="0B782F4C"/>
    <w:rsid w:val="0B815649"/>
    <w:rsid w:val="0BA53A2D"/>
    <w:rsid w:val="0BA74BCB"/>
    <w:rsid w:val="0C7A5E33"/>
    <w:rsid w:val="0CC6699B"/>
    <w:rsid w:val="0D183D8B"/>
    <w:rsid w:val="0D1D6BDE"/>
    <w:rsid w:val="0D49488C"/>
    <w:rsid w:val="0D4C7ED9"/>
    <w:rsid w:val="0D616711"/>
    <w:rsid w:val="0DF375BD"/>
    <w:rsid w:val="0E772D33"/>
    <w:rsid w:val="0EA01D2C"/>
    <w:rsid w:val="0ED0372F"/>
    <w:rsid w:val="0EF11B30"/>
    <w:rsid w:val="0F1D7D7F"/>
    <w:rsid w:val="0F590246"/>
    <w:rsid w:val="0FA718CA"/>
    <w:rsid w:val="0FD146C5"/>
    <w:rsid w:val="0FEA0D06"/>
    <w:rsid w:val="111B1F9F"/>
    <w:rsid w:val="11413A8A"/>
    <w:rsid w:val="11500F97"/>
    <w:rsid w:val="11F33019"/>
    <w:rsid w:val="122D5347"/>
    <w:rsid w:val="125A2AA0"/>
    <w:rsid w:val="126A7A03"/>
    <w:rsid w:val="12C14EC5"/>
    <w:rsid w:val="12CF313E"/>
    <w:rsid w:val="12CF50B3"/>
    <w:rsid w:val="136DFE32"/>
    <w:rsid w:val="13734411"/>
    <w:rsid w:val="13CE35C8"/>
    <w:rsid w:val="13D44784"/>
    <w:rsid w:val="1454457B"/>
    <w:rsid w:val="14574B1A"/>
    <w:rsid w:val="146B158C"/>
    <w:rsid w:val="14744C00"/>
    <w:rsid w:val="1506692F"/>
    <w:rsid w:val="1546345F"/>
    <w:rsid w:val="155B33AF"/>
    <w:rsid w:val="15CA5E3E"/>
    <w:rsid w:val="15CF2C14"/>
    <w:rsid w:val="15FD2655"/>
    <w:rsid w:val="160E423B"/>
    <w:rsid w:val="165F33EA"/>
    <w:rsid w:val="169265B3"/>
    <w:rsid w:val="16C729A0"/>
    <w:rsid w:val="16D90A2F"/>
    <w:rsid w:val="173FC4AA"/>
    <w:rsid w:val="176C58FF"/>
    <w:rsid w:val="17885FB1"/>
    <w:rsid w:val="17A96653"/>
    <w:rsid w:val="182E48C7"/>
    <w:rsid w:val="1856446A"/>
    <w:rsid w:val="18925339"/>
    <w:rsid w:val="18C27217"/>
    <w:rsid w:val="19375A85"/>
    <w:rsid w:val="195667F6"/>
    <w:rsid w:val="197FE313"/>
    <w:rsid w:val="1ADF35A4"/>
    <w:rsid w:val="1AF06347"/>
    <w:rsid w:val="1AFA5418"/>
    <w:rsid w:val="1B216501"/>
    <w:rsid w:val="1B262822"/>
    <w:rsid w:val="1C055E22"/>
    <w:rsid w:val="1C4C251A"/>
    <w:rsid w:val="1C7B251C"/>
    <w:rsid w:val="1CA33A48"/>
    <w:rsid w:val="1CBFA3EE"/>
    <w:rsid w:val="1CE04199"/>
    <w:rsid w:val="1CF1315D"/>
    <w:rsid w:val="1D5C28EF"/>
    <w:rsid w:val="1D811E68"/>
    <w:rsid w:val="1DDC7057"/>
    <w:rsid w:val="1E480F24"/>
    <w:rsid w:val="1ED33FB6"/>
    <w:rsid w:val="1ED5772F"/>
    <w:rsid w:val="1EE07A49"/>
    <w:rsid w:val="1EFD7EBE"/>
    <w:rsid w:val="1F04566E"/>
    <w:rsid w:val="1F7F5BF3"/>
    <w:rsid w:val="1F833C2E"/>
    <w:rsid w:val="1F882E19"/>
    <w:rsid w:val="1FC0EB35"/>
    <w:rsid w:val="1FFE5062"/>
    <w:rsid w:val="20000CCA"/>
    <w:rsid w:val="20281B98"/>
    <w:rsid w:val="202C6073"/>
    <w:rsid w:val="20B00A53"/>
    <w:rsid w:val="21100105"/>
    <w:rsid w:val="219F5D43"/>
    <w:rsid w:val="22813D29"/>
    <w:rsid w:val="231C3D6F"/>
    <w:rsid w:val="233F1C1A"/>
    <w:rsid w:val="23AE3F20"/>
    <w:rsid w:val="241475D6"/>
    <w:rsid w:val="24B403E6"/>
    <w:rsid w:val="24BE3012"/>
    <w:rsid w:val="24FB55B8"/>
    <w:rsid w:val="258503F1"/>
    <w:rsid w:val="25D87525"/>
    <w:rsid w:val="26103D41"/>
    <w:rsid w:val="26151358"/>
    <w:rsid w:val="26176E7E"/>
    <w:rsid w:val="26D9646E"/>
    <w:rsid w:val="2750319F"/>
    <w:rsid w:val="2751016E"/>
    <w:rsid w:val="279F3EBA"/>
    <w:rsid w:val="27AB59CC"/>
    <w:rsid w:val="27CB2B4B"/>
    <w:rsid w:val="27F03E2A"/>
    <w:rsid w:val="28094EEC"/>
    <w:rsid w:val="28302DCC"/>
    <w:rsid w:val="28525011"/>
    <w:rsid w:val="289D2A83"/>
    <w:rsid w:val="29564161"/>
    <w:rsid w:val="298E7457"/>
    <w:rsid w:val="29C42E79"/>
    <w:rsid w:val="2A1C553E"/>
    <w:rsid w:val="2B1757F0"/>
    <w:rsid w:val="2B1C6CE5"/>
    <w:rsid w:val="2B8B28FE"/>
    <w:rsid w:val="2B8E1990"/>
    <w:rsid w:val="2BCE795F"/>
    <w:rsid w:val="2BD3718C"/>
    <w:rsid w:val="2C302A48"/>
    <w:rsid w:val="2C422CFD"/>
    <w:rsid w:val="2CAF6062"/>
    <w:rsid w:val="2CCD06EA"/>
    <w:rsid w:val="2DBD3B68"/>
    <w:rsid w:val="2DCC59FB"/>
    <w:rsid w:val="2E514EF7"/>
    <w:rsid w:val="2EBAD350"/>
    <w:rsid w:val="2EEFFF63"/>
    <w:rsid w:val="2FE51542"/>
    <w:rsid w:val="300F506A"/>
    <w:rsid w:val="3078676B"/>
    <w:rsid w:val="30895DAE"/>
    <w:rsid w:val="30C77358"/>
    <w:rsid w:val="30DB6EFA"/>
    <w:rsid w:val="30F51D9C"/>
    <w:rsid w:val="3187194F"/>
    <w:rsid w:val="32096215"/>
    <w:rsid w:val="32145E94"/>
    <w:rsid w:val="32427031"/>
    <w:rsid w:val="32931837"/>
    <w:rsid w:val="33353C7B"/>
    <w:rsid w:val="33835B53"/>
    <w:rsid w:val="33D14E47"/>
    <w:rsid w:val="33D25794"/>
    <w:rsid w:val="33D5CD6B"/>
    <w:rsid w:val="33ED255F"/>
    <w:rsid w:val="33F64577"/>
    <w:rsid w:val="34272982"/>
    <w:rsid w:val="344057F2"/>
    <w:rsid w:val="34682C93"/>
    <w:rsid w:val="347F0B53"/>
    <w:rsid w:val="35BC359E"/>
    <w:rsid w:val="35C97A69"/>
    <w:rsid w:val="35CB1A33"/>
    <w:rsid w:val="35E623C9"/>
    <w:rsid w:val="3627310D"/>
    <w:rsid w:val="36D8726F"/>
    <w:rsid w:val="36DF5796"/>
    <w:rsid w:val="3733163E"/>
    <w:rsid w:val="37403D5B"/>
    <w:rsid w:val="375755D0"/>
    <w:rsid w:val="376C68FE"/>
    <w:rsid w:val="3793032E"/>
    <w:rsid w:val="37977E1F"/>
    <w:rsid w:val="383B1045"/>
    <w:rsid w:val="38412EBF"/>
    <w:rsid w:val="38457305"/>
    <w:rsid w:val="384D672F"/>
    <w:rsid w:val="38941AE2"/>
    <w:rsid w:val="38BA1A9C"/>
    <w:rsid w:val="391E1E7A"/>
    <w:rsid w:val="397A3554"/>
    <w:rsid w:val="398A0566"/>
    <w:rsid w:val="39FDB3E6"/>
    <w:rsid w:val="3A03747A"/>
    <w:rsid w:val="3AD46C94"/>
    <w:rsid w:val="3B2220F5"/>
    <w:rsid w:val="3B9C1EA7"/>
    <w:rsid w:val="3BB25251"/>
    <w:rsid w:val="3BEC3E91"/>
    <w:rsid w:val="3C4A2E77"/>
    <w:rsid w:val="3CAA2526"/>
    <w:rsid w:val="3CC01BC6"/>
    <w:rsid w:val="3CDB69FF"/>
    <w:rsid w:val="3D295FC7"/>
    <w:rsid w:val="3D483969"/>
    <w:rsid w:val="3D6F02A8"/>
    <w:rsid w:val="3DB220AE"/>
    <w:rsid w:val="3E11351C"/>
    <w:rsid w:val="3EB7641E"/>
    <w:rsid w:val="3EBF4C09"/>
    <w:rsid w:val="3FAD0901"/>
    <w:rsid w:val="3FFEC0CA"/>
    <w:rsid w:val="3FFFFF9C"/>
    <w:rsid w:val="40630701"/>
    <w:rsid w:val="406F22C2"/>
    <w:rsid w:val="40EA7211"/>
    <w:rsid w:val="410E4669"/>
    <w:rsid w:val="41856F3A"/>
    <w:rsid w:val="41FFEB2B"/>
    <w:rsid w:val="420267DC"/>
    <w:rsid w:val="426B7E9F"/>
    <w:rsid w:val="426E5C20"/>
    <w:rsid w:val="42C7308A"/>
    <w:rsid w:val="43560B8E"/>
    <w:rsid w:val="43827F7D"/>
    <w:rsid w:val="43D57E59"/>
    <w:rsid w:val="44054362"/>
    <w:rsid w:val="449A20B2"/>
    <w:rsid w:val="44B22506"/>
    <w:rsid w:val="44BB4413"/>
    <w:rsid w:val="45132AAF"/>
    <w:rsid w:val="45442C68"/>
    <w:rsid w:val="45555D50"/>
    <w:rsid w:val="45C42324"/>
    <w:rsid w:val="460568A9"/>
    <w:rsid w:val="46517D32"/>
    <w:rsid w:val="467046AC"/>
    <w:rsid w:val="467C4DAF"/>
    <w:rsid w:val="469F5CBE"/>
    <w:rsid w:val="46AFF012"/>
    <w:rsid w:val="46DF70EC"/>
    <w:rsid w:val="49115557"/>
    <w:rsid w:val="49BC30A6"/>
    <w:rsid w:val="49FF5E8E"/>
    <w:rsid w:val="4A0D4219"/>
    <w:rsid w:val="4A471230"/>
    <w:rsid w:val="4A4C4A99"/>
    <w:rsid w:val="4B2C48CA"/>
    <w:rsid w:val="4B72052F"/>
    <w:rsid w:val="4BC01743"/>
    <w:rsid w:val="4BD016F9"/>
    <w:rsid w:val="4BFF14BF"/>
    <w:rsid w:val="4C215AB1"/>
    <w:rsid w:val="4CE01BC5"/>
    <w:rsid w:val="4D595B43"/>
    <w:rsid w:val="4E04568A"/>
    <w:rsid w:val="4EB82AC6"/>
    <w:rsid w:val="4F102E2A"/>
    <w:rsid w:val="4F710AFD"/>
    <w:rsid w:val="4FED7CB1"/>
    <w:rsid w:val="50E84DEF"/>
    <w:rsid w:val="514E65F3"/>
    <w:rsid w:val="518C1418"/>
    <w:rsid w:val="51957A2F"/>
    <w:rsid w:val="51A46F68"/>
    <w:rsid w:val="52A7218C"/>
    <w:rsid w:val="52C63420"/>
    <w:rsid w:val="532FCBF1"/>
    <w:rsid w:val="53A02A8C"/>
    <w:rsid w:val="53BE6CC6"/>
    <w:rsid w:val="53DF697E"/>
    <w:rsid w:val="5449029B"/>
    <w:rsid w:val="55743C08"/>
    <w:rsid w:val="56141D44"/>
    <w:rsid w:val="56554F4F"/>
    <w:rsid w:val="567E247E"/>
    <w:rsid w:val="5683549B"/>
    <w:rsid w:val="568D594C"/>
    <w:rsid w:val="569752EE"/>
    <w:rsid w:val="57250B4B"/>
    <w:rsid w:val="572A43B4"/>
    <w:rsid w:val="57AA1051"/>
    <w:rsid w:val="57D61E46"/>
    <w:rsid w:val="58234D9B"/>
    <w:rsid w:val="58271AF9"/>
    <w:rsid w:val="5859161A"/>
    <w:rsid w:val="589942D4"/>
    <w:rsid w:val="58BB2365"/>
    <w:rsid w:val="59044790"/>
    <w:rsid w:val="59222FE7"/>
    <w:rsid w:val="59E05591"/>
    <w:rsid w:val="59EE16C8"/>
    <w:rsid w:val="59FC7F8D"/>
    <w:rsid w:val="5B3471C4"/>
    <w:rsid w:val="5B3A1E6D"/>
    <w:rsid w:val="5B501F0F"/>
    <w:rsid w:val="5C12152B"/>
    <w:rsid w:val="5C82434A"/>
    <w:rsid w:val="5CD03307"/>
    <w:rsid w:val="5CFFEF19"/>
    <w:rsid w:val="5D0D5E29"/>
    <w:rsid w:val="5D517323"/>
    <w:rsid w:val="5E162F9C"/>
    <w:rsid w:val="5E227B93"/>
    <w:rsid w:val="5E4E24D9"/>
    <w:rsid w:val="5E8F2846"/>
    <w:rsid w:val="5EFF7292"/>
    <w:rsid w:val="5F7F22B4"/>
    <w:rsid w:val="5FA52B62"/>
    <w:rsid w:val="5FBF7663"/>
    <w:rsid w:val="5FC705D0"/>
    <w:rsid w:val="5FD21144"/>
    <w:rsid w:val="60193217"/>
    <w:rsid w:val="61D54F1C"/>
    <w:rsid w:val="61F357D0"/>
    <w:rsid w:val="6206764D"/>
    <w:rsid w:val="62614A02"/>
    <w:rsid w:val="630C7BFE"/>
    <w:rsid w:val="63EFBF97"/>
    <w:rsid w:val="64D7780F"/>
    <w:rsid w:val="64F94633"/>
    <w:rsid w:val="650A48DD"/>
    <w:rsid w:val="654C25BE"/>
    <w:rsid w:val="66C50451"/>
    <w:rsid w:val="66F39DF2"/>
    <w:rsid w:val="685A617B"/>
    <w:rsid w:val="68691940"/>
    <w:rsid w:val="68996CA3"/>
    <w:rsid w:val="68D819B5"/>
    <w:rsid w:val="69201173"/>
    <w:rsid w:val="697C221C"/>
    <w:rsid w:val="697D70FF"/>
    <w:rsid w:val="6A531768"/>
    <w:rsid w:val="6AC73777"/>
    <w:rsid w:val="6BD305E3"/>
    <w:rsid w:val="6BF72F12"/>
    <w:rsid w:val="6C08533F"/>
    <w:rsid w:val="6CFB3D40"/>
    <w:rsid w:val="6D6EA022"/>
    <w:rsid w:val="6DB85E1E"/>
    <w:rsid w:val="6DDF784E"/>
    <w:rsid w:val="6DF535A9"/>
    <w:rsid w:val="6E3F4972"/>
    <w:rsid w:val="6E587601"/>
    <w:rsid w:val="6E804461"/>
    <w:rsid w:val="6EFF969B"/>
    <w:rsid w:val="6F2923F8"/>
    <w:rsid w:val="6F576B63"/>
    <w:rsid w:val="6F857FA1"/>
    <w:rsid w:val="6F9B1553"/>
    <w:rsid w:val="6FC91FCB"/>
    <w:rsid w:val="6FDFFFA3"/>
    <w:rsid w:val="6FE01CDA"/>
    <w:rsid w:val="6FE82659"/>
    <w:rsid w:val="70303BE2"/>
    <w:rsid w:val="70CC1BE0"/>
    <w:rsid w:val="71B608C6"/>
    <w:rsid w:val="71E221A3"/>
    <w:rsid w:val="71E96CC6"/>
    <w:rsid w:val="71FB452B"/>
    <w:rsid w:val="720E5A2E"/>
    <w:rsid w:val="72163ADF"/>
    <w:rsid w:val="722C0861"/>
    <w:rsid w:val="727B1935"/>
    <w:rsid w:val="72EE452A"/>
    <w:rsid w:val="73131A58"/>
    <w:rsid w:val="73777420"/>
    <w:rsid w:val="737E3CDD"/>
    <w:rsid w:val="73D52539"/>
    <w:rsid w:val="7496678D"/>
    <w:rsid w:val="74C06154"/>
    <w:rsid w:val="74F11C15"/>
    <w:rsid w:val="74FD05BA"/>
    <w:rsid w:val="753BEA96"/>
    <w:rsid w:val="758A62EE"/>
    <w:rsid w:val="75AB4756"/>
    <w:rsid w:val="75DF7368"/>
    <w:rsid w:val="75E52236"/>
    <w:rsid w:val="75F67CBF"/>
    <w:rsid w:val="760360A4"/>
    <w:rsid w:val="76473644"/>
    <w:rsid w:val="765C4DEB"/>
    <w:rsid w:val="76AF1D88"/>
    <w:rsid w:val="76AF8915"/>
    <w:rsid w:val="777F6677"/>
    <w:rsid w:val="77B5517C"/>
    <w:rsid w:val="77C974E4"/>
    <w:rsid w:val="78133A9B"/>
    <w:rsid w:val="78931961"/>
    <w:rsid w:val="78E421BD"/>
    <w:rsid w:val="79AC3A93"/>
    <w:rsid w:val="79B5EC32"/>
    <w:rsid w:val="7A5B7206"/>
    <w:rsid w:val="7A755D47"/>
    <w:rsid w:val="7B473F36"/>
    <w:rsid w:val="7BCF0D64"/>
    <w:rsid w:val="7BEC5E1F"/>
    <w:rsid w:val="7BFA1CF7"/>
    <w:rsid w:val="7BFF193A"/>
    <w:rsid w:val="7D103D0F"/>
    <w:rsid w:val="7D6FC1BD"/>
    <w:rsid w:val="7D7F0706"/>
    <w:rsid w:val="7DAB14FB"/>
    <w:rsid w:val="7DFA176A"/>
    <w:rsid w:val="7DFD6C02"/>
    <w:rsid w:val="7E1E4A86"/>
    <w:rsid w:val="7E3669A6"/>
    <w:rsid w:val="7E43528E"/>
    <w:rsid w:val="7E974A92"/>
    <w:rsid w:val="7E9F9408"/>
    <w:rsid w:val="7EAFDB5E"/>
    <w:rsid w:val="7ECE4F42"/>
    <w:rsid w:val="7EDFC3C8"/>
    <w:rsid w:val="7EEA75C6"/>
    <w:rsid w:val="7EF26CB5"/>
    <w:rsid w:val="7F43E560"/>
    <w:rsid w:val="7F67E8D3"/>
    <w:rsid w:val="7F7678E7"/>
    <w:rsid w:val="7F83B7D0"/>
    <w:rsid w:val="7FA2248A"/>
    <w:rsid w:val="7FA75CF2"/>
    <w:rsid w:val="7FAD748A"/>
    <w:rsid w:val="7FEE8401"/>
    <w:rsid w:val="7FFCAB56"/>
    <w:rsid w:val="7FFECF05"/>
    <w:rsid w:val="7FFFEC59"/>
    <w:rsid w:val="93EFF4B1"/>
    <w:rsid w:val="9BFB6659"/>
    <w:rsid w:val="9CBFF77B"/>
    <w:rsid w:val="9F7F8613"/>
    <w:rsid w:val="A9F73061"/>
    <w:rsid w:val="B3FB7BC8"/>
    <w:rsid w:val="B7FB28BC"/>
    <w:rsid w:val="B7FF1C06"/>
    <w:rsid w:val="BAED029E"/>
    <w:rsid w:val="BB3B7041"/>
    <w:rsid w:val="BB6D3426"/>
    <w:rsid w:val="BBFF85C1"/>
    <w:rsid w:val="C7C5A47E"/>
    <w:rsid w:val="CFFAE2D4"/>
    <w:rsid w:val="D75C4D42"/>
    <w:rsid w:val="D9DF5DEE"/>
    <w:rsid w:val="DAEE7CCA"/>
    <w:rsid w:val="DDF910C4"/>
    <w:rsid w:val="DFE7D125"/>
    <w:rsid w:val="E6FB4DB5"/>
    <w:rsid w:val="E75B2ECA"/>
    <w:rsid w:val="E75EF678"/>
    <w:rsid w:val="EB677625"/>
    <w:rsid w:val="EDE5C4B0"/>
    <w:rsid w:val="EEBCE255"/>
    <w:rsid w:val="EEF6B7FD"/>
    <w:rsid w:val="EF7AFACD"/>
    <w:rsid w:val="EFAD855A"/>
    <w:rsid w:val="EFF7BD68"/>
    <w:rsid w:val="F1F71315"/>
    <w:rsid w:val="F5B92F95"/>
    <w:rsid w:val="F5F71954"/>
    <w:rsid w:val="F6D79EA8"/>
    <w:rsid w:val="F74F6B6E"/>
    <w:rsid w:val="F7DF035B"/>
    <w:rsid w:val="F7FF9EFC"/>
    <w:rsid w:val="FBEFF6ED"/>
    <w:rsid w:val="FC975CF3"/>
    <w:rsid w:val="FD7DB8B9"/>
    <w:rsid w:val="FDFEE9B4"/>
    <w:rsid w:val="FDFFAB57"/>
    <w:rsid w:val="FEBEB3CC"/>
    <w:rsid w:val="FEF79072"/>
    <w:rsid w:val="FEFA9614"/>
    <w:rsid w:val="FEFB955A"/>
    <w:rsid w:val="FF3FB5B7"/>
    <w:rsid w:val="FF63FB20"/>
    <w:rsid w:val="FF71DE0F"/>
    <w:rsid w:val="FF77100A"/>
    <w:rsid w:val="FF9F2033"/>
    <w:rsid w:val="FFBF3F99"/>
    <w:rsid w:val="FFFEA5B1"/>
    <w:rsid w:val="FFFFD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EastAsia" w:cstheme="minorBidi"/>
      <w:kern w:val="0"/>
      <w:sz w:val="22"/>
      <w:szCs w:val="22"/>
      <w:lang w:val="en-US" w:eastAsia="en-US" w:bidi="ar-SA"/>
    </w:rPr>
  </w:style>
  <w:style w:type="paragraph" w:styleId="3">
    <w:name w:val="heading 2"/>
    <w:basedOn w:val="1"/>
    <w:next w:val="1"/>
    <w:link w:val="18"/>
    <w:qFormat/>
    <w:uiPriority w:val="1"/>
    <w:pPr>
      <w:spacing w:line="479" w:lineRule="exact"/>
      <w:outlineLvl w:val="1"/>
    </w:pPr>
    <w:rPr>
      <w:rFonts w:ascii="Microsoft YaHei UI" w:hAnsi="Microsoft YaHei UI" w:eastAsia="Microsoft YaHei UI"/>
      <w:spacing w:val="2"/>
      <w:sz w:val="32"/>
      <w:szCs w:val="32"/>
      <w:lang w:eastAsia="zh-CN"/>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ascii="宋体" w:hAnsi="Courier New" w:cs="Courier New"/>
      <w:szCs w:val="21"/>
    </w:rPr>
  </w:style>
  <w:style w:type="paragraph" w:styleId="4">
    <w:name w:val="annotation text"/>
    <w:basedOn w:val="1"/>
    <w:semiHidden/>
    <w:unhideWhenUsed/>
    <w:qFormat/>
    <w:uiPriority w:val="99"/>
    <w:pPr>
      <w:jc w:val="left"/>
    </w:pPr>
  </w:style>
  <w:style w:type="paragraph" w:styleId="5">
    <w:name w:val="Body Text"/>
    <w:basedOn w:val="1"/>
    <w:next w:val="1"/>
    <w:link w:val="20"/>
    <w:qFormat/>
    <w:uiPriority w:val="1"/>
    <w:pPr>
      <w:ind w:firstLine="200" w:firstLineChars="200"/>
      <w:jc w:val="both"/>
    </w:pPr>
    <w:rPr>
      <w:rFonts w:ascii="Microsoft YaHei UI" w:hAnsi="Microsoft YaHei UI" w:eastAsia="Microsoft YaHei UI"/>
      <w:sz w:val="21"/>
      <w:szCs w:val="21"/>
    </w:rPr>
  </w:style>
  <w:style w:type="paragraph" w:styleId="6">
    <w:name w:val="toc 3"/>
    <w:basedOn w:val="1"/>
    <w:next w:val="1"/>
    <w:unhideWhenUsed/>
    <w:qFormat/>
    <w:uiPriority w:val="39"/>
    <w:pPr>
      <w:widowControl/>
      <w:spacing w:after="100" w:line="259" w:lineRule="auto"/>
      <w:ind w:left="440"/>
    </w:pPr>
    <w:rPr>
      <w:rFonts w:cs="Times New Roman"/>
      <w:lang w:eastAsia="zh-CN"/>
    </w:rPr>
  </w:style>
  <w:style w:type="paragraph" w:styleId="7">
    <w:name w:val="footer"/>
    <w:basedOn w:val="1"/>
    <w:link w:val="25"/>
    <w:unhideWhenUsed/>
    <w:qFormat/>
    <w:uiPriority w:val="99"/>
    <w:pPr>
      <w:tabs>
        <w:tab w:val="center" w:pos="4153"/>
        <w:tab w:val="right" w:pos="8306"/>
      </w:tabs>
      <w:snapToGrid w:val="0"/>
    </w:pPr>
    <w:rPr>
      <w:sz w:val="18"/>
      <w:szCs w:val="18"/>
    </w:rPr>
  </w:style>
  <w:style w:type="paragraph" w:styleId="8">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59" w:lineRule="auto"/>
    </w:pPr>
    <w:rPr>
      <w:rFonts w:cs="Times New Roman"/>
      <w:lang w:eastAsia="zh-CN"/>
    </w:rPr>
  </w:style>
  <w:style w:type="paragraph" w:styleId="10">
    <w:name w:val="toc 2"/>
    <w:basedOn w:val="1"/>
    <w:next w:val="1"/>
    <w:semiHidden/>
    <w:unhideWhenUsed/>
    <w:qFormat/>
    <w:uiPriority w:val="39"/>
    <w:pPr>
      <w:ind w:left="420" w:leftChars="200"/>
    </w:pPr>
  </w:style>
  <w:style w:type="paragraph" w:styleId="11">
    <w:name w:val="Normal (Web)"/>
    <w:basedOn w:val="1"/>
    <w:semiHidden/>
    <w:unhideWhenUsed/>
    <w:qFormat/>
    <w:uiPriority w:val="99"/>
    <w:rPr>
      <w:sz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rPr>
  </w:style>
  <w:style w:type="paragraph" w:customStyle="1" w:styleId="16">
    <w:name w:val="默认段落字体 Para Char"/>
    <w:basedOn w:val="17"/>
    <w:qFormat/>
    <w:uiPriority w:val="0"/>
    <w:pPr>
      <w:adjustRightInd/>
      <w:snapToGrid/>
      <w:spacing w:line="360" w:lineRule="auto"/>
    </w:pPr>
    <w:rPr>
      <w:rFonts w:ascii="Times New Roman" w:hAnsi="Times New Roman"/>
      <w:kern w:val="2"/>
      <w:szCs w:val="20"/>
    </w:rPr>
  </w:style>
  <w:style w:type="paragraph" w:customStyle="1" w:styleId="17">
    <w:name w:val="Normal_0"/>
    <w:next w:val="16"/>
    <w:qFormat/>
    <w:uiPriority w:val="0"/>
    <w:pPr>
      <w:widowControl w:val="0"/>
      <w:jc w:val="both"/>
    </w:pPr>
    <w:rPr>
      <w:rFonts w:ascii="Calibri" w:hAnsi="Calibri" w:eastAsia="宋体" w:cs="Times New Roman"/>
      <w:kern w:val="2"/>
      <w:sz w:val="21"/>
      <w:szCs w:val="22"/>
      <w:lang w:val="en-US" w:eastAsia="zh-CN" w:bidi="ar-SA"/>
    </w:rPr>
  </w:style>
  <w:style w:type="character" w:customStyle="1" w:styleId="18">
    <w:name w:val="标题 2 Char"/>
    <w:basedOn w:val="14"/>
    <w:link w:val="3"/>
    <w:qFormat/>
    <w:uiPriority w:val="1"/>
    <w:rPr>
      <w:rFonts w:ascii="Microsoft YaHei UI" w:hAnsi="Microsoft YaHei UI" w:eastAsia="Microsoft YaHei UI"/>
      <w:spacing w:val="2"/>
      <w:kern w:val="0"/>
      <w:sz w:val="32"/>
      <w:szCs w:val="32"/>
    </w:rPr>
  </w:style>
  <w:style w:type="table" w:customStyle="1" w:styleId="19">
    <w:name w:val="Table Normal"/>
    <w:semiHidden/>
    <w:unhideWhenUsed/>
    <w:qFormat/>
    <w:uiPriority w:val="2"/>
    <w:pPr>
      <w:widowControl w:val="0"/>
    </w:pPr>
    <w:rPr>
      <w:kern w:val="0"/>
      <w:sz w:val="22"/>
      <w:lang w:eastAsia="en-US"/>
    </w:rPr>
    <w:tblPr>
      <w:tblCellMar>
        <w:top w:w="0" w:type="dxa"/>
        <w:left w:w="0" w:type="dxa"/>
        <w:bottom w:w="0" w:type="dxa"/>
        <w:right w:w="0" w:type="dxa"/>
      </w:tblCellMar>
    </w:tblPr>
  </w:style>
  <w:style w:type="character" w:customStyle="1" w:styleId="20">
    <w:name w:val="正文文本 Char"/>
    <w:basedOn w:val="14"/>
    <w:link w:val="5"/>
    <w:qFormat/>
    <w:uiPriority w:val="1"/>
    <w:rPr>
      <w:rFonts w:ascii="Microsoft YaHei UI" w:hAnsi="Microsoft YaHei UI" w:eastAsia="Microsoft YaHei UI"/>
      <w:kern w:val="0"/>
      <w:szCs w:val="21"/>
      <w:lang w:eastAsia="en-US"/>
    </w:rPr>
  </w:style>
  <w:style w:type="paragraph" w:customStyle="1" w:styleId="21">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Table Paragraph"/>
    <w:basedOn w:val="1"/>
    <w:qFormat/>
    <w:uiPriority w:val="1"/>
  </w:style>
  <w:style w:type="paragraph" w:customStyle="1" w:styleId="23">
    <w:name w:val="Default"/>
    <w:qFormat/>
    <w:uiPriority w:val="0"/>
    <w:pPr>
      <w:widowControl w:val="0"/>
      <w:autoSpaceDE w:val="0"/>
      <w:autoSpaceDN w:val="0"/>
      <w:adjustRightInd w:val="0"/>
    </w:pPr>
    <w:rPr>
      <w:rFonts w:ascii="宋体" w:eastAsia="宋体" w:cs="宋体" w:hAnsiTheme="minorHAnsi"/>
      <w:color w:val="000000"/>
      <w:kern w:val="0"/>
      <w:sz w:val="24"/>
      <w:szCs w:val="24"/>
      <w:lang w:val="en-US" w:eastAsia="zh-CN" w:bidi="ar-SA"/>
    </w:rPr>
  </w:style>
  <w:style w:type="character" w:customStyle="1" w:styleId="24">
    <w:name w:val="页眉 Char"/>
    <w:basedOn w:val="14"/>
    <w:link w:val="8"/>
    <w:qFormat/>
    <w:uiPriority w:val="99"/>
    <w:rPr>
      <w:kern w:val="0"/>
      <w:sz w:val="18"/>
      <w:szCs w:val="18"/>
      <w:lang w:eastAsia="en-US"/>
    </w:rPr>
  </w:style>
  <w:style w:type="character" w:customStyle="1" w:styleId="25">
    <w:name w:val="页脚 Char"/>
    <w:basedOn w:val="14"/>
    <w:link w:val="7"/>
    <w:qFormat/>
    <w:uiPriority w:val="99"/>
    <w:rPr>
      <w:kern w:val="0"/>
      <w:sz w:val="18"/>
      <w:szCs w:val="18"/>
      <w:lang w:eastAsia="en-US"/>
    </w:rPr>
  </w:style>
  <w:style w:type="paragraph" w:styleId="26">
    <w:name w:val="List Paragraph"/>
    <w:basedOn w:val="1"/>
    <w:qFormat/>
    <w:uiPriority w:val="34"/>
    <w:pPr>
      <w:ind w:firstLine="420" w:firstLineChars="200"/>
      <w:jc w:val="both"/>
    </w:pPr>
    <w:rPr>
      <w:kern w:val="2"/>
      <w:sz w:val="21"/>
      <w:lang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2642</Words>
  <Characters>3870</Characters>
  <Lines>7</Lines>
  <Paragraphs>2</Paragraphs>
  <TotalTime>236</TotalTime>
  <ScaleCrop>false</ScaleCrop>
  <LinksUpToDate>false</LinksUpToDate>
  <CharactersWithSpaces>4029</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2019-10-05T11:31:00Z</dcterms:created>
  <dc:creator>王琴</dc:creator>
  <cp:lastModifiedBy>董文松</cp:lastModifiedBy>
  <cp:lastPrinted>2025-12-17T00:51:00Z</cp:lastPrinted>
  <dcterms:modified xsi:type="dcterms:W3CDTF">2026-06-01T06:23:51Z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9B8B5A2027C2461EB24105A60BB012E7</vt:lpwstr>
  </property>
  <property fmtid="{D5CDD505-2E9C-101B-9397-08002B2CF9AE}" pid="4" name="KSOTemplateDocerSaveRecord">
    <vt:lpwstr>eyJoZGlkIjoiOTJhYzdmNDhmMTQwMDYwMTY2ZWVhYTUxYjg1ZmE2OWMiLCJ1c2VySWQiOiI2MjkzNzA4MjkifQ==</vt:lpwstr>
  </property>
</Properties>
</file>