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jc w:val="center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jc w:val="center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jc w:val="center"/>
        <w:rPr>
          <w:rFonts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</w:pPr>
      <w:r>
        <w:rPr>
          <w:rFonts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  <w:drawing>
          <wp:inline distT="0" distB="0" distL="0" distR="0">
            <wp:extent cx="1799590" cy="1619885"/>
            <wp:effectExtent l="0" t="0" r="10160" b="1841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</w:pPr>
    </w:p>
    <w:p>
      <w:pPr>
        <w:pStyle w:val="2"/>
        <w:rPr>
          <w:rFonts w:hint="eastAsia" w:cs="Arial Unicode MS" w:asciiTheme="minorEastAsia" w:hAnsiTheme="minorEastAsia"/>
          <w:b/>
          <w:spacing w:val="2"/>
          <w:w w:val="99"/>
          <w:sz w:val="52"/>
          <w:szCs w:val="52"/>
          <w:lang w:eastAsia="zh-CN"/>
        </w:rPr>
      </w:pPr>
    </w:p>
    <w:p>
      <w:pPr>
        <w:kinsoku/>
        <w:wordWrap/>
        <w:overflowPunct/>
        <w:topLinePunct w:val="0"/>
        <w:autoSpaceDE w:val="0"/>
        <w:autoSpaceDN w:val="0"/>
        <w:bidi w:val="0"/>
        <w:spacing w:before="120" w:after="120" w:line="360" w:lineRule="auto"/>
        <w:ind w:right="-20"/>
        <w:rPr>
          <w:rFonts w:hint="eastAsia" w:asciiTheme="minorEastAsia" w:hAnsiTheme="minorEastAsia" w:eastAsiaTheme="minorEastAsia" w:cstheme="minorEastAsia"/>
          <w:b/>
          <w:spacing w:val="2"/>
          <w:w w:val="99"/>
          <w:kern w:val="0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eastAsia="zh-CN"/>
        </w:rPr>
      </w:pPr>
      <w:r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eastAsia="zh-CN"/>
        </w:rPr>
        <w:t>中海油能源发展股份有限公司</w:t>
      </w:r>
    </w:p>
    <w:p>
      <w:pPr>
        <w:pStyle w:val="2"/>
        <w:jc w:val="center"/>
        <w:rPr>
          <w:rFonts w:hint="default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 w:bidi="ar-SA"/>
        </w:rPr>
      </w:pPr>
      <w:r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/>
        </w:rPr>
        <w:t>采购商务建议书</w:t>
      </w:r>
    </w:p>
    <w:p>
      <w:pPr>
        <w:pStyle w:val="2"/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 w:bidi="ar-SA"/>
        </w:rPr>
      </w:pPr>
    </w:p>
    <w:p>
      <w:pPr>
        <w:pStyle w:val="2"/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 w:bidi="ar-SA"/>
        </w:rPr>
      </w:pPr>
    </w:p>
    <w:p>
      <w:pPr>
        <w:pStyle w:val="2"/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 w:bidi="ar-SA"/>
        </w:rPr>
      </w:pPr>
    </w:p>
    <w:p>
      <w:pPr>
        <w:pStyle w:val="2"/>
        <w:jc w:val="center"/>
        <w:rPr>
          <w:rFonts w:hint="eastAsia" w:ascii="微软雅黑" w:hAnsi="微软雅黑" w:eastAsia="微软雅黑" w:cs="Arial Unicode MS"/>
          <w:b/>
          <w:color w:val="000000"/>
          <w:spacing w:val="2"/>
          <w:w w:val="99"/>
          <w:kern w:val="0"/>
          <w:sz w:val="52"/>
          <w:szCs w:val="52"/>
          <w:lang w:val="en-US" w:eastAsia="zh-CN" w:bidi="ar-SA"/>
        </w:rPr>
      </w:pPr>
    </w:p>
    <w:p>
      <w:pPr>
        <w:pStyle w:val="2"/>
        <w:jc w:val="left"/>
        <w:rPr>
          <w:rFonts w:hint="eastAsia" w:ascii="宋体" w:hAnsi="宋体" w:eastAsia="宋体" w:cs="宋体"/>
          <w:b w:val="0"/>
          <w:bCs/>
          <w:color w:val="000000"/>
          <w:spacing w:val="2"/>
          <w:w w:val="99"/>
          <w:kern w:val="0"/>
          <w:sz w:val="21"/>
          <w:szCs w:val="21"/>
          <w:lang w:val="en-US" w:eastAsia="zh-CN" w:bidi="ar-SA"/>
        </w:rPr>
      </w:pPr>
    </w:p>
    <w:p>
      <w:pPr>
        <w:pStyle w:val="2"/>
        <w:jc w:val="left"/>
        <w:rPr>
          <w:rFonts w:hint="eastAsia" w:ascii="宋体" w:hAnsi="宋体" w:eastAsia="宋体" w:cs="宋体"/>
          <w:b w:val="0"/>
          <w:bCs/>
          <w:color w:val="000000"/>
          <w:spacing w:val="2"/>
          <w:w w:val="99"/>
          <w:kern w:val="0"/>
          <w:sz w:val="21"/>
          <w:szCs w:val="21"/>
          <w:lang w:val="en-US" w:eastAsia="zh-CN" w:bidi="ar-SA"/>
        </w:rPr>
      </w:pPr>
    </w:p>
    <w:p>
      <w:pPr>
        <w:pStyle w:val="2"/>
        <w:jc w:val="center"/>
        <w:rPr>
          <w:rFonts w:hint="eastAsia" w:ascii="黑体" w:hAnsi="黑体" w:eastAsia="黑体" w:cstheme="majorBidi"/>
          <w:color w:val="auto"/>
          <w:kern w:val="0"/>
          <w:sz w:val="32"/>
          <w:szCs w:val="32"/>
          <w:highlight w:val="none"/>
          <w:lang w:val="zh-CN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default" w:ascii="宋体" w:hAnsi="宋体" w:eastAsia="宋体" w:cs="宋体"/>
          <w:b w:val="0"/>
          <w:bCs w:val="0"/>
          <w:kern w:val="0"/>
          <w:sz w:val="21"/>
          <w:szCs w:val="21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spacing w:line="360" w:lineRule="auto"/>
        <w:jc w:val="both"/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auto"/>
          <w:sz w:val="32"/>
          <w:szCs w:val="32"/>
          <w:highlight w:val="none"/>
          <w:lang w:val="en-US" w:eastAsia="zh-CN"/>
        </w:rPr>
        <w:t>商务标准应用概述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本项目无相关标准。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注：商务要求中纳入采购评议条款项需进行标记，其中关键条款使用★标记，一般条款使用■标记，其他条款无需标记。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80" w:firstLineChars="200"/>
        <w:jc w:val="both"/>
        <w:outlineLvl w:val="0"/>
        <w:rPr>
          <w:rFonts w:hint="default" w:ascii="宋体" w:hAnsi="宋体" w:eastAsia="宋体" w:cs="宋体"/>
          <w:b w:val="0"/>
          <w:bCs w:val="0"/>
          <w:color w:val="auto"/>
          <w:kern w:val="44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44"/>
          <w:sz w:val="24"/>
          <w:szCs w:val="24"/>
          <w:highlight w:val="none"/>
          <w:lang w:val="en-US" w:eastAsia="zh-CN"/>
        </w:rPr>
        <w:t>评审标准如下：</w:t>
      </w:r>
    </w:p>
    <w:tbl>
      <w:tblPr>
        <w:tblStyle w:val="8"/>
        <w:tblW w:w="95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337"/>
        <w:gridCol w:w="60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评审因素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评审项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44"/>
                <w:sz w:val="24"/>
                <w:szCs w:val="24"/>
                <w:highlight w:val="none"/>
                <w:lang w:val="en-US" w:eastAsia="zh-CN"/>
              </w:rPr>
              <w:t>商务资质要求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44"/>
                <w:sz w:val="24"/>
                <w:szCs w:val="24"/>
                <w:highlight w:val="none"/>
                <w:lang w:val="en-US" w:eastAsia="zh-CN"/>
              </w:rPr>
              <w:t>资格条件要求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360" w:lineRule="auto"/>
              <w:ind w:left="0" w:firstLine="0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1）营业执照：应答人具有合法有效的企业法人营业执照、税务登记证及组织机构代码证 或证照合一的营业执照，投标时需提供原件扫描件（原件备查）。应答人为事业单位的，应具有合法有效的事业单位法人证书，投标时需提供原件扫描件（原件备查）。应答人为分公司的，应具有合法有效的营业执照和上级法人单位授权书，分公司与上级法人单位只可一家参与投标，同时参与投标的，投标均无效；2）法定代表人（单位负责人）身份证明；3）法定代表人授权委托书（如涉及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44"/>
                <w:sz w:val="24"/>
                <w:szCs w:val="24"/>
                <w:highlight w:val="none"/>
                <w:lang w:val="en-US" w:eastAsia="zh-CN"/>
              </w:rPr>
              <w:t>业绩条件要求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44"/>
                <w:sz w:val="24"/>
                <w:szCs w:val="24"/>
                <w:highlight w:val="none"/>
                <w:lang w:val="en-US" w:eastAsia="zh-CN"/>
              </w:rPr>
              <w:t>财务条件要求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4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制造商、代理商、贸易商要求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本次采购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仅允许制造商参与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4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付款方式要求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货到验收合格后、收到发票及所有验收材料之日起60天付银行电汇或银行承兑（如付款到期日为非银行工作日，则付款到期日顺延至下一个银行工作日）。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其他特殊要求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签署浮动价格条款：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P1=PX*0.55+(P-P0*0.55)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P1=订单最终单价；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PX=订单提交前一工作日上海有色金属网，SMM 0#锌锭，锌含量不小于99.995%，上海地区的价格；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P=中标供应商报价；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P0=发标前一工作日上海有色金属网，SMM 0#锌锭，锌含量不小于99.995%，上海地区的价格（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-SA"/>
              </w:rPr>
              <w:t>合同中需注明P和P0的具体数据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■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质量保证</w:t>
            </w:r>
          </w:p>
        </w:tc>
        <w:tc>
          <w:tcPr>
            <w:tcW w:w="6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1）到货验收不合格，无条件退换货；2）订单下达后72小时内交货，卖方如不能按期履行订单，根据合同条款和供应商履约异常处罚方式的相应条款处理。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spacing w:line="48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kern w:val="44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44"/>
          <w:sz w:val="24"/>
          <w:szCs w:val="24"/>
          <w:highlight w:val="none"/>
          <w:lang w:val="en-US" w:eastAsia="zh-CN" w:bidi="ar-SA"/>
        </w:rPr>
        <w:t xml:space="preserve">                                             编制人：</w:t>
      </w:r>
    </w:p>
    <w:p>
      <w:pPr>
        <w:pStyle w:val="2"/>
        <w:widowControl w:val="0"/>
        <w:numPr>
          <w:ilvl w:val="0"/>
          <w:numId w:val="0"/>
        </w:numPr>
        <w:snapToGrid w:val="0"/>
        <w:spacing w:line="480" w:lineRule="auto"/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44"/>
          <w:sz w:val="24"/>
          <w:szCs w:val="24"/>
          <w:highlight w:val="none"/>
          <w:lang w:val="en-US" w:eastAsia="zh-CN" w:bidi="ar-SA"/>
        </w:rPr>
        <w:t xml:space="preserve">                                             审核人：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A2985"/>
    <w:rsid w:val="008B564A"/>
    <w:rsid w:val="025B1C2C"/>
    <w:rsid w:val="02BA64F9"/>
    <w:rsid w:val="055474A4"/>
    <w:rsid w:val="0675366A"/>
    <w:rsid w:val="0A0C12F1"/>
    <w:rsid w:val="0BEE2322"/>
    <w:rsid w:val="0D8C2FB8"/>
    <w:rsid w:val="11A35F97"/>
    <w:rsid w:val="129F24AD"/>
    <w:rsid w:val="12A169E7"/>
    <w:rsid w:val="12DA1E22"/>
    <w:rsid w:val="12DB004A"/>
    <w:rsid w:val="137F2EB9"/>
    <w:rsid w:val="13B0325D"/>
    <w:rsid w:val="15262A88"/>
    <w:rsid w:val="169F5A6E"/>
    <w:rsid w:val="1A8628A6"/>
    <w:rsid w:val="1AC629FA"/>
    <w:rsid w:val="1AFA092E"/>
    <w:rsid w:val="1EC609AC"/>
    <w:rsid w:val="1F936DDB"/>
    <w:rsid w:val="20254BF3"/>
    <w:rsid w:val="21EC09D8"/>
    <w:rsid w:val="22557968"/>
    <w:rsid w:val="231D0753"/>
    <w:rsid w:val="24945554"/>
    <w:rsid w:val="24E707BB"/>
    <w:rsid w:val="29087430"/>
    <w:rsid w:val="29A11FDA"/>
    <w:rsid w:val="2BBD2276"/>
    <w:rsid w:val="2D531483"/>
    <w:rsid w:val="2E316055"/>
    <w:rsid w:val="30BF14CA"/>
    <w:rsid w:val="31182667"/>
    <w:rsid w:val="314B0997"/>
    <w:rsid w:val="319B536A"/>
    <w:rsid w:val="37E167BB"/>
    <w:rsid w:val="391A2985"/>
    <w:rsid w:val="396160F0"/>
    <w:rsid w:val="39A04032"/>
    <w:rsid w:val="3B060755"/>
    <w:rsid w:val="3B8D3A85"/>
    <w:rsid w:val="3BCD0F21"/>
    <w:rsid w:val="3DF13A2A"/>
    <w:rsid w:val="40064EBA"/>
    <w:rsid w:val="408A1898"/>
    <w:rsid w:val="409A0B88"/>
    <w:rsid w:val="40D30FE4"/>
    <w:rsid w:val="41242FA8"/>
    <w:rsid w:val="41E1016B"/>
    <w:rsid w:val="43BB4E1D"/>
    <w:rsid w:val="450E6E58"/>
    <w:rsid w:val="451574E7"/>
    <w:rsid w:val="464F4D41"/>
    <w:rsid w:val="48E92029"/>
    <w:rsid w:val="49842E4B"/>
    <w:rsid w:val="498D0F3C"/>
    <w:rsid w:val="498F2293"/>
    <w:rsid w:val="4A4D1CB1"/>
    <w:rsid w:val="4B3C3F80"/>
    <w:rsid w:val="4C391AED"/>
    <w:rsid w:val="4CC20A7E"/>
    <w:rsid w:val="519F295B"/>
    <w:rsid w:val="52110875"/>
    <w:rsid w:val="54CA432C"/>
    <w:rsid w:val="571C1D42"/>
    <w:rsid w:val="57564A93"/>
    <w:rsid w:val="5883486E"/>
    <w:rsid w:val="58D822A3"/>
    <w:rsid w:val="59674EA7"/>
    <w:rsid w:val="5B237853"/>
    <w:rsid w:val="5B78387C"/>
    <w:rsid w:val="5D1742B2"/>
    <w:rsid w:val="60C37E4F"/>
    <w:rsid w:val="64133FF2"/>
    <w:rsid w:val="6827036C"/>
    <w:rsid w:val="6C963171"/>
    <w:rsid w:val="704C6726"/>
    <w:rsid w:val="74F32122"/>
    <w:rsid w:val="758D5E8C"/>
    <w:rsid w:val="75A40540"/>
    <w:rsid w:val="75EA3266"/>
    <w:rsid w:val="78DA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next w:val="1"/>
    <w:qFormat/>
    <w:uiPriority w:val="1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customStyle="1" w:styleId="10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1">
    <w:name w:val="前言、引言标题"/>
    <w:next w:val="12"/>
    <w:qFormat/>
    <w:uiPriority w:val="0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2">
    <w:name w:val="段"/>
    <w:qFormat/>
    <w:uiPriority w:val="0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">
    <w:name w:val="Table Paragraph"/>
    <w:basedOn w:val="1"/>
    <w:qFormat/>
    <w:uiPriority w:val="0"/>
    <w:pPr>
      <w:jc w:val="left"/>
    </w:pPr>
    <w:rPr>
      <w:kern w:val="0"/>
      <w:sz w:val="22"/>
      <w:lang w:eastAsia="en-US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2024-04-23T01:38:00Z</dcterms:created>
  <dc:creator>辛俊</dc:creator>
  <cp:lastModifiedBy>左慧明</cp:lastModifiedBy>
  <cp:lastPrinted>2024-05-15T05:41:00Z</cp:lastPrinted>
  <dcterms:modified xsi:type="dcterms:W3CDTF">2026-09-11T06:57:03Z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1D67DAB5ECAC47D48632DD4494EC3F55</vt:lpwstr>
  </property>
</Properties>
</file>