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highlight w:val="none"/>
          <w:lang w:val="en-US" w:eastAsia="zh-CN"/>
        </w:rPr>
      </w:pPr>
      <w:r>
        <w:rPr>
          <w:rFonts w:hint="eastAsia"/>
          <w:b/>
          <w:bCs/>
          <w:sz w:val="32"/>
          <w:szCs w:val="32"/>
          <w:highlight w:val="none"/>
          <w:lang w:val="en-US" w:eastAsia="zh-CN"/>
        </w:rPr>
        <w:t>中海油服辐射工作场所监测服务年度协议项目</w:t>
      </w:r>
    </w:p>
    <w:p>
      <w:pPr>
        <w:jc w:val="center"/>
        <w:rPr>
          <w:rFonts w:hint="eastAsia"/>
          <w:b/>
          <w:bCs/>
          <w:sz w:val="32"/>
          <w:szCs w:val="32"/>
          <w:highlight w:val="none"/>
          <w:lang w:val="en-US" w:eastAsia="zh-CN"/>
        </w:rPr>
      </w:pPr>
      <w:r>
        <w:rPr>
          <w:rFonts w:hint="eastAsia"/>
          <w:b/>
          <w:bCs/>
          <w:sz w:val="32"/>
          <w:szCs w:val="32"/>
          <w:highlight w:val="none"/>
          <w:lang w:val="en-US" w:eastAsia="zh-CN"/>
        </w:rPr>
        <w:t>外部直接采购框架协议征集公告</w:t>
      </w:r>
    </w:p>
    <w:p>
      <w:pPr>
        <w:numPr>
          <w:ilvl w:val="0"/>
          <w:numId w:val="1"/>
        </w:numPr>
        <w:ind w:left="-420" w:leftChars="0" w:firstLine="420" w:firstLineChars="0"/>
        <w:jc w:val="both"/>
        <w:rPr>
          <w:rFonts w:hint="default"/>
          <w:b/>
          <w:bCs/>
          <w:sz w:val="28"/>
          <w:szCs w:val="28"/>
          <w:highlight w:val="none"/>
          <w:lang w:val="en-US" w:eastAsia="zh-CN"/>
        </w:rPr>
      </w:pPr>
      <w:r>
        <w:rPr>
          <w:rFonts w:hint="default"/>
          <w:b/>
          <w:bCs/>
          <w:sz w:val="28"/>
          <w:szCs w:val="28"/>
          <w:highlight w:val="none"/>
          <w:lang w:val="en-US" w:eastAsia="zh-CN"/>
        </w:rPr>
        <w:t>项目简介</w:t>
      </w:r>
    </w:p>
    <w:p>
      <w:pPr>
        <w:numPr>
          <w:ilvl w:val="0"/>
          <w:numId w:val="2"/>
        </w:numPr>
        <w:ind w:left="630" w:leftChars="0"/>
        <w:jc w:val="both"/>
        <w:rPr>
          <w:rFonts w:hint="default"/>
          <w:color w:val="FF0000"/>
          <w:sz w:val="28"/>
          <w:szCs w:val="28"/>
          <w:highlight w:val="none"/>
          <w:lang w:val="en-US" w:eastAsia="zh-CN"/>
        </w:rPr>
      </w:pPr>
      <w:r>
        <w:rPr>
          <w:rFonts w:hint="eastAsia"/>
          <w:sz w:val="28"/>
          <w:szCs w:val="28"/>
          <w:highlight w:val="none"/>
          <w:lang w:val="en-US" w:eastAsia="zh-CN"/>
        </w:rPr>
        <w:t>项目名称：辐射工作场所监测服务年度协议</w:t>
      </w:r>
    </w:p>
    <w:p>
      <w:pPr>
        <w:numPr>
          <w:ilvl w:val="0"/>
          <w:numId w:val="2"/>
        </w:numPr>
        <w:ind w:left="630" w:leftChars="0"/>
        <w:jc w:val="both"/>
        <w:rPr>
          <w:rFonts w:hint="default"/>
          <w:color w:val="FF0000"/>
          <w:sz w:val="28"/>
          <w:szCs w:val="28"/>
          <w:highlight w:val="none"/>
          <w:lang w:val="en-US" w:eastAsia="zh-CN"/>
        </w:rPr>
      </w:pPr>
      <w:r>
        <w:rPr>
          <w:rFonts w:hint="eastAsia"/>
          <w:sz w:val="28"/>
          <w:szCs w:val="28"/>
          <w:highlight w:val="none"/>
          <w:lang w:val="en-US" w:eastAsia="zh-CN"/>
        </w:rPr>
        <w:t>采办内容：</w:t>
      </w:r>
      <w:r>
        <w:rPr>
          <w:rFonts w:hint="eastAsia"/>
          <w:sz w:val="28"/>
          <w:szCs w:val="28"/>
          <w:highlight w:val="none"/>
        </w:rPr>
        <w:t>辐射工作场所监测服务</w:t>
      </w:r>
    </w:p>
    <w:p>
      <w:pPr>
        <w:numPr>
          <w:ilvl w:val="0"/>
          <w:numId w:val="2"/>
        </w:numPr>
        <w:ind w:left="630" w:leftChars="0"/>
        <w:jc w:val="both"/>
        <w:rPr>
          <w:rFonts w:hint="default"/>
          <w:sz w:val="28"/>
          <w:szCs w:val="28"/>
          <w:highlight w:val="none"/>
          <w:lang w:val="en-US" w:eastAsia="zh-CN"/>
        </w:rPr>
      </w:pPr>
      <w:r>
        <w:rPr>
          <w:rFonts w:hint="eastAsia"/>
          <w:sz w:val="28"/>
          <w:szCs w:val="28"/>
          <w:highlight w:val="none"/>
          <w:lang w:val="en-US" w:eastAsia="zh-CN"/>
        </w:rPr>
        <w:t>供货/服务要求：合同签订后根据实际需求订单要求服务。</w:t>
      </w:r>
    </w:p>
    <w:p>
      <w:pPr>
        <w:numPr>
          <w:ilvl w:val="0"/>
          <w:numId w:val="2"/>
        </w:numPr>
        <w:ind w:left="630" w:leftChars="0"/>
        <w:jc w:val="both"/>
        <w:rPr>
          <w:rFonts w:hint="default"/>
          <w:sz w:val="28"/>
          <w:szCs w:val="28"/>
          <w:highlight w:val="none"/>
          <w:lang w:val="en-US" w:eastAsia="zh-CN"/>
        </w:rPr>
      </w:pPr>
      <w:r>
        <w:rPr>
          <w:rFonts w:hint="eastAsia"/>
          <w:sz w:val="28"/>
          <w:szCs w:val="28"/>
          <w:highlight w:val="none"/>
          <w:lang w:val="en-US" w:eastAsia="zh-CN"/>
        </w:rPr>
        <w:t>交货/服务地点：中海油田服务股份有限公司油田技术事业部制造中心库房</w:t>
      </w:r>
    </w:p>
    <w:p>
      <w:pPr>
        <w:numPr>
          <w:ilvl w:val="0"/>
          <w:numId w:val="1"/>
        </w:numPr>
        <w:ind w:left="-420" w:leftChars="0" w:firstLine="420" w:firstLineChars="0"/>
        <w:jc w:val="both"/>
        <w:rPr>
          <w:rFonts w:hint="default"/>
          <w:sz w:val="24"/>
          <w:szCs w:val="24"/>
          <w:highlight w:val="none"/>
          <w:lang w:val="en-US" w:eastAsia="zh-CN"/>
        </w:rPr>
      </w:pPr>
      <w:r>
        <w:rPr>
          <w:rFonts w:hint="eastAsia"/>
          <w:b/>
          <w:bCs/>
          <w:sz w:val="28"/>
          <w:szCs w:val="28"/>
          <w:highlight w:val="none"/>
          <w:lang w:val="en-US" w:eastAsia="zh-CN"/>
        </w:rPr>
        <w:t>基本</w:t>
      </w:r>
      <w:r>
        <w:rPr>
          <w:rFonts w:hint="default"/>
          <w:b/>
          <w:bCs/>
          <w:sz w:val="28"/>
          <w:szCs w:val="28"/>
          <w:highlight w:val="none"/>
          <w:lang w:val="en-US" w:eastAsia="zh-CN"/>
        </w:rPr>
        <w:t>要求</w:t>
      </w:r>
    </w:p>
    <w:tbl>
      <w:tblPr>
        <w:tblStyle w:val="6"/>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85"/>
        <w:gridCol w:w="7"/>
        <w:gridCol w:w="551"/>
        <w:gridCol w:w="2019"/>
        <w:gridCol w:w="5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97" w:type="pct"/>
            <w:gridSpan w:val="3"/>
            <w:vAlign w:val="center"/>
          </w:tcPr>
          <w:p>
            <w:pPr>
              <w:pStyle w:val="13"/>
              <w:spacing w:line="300" w:lineRule="exact"/>
              <w:jc w:val="center"/>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bCs/>
                <w:sz w:val="21"/>
                <w:szCs w:val="21"/>
                <w:highlight w:val="none"/>
                <w:lang w:eastAsia="zh-CN"/>
              </w:rPr>
              <w:t>序号</w:t>
            </w:r>
          </w:p>
        </w:tc>
        <w:tc>
          <w:tcPr>
            <w:tcW w:w="1155" w:type="pct"/>
            <w:vAlign w:val="center"/>
          </w:tcPr>
          <w:p>
            <w:pPr>
              <w:pStyle w:val="13"/>
              <w:spacing w:line="300" w:lineRule="exact"/>
              <w:jc w:val="center"/>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bCs/>
                <w:sz w:val="21"/>
                <w:szCs w:val="21"/>
                <w:highlight w:val="none"/>
                <w:lang w:eastAsia="zh-CN"/>
              </w:rPr>
              <w:t>内容</w:t>
            </w:r>
          </w:p>
        </w:tc>
        <w:tc>
          <w:tcPr>
            <w:tcW w:w="3247" w:type="pct"/>
            <w:vAlign w:val="center"/>
          </w:tcPr>
          <w:p>
            <w:pPr>
              <w:pStyle w:val="13"/>
              <w:spacing w:line="300" w:lineRule="exact"/>
              <w:jc w:val="center"/>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bCs/>
                <w:sz w:val="21"/>
                <w:szCs w:val="21"/>
                <w:highlight w:val="none"/>
                <w:lang w:eastAsia="zh-CN"/>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82" w:type="pct"/>
            <w:gridSpan w:val="2"/>
            <w:vMerge w:val="restart"/>
            <w:vAlign w:val="center"/>
          </w:tcPr>
          <w:p>
            <w:pPr>
              <w:pStyle w:val="13"/>
              <w:spacing w:line="300" w:lineRule="exact"/>
              <w:jc w:val="center"/>
              <w:rPr>
                <w:rFonts w:hint="eastAsia" w:ascii="微软雅黑" w:hAnsi="微软雅黑" w:eastAsia="微软雅黑" w:cs="微软雅黑"/>
                <w:bCs/>
                <w:sz w:val="21"/>
                <w:szCs w:val="21"/>
                <w:highlight w:val="none"/>
                <w:lang w:val="en-US" w:eastAsia="zh-CN"/>
              </w:rPr>
            </w:pPr>
            <w:r>
              <w:rPr>
                <w:rFonts w:hint="eastAsia" w:ascii="微软雅黑" w:hAnsi="微软雅黑" w:eastAsia="微软雅黑" w:cs="微软雅黑"/>
                <w:bCs/>
                <w:sz w:val="21"/>
                <w:szCs w:val="21"/>
                <w:highlight w:val="none"/>
                <w:lang w:val="en-US" w:eastAsia="zh-CN"/>
              </w:rPr>
              <w:t>1</w:t>
            </w:r>
          </w:p>
        </w:tc>
        <w:tc>
          <w:tcPr>
            <w:tcW w:w="315" w:type="pct"/>
            <w:vMerge w:val="restart"/>
            <w:textDirection w:val="tbRlV"/>
            <w:vAlign w:val="center"/>
          </w:tcPr>
          <w:p>
            <w:pPr>
              <w:pStyle w:val="13"/>
              <w:spacing w:line="300" w:lineRule="exact"/>
              <w:ind w:left="113" w:right="113"/>
              <w:jc w:val="center"/>
              <w:rPr>
                <w:rFonts w:hint="eastAsia" w:ascii="微软雅黑" w:hAnsi="微软雅黑" w:eastAsia="微软雅黑" w:cs="微软雅黑"/>
                <w:bCs/>
                <w:sz w:val="21"/>
                <w:szCs w:val="21"/>
                <w:highlight w:val="none"/>
                <w:lang w:val="en-US" w:eastAsia="zh-CN"/>
              </w:rPr>
            </w:pPr>
            <w:r>
              <w:rPr>
                <w:rFonts w:hint="eastAsia" w:ascii="微软雅黑" w:hAnsi="微软雅黑" w:eastAsia="微软雅黑" w:cs="微软雅黑"/>
                <w:bCs/>
                <w:sz w:val="21"/>
                <w:szCs w:val="21"/>
                <w:highlight w:val="none"/>
                <w:lang w:val="en-US" w:eastAsia="zh-CN"/>
              </w:rPr>
              <w:t>符合性检查</w:t>
            </w:r>
          </w:p>
        </w:tc>
        <w:tc>
          <w:tcPr>
            <w:tcW w:w="1155" w:type="pct"/>
            <w:vAlign w:val="center"/>
          </w:tcPr>
          <w:p>
            <w:pPr>
              <w:keepNext w:val="0"/>
              <w:keepLines w:val="0"/>
              <w:suppressLineNumbers w:val="0"/>
              <w:spacing w:before="0" w:beforeAutospacing="0" w:after="0" w:afterAutospacing="0"/>
              <w:ind w:left="0" w:leftChars="0" w:right="0" w:rightChars="0"/>
              <w:jc w:val="left"/>
              <w:rPr>
                <w:rFonts w:hint="eastAsia" w:ascii="微软雅黑" w:hAnsi="微软雅黑" w:eastAsia="微软雅黑" w:cs="微软雅黑"/>
                <w:b/>
                <w:bCs/>
                <w:sz w:val="21"/>
                <w:szCs w:val="21"/>
                <w:highlight w:val="none"/>
                <w:lang w:eastAsia="zh-CN"/>
              </w:rPr>
            </w:pPr>
            <w:r>
              <w:rPr>
                <w:rFonts w:hint="eastAsia" w:ascii="宋体" w:hAnsi="宋体" w:eastAsia="宋体" w:cs="宋体"/>
                <w:b w:val="0"/>
                <w:bCs/>
                <w:kern w:val="2"/>
                <w:sz w:val="21"/>
                <w:szCs w:val="24"/>
                <w:lang w:eastAsia="zh-CN"/>
              </w:rPr>
              <w:t>★投标人名称</w:t>
            </w:r>
          </w:p>
        </w:tc>
        <w:tc>
          <w:tcPr>
            <w:tcW w:w="3247" w:type="pct"/>
            <w:vAlign w:val="center"/>
          </w:tcPr>
          <w:p>
            <w:pPr>
              <w:keepNext w:val="0"/>
              <w:keepLines w:val="0"/>
              <w:suppressLineNumbers w:val="0"/>
              <w:spacing w:before="0" w:beforeAutospacing="0" w:after="0" w:afterAutospacing="0"/>
              <w:ind w:left="0" w:leftChars="0" w:right="0" w:rightChars="0"/>
              <w:jc w:val="left"/>
              <w:rPr>
                <w:rFonts w:hint="eastAsia" w:ascii="微软雅黑" w:hAnsi="微软雅黑" w:eastAsia="微软雅黑" w:cs="微软雅黑"/>
                <w:b/>
                <w:bCs/>
                <w:sz w:val="21"/>
                <w:szCs w:val="21"/>
                <w:highlight w:val="none"/>
                <w:lang w:eastAsia="zh-CN"/>
              </w:rPr>
            </w:pPr>
            <w:r>
              <w:rPr>
                <w:rFonts w:hint="eastAsia" w:ascii="宋体" w:hAnsi="宋体" w:eastAsia="宋体" w:cs="宋体"/>
                <w:b w:val="0"/>
                <w:bCs/>
                <w:kern w:val="2"/>
                <w:sz w:val="21"/>
                <w:szCs w:val="24"/>
                <w:lang w:eastAsia="zh-CN"/>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82" w:type="pct"/>
            <w:gridSpan w:val="2"/>
            <w:vMerge w:val="continue"/>
            <w:vAlign w:val="center"/>
          </w:tcPr>
          <w:p>
            <w:pPr>
              <w:pStyle w:val="13"/>
              <w:spacing w:line="300" w:lineRule="exact"/>
              <w:jc w:val="center"/>
              <w:rPr>
                <w:rFonts w:hint="eastAsia" w:ascii="微软雅黑" w:hAnsi="微软雅黑" w:eastAsia="微软雅黑" w:cs="微软雅黑"/>
                <w:b/>
                <w:bCs/>
                <w:sz w:val="21"/>
                <w:szCs w:val="21"/>
                <w:highlight w:val="none"/>
                <w:lang w:eastAsia="zh-CN"/>
              </w:rPr>
            </w:pPr>
          </w:p>
        </w:tc>
        <w:tc>
          <w:tcPr>
            <w:tcW w:w="315" w:type="pct"/>
            <w:vMerge w:val="continue"/>
            <w:vAlign w:val="center"/>
          </w:tcPr>
          <w:p>
            <w:pPr>
              <w:pStyle w:val="13"/>
              <w:spacing w:line="300" w:lineRule="exact"/>
              <w:jc w:val="center"/>
              <w:rPr>
                <w:rFonts w:hint="eastAsia" w:ascii="微软雅黑" w:hAnsi="微软雅黑" w:eastAsia="微软雅黑" w:cs="微软雅黑"/>
                <w:b/>
                <w:bCs/>
                <w:sz w:val="21"/>
                <w:szCs w:val="21"/>
                <w:highlight w:val="none"/>
                <w:lang w:eastAsia="zh-CN"/>
              </w:rPr>
            </w:pPr>
          </w:p>
        </w:tc>
        <w:tc>
          <w:tcPr>
            <w:tcW w:w="1155" w:type="pct"/>
            <w:vAlign w:val="center"/>
          </w:tcPr>
          <w:p>
            <w:pPr>
              <w:keepNext w:val="0"/>
              <w:keepLines w:val="0"/>
              <w:suppressLineNumbers w:val="0"/>
              <w:spacing w:before="0" w:beforeAutospacing="0" w:after="0" w:afterAutospacing="0"/>
              <w:ind w:left="0" w:leftChars="0" w:right="0" w:rightChars="0"/>
              <w:jc w:val="left"/>
              <w:rPr>
                <w:rFonts w:hint="eastAsia" w:ascii="微软雅黑" w:hAnsi="微软雅黑" w:eastAsia="微软雅黑" w:cs="微软雅黑"/>
                <w:b/>
                <w:bCs/>
                <w:sz w:val="21"/>
                <w:szCs w:val="21"/>
                <w:highlight w:val="none"/>
                <w:lang w:eastAsia="zh-CN"/>
              </w:rPr>
            </w:pPr>
            <w:r>
              <w:rPr>
                <w:rStyle w:val="8"/>
                <w:rFonts w:hint="default" w:ascii="Times New Roman" w:hAnsi="Times New Roman" w:eastAsia="宋体" w:cs="Times New Roman"/>
                <w:b w:val="0"/>
                <w:color w:val="auto"/>
                <w:sz w:val="21"/>
                <w:szCs w:val="24"/>
                <w:u w:val="none"/>
              </w:rPr>
              <w:t>法人授权书</w:t>
            </w:r>
          </w:p>
        </w:tc>
        <w:tc>
          <w:tcPr>
            <w:tcW w:w="3247" w:type="pct"/>
            <w:vAlign w:val="center"/>
          </w:tcPr>
          <w:p>
            <w:pPr>
              <w:keepNext w:val="0"/>
              <w:keepLines w:val="0"/>
              <w:suppressLineNumbers w:val="0"/>
              <w:spacing w:before="0" w:beforeAutospacing="0" w:after="0" w:afterAutospacing="0"/>
              <w:ind w:left="0" w:leftChars="0" w:right="0" w:rightChars="0"/>
              <w:jc w:val="left"/>
              <w:rPr>
                <w:rFonts w:hint="eastAsia" w:ascii="微软雅黑" w:hAnsi="微软雅黑" w:eastAsia="微软雅黑" w:cs="微软雅黑"/>
                <w:b/>
                <w:bCs/>
                <w:sz w:val="21"/>
                <w:szCs w:val="21"/>
                <w:highlight w:val="none"/>
                <w:lang w:eastAsia="zh-CN"/>
              </w:rPr>
            </w:pPr>
            <w:r>
              <w:rPr>
                <w:rFonts w:hint="eastAsia" w:ascii="宋体" w:hAnsi="宋体" w:eastAsia="宋体" w:cs="宋体"/>
                <w:b w:val="0"/>
                <w:bCs/>
                <w:kern w:val="2"/>
                <w:sz w:val="21"/>
                <w:szCs w:val="24"/>
                <w:lang w:eastAsia="zh-CN"/>
              </w:rPr>
              <w:t>有法定代表人或其委托代理人签字或加盖单位章。由法定代表人签字的，应附法定代表人身份证明，由代理人签字的，应附授权委托书，身份证明或授权委托书。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82" w:type="pct"/>
            <w:gridSpan w:val="2"/>
            <w:vMerge w:val="continue"/>
            <w:vAlign w:val="center"/>
          </w:tcPr>
          <w:p>
            <w:pPr>
              <w:pStyle w:val="13"/>
              <w:spacing w:line="300" w:lineRule="exact"/>
              <w:jc w:val="center"/>
              <w:rPr>
                <w:rFonts w:hint="eastAsia" w:ascii="微软雅黑" w:hAnsi="微软雅黑" w:eastAsia="微软雅黑" w:cs="微软雅黑"/>
                <w:b/>
                <w:bCs/>
                <w:sz w:val="21"/>
                <w:szCs w:val="21"/>
                <w:highlight w:val="none"/>
                <w:lang w:eastAsia="zh-CN"/>
              </w:rPr>
            </w:pPr>
          </w:p>
        </w:tc>
        <w:tc>
          <w:tcPr>
            <w:tcW w:w="315" w:type="pct"/>
            <w:vMerge w:val="continue"/>
            <w:vAlign w:val="center"/>
          </w:tcPr>
          <w:p>
            <w:pPr>
              <w:pStyle w:val="13"/>
              <w:spacing w:line="300" w:lineRule="exact"/>
              <w:jc w:val="center"/>
              <w:rPr>
                <w:rFonts w:hint="eastAsia" w:ascii="微软雅黑" w:hAnsi="微软雅黑" w:eastAsia="微软雅黑" w:cs="微软雅黑"/>
                <w:b/>
                <w:bCs/>
                <w:sz w:val="21"/>
                <w:szCs w:val="21"/>
                <w:highlight w:val="none"/>
                <w:lang w:eastAsia="zh-CN"/>
              </w:rPr>
            </w:pPr>
          </w:p>
        </w:tc>
        <w:tc>
          <w:tcPr>
            <w:tcW w:w="1155" w:type="pct"/>
            <w:vAlign w:val="center"/>
          </w:tcPr>
          <w:p>
            <w:pPr>
              <w:keepNext w:val="0"/>
              <w:keepLines w:val="0"/>
              <w:suppressLineNumbers w:val="0"/>
              <w:spacing w:before="0" w:beforeAutospacing="0" w:after="0" w:afterAutospacing="0"/>
              <w:ind w:left="0" w:leftChars="0" w:right="0" w:rightChars="0"/>
              <w:jc w:val="left"/>
              <w:rPr>
                <w:rFonts w:hint="default" w:ascii="微软雅黑" w:hAnsi="微软雅黑" w:eastAsia="微软雅黑" w:cs="微软雅黑"/>
                <w:b w:val="0"/>
                <w:bCs/>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b w:val="0"/>
                <w:bCs/>
                <w:kern w:val="2"/>
                <w:sz w:val="21"/>
                <w:szCs w:val="24"/>
                <w:lang w:eastAsia="zh-CN"/>
              </w:rPr>
              <w:t>★</w:t>
            </w:r>
            <w:r>
              <w:rPr>
                <w:rFonts w:hint="eastAsia" w:ascii="宋体" w:hAnsi="宋体" w:eastAsia="宋体" w:cs="宋体"/>
                <w:b w:val="0"/>
                <w:bCs/>
                <w:kern w:val="2"/>
                <w:sz w:val="21"/>
                <w:szCs w:val="24"/>
                <w:lang w:val="en-US" w:eastAsia="zh-CN"/>
              </w:rPr>
              <w:t>投标书</w:t>
            </w:r>
          </w:p>
        </w:tc>
        <w:tc>
          <w:tcPr>
            <w:tcW w:w="3247" w:type="pct"/>
            <w:vAlign w:val="center"/>
          </w:tcPr>
          <w:p>
            <w:pPr>
              <w:keepNext w:val="0"/>
              <w:keepLines w:val="0"/>
              <w:suppressLineNumbers w:val="0"/>
              <w:spacing w:before="0" w:beforeAutospacing="0" w:after="0" w:afterAutospacing="0"/>
              <w:ind w:left="0" w:leftChars="0" w:right="0" w:rightChars="0"/>
              <w:jc w:val="left"/>
              <w:rPr>
                <w:rFonts w:hint="default" w:ascii="微软雅黑" w:hAnsi="微软雅黑" w:eastAsia="微软雅黑" w:cs="微软雅黑"/>
                <w:b w:val="0"/>
                <w:bCs/>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b w:val="0"/>
                <w:bCs/>
                <w:kern w:val="2"/>
                <w:sz w:val="21"/>
                <w:szCs w:val="24"/>
                <w:lang w:val="en-US" w:eastAsia="zh-CN"/>
              </w:rPr>
              <w:t>是否按要求上传商务、技术、价格标书。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278" w:type="pct"/>
            <w:vMerge w:val="restart"/>
            <w:vAlign w:val="center"/>
          </w:tcPr>
          <w:p>
            <w:pPr>
              <w:spacing w:line="300" w:lineRule="exact"/>
              <w:jc w:val="center"/>
              <w:rPr>
                <w:rFonts w:hint="eastAsia" w:ascii="微软雅黑" w:hAnsi="微软雅黑" w:eastAsia="微软雅黑" w:cs="微软雅黑"/>
                <w:bCs/>
                <w:sz w:val="21"/>
                <w:szCs w:val="21"/>
                <w:highlight w:val="none"/>
              </w:rPr>
            </w:pPr>
            <w:r>
              <w:rPr>
                <w:rFonts w:hint="eastAsia" w:ascii="微软雅黑" w:hAnsi="微软雅黑" w:eastAsia="微软雅黑" w:cs="微软雅黑"/>
                <w:bCs/>
                <w:sz w:val="21"/>
                <w:szCs w:val="21"/>
                <w:highlight w:val="none"/>
                <w:lang w:val="en-US" w:eastAsia="zh-CN"/>
              </w:rPr>
              <w:t>2</w:t>
            </w:r>
          </w:p>
        </w:tc>
        <w:tc>
          <w:tcPr>
            <w:tcW w:w="319" w:type="pct"/>
            <w:gridSpan w:val="2"/>
            <w:vMerge w:val="restart"/>
            <w:textDirection w:val="tbRlV"/>
            <w:vAlign w:val="center"/>
          </w:tcPr>
          <w:p>
            <w:pPr>
              <w:pStyle w:val="13"/>
              <w:spacing w:line="300" w:lineRule="exact"/>
              <w:ind w:left="113" w:right="113"/>
              <w:jc w:val="center"/>
              <w:rPr>
                <w:rFonts w:hint="default" w:ascii="微软雅黑" w:hAnsi="微软雅黑" w:eastAsia="微软雅黑" w:cs="微软雅黑"/>
                <w:bCs/>
                <w:sz w:val="21"/>
                <w:szCs w:val="21"/>
                <w:highlight w:val="none"/>
                <w:lang w:val="en-US" w:eastAsia="zh-CN"/>
              </w:rPr>
            </w:pPr>
            <w:r>
              <w:rPr>
                <w:rFonts w:hint="eastAsia" w:ascii="微软雅黑" w:hAnsi="微软雅黑" w:eastAsia="微软雅黑" w:cs="微软雅黑"/>
                <w:bCs/>
                <w:sz w:val="21"/>
                <w:szCs w:val="21"/>
                <w:highlight w:val="none"/>
                <w:lang w:eastAsia="zh-CN"/>
              </w:rPr>
              <w:t>商务</w:t>
            </w:r>
            <w:r>
              <w:rPr>
                <w:rFonts w:hint="eastAsia" w:ascii="微软雅黑" w:hAnsi="微软雅黑" w:eastAsia="微软雅黑" w:cs="微软雅黑"/>
                <w:bCs/>
                <w:sz w:val="21"/>
                <w:szCs w:val="21"/>
                <w:highlight w:val="none"/>
                <w:lang w:val="en-US" w:eastAsia="zh-CN"/>
              </w:rPr>
              <w:t>要求</w:t>
            </w:r>
          </w:p>
        </w:tc>
        <w:tc>
          <w:tcPr>
            <w:tcW w:w="1155" w:type="pct"/>
            <w:vAlign w:val="center"/>
          </w:tcPr>
          <w:p>
            <w:pPr>
              <w:keepNext w:val="0"/>
              <w:keepLines w:val="0"/>
              <w:suppressLineNumbers w:val="0"/>
              <w:spacing w:before="0" w:beforeAutospacing="0" w:after="0" w:afterAutospacing="0"/>
              <w:ind w:left="0" w:leftChars="0" w:right="0" w:rightChars="0"/>
              <w:jc w:val="left"/>
              <w:rPr>
                <w:rFonts w:hint="eastAsia" w:ascii="微软雅黑" w:hAnsi="微软雅黑" w:eastAsia="微软雅黑" w:cs="微软雅黑"/>
                <w:color w:val="000000"/>
                <w:kern w:val="0"/>
                <w:sz w:val="21"/>
                <w:szCs w:val="21"/>
                <w:highlight w:val="none"/>
                <w:lang w:val="en-US" w:eastAsia="zh-CN" w:bidi="ar"/>
              </w:rPr>
            </w:pPr>
            <w:r>
              <w:rPr>
                <w:rFonts w:hint="eastAsia" w:ascii="宋体" w:hAnsi="宋体" w:eastAsia="宋体" w:cs="宋体"/>
                <w:color w:val="000000"/>
                <w:kern w:val="0"/>
                <w:sz w:val="21"/>
                <w:szCs w:val="21"/>
                <w:lang w:bidi="ar"/>
              </w:rPr>
              <w:t>交货期：</w:t>
            </w:r>
          </w:p>
        </w:tc>
        <w:tc>
          <w:tcPr>
            <w:tcW w:w="3247" w:type="pct"/>
            <w:vAlign w:val="center"/>
          </w:tcPr>
          <w:p>
            <w:pPr>
              <w:keepNext w:val="0"/>
              <w:keepLines w:val="0"/>
              <w:suppressLineNumbers w:val="0"/>
              <w:spacing w:before="0" w:beforeAutospacing="0" w:after="0" w:afterAutospacing="0"/>
              <w:ind w:left="0" w:leftChars="0" w:right="0" w:rightChars="0"/>
              <w:jc w:val="left"/>
              <w:rPr>
                <w:rFonts w:hint="default" w:ascii="微软雅黑" w:hAnsi="微软雅黑" w:eastAsia="微软雅黑" w:cs="微软雅黑"/>
                <w:color w:val="000000"/>
                <w:kern w:val="0"/>
                <w:sz w:val="21"/>
                <w:szCs w:val="21"/>
                <w:highlight w:val="none"/>
                <w:lang w:val="en-US" w:eastAsia="zh-CN" w:bidi="ar"/>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订单签订后1个月内交付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jc w:val="center"/>
        </w:trPr>
        <w:tc>
          <w:tcPr>
            <w:tcW w:w="278" w:type="pct"/>
            <w:vMerge w:val="continue"/>
            <w:vAlign w:val="center"/>
          </w:tcPr>
          <w:p>
            <w:pPr>
              <w:spacing w:line="300" w:lineRule="exact"/>
              <w:jc w:val="center"/>
              <w:rPr>
                <w:rFonts w:hint="eastAsia" w:ascii="微软雅黑" w:hAnsi="微软雅黑" w:eastAsia="微软雅黑" w:cs="微软雅黑"/>
                <w:bCs/>
                <w:kern w:val="0"/>
                <w:sz w:val="21"/>
                <w:szCs w:val="21"/>
                <w:highlight w:val="none"/>
              </w:rPr>
            </w:pPr>
          </w:p>
        </w:tc>
        <w:tc>
          <w:tcPr>
            <w:tcW w:w="319"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keepNext w:val="0"/>
              <w:keepLines w:val="0"/>
              <w:suppressLineNumbers w:val="0"/>
              <w:spacing w:before="0" w:beforeAutospacing="0" w:after="0" w:afterAutospacing="0"/>
              <w:ind w:left="0" w:leftChars="0" w:right="0" w:rightChars="0"/>
              <w:jc w:val="left"/>
              <w:rPr>
                <w:rFonts w:hint="eastAsia" w:ascii="微软雅黑" w:hAnsi="微软雅黑" w:eastAsia="微软雅黑" w:cs="微软雅黑"/>
                <w:color w:val="000000"/>
                <w:kern w:val="0"/>
                <w:sz w:val="21"/>
                <w:szCs w:val="21"/>
                <w:highlight w:val="none"/>
                <w:lang w:val="en-US" w:eastAsia="zh-CN" w:bidi="ar"/>
              </w:rPr>
            </w:pPr>
            <w:r>
              <w:rPr>
                <w:rFonts w:hint="eastAsia" w:ascii="宋体" w:hAnsi="宋体" w:eastAsia="宋体" w:cs="宋体"/>
                <w:color w:val="000000"/>
                <w:kern w:val="0"/>
                <w:sz w:val="21"/>
                <w:szCs w:val="21"/>
                <w:lang w:bidi="ar"/>
              </w:rPr>
              <w:t>中小企业声明函：</w:t>
            </w:r>
          </w:p>
        </w:tc>
        <w:tc>
          <w:tcPr>
            <w:tcW w:w="3247" w:type="pct"/>
            <w:vAlign w:val="center"/>
          </w:tcPr>
          <w:p>
            <w:pPr>
              <w:keepNext w:val="0"/>
              <w:keepLines w:val="0"/>
              <w:suppressLineNumbers w:val="0"/>
              <w:spacing w:before="0" w:beforeAutospacing="0" w:after="0" w:afterAutospacing="0"/>
              <w:ind w:left="0" w:leftChars="0" w:right="0" w:rightChars="0"/>
              <w:jc w:val="left"/>
              <w:rPr>
                <w:rFonts w:hint="eastAsia" w:ascii="微软雅黑" w:hAnsi="微软雅黑" w:eastAsia="微软雅黑" w:cs="微软雅黑"/>
                <w:color w:val="000000"/>
                <w:kern w:val="0"/>
                <w:sz w:val="21"/>
                <w:szCs w:val="21"/>
                <w:highlight w:val="none"/>
                <w:lang w:val="en-US" w:eastAsia="zh-CN" w:bidi="ar"/>
              </w:rPr>
            </w:pPr>
            <w:r>
              <w:rPr>
                <w:rFonts w:hint="eastAsia" w:ascii="宋体" w:hAnsi="宋体" w:eastAsia="宋体" w:cs="宋体"/>
                <w:color w:val="000000" w:themeColor="text1"/>
                <w:kern w:val="0"/>
                <w:sz w:val="21"/>
                <w:szCs w:val="21"/>
                <w:lang w:bidi="ar"/>
                <w14:textFill>
                  <w14:solidFill>
                    <w14:schemeClr w14:val="tx1"/>
                  </w14:solidFill>
                </w14:textFill>
              </w:rPr>
              <w:t>投标人投标时提供自身中小企业声明函（不是中小企业也需要盖章说明）详见附件，中小企业划型标准相关规定详见附件。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278" w:type="pct"/>
            <w:vMerge w:val="continue"/>
            <w:vAlign w:val="center"/>
          </w:tcPr>
          <w:p>
            <w:pPr>
              <w:widowControl/>
              <w:rPr>
                <w:rFonts w:hint="eastAsia" w:ascii="微软雅黑" w:hAnsi="微软雅黑" w:eastAsia="微软雅黑" w:cs="微软雅黑"/>
                <w:bCs/>
                <w:kern w:val="0"/>
                <w:sz w:val="21"/>
                <w:szCs w:val="21"/>
                <w:highlight w:val="none"/>
              </w:rPr>
            </w:pPr>
          </w:p>
        </w:tc>
        <w:tc>
          <w:tcPr>
            <w:tcW w:w="319"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keepNext w:val="0"/>
              <w:keepLines w:val="0"/>
              <w:suppressLineNumbers w:val="0"/>
              <w:spacing w:before="0" w:beforeAutospacing="0" w:after="0" w:afterAutospacing="0"/>
              <w:ind w:left="0" w:leftChars="0" w:right="0" w:rightChars="0"/>
              <w:jc w:val="left"/>
              <w:rPr>
                <w:rFonts w:hint="default" w:ascii="微软雅黑" w:hAnsi="微软雅黑" w:eastAsia="微软雅黑" w:cs="微软雅黑"/>
                <w:color w:val="FF0000"/>
                <w:kern w:val="0"/>
                <w:sz w:val="21"/>
                <w:szCs w:val="21"/>
                <w:highlight w:val="none"/>
                <w:lang w:val="en-US" w:eastAsia="zh-CN" w:bidi="ar"/>
              </w:rPr>
            </w:pPr>
            <w:r>
              <w:rPr>
                <w:rFonts w:hint="eastAsia" w:ascii="宋体" w:hAnsi="宋体" w:eastAsia="宋体" w:cs="宋体"/>
                <w:color w:val="000000"/>
                <w:kern w:val="0"/>
                <w:sz w:val="21"/>
                <w:szCs w:val="21"/>
                <w:lang w:bidi="ar"/>
              </w:rPr>
              <w:t>交货地点：</w:t>
            </w:r>
          </w:p>
        </w:tc>
        <w:tc>
          <w:tcPr>
            <w:tcW w:w="3247" w:type="pct"/>
            <w:vAlign w:val="center"/>
          </w:tcPr>
          <w:p>
            <w:pPr>
              <w:keepNext w:val="0"/>
              <w:keepLines w:val="0"/>
              <w:suppressLineNumbers w:val="0"/>
              <w:spacing w:before="0" w:beforeAutospacing="0" w:after="0" w:afterAutospacing="0"/>
              <w:ind w:left="0" w:leftChars="0" w:right="0" w:rightChars="0"/>
              <w:jc w:val="left"/>
              <w:rPr>
                <w:rFonts w:hint="default" w:ascii="微软雅黑" w:hAnsi="微软雅黑" w:eastAsia="微软雅黑" w:cs="微软雅黑"/>
                <w:color w:val="FF0000"/>
                <w:kern w:val="0"/>
                <w:sz w:val="21"/>
                <w:szCs w:val="21"/>
                <w:highlight w:val="none"/>
                <w:lang w:val="en-US" w:eastAsia="zh-CN" w:bidi="ar"/>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河北廊坊燕郊经济开发区神威北大街339号精工园18号库房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jc w:val="center"/>
        </w:trPr>
        <w:tc>
          <w:tcPr>
            <w:tcW w:w="278" w:type="pct"/>
            <w:vMerge w:val="continue"/>
            <w:vAlign w:val="center"/>
          </w:tcPr>
          <w:p>
            <w:pPr>
              <w:widowControl/>
              <w:rPr>
                <w:rFonts w:hint="eastAsia" w:ascii="微软雅黑" w:hAnsi="微软雅黑" w:eastAsia="微软雅黑" w:cs="微软雅黑"/>
                <w:bCs/>
                <w:kern w:val="0"/>
                <w:sz w:val="21"/>
                <w:szCs w:val="21"/>
                <w:highlight w:val="none"/>
              </w:rPr>
            </w:pPr>
          </w:p>
        </w:tc>
        <w:tc>
          <w:tcPr>
            <w:tcW w:w="319"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keepNext w:val="0"/>
              <w:keepLines w:val="0"/>
              <w:suppressLineNumbers w:val="0"/>
              <w:spacing w:before="0" w:beforeAutospacing="0" w:after="0" w:afterAutospacing="0"/>
              <w:ind w:left="0" w:leftChars="0" w:right="0" w:rightChars="0"/>
              <w:jc w:val="left"/>
              <w:rPr>
                <w:rFonts w:hint="eastAsia" w:ascii="微软雅黑" w:hAnsi="微软雅黑" w:eastAsia="微软雅黑" w:cs="微软雅黑"/>
                <w:color w:val="000000"/>
                <w:kern w:val="0"/>
                <w:sz w:val="21"/>
                <w:szCs w:val="21"/>
                <w:highlight w:val="none"/>
                <w:lang w:val="en-US" w:eastAsia="zh-CN" w:bidi="ar"/>
              </w:rPr>
            </w:pPr>
            <w:r>
              <w:rPr>
                <w:rFonts w:hint="eastAsia" w:ascii="宋体" w:hAnsi="宋体" w:eastAsia="宋体" w:cs="宋体"/>
                <w:color w:val="000000"/>
                <w:kern w:val="0"/>
                <w:sz w:val="21"/>
                <w:szCs w:val="21"/>
                <w:lang w:bidi="ar"/>
              </w:rPr>
              <w:t>质保期：</w:t>
            </w:r>
          </w:p>
        </w:tc>
        <w:tc>
          <w:tcPr>
            <w:tcW w:w="3247" w:type="pct"/>
            <w:vAlign w:val="center"/>
          </w:tcPr>
          <w:p>
            <w:pPr>
              <w:keepNext w:val="0"/>
              <w:keepLines w:val="0"/>
              <w:suppressLineNumbers w:val="0"/>
              <w:spacing w:before="0" w:beforeAutospacing="0" w:after="0" w:afterAutospacing="0"/>
              <w:ind w:left="0" w:leftChars="0" w:right="0" w:rightChars="0"/>
              <w:jc w:val="left"/>
              <w:rPr>
                <w:rFonts w:hint="eastAsia" w:ascii="微软雅黑" w:hAnsi="微软雅黑" w:eastAsia="微软雅黑" w:cs="微软雅黑"/>
                <w:color w:val="000000"/>
                <w:kern w:val="0"/>
                <w:sz w:val="21"/>
                <w:szCs w:val="21"/>
                <w:highlight w:val="none"/>
                <w:lang w:val="en-US" w:eastAsia="en-US" w:bidi="ar"/>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自收货之日起1年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8" w:type="pct"/>
            <w:vMerge w:val="continue"/>
            <w:vAlign w:val="center"/>
          </w:tcPr>
          <w:p>
            <w:pPr>
              <w:widowControl/>
              <w:rPr>
                <w:rFonts w:hint="eastAsia" w:ascii="微软雅黑" w:hAnsi="微软雅黑" w:eastAsia="微软雅黑" w:cs="微软雅黑"/>
                <w:bCs/>
                <w:kern w:val="0"/>
                <w:sz w:val="21"/>
                <w:szCs w:val="21"/>
                <w:highlight w:val="none"/>
              </w:rPr>
            </w:pPr>
          </w:p>
        </w:tc>
        <w:tc>
          <w:tcPr>
            <w:tcW w:w="319"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keepNext w:val="0"/>
              <w:keepLines w:val="0"/>
              <w:suppressLineNumbers w:val="0"/>
              <w:spacing w:before="0" w:beforeAutospacing="0" w:after="0" w:afterAutospacing="0"/>
              <w:ind w:left="0" w:leftChars="0" w:right="0" w:rightChars="0"/>
              <w:jc w:val="left"/>
              <w:rPr>
                <w:rFonts w:hint="eastAsia" w:ascii="微软雅黑" w:hAnsi="微软雅黑" w:eastAsia="微软雅黑" w:cs="微软雅黑"/>
                <w:bCs/>
                <w:sz w:val="21"/>
                <w:szCs w:val="21"/>
                <w:highlight w:val="none"/>
                <w:lang w:eastAsia="zh-CN"/>
              </w:rPr>
            </w:pPr>
            <w:r>
              <w:rPr>
                <w:rFonts w:hint="eastAsia" w:ascii="宋体" w:hAnsi="宋体" w:eastAsia="宋体" w:cs="宋体"/>
                <w:color w:val="000000"/>
                <w:kern w:val="0"/>
                <w:sz w:val="21"/>
                <w:szCs w:val="21"/>
                <w:lang w:bidi="ar"/>
              </w:rPr>
              <w:t>不参与围标串标承诺书：</w:t>
            </w:r>
          </w:p>
        </w:tc>
        <w:tc>
          <w:tcPr>
            <w:tcW w:w="3247" w:type="pct"/>
            <w:vAlign w:val="center"/>
          </w:tcPr>
          <w:p>
            <w:pPr>
              <w:keepNext w:val="0"/>
              <w:keepLines w:val="0"/>
              <w:suppressLineNumbers w:val="0"/>
              <w:spacing w:before="0" w:beforeAutospacing="0" w:after="0" w:afterAutospacing="0"/>
              <w:ind w:left="0" w:leftChars="0" w:right="0" w:rightChars="0"/>
              <w:jc w:val="left"/>
              <w:rPr>
                <w:rFonts w:hint="eastAsia" w:ascii="微软雅黑" w:hAnsi="微软雅黑" w:eastAsia="微软雅黑" w:cs="微软雅黑"/>
                <w:bCs/>
                <w:kern w:val="0"/>
                <w:sz w:val="21"/>
                <w:szCs w:val="21"/>
                <w:highlight w:val="none"/>
                <w:lang w:val="en-US" w:eastAsia="zh-CN"/>
              </w:rPr>
            </w:pPr>
            <w:r>
              <w:rPr>
                <w:rFonts w:hint="eastAsia" w:ascii="宋体" w:hAnsi="宋体" w:eastAsia="宋体" w:cs="宋体"/>
                <w:color w:val="000000" w:themeColor="text1"/>
                <w:kern w:val="0"/>
                <w:sz w:val="21"/>
                <w:szCs w:val="21"/>
                <w:lang w:bidi="ar"/>
                <w14:textFill>
                  <w14:solidFill>
                    <w14:schemeClr w14:val="tx1"/>
                  </w14:solidFill>
                </w14:textFill>
              </w:rPr>
              <w:t>投标人投标时提供自身不参与围标串标承诺书。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8" w:type="pct"/>
            <w:vMerge w:val="continue"/>
            <w:vAlign w:val="center"/>
          </w:tcPr>
          <w:p>
            <w:pPr>
              <w:widowControl/>
              <w:rPr>
                <w:rFonts w:hint="eastAsia" w:ascii="微软雅黑" w:hAnsi="微软雅黑" w:eastAsia="微软雅黑" w:cs="微软雅黑"/>
                <w:bCs/>
                <w:kern w:val="0"/>
                <w:sz w:val="21"/>
                <w:szCs w:val="21"/>
                <w:highlight w:val="none"/>
              </w:rPr>
            </w:pPr>
          </w:p>
        </w:tc>
        <w:tc>
          <w:tcPr>
            <w:tcW w:w="319"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keepNext w:val="0"/>
              <w:keepLines w:val="0"/>
              <w:suppressLineNumbers w:val="0"/>
              <w:spacing w:before="0" w:beforeAutospacing="0" w:after="0" w:afterAutospacing="0"/>
              <w:ind w:left="0" w:leftChars="0" w:right="0" w:rightChars="0"/>
              <w:jc w:val="left"/>
              <w:rPr>
                <w:rFonts w:hint="eastAsia" w:ascii="微软雅黑" w:hAnsi="微软雅黑" w:eastAsia="微软雅黑" w:cs="微软雅黑"/>
                <w:color w:val="000000"/>
                <w:kern w:val="0"/>
                <w:sz w:val="21"/>
                <w:szCs w:val="21"/>
                <w:highlight w:val="none"/>
                <w:lang w:eastAsia="zh-CN" w:bidi="ar"/>
              </w:rPr>
            </w:pPr>
            <w:r>
              <w:rPr>
                <w:rFonts w:hint="eastAsia" w:ascii="宋体" w:hAnsi="宋体" w:eastAsia="宋体" w:cs="宋体"/>
                <w:color w:val="000000"/>
                <w:kern w:val="0"/>
                <w:sz w:val="21"/>
                <w:szCs w:val="21"/>
                <w:lang w:bidi="ar"/>
              </w:rPr>
              <w:t>知情承诺书</w:t>
            </w:r>
            <w:r>
              <w:rPr>
                <w:rFonts w:hint="eastAsia" w:ascii="宋体" w:hAnsi="宋体" w:eastAsia="宋体" w:cs="宋体"/>
                <w:color w:val="000000"/>
                <w:kern w:val="0"/>
                <w:sz w:val="21"/>
                <w:szCs w:val="21"/>
                <w:lang w:eastAsia="zh-CN" w:bidi="ar"/>
              </w:rPr>
              <w:t>：</w:t>
            </w:r>
          </w:p>
        </w:tc>
        <w:tc>
          <w:tcPr>
            <w:tcW w:w="3247" w:type="pct"/>
            <w:vAlign w:val="center"/>
          </w:tcPr>
          <w:p>
            <w:pPr>
              <w:keepNext w:val="0"/>
              <w:keepLines w:val="0"/>
              <w:suppressLineNumbers w:val="0"/>
              <w:spacing w:before="0" w:beforeAutospacing="0" w:after="0" w:afterAutospacing="0"/>
              <w:ind w:left="0" w:leftChars="0" w:right="0" w:rightChars="0"/>
              <w:jc w:val="left"/>
              <w:rPr>
                <w:rFonts w:hint="eastAsia" w:ascii="微软雅黑" w:hAnsi="微软雅黑" w:eastAsia="微软雅黑" w:cs="微软雅黑"/>
                <w:color w:val="000000"/>
                <w:sz w:val="21"/>
                <w:szCs w:val="21"/>
                <w:highlight w:val="none"/>
                <w:lang w:eastAsia="zh-CN"/>
              </w:rPr>
            </w:pPr>
            <w:r>
              <w:rPr>
                <w:rFonts w:hint="eastAsia" w:ascii="宋体" w:hAnsi="宋体" w:eastAsia="宋体" w:cs="宋体"/>
                <w:color w:val="000000"/>
                <w:kern w:val="0"/>
                <w:sz w:val="21"/>
                <w:szCs w:val="21"/>
                <w:lang w:bidi="ar"/>
              </w:rPr>
              <w:t>投标人投标时提供自身知情承诺书。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8" w:type="pct"/>
            <w:vMerge w:val="continue"/>
            <w:vAlign w:val="center"/>
          </w:tcPr>
          <w:p>
            <w:pPr>
              <w:widowControl/>
              <w:rPr>
                <w:rFonts w:hint="eastAsia" w:ascii="微软雅黑" w:hAnsi="微软雅黑" w:eastAsia="微软雅黑" w:cs="微软雅黑"/>
                <w:bCs/>
                <w:kern w:val="0"/>
                <w:sz w:val="21"/>
                <w:szCs w:val="21"/>
                <w:highlight w:val="none"/>
              </w:rPr>
            </w:pPr>
          </w:p>
        </w:tc>
        <w:tc>
          <w:tcPr>
            <w:tcW w:w="319"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pStyle w:val="13"/>
              <w:spacing w:line="300" w:lineRule="exact"/>
              <w:jc w:val="center"/>
              <w:rPr>
                <w:rFonts w:hint="eastAsia" w:ascii="微软雅黑" w:hAnsi="微软雅黑" w:eastAsia="微软雅黑" w:cs="微软雅黑"/>
                <w:color w:val="000000"/>
                <w:kern w:val="0"/>
                <w:sz w:val="21"/>
                <w:szCs w:val="21"/>
                <w:highlight w:val="none"/>
                <w:lang w:val="en-US" w:eastAsia="en-US" w:bidi="ar"/>
              </w:rPr>
            </w:pPr>
            <w:r>
              <w:rPr>
                <w:rStyle w:val="8"/>
                <w:rFonts w:hint="eastAsia" w:ascii="宋体" w:hAnsi="宋体" w:eastAsia="宋体" w:cs="宋体"/>
                <w:b w:val="0"/>
                <w:color w:val="auto"/>
                <w:kern w:val="2"/>
                <w:sz w:val="21"/>
                <w:szCs w:val="24"/>
                <w:highlight w:val="none"/>
                <w:u w:val="none"/>
                <w:lang w:val="en-US" w:eastAsia="zh-CN" w:bidi="ar-SA"/>
              </w:rPr>
              <w:t>★资质要求</w:t>
            </w:r>
          </w:p>
        </w:tc>
        <w:tc>
          <w:tcPr>
            <w:tcW w:w="3247" w:type="pct"/>
            <w:vAlign w:val="center"/>
          </w:tcPr>
          <w:p>
            <w:pPr>
              <w:pStyle w:val="13"/>
              <w:spacing w:line="300" w:lineRule="exact"/>
              <w:jc w:val="left"/>
              <w:rPr>
                <w:rStyle w:val="8"/>
                <w:rFonts w:hint="eastAsia" w:ascii="宋体" w:hAnsi="宋体" w:eastAsia="宋体" w:cs="宋体"/>
                <w:b w:val="0"/>
                <w:color w:val="auto"/>
                <w:kern w:val="2"/>
                <w:sz w:val="21"/>
                <w:szCs w:val="24"/>
                <w:highlight w:val="none"/>
                <w:u w:val="none"/>
                <w:lang w:val="en-US" w:eastAsia="zh-CN" w:bidi="ar-SA"/>
              </w:rPr>
            </w:pPr>
            <w:r>
              <w:rPr>
                <w:rStyle w:val="8"/>
                <w:rFonts w:hint="eastAsia" w:ascii="宋体" w:hAnsi="宋体" w:eastAsia="宋体" w:cs="宋体"/>
                <w:b w:val="0"/>
                <w:color w:val="auto"/>
                <w:kern w:val="2"/>
                <w:sz w:val="21"/>
                <w:szCs w:val="24"/>
                <w:highlight w:val="none"/>
                <w:u w:val="none"/>
                <w:lang w:val="en-US" w:eastAsia="zh-CN" w:bidi="ar-SA"/>
              </w:rPr>
              <w:t>1）投标人具有合法有效的企业法人营业执照、税务登记证及组织机构代码证或证照合一的营业执照</w:t>
            </w:r>
            <w:r>
              <w:rPr>
                <w:rStyle w:val="8"/>
                <w:rFonts w:hint="eastAsia" w:ascii="宋体" w:hAnsi="宋体" w:eastAsia="宋体" w:cs="宋体"/>
                <w:b/>
                <w:bCs/>
                <w:color w:val="auto"/>
                <w:kern w:val="2"/>
                <w:sz w:val="21"/>
                <w:szCs w:val="24"/>
                <w:highlight w:val="none"/>
                <w:u w:val="none"/>
                <w:lang w:val="en-US" w:eastAsia="zh-CN" w:bidi="ar-SA"/>
              </w:rPr>
              <w:t>（海外公司除外）（应附营业执照复印件并加盖单位章）</w:t>
            </w:r>
            <w:r>
              <w:rPr>
                <w:rStyle w:val="8"/>
                <w:rFonts w:hint="eastAsia" w:ascii="宋体" w:hAnsi="宋体" w:eastAsia="宋体" w:cs="宋体"/>
                <w:b w:val="0"/>
                <w:color w:val="auto"/>
                <w:kern w:val="2"/>
                <w:sz w:val="21"/>
                <w:szCs w:val="24"/>
                <w:highlight w:val="none"/>
                <w:u w:val="none"/>
                <w:lang w:val="en-US" w:eastAsia="zh-CN" w:bidi="ar-SA"/>
              </w:rPr>
              <w:t>；</w:t>
            </w:r>
          </w:p>
          <w:p>
            <w:pPr>
              <w:pStyle w:val="13"/>
              <w:spacing w:line="300" w:lineRule="exact"/>
              <w:jc w:val="left"/>
              <w:rPr>
                <w:rStyle w:val="8"/>
                <w:rFonts w:hint="eastAsia" w:ascii="宋体" w:hAnsi="宋体" w:eastAsia="宋体" w:cs="宋体"/>
                <w:b w:val="0"/>
                <w:color w:val="auto"/>
                <w:kern w:val="2"/>
                <w:sz w:val="21"/>
                <w:szCs w:val="24"/>
                <w:highlight w:val="none"/>
                <w:u w:val="none"/>
                <w:lang w:val="en-US" w:eastAsia="zh-CN" w:bidi="ar-SA"/>
              </w:rPr>
            </w:pPr>
            <w:r>
              <w:rPr>
                <w:rStyle w:val="8"/>
                <w:rFonts w:hint="eastAsia" w:ascii="宋体" w:hAnsi="宋体" w:eastAsia="宋体" w:cs="宋体"/>
                <w:b w:val="0"/>
                <w:color w:val="auto"/>
                <w:kern w:val="2"/>
                <w:sz w:val="21"/>
                <w:szCs w:val="24"/>
                <w:highlight w:val="none"/>
                <w:u w:val="none"/>
                <w:lang w:val="en-US" w:eastAsia="zh-CN" w:bidi="ar-SA"/>
              </w:rPr>
              <w:t>2）信誉要求：1、投标人不得是最高人民法院在“信用中国”网站（www.creditchina.gov.cn）或各级法院列入失信被执行人名单</w:t>
            </w:r>
            <w:r>
              <w:rPr>
                <w:rStyle w:val="8"/>
                <w:rFonts w:hint="eastAsia" w:ascii="宋体" w:hAnsi="宋体" w:eastAsia="宋体" w:cs="宋体"/>
                <w:b/>
                <w:bCs/>
                <w:color w:val="auto"/>
                <w:kern w:val="2"/>
                <w:sz w:val="21"/>
                <w:szCs w:val="24"/>
                <w:highlight w:val="none"/>
                <w:u w:val="none"/>
                <w:lang w:val="en-US" w:eastAsia="zh-CN" w:bidi="ar-SA"/>
              </w:rPr>
              <w:t>（应附查询结果复印件并加盖单位章）</w:t>
            </w:r>
            <w:r>
              <w:rPr>
                <w:rStyle w:val="8"/>
                <w:rFonts w:hint="eastAsia" w:ascii="宋体" w:hAnsi="宋体" w:eastAsia="宋体" w:cs="宋体"/>
                <w:b w:val="0"/>
                <w:color w:val="auto"/>
                <w:kern w:val="2"/>
                <w:sz w:val="21"/>
                <w:szCs w:val="24"/>
                <w:highlight w:val="none"/>
                <w:u w:val="none"/>
                <w:lang w:val="en-US" w:eastAsia="zh-CN" w:bidi="ar-SA"/>
              </w:rPr>
              <w:t>；2、近三年（投标截止日前3年）内投标人或其法定代表人、拟委任的项目负责人不得有行贿犯罪行为</w:t>
            </w:r>
            <w:r>
              <w:rPr>
                <w:rStyle w:val="8"/>
                <w:rFonts w:hint="eastAsia" w:ascii="宋体" w:hAnsi="宋体" w:eastAsia="宋体" w:cs="宋体"/>
                <w:b/>
                <w:bCs/>
                <w:color w:val="auto"/>
                <w:kern w:val="2"/>
                <w:sz w:val="21"/>
                <w:szCs w:val="24"/>
                <w:highlight w:val="none"/>
                <w:u w:val="none"/>
                <w:lang w:val="en-US" w:eastAsia="zh-CN" w:bidi="ar-SA"/>
              </w:rPr>
              <w:t>（应附查询结果复印件并加盖单位章）</w:t>
            </w:r>
            <w:r>
              <w:rPr>
                <w:rStyle w:val="8"/>
                <w:rFonts w:hint="eastAsia" w:ascii="宋体" w:hAnsi="宋体" w:eastAsia="宋体" w:cs="宋体"/>
                <w:b w:val="0"/>
                <w:color w:val="auto"/>
                <w:kern w:val="2"/>
                <w:sz w:val="21"/>
                <w:szCs w:val="24"/>
                <w:highlight w:val="none"/>
                <w:u w:val="none"/>
                <w:lang w:val="en-US" w:eastAsia="zh-CN" w:bidi="ar-SA"/>
              </w:rPr>
              <w:t>；3、投标人不得被工商行政管理机关在全国企业信用信息公示系统（http://www.gsxt.gov.cn）中列入严重违法失信企业名</w:t>
            </w:r>
            <w:r>
              <w:rPr>
                <w:rStyle w:val="8"/>
                <w:rFonts w:hint="eastAsia" w:ascii="宋体" w:hAnsi="宋体" w:eastAsia="宋体" w:cs="宋体"/>
                <w:b/>
                <w:bCs/>
                <w:color w:val="auto"/>
                <w:kern w:val="2"/>
                <w:sz w:val="21"/>
                <w:szCs w:val="24"/>
                <w:highlight w:val="none"/>
                <w:u w:val="none"/>
                <w:lang w:val="en-US" w:eastAsia="zh-CN" w:bidi="ar-SA"/>
              </w:rPr>
              <w:t>（应附查询结果复印件并加盖单位</w:t>
            </w:r>
            <w:r>
              <w:rPr>
                <w:rStyle w:val="8"/>
                <w:rFonts w:hint="eastAsia" w:ascii="宋体" w:hAnsi="宋体" w:eastAsia="宋体" w:cs="宋体"/>
                <w:b w:val="0"/>
                <w:bCs w:val="0"/>
                <w:color w:val="auto"/>
                <w:kern w:val="2"/>
                <w:sz w:val="21"/>
                <w:szCs w:val="24"/>
                <w:highlight w:val="none"/>
                <w:u w:val="none"/>
                <w:lang w:val="en-US" w:eastAsia="zh-CN" w:bidi="ar-SA"/>
              </w:rPr>
              <w:t>章）</w:t>
            </w:r>
            <w:r>
              <w:rPr>
                <w:rStyle w:val="8"/>
                <w:rFonts w:hint="eastAsia" w:ascii="宋体" w:hAnsi="宋体" w:eastAsia="宋体" w:cs="宋体"/>
                <w:b w:val="0"/>
                <w:color w:val="auto"/>
                <w:kern w:val="2"/>
                <w:sz w:val="21"/>
                <w:szCs w:val="24"/>
                <w:highlight w:val="none"/>
                <w:u w:val="none"/>
                <w:lang w:val="en-US" w:eastAsia="zh-CN" w:bidi="ar-SA"/>
              </w:rPr>
              <w:t>；4、如投标人单位负责人为同一人或者存在控股、管理关系的不同单位，参加同一标段或者未划分标段的同一项目报价，则存在关联关系的申请人报价均视为无效。</w:t>
            </w:r>
          </w:p>
          <w:p>
            <w:pPr>
              <w:pStyle w:val="13"/>
              <w:spacing w:line="300" w:lineRule="exact"/>
              <w:jc w:val="left"/>
              <w:rPr>
                <w:rFonts w:hint="eastAsia" w:ascii="微软雅黑" w:hAnsi="微软雅黑" w:eastAsia="微软雅黑" w:cs="微软雅黑"/>
                <w:b w:val="0"/>
                <w:bCs/>
                <w:kern w:val="2"/>
                <w:sz w:val="21"/>
                <w:szCs w:val="21"/>
                <w:highlight w:val="none"/>
                <w:lang w:val="en-US" w:eastAsia="zh-CN"/>
              </w:rPr>
            </w:pPr>
            <w:r>
              <w:rPr>
                <w:rStyle w:val="8"/>
                <w:rFonts w:hint="eastAsia" w:ascii="宋体" w:hAnsi="宋体" w:eastAsia="宋体" w:cs="宋体"/>
                <w:b w:val="0"/>
                <w:color w:val="auto"/>
                <w:kern w:val="2"/>
                <w:sz w:val="21"/>
                <w:szCs w:val="24"/>
                <w:highlight w:val="none"/>
                <w:u w:val="none"/>
                <w:lang w:val="en-US" w:eastAsia="zh-CN" w:bidi="ar-SA"/>
              </w:rPr>
              <w:t>3）投标人或投标人与本次招标相关的某类产品/业务范围被中国海洋石油集团有限公司或本招标项目的所属单位禁用的；在处罚期内或处罚期满但在系统中的供应商档案中的“档案状态”为“采购冻结”或“业务状态”为“冻结”的；视为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8" w:type="pct"/>
            <w:vMerge w:val="continue"/>
            <w:vAlign w:val="center"/>
          </w:tcPr>
          <w:p>
            <w:pPr>
              <w:widowControl/>
              <w:rPr>
                <w:rFonts w:hint="eastAsia" w:ascii="微软雅黑" w:hAnsi="微软雅黑" w:eastAsia="微软雅黑" w:cs="微软雅黑"/>
                <w:bCs/>
                <w:kern w:val="0"/>
                <w:sz w:val="21"/>
                <w:szCs w:val="21"/>
                <w:highlight w:val="none"/>
              </w:rPr>
            </w:pPr>
          </w:p>
        </w:tc>
        <w:tc>
          <w:tcPr>
            <w:tcW w:w="319"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pStyle w:val="13"/>
              <w:spacing w:line="300" w:lineRule="exact"/>
              <w:jc w:val="center"/>
              <w:rPr>
                <w:rFonts w:hint="default" w:ascii="微软雅黑" w:hAnsi="微软雅黑" w:eastAsia="微软雅黑" w:cs="微软雅黑"/>
                <w:color w:val="000000"/>
                <w:kern w:val="0"/>
                <w:sz w:val="21"/>
                <w:szCs w:val="21"/>
                <w:highlight w:val="none"/>
                <w:lang w:val="en-US" w:eastAsia="en-US" w:bidi="ar"/>
              </w:rPr>
            </w:pPr>
            <w:r>
              <w:rPr>
                <w:rStyle w:val="8"/>
                <w:rFonts w:hint="eastAsia" w:ascii="宋体" w:hAnsi="宋体" w:eastAsia="宋体" w:cs="宋体"/>
                <w:b w:val="0"/>
                <w:color w:val="auto"/>
                <w:kern w:val="2"/>
                <w:sz w:val="21"/>
                <w:szCs w:val="24"/>
                <w:highlight w:val="none"/>
                <w:u w:val="none"/>
                <w:lang w:val="en-US" w:eastAsia="zh-CN" w:bidi="ar-SA"/>
              </w:rPr>
              <w:t>★业绩要求</w:t>
            </w:r>
          </w:p>
        </w:tc>
        <w:tc>
          <w:tcPr>
            <w:tcW w:w="3247" w:type="pct"/>
            <w:vAlign w:val="center"/>
          </w:tcPr>
          <w:p>
            <w:pPr>
              <w:pStyle w:val="13"/>
              <w:spacing w:line="300" w:lineRule="exact"/>
              <w:jc w:val="left"/>
              <w:rPr>
                <w:rFonts w:hint="eastAsia" w:ascii="微软雅黑" w:hAnsi="微软雅黑" w:eastAsia="微软雅黑" w:cs="微软雅黑"/>
                <w:b w:val="0"/>
                <w:bCs/>
                <w:kern w:val="2"/>
                <w:sz w:val="21"/>
                <w:szCs w:val="21"/>
                <w:highlight w:val="none"/>
                <w:lang w:val="en-US" w:eastAsia="zh-CN"/>
              </w:rPr>
            </w:pPr>
            <w:r>
              <w:rPr>
                <w:rStyle w:val="8"/>
                <w:rFonts w:hint="eastAsia" w:ascii="宋体" w:hAnsi="宋体" w:eastAsia="宋体" w:cs="宋体"/>
                <w:b w:val="0"/>
                <w:color w:val="auto"/>
                <w:kern w:val="2"/>
                <w:sz w:val="21"/>
                <w:szCs w:val="24"/>
                <w:highlight w:val="none"/>
                <w:u w:val="none"/>
                <w:lang w:val="en-US" w:eastAsia="zh-CN" w:bidi="ar-SA"/>
              </w:rPr>
              <w:t>提供近三年（截止投标截止日）内辐射工作场所监测服务类业绩合同至少1份，提供合同扫描件、发票扫描件。（上述文件中涉及机密、敏感信息的地方，可以隐去）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8" w:type="pct"/>
            <w:vMerge w:val="continue"/>
            <w:vAlign w:val="center"/>
          </w:tcPr>
          <w:p>
            <w:pPr>
              <w:widowControl/>
              <w:rPr>
                <w:rFonts w:hint="eastAsia" w:ascii="微软雅黑" w:hAnsi="微软雅黑" w:eastAsia="微软雅黑" w:cs="微软雅黑"/>
                <w:bCs/>
                <w:kern w:val="0"/>
                <w:sz w:val="21"/>
                <w:szCs w:val="21"/>
                <w:highlight w:val="none"/>
              </w:rPr>
            </w:pPr>
          </w:p>
        </w:tc>
        <w:tc>
          <w:tcPr>
            <w:tcW w:w="319" w:type="pct"/>
            <w:gridSpan w:val="2"/>
            <w:vMerge w:val="continue"/>
            <w:vAlign w:val="center"/>
          </w:tcPr>
          <w:p>
            <w:pPr>
              <w:widowControl/>
              <w:rPr>
                <w:rFonts w:hint="eastAsia" w:ascii="微软雅黑" w:hAnsi="微软雅黑" w:eastAsia="微软雅黑" w:cs="微软雅黑"/>
                <w:bCs/>
                <w:kern w:val="0"/>
                <w:sz w:val="21"/>
                <w:szCs w:val="21"/>
                <w:highlight w:val="none"/>
              </w:rPr>
            </w:pPr>
          </w:p>
        </w:tc>
        <w:tc>
          <w:tcPr>
            <w:tcW w:w="1155" w:type="pct"/>
            <w:vAlign w:val="center"/>
          </w:tcPr>
          <w:p>
            <w:pPr>
              <w:pStyle w:val="13"/>
              <w:spacing w:line="300" w:lineRule="exact"/>
              <w:jc w:val="center"/>
              <w:rPr>
                <w:rFonts w:hint="eastAsia" w:ascii="微软雅黑" w:hAnsi="微软雅黑" w:eastAsia="微软雅黑" w:cs="微软雅黑"/>
                <w:color w:val="000000"/>
                <w:kern w:val="0"/>
                <w:sz w:val="21"/>
                <w:szCs w:val="21"/>
                <w:highlight w:val="none"/>
                <w:lang w:val="en-US" w:eastAsia="zh-CN" w:bidi="ar"/>
              </w:rPr>
            </w:pPr>
            <w:r>
              <w:rPr>
                <w:rStyle w:val="8"/>
                <w:rFonts w:hint="eastAsia" w:ascii="宋体" w:hAnsi="宋体" w:eastAsia="宋体" w:cs="宋体"/>
                <w:b w:val="0"/>
                <w:color w:val="auto"/>
                <w:kern w:val="2"/>
                <w:sz w:val="21"/>
                <w:szCs w:val="24"/>
                <w:highlight w:val="none"/>
                <w:u w:val="none"/>
                <w:lang w:val="en-US" w:eastAsia="zh-CN" w:bidi="ar-SA"/>
              </w:rPr>
              <w:t>★其他能力要求</w:t>
            </w:r>
          </w:p>
        </w:tc>
        <w:tc>
          <w:tcPr>
            <w:tcW w:w="3247" w:type="pct"/>
            <w:vAlign w:val="center"/>
          </w:tcPr>
          <w:p>
            <w:pPr>
              <w:pStyle w:val="13"/>
              <w:spacing w:line="300" w:lineRule="exact"/>
              <w:jc w:val="left"/>
              <w:rPr>
                <w:rStyle w:val="8"/>
                <w:rFonts w:hint="eastAsia" w:ascii="宋体" w:hAnsi="宋体" w:eastAsia="宋体" w:cs="宋体"/>
                <w:b w:val="0"/>
                <w:color w:val="auto"/>
                <w:kern w:val="2"/>
                <w:sz w:val="21"/>
                <w:szCs w:val="24"/>
                <w:highlight w:val="none"/>
                <w:u w:val="none"/>
                <w:lang w:val="en-US" w:eastAsia="zh-CN" w:bidi="ar-SA"/>
              </w:rPr>
            </w:pPr>
            <w:r>
              <w:rPr>
                <w:rStyle w:val="8"/>
                <w:rFonts w:hint="eastAsia" w:ascii="宋体" w:hAnsi="宋体" w:eastAsia="宋体" w:cs="宋体"/>
                <w:b w:val="0"/>
                <w:color w:val="auto"/>
                <w:kern w:val="2"/>
                <w:sz w:val="21"/>
                <w:szCs w:val="24"/>
                <w:highlight w:val="none"/>
                <w:u w:val="none"/>
                <w:lang w:val="en-US" w:eastAsia="zh-CN" w:bidi="ar-SA"/>
              </w:rPr>
              <w:t>贸易商或代理商须满足以下条件：</w:t>
            </w:r>
          </w:p>
          <w:p>
            <w:pPr>
              <w:pStyle w:val="13"/>
              <w:spacing w:line="300" w:lineRule="exact"/>
              <w:jc w:val="left"/>
              <w:rPr>
                <w:rStyle w:val="8"/>
                <w:rFonts w:hint="eastAsia" w:ascii="宋体" w:hAnsi="宋体" w:eastAsia="宋体" w:cs="宋体"/>
                <w:b w:val="0"/>
                <w:color w:val="auto"/>
                <w:kern w:val="2"/>
                <w:sz w:val="21"/>
                <w:szCs w:val="24"/>
                <w:highlight w:val="none"/>
                <w:u w:val="none"/>
                <w:lang w:val="en-US" w:eastAsia="zh-CN" w:bidi="ar-SA"/>
              </w:rPr>
            </w:pPr>
            <w:r>
              <w:rPr>
                <w:rStyle w:val="8"/>
                <w:rFonts w:hint="eastAsia" w:ascii="宋体" w:hAnsi="宋体" w:eastAsia="宋体" w:cs="宋体"/>
                <w:b w:val="0"/>
                <w:color w:val="auto"/>
                <w:kern w:val="2"/>
                <w:sz w:val="21"/>
                <w:szCs w:val="24"/>
                <w:highlight w:val="none"/>
                <w:u w:val="none"/>
                <w:lang w:val="en-US" w:eastAsia="zh-CN" w:bidi="ar-SA"/>
              </w:rPr>
              <w:t>（ 1） 具有一定员工数量，履行社会责任：提供至少3名员工劳动合同及过去半年社保缴费证明；</w:t>
            </w:r>
          </w:p>
          <w:p>
            <w:pPr>
              <w:pStyle w:val="13"/>
              <w:spacing w:line="300" w:lineRule="exact"/>
              <w:jc w:val="left"/>
              <w:rPr>
                <w:rStyle w:val="8"/>
                <w:rFonts w:hint="eastAsia" w:ascii="宋体" w:hAnsi="宋体" w:eastAsia="宋体" w:cs="宋体"/>
                <w:b w:val="0"/>
                <w:color w:val="auto"/>
                <w:kern w:val="2"/>
                <w:sz w:val="21"/>
                <w:szCs w:val="24"/>
                <w:highlight w:val="none"/>
                <w:u w:val="none"/>
                <w:lang w:val="en-US" w:eastAsia="zh-CN" w:bidi="ar-SA"/>
              </w:rPr>
            </w:pPr>
            <w:r>
              <w:rPr>
                <w:rStyle w:val="8"/>
                <w:rFonts w:hint="eastAsia" w:ascii="宋体" w:hAnsi="宋体" w:eastAsia="宋体" w:cs="宋体"/>
                <w:b w:val="0"/>
                <w:color w:val="auto"/>
                <w:kern w:val="2"/>
                <w:sz w:val="21"/>
                <w:szCs w:val="24"/>
                <w:highlight w:val="none"/>
                <w:u w:val="none"/>
                <w:lang w:val="en-US" w:eastAsia="zh-CN" w:bidi="ar-SA"/>
              </w:rPr>
              <w:t>（ 2） 不得将中国海油作为唯一服务客户：提供近三年与中国海油外客户成交业绩合同至少1份，业绩证明文件标准详见“业绩要求”。</w:t>
            </w:r>
          </w:p>
          <w:p>
            <w:pPr>
              <w:pStyle w:val="13"/>
              <w:spacing w:line="300" w:lineRule="exact"/>
              <w:jc w:val="left"/>
              <w:rPr>
                <w:rFonts w:hint="eastAsia" w:ascii="微软雅黑" w:hAnsi="微软雅黑" w:eastAsia="微软雅黑" w:cs="微软雅黑"/>
                <w:color w:val="000000"/>
                <w:kern w:val="0"/>
                <w:sz w:val="21"/>
                <w:szCs w:val="21"/>
                <w:highlight w:val="none"/>
                <w:lang w:val="en-US" w:eastAsia="zh-CN" w:bidi="ar"/>
              </w:rPr>
            </w:pPr>
            <w:r>
              <w:rPr>
                <w:rStyle w:val="8"/>
                <w:rFonts w:hint="eastAsia" w:ascii="宋体" w:hAnsi="宋体" w:eastAsia="宋体" w:cs="宋体"/>
                <w:b w:val="0"/>
                <w:color w:val="auto"/>
                <w:kern w:val="2"/>
                <w:sz w:val="21"/>
                <w:szCs w:val="24"/>
                <w:highlight w:val="none"/>
                <w:u w:val="none"/>
                <w:lang w:val="en-US" w:eastAsia="zh-CN" w:bidi="ar-SA"/>
              </w:rPr>
              <w:t>备注：开标后我方将对供应商提供的业绩、财务报表、资质要求及其他能力要求证明材料进行核查，发现以上任一条件弄虚作假者将按照中海油服《供应商管理办法》中“供应商风险情形和处理标准”条款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278" w:type="pct"/>
            <w:vMerge w:val="restart"/>
            <w:vAlign w:val="center"/>
          </w:tcPr>
          <w:p>
            <w:pPr>
              <w:pStyle w:val="13"/>
              <w:spacing w:line="300" w:lineRule="exact"/>
              <w:jc w:val="center"/>
              <w:rPr>
                <w:rFonts w:hint="eastAsia" w:ascii="微软雅黑" w:hAnsi="微软雅黑" w:eastAsia="微软雅黑" w:cs="微软雅黑"/>
                <w:bCs/>
                <w:sz w:val="21"/>
                <w:szCs w:val="21"/>
                <w:highlight w:val="none"/>
              </w:rPr>
            </w:pPr>
            <w:r>
              <w:rPr>
                <w:rFonts w:hint="eastAsia" w:ascii="微软雅黑" w:hAnsi="微软雅黑" w:eastAsia="微软雅黑" w:cs="微软雅黑"/>
                <w:bCs/>
                <w:sz w:val="21"/>
                <w:szCs w:val="21"/>
                <w:highlight w:val="none"/>
                <w:lang w:val="en-US" w:eastAsia="zh-CN"/>
              </w:rPr>
              <w:t>3</w:t>
            </w:r>
          </w:p>
        </w:tc>
        <w:tc>
          <w:tcPr>
            <w:tcW w:w="319" w:type="pct"/>
            <w:gridSpan w:val="2"/>
            <w:vMerge w:val="restart"/>
            <w:textDirection w:val="tbRlV"/>
            <w:vAlign w:val="center"/>
          </w:tcPr>
          <w:p>
            <w:pPr>
              <w:pStyle w:val="13"/>
              <w:spacing w:line="300" w:lineRule="exact"/>
              <w:ind w:left="113" w:right="113"/>
              <w:jc w:val="center"/>
              <w:rPr>
                <w:rFonts w:hint="default" w:ascii="微软雅黑" w:hAnsi="微软雅黑" w:eastAsia="微软雅黑" w:cs="微软雅黑"/>
                <w:bCs/>
                <w:sz w:val="21"/>
                <w:szCs w:val="21"/>
                <w:highlight w:val="none"/>
                <w:lang w:val="en-US" w:eastAsia="zh-CN"/>
              </w:rPr>
            </w:pPr>
            <w:r>
              <w:rPr>
                <w:rFonts w:hint="eastAsia" w:ascii="微软雅黑" w:hAnsi="微软雅黑" w:eastAsia="微软雅黑" w:cs="微软雅黑"/>
                <w:bCs/>
                <w:sz w:val="21"/>
                <w:szCs w:val="21"/>
                <w:highlight w:val="none"/>
                <w:lang w:eastAsia="zh-CN"/>
              </w:rPr>
              <w:t>技术</w:t>
            </w:r>
            <w:r>
              <w:rPr>
                <w:rFonts w:hint="eastAsia" w:ascii="微软雅黑" w:hAnsi="微软雅黑" w:eastAsia="微软雅黑" w:cs="微软雅黑"/>
                <w:bCs/>
                <w:sz w:val="21"/>
                <w:szCs w:val="21"/>
                <w:highlight w:val="none"/>
                <w:lang w:val="en-US" w:eastAsia="zh-CN"/>
              </w:rPr>
              <w:t>要求</w:t>
            </w:r>
          </w:p>
        </w:tc>
        <w:tc>
          <w:tcPr>
            <w:tcW w:w="1155" w:type="pct"/>
            <w:vAlign w:val="center"/>
          </w:tcPr>
          <w:p>
            <w:pPr>
              <w:pStyle w:val="13"/>
              <w:spacing w:line="300" w:lineRule="exact"/>
              <w:jc w:val="center"/>
              <w:rPr>
                <w:rStyle w:val="8"/>
                <w:rFonts w:hint="eastAsia" w:ascii="宋体" w:hAnsi="宋体" w:eastAsia="宋体" w:cs="宋体"/>
                <w:b w:val="0"/>
                <w:color w:val="auto"/>
                <w:kern w:val="2"/>
                <w:sz w:val="21"/>
                <w:szCs w:val="24"/>
                <w:highlight w:val="none"/>
                <w:u w:val="none"/>
                <w:lang w:val="en-US" w:eastAsia="zh-CN" w:bidi="ar-SA"/>
              </w:rPr>
            </w:pPr>
            <w:r>
              <w:rPr>
                <w:rStyle w:val="8"/>
                <w:rFonts w:hint="eastAsia" w:ascii="宋体" w:hAnsi="宋体" w:eastAsia="宋体" w:cs="宋体"/>
                <w:b w:val="0"/>
                <w:color w:val="auto"/>
                <w:kern w:val="2"/>
                <w:sz w:val="21"/>
                <w:szCs w:val="24"/>
                <w:highlight w:val="none"/>
                <w:u w:val="none"/>
                <w:lang w:val="en-US" w:eastAsia="zh-CN" w:bidi="ar-SA"/>
              </w:rPr>
              <w:t>★放射源</w:t>
            </w:r>
          </w:p>
        </w:tc>
        <w:tc>
          <w:tcPr>
            <w:tcW w:w="3247" w:type="pct"/>
            <w:vAlign w:val="bottom"/>
          </w:tcPr>
          <w:p>
            <w:pPr>
              <w:pStyle w:val="13"/>
              <w:spacing w:line="300" w:lineRule="exact"/>
              <w:jc w:val="center"/>
              <w:rPr>
                <w:rStyle w:val="8"/>
                <w:rFonts w:hint="default" w:ascii="宋体" w:hAnsi="宋体" w:eastAsia="宋体" w:cs="宋体"/>
                <w:b w:val="0"/>
                <w:color w:val="auto"/>
                <w:kern w:val="2"/>
                <w:sz w:val="21"/>
                <w:szCs w:val="24"/>
                <w:highlight w:val="none"/>
                <w:u w:val="none"/>
                <w:lang w:val="en-US" w:eastAsia="zh-CN" w:bidi="ar-SA"/>
              </w:rPr>
            </w:pPr>
            <w:r>
              <w:rPr>
                <w:rStyle w:val="8"/>
                <w:rFonts w:hint="eastAsia" w:ascii="宋体" w:hAnsi="宋体" w:eastAsia="宋体" w:cs="宋体"/>
                <w:b w:val="0"/>
                <w:color w:val="auto"/>
                <w:kern w:val="2"/>
                <w:sz w:val="21"/>
                <w:szCs w:val="24"/>
                <w:highlight w:val="none"/>
                <w:u w:val="none"/>
                <w:lang w:val="en-US" w:eastAsia="zh-CN" w:bidi="ar-SA"/>
              </w:rPr>
              <w:t>根据放射源的类型及其属性，开展γ空气吸收剂量率、中子剂量率监测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278" w:type="pct"/>
            <w:vMerge w:val="continue"/>
            <w:vAlign w:val="center"/>
          </w:tcPr>
          <w:p>
            <w:pPr>
              <w:widowControl/>
              <w:rPr>
                <w:rFonts w:hint="eastAsia" w:ascii="微软雅黑" w:hAnsi="微软雅黑" w:eastAsia="微软雅黑" w:cs="微软雅黑"/>
                <w:bCs/>
                <w:kern w:val="0"/>
                <w:sz w:val="21"/>
                <w:szCs w:val="21"/>
                <w:highlight w:val="none"/>
              </w:rPr>
            </w:pPr>
          </w:p>
        </w:tc>
        <w:tc>
          <w:tcPr>
            <w:tcW w:w="319" w:type="pct"/>
            <w:gridSpan w:val="2"/>
            <w:vMerge w:val="continue"/>
            <w:vAlign w:val="center"/>
          </w:tcPr>
          <w:p>
            <w:pPr>
              <w:pStyle w:val="13"/>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pStyle w:val="13"/>
              <w:spacing w:line="300" w:lineRule="exact"/>
              <w:jc w:val="center"/>
              <w:rPr>
                <w:rStyle w:val="8"/>
                <w:rFonts w:hint="default" w:ascii="宋体" w:hAnsi="宋体" w:eastAsia="宋体" w:cs="宋体"/>
                <w:b w:val="0"/>
                <w:color w:val="auto"/>
                <w:kern w:val="2"/>
                <w:sz w:val="21"/>
                <w:szCs w:val="24"/>
                <w:highlight w:val="none"/>
                <w:u w:val="none"/>
                <w:lang w:val="en-US" w:eastAsia="zh-CN" w:bidi="ar-SA"/>
              </w:rPr>
            </w:pPr>
            <w:r>
              <w:rPr>
                <w:rStyle w:val="8"/>
                <w:rFonts w:hint="eastAsia" w:ascii="宋体" w:hAnsi="宋体" w:eastAsia="宋体" w:cs="宋体"/>
                <w:b w:val="0"/>
                <w:color w:val="auto"/>
                <w:kern w:val="2"/>
                <w:sz w:val="21"/>
                <w:szCs w:val="24"/>
                <w:highlight w:val="none"/>
                <w:u w:val="none"/>
                <w:lang w:val="en-US" w:eastAsia="zh-CN" w:bidi="ar-SA"/>
              </w:rPr>
              <w:t>★环境监测用X、γ辐射空气比释动能率仪</w:t>
            </w:r>
          </w:p>
        </w:tc>
        <w:tc>
          <w:tcPr>
            <w:tcW w:w="3247" w:type="pct"/>
            <w:vAlign w:val="bottom"/>
          </w:tcPr>
          <w:p>
            <w:pPr>
              <w:pStyle w:val="13"/>
              <w:spacing w:line="300" w:lineRule="exact"/>
              <w:jc w:val="center"/>
              <w:rPr>
                <w:rStyle w:val="8"/>
                <w:rFonts w:hint="eastAsia" w:ascii="宋体" w:hAnsi="宋体" w:eastAsia="宋体" w:cs="宋体"/>
                <w:b w:val="0"/>
                <w:color w:val="auto"/>
                <w:kern w:val="2"/>
                <w:sz w:val="21"/>
                <w:szCs w:val="24"/>
                <w:highlight w:val="none"/>
                <w:u w:val="none"/>
                <w:lang w:val="en-US" w:eastAsia="zh-CN" w:bidi="ar-SA"/>
              </w:rPr>
            </w:pPr>
            <w:r>
              <w:rPr>
                <w:rStyle w:val="8"/>
                <w:rFonts w:hint="eastAsia" w:ascii="宋体" w:hAnsi="宋体" w:eastAsia="宋体" w:cs="宋体"/>
                <w:b w:val="0"/>
                <w:color w:val="auto"/>
                <w:kern w:val="2"/>
                <w:sz w:val="21"/>
                <w:szCs w:val="24"/>
                <w:highlight w:val="none"/>
                <w:u w:val="none"/>
                <w:lang w:val="en-US" w:eastAsia="zh-CN" w:bidi="ar-SA"/>
              </w:rPr>
              <w:t>测量范围： 1×10-6～1Gy/h，不确定度：≤10%，检定证书在有效期内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78" w:type="pct"/>
            <w:vMerge w:val="continue"/>
            <w:vAlign w:val="center"/>
          </w:tcPr>
          <w:p>
            <w:pPr>
              <w:widowControl/>
              <w:rPr>
                <w:rFonts w:hint="eastAsia" w:ascii="微软雅黑" w:hAnsi="微软雅黑" w:eastAsia="微软雅黑" w:cs="微软雅黑"/>
                <w:bCs/>
                <w:kern w:val="0"/>
                <w:sz w:val="21"/>
                <w:szCs w:val="21"/>
                <w:highlight w:val="none"/>
              </w:rPr>
            </w:pPr>
          </w:p>
        </w:tc>
        <w:tc>
          <w:tcPr>
            <w:tcW w:w="319" w:type="pct"/>
            <w:gridSpan w:val="2"/>
            <w:vMerge w:val="continue"/>
            <w:vAlign w:val="center"/>
          </w:tcPr>
          <w:p>
            <w:pPr>
              <w:pStyle w:val="13"/>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pStyle w:val="13"/>
              <w:spacing w:line="300" w:lineRule="exact"/>
              <w:jc w:val="center"/>
              <w:rPr>
                <w:rStyle w:val="8"/>
                <w:rFonts w:hint="default" w:ascii="宋体" w:hAnsi="宋体" w:eastAsia="宋体" w:cs="宋体"/>
                <w:b w:val="0"/>
                <w:color w:val="auto"/>
                <w:kern w:val="2"/>
                <w:sz w:val="21"/>
                <w:szCs w:val="24"/>
                <w:highlight w:val="none"/>
                <w:u w:val="none"/>
                <w:lang w:val="en-US" w:eastAsia="zh-CN" w:bidi="ar-SA"/>
              </w:rPr>
            </w:pPr>
            <w:r>
              <w:rPr>
                <w:rStyle w:val="8"/>
                <w:rFonts w:hint="eastAsia" w:ascii="宋体" w:hAnsi="宋体" w:eastAsia="宋体" w:cs="宋体"/>
                <w:b w:val="0"/>
                <w:color w:val="auto"/>
                <w:kern w:val="2"/>
                <w:sz w:val="21"/>
                <w:szCs w:val="24"/>
                <w:highlight w:val="none"/>
                <w:u w:val="none"/>
                <w:lang w:val="en-US" w:eastAsia="zh-CN" w:bidi="ar-SA"/>
              </w:rPr>
              <w:t>★中子周围剂量当量率仪</w:t>
            </w:r>
          </w:p>
        </w:tc>
        <w:tc>
          <w:tcPr>
            <w:tcW w:w="3247" w:type="pct"/>
            <w:vAlign w:val="bottom"/>
          </w:tcPr>
          <w:p>
            <w:pPr>
              <w:pStyle w:val="13"/>
              <w:spacing w:line="300" w:lineRule="exact"/>
              <w:jc w:val="center"/>
              <w:rPr>
                <w:rStyle w:val="8"/>
                <w:rFonts w:hint="eastAsia" w:ascii="宋体" w:hAnsi="宋体" w:eastAsia="宋体" w:cs="宋体"/>
                <w:b w:val="0"/>
                <w:color w:val="auto"/>
                <w:kern w:val="2"/>
                <w:sz w:val="21"/>
                <w:szCs w:val="24"/>
                <w:highlight w:val="none"/>
                <w:u w:val="none"/>
                <w:lang w:val="en-US" w:eastAsia="zh-CN" w:bidi="ar-SA"/>
              </w:rPr>
            </w:pPr>
            <w:r>
              <w:rPr>
                <w:rStyle w:val="8"/>
                <w:rFonts w:hint="eastAsia" w:ascii="宋体" w:hAnsi="宋体" w:eastAsia="宋体" w:cs="宋体"/>
                <w:b w:val="0"/>
                <w:color w:val="auto"/>
                <w:kern w:val="2"/>
                <w:sz w:val="21"/>
                <w:szCs w:val="24"/>
                <w:highlight w:val="none"/>
                <w:u w:val="none"/>
                <w:lang w:val="en-US" w:eastAsia="zh-CN" w:bidi="ar-SA"/>
              </w:rPr>
              <w:t>测量范围：0.01μSv/h～150mSv/h，不确定度：≤10%，检定证书在有效期内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278" w:type="pct"/>
            <w:vMerge w:val="continue"/>
            <w:vAlign w:val="center"/>
          </w:tcPr>
          <w:p>
            <w:pPr>
              <w:widowControl/>
              <w:rPr>
                <w:rFonts w:hint="eastAsia" w:ascii="微软雅黑" w:hAnsi="微软雅黑" w:eastAsia="微软雅黑" w:cs="微软雅黑"/>
                <w:bCs/>
                <w:kern w:val="0"/>
                <w:sz w:val="21"/>
                <w:szCs w:val="21"/>
                <w:highlight w:val="none"/>
              </w:rPr>
            </w:pPr>
          </w:p>
        </w:tc>
        <w:tc>
          <w:tcPr>
            <w:tcW w:w="319" w:type="pct"/>
            <w:gridSpan w:val="2"/>
            <w:vMerge w:val="continue"/>
            <w:vAlign w:val="center"/>
          </w:tcPr>
          <w:p>
            <w:pPr>
              <w:pStyle w:val="13"/>
              <w:spacing w:line="300" w:lineRule="exact"/>
              <w:ind w:left="113" w:right="113"/>
              <w:jc w:val="center"/>
              <w:rPr>
                <w:rFonts w:hint="eastAsia" w:ascii="微软雅黑" w:hAnsi="微软雅黑" w:eastAsia="微软雅黑" w:cs="微软雅黑"/>
                <w:bCs/>
                <w:sz w:val="21"/>
                <w:szCs w:val="21"/>
                <w:highlight w:val="none"/>
                <w:lang w:eastAsia="zh-CN"/>
              </w:rPr>
            </w:pPr>
          </w:p>
        </w:tc>
        <w:tc>
          <w:tcPr>
            <w:tcW w:w="1155" w:type="pct"/>
            <w:vAlign w:val="center"/>
          </w:tcPr>
          <w:p>
            <w:pPr>
              <w:pStyle w:val="13"/>
              <w:spacing w:line="300" w:lineRule="exact"/>
              <w:jc w:val="center"/>
              <w:rPr>
                <w:rStyle w:val="8"/>
                <w:rFonts w:hint="eastAsia" w:ascii="宋体" w:hAnsi="宋体" w:eastAsia="宋体" w:cs="宋体"/>
                <w:b w:val="0"/>
                <w:color w:val="auto"/>
                <w:kern w:val="2"/>
                <w:sz w:val="21"/>
                <w:szCs w:val="24"/>
                <w:highlight w:val="none"/>
                <w:u w:val="none"/>
                <w:lang w:val="en-US" w:eastAsia="zh-CN" w:bidi="ar-SA"/>
              </w:rPr>
            </w:pPr>
            <w:r>
              <w:rPr>
                <w:rStyle w:val="8"/>
                <w:rFonts w:hint="eastAsia" w:ascii="宋体" w:hAnsi="宋体" w:eastAsia="宋体" w:cs="宋体"/>
                <w:b w:val="0"/>
                <w:color w:val="auto"/>
                <w:kern w:val="2"/>
                <w:sz w:val="21"/>
                <w:szCs w:val="24"/>
                <w:highlight w:val="none"/>
                <w:u w:val="none"/>
                <w:lang w:val="en-US" w:eastAsia="zh-CN" w:bidi="ar-SA"/>
              </w:rPr>
              <w:t>★具备监测能力标准</w:t>
            </w:r>
          </w:p>
        </w:tc>
        <w:tc>
          <w:tcPr>
            <w:tcW w:w="3247" w:type="pct"/>
            <w:vAlign w:val="bottom"/>
          </w:tcPr>
          <w:p>
            <w:pPr>
              <w:pStyle w:val="13"/>
              <w:spacing w:line="300" w:lineRule="exact"/>
              <w:jc w:val="center"/>
              <w:rPr>
                <w:rStyle w:val="8"/>
                <w:rFonts w:hint="eastAsia" w:ascii="宋体" w:hAnsi="宋体" w:eastAsia="宋体" w:cs="宋体"/>
                <w:b w:val="0"/>
                <w:color w:val="auto"/>
                <w:kern w:val="2"/>
                <w:sz w:val="21"/>
                <w:szCs w:val="24"/>
                <w:highlight w:val="none"/>
                <w:u w:val="none"/>
                <w:lang w:val="en-US" w:eastAsia="zh-CN" w:bidi="ar-SA"/>
              </w:rPr>
            </w:pPr>
            <w:r>
              <w:rPr>
                <w:rStyle w:val="8"/>
                <w:rFonts w:hint="eastAsia" w:ascii="宋体" w:hAnsi="宋体" w:eastAsia="宋体" w:cs="宋体"/>
                <w:b w:val="0"/>
                <w:color w:val="auto"/>
                <w:kern w:val="2"/>
                <w:sz w:val="21"/>
                <w:szCs w:val="24"/>
                <w:highlight w:val="none"/>
                <w:u w:val="none"/>
                <w:lang w:val="en-US" w:eastAsia="zh-CN" w:bidi="ar-SA"/>
              </w:rPr>
              <w:t>《环境地表γ辐射剂量率测定规范》(GB/T14583-93)</w:t>
            </w:r>
          </w:p>
          <w:p>
            <w:pPr>
              <w:pStyle w:val="13"/>
              <w:spacing w:line="300" w:lineRule="exact"/>
              <w:jc w:val="center"/>
              <w:rPr>
                <w:rStyle w:val="8"/>
                <w:rFonts w:hint="eastAsia" w:ascii="宋体" w:hAnsi="宋体" w:eastAsia="宋体" w:cs="宋体"/>
                <w:b w:val="0"/>
                <w:color w:val="auto"/>
                <w:kern w:val="2"/>
                <w:sz w:val="21"/>
                <w:szCs w:val="24"/>
                <w:highlight w:val="none"/>
                <w:u w:val="none"/>
                <w:lang w:val="en-US" w:eastAsia="zh-CN" w:bidi="ar-SA"/>
              </w:rPr>
            </w:pPr>
            <w:r>
              <w:rPr>
                <w:rStyle w:val="8"/>
                <w:rFonts w:hint="eastAsia" w:ascii="宋体" w:hAnsi="宋体" w:eastAsia="宋体" w:cs="宋体"/>
                <w:b w:val="0"/>
                <w:color w:val="auto"/>
                <w:kern w:val="2"/>
                <w:sz w:val="21"/>
                <w:szCs w:val="24"/>
                <w:highlight w:val="none"/>
                <w:u w:val="none"/>
                <w:lang w:val="en-US" w:eastAsia="zh-CN" w:bidi="ar-SA"/>
              </w:rPr>
              <w:t>《辐射环境监测技术规范》（HJ/T 61-2001）</w:t>
            </w:r>
          </w:p>
        </w:tc>
      </w:tr>
    </w:tbl>
    <w:p>
      <w:pPr>
        <w:keepNext w:val="0"/>
        <w:keepLines w:val="0"/>
        <w:pageBreakBefore w:val="0"/>
        <w:widowControl w:val="0"/>
        <w:kinsoku/>
        <w:wordWrap/>
        <w:overflowPunct/>
        <w:topLinePunct w:val="0"/>
        <w:autoSpaceDE/>
        <w:autoSpaceDN/>
        <w:bidi w:val="0"/>
        <w:adjustRightInd/>
        <w:snapToGrid/>
        <w:spacing w:line="0" w:lineRule="atLeast"/>
        <w:ind w:firstLine="420" w:firstLineChars="200"/>
        <w:jc w:val="left"/>
        <w:textAlignment w:val="auto"/>
        <w:rPr>
          <w:rFonts w:hint="default" w:ascii="微软雅黑" w:hAnsi="微软雅黑" w:eastAsia="微软雅黑" w:cs="微软雅黑"/>
          <w:b w:val="0"/>
          <w:bCs/>
          <w:kern w:val="2"/>
          <w:sz w:val="21"/>
          <w:szCs w:val="21"/>
          <w:highlight w:val="none"/>
          <w:lang w:val="en-US" w:eastAsia="zh-CN" w:bidi="ar-SA"/>
        </w:rPr>
      </w:pPr>
      <w:bookmarkStart w:id="0" w:name="_GoBack"/>
      <w:bookmarkEnd w:id="0"/>
    </w:p>
    <w:p>
      <w:pPr>
        <w:numPr>
          <w:ilvl w:val="0"/>
          <w:numId w:val="1"/>
        </w:numPr>
        <w:ind w:left="-420" w:leftChars="0" w:firstLine="420" w:firstLineChars="0"/>
        <w:jc w:val="both"/>
        <w:rPr>
          <w:rFonts w:hint="default"/>
          <w:b/>
          <w:bCs/>
          <w:sz w:val="28"/>
          <w:szCs w:val="28"/>
          <w:highlight w:val="none"/>
          <w:lang w:val="en-US" w:eastAsia="zh-CN"/>
        </w:rPr>
      </w:pPr>
      <w:r>
        <w:rPr>
          <w:rFonts w:hint="eastAsia"/>
          <w:b/>
          <w:bCs/>
          <w:sz w:val="28"/>
          <w:szCs w:val="28"/>
          <w:highlight w:val="none"/>
          <w:lang w:val="en-US" w:eastAsia="zh-CN"/>
        </w:rPr>
        <w:t>其他要求</w:t>
      </w:r>
    </w:p>
    <w:p>
      <w:pPr>
        <w:numPr>
          <w:ilvl w:val="0"/>
          <w:numId w:val="3"/>
        </w:numPr>
        <w:ind w:left="630" w:leftChars="0"/>
        <w:jc w:val="both"/>
        <w:rPr>
          <w:rFonts w:hint="default"/>
          <w:highlight w:val="none"/>
          <w:lang w:val="en-US" w:eastAsia="zh-CN"/>
        </w:rPr>
      </w:pPr>
      <w:r>
        <w:rPr>
          <w:rFonts w:hint="eastAsia"/>
          <w:sz w:val="28"/>
          <w:szCs w:val="28"/>
          <w:highlight w:val="none"/>
          <w:lang w:val="en-US" w:eastAsia="zh-CN"/>
        </w:rPr>
        <w:t>响应人可提交资料时间：发布时间至2028年3月12日。</w:t>
      </w:r>
    </w:p>
    <w:p>
      <w:pPr>
        <w:numPr>
          <w:ilvl w:val="0"/>
          <w:numId w:val="3"/>
        </w:numPr>
        <w:ind w:left="630" w:leftChars="0"/>
        <w:jc w:val="both"/>
        <w:rPr>
          <w:rFonts w:hint="default"/>
          <w:highlight w:val="none"/>
          <w:lang w:val="en-US" w:eastAsia="zh-CN"/>
        </w:rPr>
      </w:pPr>
      <w:r>
        <w:rPr>
          <w:rFonts w:hint="eastAsia"/>
          <w:sz w:val="28"/>
          <w:szCs w:val="28"/>
          <w:highlight w:val="none"/>
          <w:lang w:val="en-US" w:eastAsia="zh-CN"/>
        </w:rPr>
        <w:t>协议价格在合同有效期内保持不变，报价应包括了报价人所涉及的管理与实施所需的全部费用，包括但不限于人工费、税金、保险费用，获得的利润和承担的风险等，以及其它各种形式的费用。</w:t>
      </w:r>
    </w:p>
    <w:p>
      <w:pPr>
        <w:numPr>
          <w:ilvl w:val="0"/>
          <w:numId w:val="3"/>
        </w:numPr>
        <w:ind w:left="630" w:leftChars="0"/>
        <w:jc w:val="both"/>
        <w:rPr>
          <w:rFonts w:hint="default"/>
          <w:sz w:val="28"/>
          <w:szCs w:val="28"/>
          <w:highlight w:val="none"/>
          <w:lang w:val="en-US" w:eastAsia="zh-CN"/>
        </w:rPr>
      </w:pPr>
      <w:r>
        <w:rPr>
          <w:rFonts w:hint="eastAsia"/>
          <w:sz w:val="28"/>
          <w:szCs w:val="28"/>
          <w:highlight w:val="none"/>
          <w:lang w:val="en-US" w:eastAsia="zh-CN"/>
        </w:rPr>
        <w:t>报价币种：人民币</w:t>
      </w:r>
    </w:p>
    <w:p>
      <w:pPr>
        <w:numPr>
          <w:ilvl w:val="0"/>
          <w:numId w:val="3"/>
        </w:numPr>
        <w:ind w:left="630" w:leftChars="0"/>
        <w:jc w:val="both"/>
        <w:rPr>
          <w:rFonts w:hint="default"/>
          <w:sz w:val="28"/>
          <w:szCs w:val="28"/>
          <w:highlight w:val="none"/>
          <w:lang w:val="en-US" w:eastAsia="zh-CN"/>
        </w:rPr>
      </w:pPr>
      <w:r>
        <w:rPr>
          <w:rFonts w:hint="eastAsia"/>
          <w:sz w:val="28"/>
          <w:szCs w:val="28"/>
          <w:highlight w:val="none"/>
          <w:lang w:val="en-US" w:eastAsia="zh-CN"/>
        </w:rPr>
        <w:t>采办共享中心</w:t>
      </w:r>
      <w:r>
        <w:rPr>
          <w:rFonts w:hint="default"/>
          <w:sz w:val="28"/>
          <w:szCs w:val="28"/>
          <w:highlight w:val="none"/>
          <w:lang w:val="en-US" w:eastAsia="zh-CN"/>
        </w:rPr>
        <w:t>在每年3月、9月</w:t>
      </w:r>
      <w:r>
        <w:rPr>
          <w:rFonts w:hint="eastAsia"/>
          <w:sz w:val="28"/>
          <w:szCs w:val="28"/>
          <w:highlight w:val="none"/>
          <w:lang w:val="en-US" w:eastAsia="zh-CN"/>
        </w:rPr>
        <w:t>集中</w:t>
      </w:r>
      <w:r>
        <w:rPr>
          <w:rFonts w:hint="default"/>
          <w:sz w:val="28"/>
          <w:szCs w:val="28"/>
          <w:highlight w:val="none"/>
          <w:lang w:val="en-US" w:eastAsia="zh-CN"/>
        </w:rPr>
        <w:t>组织对</w:t>
      </w:r>
      <w:r>
        <w:rPr>
          <w:rFonts w:hint="eastAsia"/>
          <w:sz w:val="28"/>
          <w:szCs w:val="28"/>
          <w:highlight w:val="none"/>
          <w:lang w:val="en-US" w:eastAsia="zh-CN"/>
        </w:rPr>
        <w:t>响应人</w:t>
      </w:r>
      <w:r>
        <w:rPr>
          <w:rFonts w:hint="default"/>
          <w:sz w:val="28"/>
          <w:szCs w:val="28"/>
          <w:highlight w:val="none"/>
          <w:lang w:val="en-US" w:eastAsia="zh-CN"/>
        </w:rPr>
        <w:t>提交的加入框架协议申请成立评审小组组织集中评审</w:t>
      </w:r>
      <w:r>
        <w:rPr>
          <w:rFonts w:hint="eastAsia"/>
          <w:sz w:val="28"/>
          <w:szCs w:val="28"/>
          <w:highlight w:val="none"/>
          <w:lang w:val="en-US" w:eastAsia="zh-CN"/>
        </w:rPr>
        <w:t>，评审结果</w:t>
      </w:r>
      <w:r>
        <w:rPr>
          <w:rFonts w:hint="default"/>
          <w:sz w:val="28"/>
          <w:szCs w:val="28"/>
          <w:highlight w:val="none"/>
          <w:lang w:val="en-US" w:eastAsia="zh-CN"/>
        </w:rPr>
        <w:t>通过供应链数字化平台发布评议结果公告</w:t>
      </w:r>
      <w:r>
        <w:rPr>
          <w:rFonts w:hint="eastAsia"/>
          <w:sz w:val="28"/>
          <w:szCs w:val="28"/>
          <w:highlight w:val="none"/>
          <w:lang w:val="en-US" w:eastAsia="zh-CN"/>
        </w:rPr>
        <w:t>。</w:t>
      </w:r>
    </w:p>
    <w:p>
      <w:pPr>
        <w:numPr>
          <w:ilvl w:val="0"/>
          <w:numId w:val="3"/>
        </w:numPr>
        <w:ind w:left="630" w:leftChars="0"/>
        <w:jc w:val="both"/>
        <w:rPr>
          <w:rFonts w:hint="default"/>
          <w:sz w:val="28"/>
          <w:szCs w:val="28"/>
          <w:highlight w:val="none"/>
          <w:lang w:val="en-US" w:eastAsia="zh-CN"/>
        </w:rPr>
      </w:pPr>
      <w:r>
        <w:rPr>
          <w:rFonts w:hint="eastAsia"/>
          <w:sz w:val="28"/>
          <w:szCs w:val="28"/>
          <w:highlight w:val="none"/>
          <w:lang w:val="en-US" w:eastAsia="zh-CN"/>
        </w:rPr>
        <w:t>本次外部直接采购框架协议商务联系人：</w:t>
      </w:r>
    </w:p>
    <w:p>
      <w:pPr>
        <w:numPr>
          <w:ilvl w:val="0"/>
          <w:numId w:val="0"/>
        </w:numPr>
        <w:jc w:val="both"/>
        <w:rPr>
          <w:rFonts w:hint="eastAsia"/>
          <w:color w:val="FF0000"/>
          <w:sz w:val="28"/>
          <w:szCs w:val="28"/>
          <w:highlight w:val="none"/>
          <w:lang w:val="en-US" w:eastAsia="zh-CN"/>
        </w:rPr>
      </w:pPr>
      <w:r>
        <w:rPr>
          <w:rFonts w:hint="eastAsia"/>
          <w:sz w:val="28"/>
          <w:szCs w:val="28"/>
          <w:highlight w:val="none"/>
          <w:lang w:val="en-US" w:eastAsia="zh-CN"/>
        </w:rPr>
        <w:t xml:space="preserve">        姓名：胡庆利</w:t>
      </w:r>
    </w:p>
    <w:p>
      <w:pPr>
        <w:numPr>
          <w:ilvl w:val="0"/>
          <w:numId w:val="0"/>
        </w:numPr>
        <w:jc w:val="both"/>
        <w:rPr>
          <w:rFonts w:hint="eastAsia"/>
          <w:sz w:val="28"/>
          <w:szCs w:val="28"/>
          <w:highlight w:val="none"/>
          <w:lang w:val="en-US" w:eastAsia="zh-CN"/>
        </w:rPr>
      </w:pPr>
      <w:r>
        <w:rPr>
          <w:rFonts w:hint="eastAsia"/>
          <w:sz w:val="28"/>
          <w:szCs w:val="28"/>
          <w:highlight w:val="none"/>
          <w:lang w:val="en-US" w:eastAsia="zh-CN"/>
        </w:rPr>
        <w:t xml:space="preserve">        电话：13832676196  </w:t>
      </w:r>
      <w:r>
        <w:rPr>
          <w:rFonts w:hint="eastAsia"/>
          <w:color w:val="FF0000"/>
          <w:sz w:val="28"/>
          <w:szCs w:val="28"/>
          <w:highlight w:val="none"/>
          <w:lang w:val="en-US" w:eastAsia="zh-CN"/>
        </w:rPr>
        <w:t xml:space="preserve"> </w:t>
      </w:r>
      <w:r>
        <w:rPr>
          <w:rFonts w:hint="eastAsia"/>
          <w:sz w:val="28"/>
          <w:szCs w:val="28"/>
          <w:highlight w:val="none"/>
          <w:lang w:val="en-US" w:eastAsia="zh-CN"/>
        </w:rPr>
        <w:t xml:space="preserve">     </w:t>
      </w:r>
    </w:p>
    <w:p>
      <w:pPr>
        <w:numPr>
          <w:ilvl w:val="0"/>
          <w:numId w:val="0"/>
        </w:numPr>
        <w:ind w:firstLine="1120" w:firstLineChars="400"/>
        <w:jc w:val="both"/>
        <w:rPr>
          <w:rFonts w:hint="default"/>
          <w:sz w:val="28"/>
          <w:szCs w:val="28"/>
          <w:highlight w:val="none"/>
          <w:lang w:val="en-US" w:eastAsia="zh-CN"/>
        </w:rPr>
      </w:pPr>
      <w:r>
        <w:rPr>
          <w:rFonts w:hint="eastAsia"/>
          <w:sz w:val="28"/>
          <w:szCs w:val="28"/>
          <w:highlight w:val="none"/>
          <w:lang w:val="en-US" w:eastAsia="zh-CN"/>
        </w:rPr>
        <w:t>邮箱：huql2@cosl.com.cn</w:t>
      </w:r>
    </w:p>
    <w:p>
      <w:pPr>
        <w:numPr>
          <w:ilvl w:val="0"/>
          <w:numId w:val="1"/>
        </w:numPr>
        <w:ind w:left="-420" w:leftChars="0" w:firstLine="420" w:firstLineChars="0"/>
        <w:jc w:val="both"/>
        <w:rPr>
          <w:rFonts w:hint="default"/>
          <w:b/>
          <w:bCs/>
          <w:sz w:val="28"/>
          <w:szCs w:val="28"/>
          <w:highlight w:val="none"/>
          <w:lang w:val="en-US" w:eastAsia="zh-CN"/>
        </w:rPr>
      </w:pPr>
      <w:r>
        <w:rPr>
          <w:rFonts w:hint="eastAsia"/>
          <w:b/>
          <w:bCs/>
          <w:sz w:val="28"/>
          <w:szCs w:val="28"/>
          <w:highlight w:val="none"/>
          <w:lang w:val="en-US" w:eastAsia="zh-CN"/>
        </w:rPr>
        <w:t>工作量/报价项目清单</w:t>
      </w:r>
    </w:p>
    <w:tbl>
      <w:tblPr>
        <w:tblStyle w:val="6"/>
        <w:tblW w:w="6169" w:type="pct"/>
        <w:tblInd w:w="-951"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555"/>
        <w:gridCol w:w="885"/>
        <w:gridCol w:w="2340"/>
        <w:gridCol w:w="1245"/>
        <w:gridCol w:w="510"/>
        <w:gridCol w:w="435"/>
        <w:gridCol w:w="750"/>
        <w:gridCol w:w="660"/>
        <w:gridCol w:w="750"/>
        <w:gridCol w:w="750"/>
        <w:gridCol w:w="735"/>
        <w:gridCol w:w="900"/>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275" w:hRule="exact"/>
        </w:trPr>
        <w:tc>
          <w:tcPr>
            <w:tcW w:w="263" w:type="pct"/>
            <w:vAlign w:val="center"/>
          </w:tcPr>
          <w:p>
            <w:pPr>
              <w:spacing w:line="500" w:lineRule="exact"/>
              <w:ind w:right="-136" w:rightChars="-65"/>
              <w:jc w:val="center"/>
              <w:rPr>
                <w:color w:val="000000" w:themeColor="text1"/>
                <w:sz w:val="18"/>
                <w:szCs w:val="21"/>
                <w14:textFill>
                  <w14:solidFill>
                    <w14:schemeClr w14:val="tx1"/>
                  </w14:solidFill>
                </w14:textFill>
              </w:rPr>
            </w:pPr>
            <w:r>
              <w:rPr>
                <w:rFonts w:hint="eastAsia"/>
                <w:color w:val="000000" w:themeColor="text1"/>
                <w:sz w:val="18"/>
                <w:szCs w:val="21"/>
                <w14:textFill>
                  <w14:solidFill>
                    <w14:schemeClr w14:val="tx1"/>
                  </w14:solidFill>
                </w14:textFill>
              </w:rPr>
              <w:t>序号</w:t>
            </w:r>
          </w:p>
        </w:tc>
        <w:tc>
          <w:tcPr>
            <w:tcW w:w="420" w:type="pct"/>
            <w:tcBorders>
              <w:right w:val="single" w:color="auto" w:sz="4" w:space="0"/>
            </w:tcBorders>
            <w:vAlign w:val="center"/>
          </w:tcPr>
          <w:p>
            <w:pPr>
              <w:spacing w:line="500" w:lineRule="exact"/>
              <w:ind w:right="-107" w:rightChars="-51"/>
              <w:jc w:val="center"/>
              <w:rPr>
                <w:color w:val="000000" w:themeColor="text1"/>
                <w:sz w:val="18"/>
                <w:szCs w:val="21"/>
                <w14:textFill>
                  <w14:solidFill>
                    <w14:schemeClr w14:val="tx1"/>
                  </w14:solidFill>
                </w14:textFill>
              </w:rPr>
            </w:pPr>
            <w:r>
              <w:rPr>
                <w:rFonts w:hint="eastAsia"/>
                <w:color w:val="000000" w:themeColor="text1"/>
                <w:sz w:val="18"/>
                <w:szCs w:val="21"/>
                <w14:textFill>
                  <w14:solidFill>
                    <w14:schemeClr w14:val="tx1"/>
                  </w14:solidFill>
                </w14:textFill>
              </w:rPr>
              <w:t>物料号</w:t>
            </w:r>
          </w:p>
        </w:tc>
        <w:tc>
          <w:tcPr>
            <w:tcW w:w="1112" w:type="pct"/>
            <w:tcBorders>
              <w:left w:val="single" w:color="auto" w:sz="4" w:space="0"/>
              <w:right w:val="single" w:color="auto" w:sz="4" w:space="0"/>
            </w:tcBorders>
            <w:vAlign w:val="center"/>
          </w:tcPr>
          <w:p>
            <w:pPr>
              <w:spacing w:line="500" w:lineRule="exact"/>
              <w:ind w:right="-107" w:rightChars="-51"/>
              <w:jc w:val="center"/>
              <w:rPr>
                <w:color w:val="000000" w:themeColor="text1"/>
                <w:sz w:val="18"/>
                <w:szCs w:val="21"/>
                <w14:textFill>
                  <w14:solidFill>
                    <w14:schemeClr w14:val="tx1"/>
                  </w14:solidFill>
                </w14:textFill>
              </w:rPr>
            </w:pPr>
            <w:r>
              <w:rPr>
                <w:rFonts w:hint="eastAsia"/>
                <w:color w:val="000000" w:themeColor="text1"/>
                <w:sz w:val="18"/>
                <w:szCs w:val="21"/>
                <w:lang w:val="en-US" w:eastAsia="zh-CN"/>
                <w14:textFill>
                  <w14:solidFill>
                    <w14:schemeClr w14:val="tx1"/>
                  </w14:solidFill>
                </w14:textFill>
              </w:rPr>
              <w:t>服务</w:t>
            </w:r>
            <w:r>
              <w:rPr>
                <w:rFonts w:hint="eastAsia"/>
                <w:color w:val="000000" w:themeColor="text1"/>
                <w:sz w:val="18"/>
                <w:szCs w:val="21"/>
                <w14:textFill>
                  <w14:solidFill>
                    <w14:schemeClr w14:val="tx1"/>
                  </w14:solidFill>
                </w14:textFill>
              </w:rPr>
              <w:t>名称</w:t>
            </w:r>
          </w:p>
        </w:tc>
        <w:tc>
          <w:tcPr>
            <w:tcW w:w="592" w:type="pct"/>
            <w:tcBorders>
              <w:left w:val="single" w:color="auto" w:sz="4" w:space="0"/>
            </w:tcBorders>
            <w:vAlign w:val="center"/>
          </w:tcPr>
          <w:p>
            <w:pPr>
              <w:spacing w:line="500" w:lineRule="exact"/>
              <w:ind w:right="-107" w:rightChars="-51"/>
              <w:jc w:val="center"/>
              <w:rPr>
                <w:rFonts w:hint="eastAsia" w:eastAsia="宋体"/>
                <w:color w:val="000000" w:themeColor="text1"/>
                <w:sz w:val="18"/>
                <w:szCs w:val="21"/>
                <w:lang w:eastAsia="zh-CN"/>
                <w14:textFill>
                  <w14:solidFill>
                    <w14:schemeClr w14:val="tx1"/>
                  </w14:solidFill>
                </w14:textFill>
              </w:rPr>
            </w:pPr>
            <w:r>
              <w:rPr>
                <w:rFonts w:hint="eastAsia"/>
                <w:color w:val="000000" w:themeColor="text1"/>
                <w:sz w:val="18"/>
                <w:szCs w:val="21"/>
                <w:lang w:val="en-US" w:eastAsia="zh-CN"/>
                <w14:textFill>
                  <w14:solidFill>
                    <w14:schemeClr w14:val="tx1"/>
                  </w14:solidFill>
                </w14:textFill>
              </w:rPr>
              <w:t>要求</w:t>
            </w:r>
          </w:p>
        </w:tc>
        <w:tc>
          <w:tcPr>
            <w:tcW w:w="242" w:type="pct"/>
            <w:vAlign w:val="center"/>
          </w:tcPr>
          <w:p>
            <w:pPr>
              <w:spacing w:line="500" w:lineRule="exact"/>
              <w:ind w:right="-105" w:rightChars="-50"/>
              <w:jc w:val="center"/>
              <w:rPr>
                <w:color w:val="000000" w:themeColor="text1"/>
                <w:sz w:val="18"/>
                <w:szCs w:val="21"/>
                <w14:textFill>
                  <w14:solidFill>
                    <w14:schemeClr w14:val="tx1"/>
                  </w14:solidFill>
                </w14:textFill>
              </w:rPr>
            </w:pPr>
            <w:r>
              <w:rPr>
                <w:rFonts w:hint="eastAsia"/>
                <w:color w:val="000000" w:themeColor="text1"/>
                <w:sz w:val="18"/>
                <w:szCs w:val="21"/>
                <w14:textFill>
                  <w14:solidFill>
                    <w14:schemeClr w14:val="tx1"/>
                  </w14:solidFill>
                </w14:textFill>
              </w:rPr>
              <w:t>数量</w:t>
            </w:r>
          </w:p>
        </w:tc>
        <w:tc>
          <w:tcPr>
            <w:tcW w:w="206" w:type="pct"/>
            <w:vAlign w:val="center"/>
          </w:tcPr>
          <w:p>
            <w:pPr>
              <w:spacing w:line="500" w:lineRule="exact"/>
              <w:ind w:right="-136" w:rightChars="-65"/>
              <w:jc w:val="center"/>
              <w:rPr>
                <w:color w:val="000000" w:themeColor="text1"/>
                <w:sz w:val="18"/>
                <w:szCs w:val="21"/>
                <w14:textFill>
                  <w14:solidFill>
                    <w14:schemeClr w14:val="tx1"/>
                  </w14:solidFill>
                </w14:textFill>
              </w:rPr>
            </w:pPr>
            <w:r>
              <w:rPr>
                <w:rFonts w:hint="eastAsia"/>
                <w:color w:val="000000" w:themeColor="text1"/>
                <w:sz w:val="18"/>
                <w:szCs w:val="21"/>
                <w14:textFill>
                  <w14:solidFill>
                    <w14:schemeClr w14:val="tx1"/>
                  </w14:solidFill>
                </w14:textFill>
              </w:rPr>
              <w:t>单位</w:t>
            </w:r>
          </w:p>
        </w:tc>
        <w:tc>
          <w:tcPr>
            <w:tcW w:w="356" w:type="pct"/>
            <w:tcBorders>
              <w:right w:val="single" w:color="auto" w:sz="4" w:space="0"/>
            </w:tcBorders>
            <w:vAlign w:val="center"/>
          </w:tcPr>
          <w:p>
            <w:pPr>
              <w:spacing w:line="500" w:lineRule="exact"/>
              <w:ind w:right="-136" w:rightChars="-65"/>
              <w:jc w:val="center"/>
              <w:rPr>
                <w:color w:val="000000" w:themeColor="text1"/>
                <w:sz w:val="18"/>
                <w:szCs w:val="21"/>
                <w14:textFill>
                  <w14:solidFill>
                    <w14:schemeClr w14:val="tx1"/>
                  </w14:solidFill>
                </w14:textFill>
              </w:rPr>
            </w:pPr>
            <w:r>
              <w:rPr>
                <w:rFonts w:hint="eastAsia"/>
                <w:color w:val="000000" w:themeColor="text1"/>
                <w:sz w:val="18"/>
                <w:szCs w:val="21"/>
                <w:lang w:val="en-US" w:eastAsia="zh-CN"/>
                <w14:textFill>
                  <w14:solidFill>
                    <w14:schemeClr w14:val="tx1"/>
                  </w14:solidFill>
                </w14:textFill>
              </w:rPr>
              <w:t>服务</w:t>
            </w:r>
            <w:r>
              <w:rPr>
                <w:rFonts w:hint="eastAsia"/>
                <w:color w:val="000000" w:themeColor="text1"/>
                <w:sz w:val="18"/>
                <w:szCs w:val="21"/>
                <w14:textFill>
                  <w14:solidFill>
                    <w14:schemeClr w14:val="tx1"/>
                  </w14:solidFill>
                </w14:textFill>
              </w:rPr>
              <w:t>商名称</w:t>
            </w:r>
          </w:p>
        </w:tc>
        <w:tc>
          <w:tcPr>
            <w:tcW w:w="313" w:type="pct"/>
            <w:vAlign w:val="center"/>
          </w:tcPr>
          <w:p>
            <w:pPr>
              <w:spacing w:line="500" w:lineRule="exact"/>
              <w:ind w:right="-105" w:rightChars="-50"/>
              <w:jc w:val="center"/>
              <w:rPr>
                <w:color w:val="000000" w:themeColor="text1"/>
                <w:sz w:val="18"/>
                <w:szCs w:val="21"/>
                <w14:textFill>
                  <w14:solidFill>
                    <w14:schemeClr w14:val="tx1"/>
                  </w14:solidFill>
                </w14:textFill>
              </w:rPr>
            </w:pPr>
            <w:r>
              <w:rPr>
                <w:rFonts w:hint="eastAsia"/>
                <w:color w:val="000000" w:themeColor="text1"/>
                <w:sz w:val="18"/>
                <w:szCs w:val="21"/>
                <w14:textFill>
                  <w14:solidFill>
                    <w14:schemeClr w14:val="tx1"/>
                  </w14:solidFill>
                </w14:textFill>
              </w:rPr>
              <w:t>不</w:t>
            </w:r>
            <w:r>
              <w:rPr>
                <w:color w:val="000000" w:themeColor="text1"/>
                <w:sz w:val="18"/>
                <w:szCs w:val="21"/>
                <w14:textFill>
                  <w14:solidFill>
                    <w14:schemeClr w14:val="tx1"/>
                  </w14:solidFill>
                </w14:textFill>
              </w:rPr>
              <w:t>含税单价</w:t>
            </w:r>
          </w:p>
        </w:tc>
        <w:tc>
          <w:tcPr>
            <w:tcW w:w="356" w:type="pct"/>
            <w:vAlign w:val="center"/>
          </w:tcPr>
          <w:p>
            <w:pPr>
              <w:spacing w:line="500" w:lineRule="exact"/>
              <w:ind w:right="-107" w:rightChars="-51"/>
              <w:jc w:val="center"/>
              <w:rPr>
                <w:color w:val="000000" w:themeColor="text1"/>
                <w:sz w:val="18"/>
                <w:szCs w:val="21"/>
                <w14:textFill>
                  <w14:solidFill>
                    <w14:schemeClr w14:val="tx1"/>
                  </w14:solidFill>
                </w14:textFill>
              </w:rPr>
            </w:pPr>
            <w:r>
              <w:rPr>
                <w:rFonts w:hint="eastAsia"/>
                <w:color w:val="000000" w:themeColor="text1"/>
                <w:sz w:val="18"/>
                <w:szCs w:val="21"/>
                <w14:textFill>
                  <w14:solidFill>
                    <w14:schemeClr w14:val="tx1"/>
                  </w14:solidFill>
                </w14:textFill>
              </w:rPr>
              <w:t>含税单价</w:t>
            </w:r>
          </w:p>
        </w:tc>
        <w:tc>
          <w:tcPr>
            <w:tcW w:w="356" w:type="pct"/>
            <w:vAlign w:val="center"/>
          </w:tcPr>
          <w:p>
            <w:pPr>
              <w:spacing w:line="500" w:lineRule="exact"/>
              <w:ind w:right="-107" w:rightChars="-51"/>
              <w:jc w:val="center"/>
              <w:rPr>
                <w:color w:val="000000" w:themeColor="text1"/>
                <w:sz w:val="18"/>
                <w:szCs w:val="21"/>
                <w14:textFill>
                  <w14:solidFill>
                    <w14:schemeClr w14:val="tx1"/>
                  </w14:solidFill>
                </w14:textFill>
              </w:rPr>
            </w:pPr>
            <w:r>
              <w:rPr>
                <w:rFonts w:hint="eastAsia"/>
                <w:color w:val="000000" w:themeColor="text1"/>
                <w:sz w:val="18"/>
                <w:szCs w:val="21"/>
                <w14:textFill>
                  <w14:solidFill>
                    <w14:schemeClr w14:val="tx1"/>
                  </w14:solidFill>
                </w14:textFill>
              </w:rPr>
              <w:t>增值税</w:t>
            </w:r>
            <w:r>
              <w:rPr>
                <w:color w:val="000000" w:themeColor="text1"/>
                <w:sz w:val="18"/>
                <w:szCs w:val="21"/>
                <w14:textFill>
                  <w14:solidFill>
                    <w14:schemeClr w14:val="tx1"/>
                  </w14:solidFill>
                </w14:textFill>
              </w:rPr>
              <w:t>税率</w:t>
            </w:r>
          </w:p>
        </w:tc>
        <w:tc>
          <w:tcPr>
            <w:tcW w:w="349" w:type="pct"/>
            <w:vAlign w:val="center"/>
          </w:tcPr>
          <w:p>
            <w:pPr>
              <w:spacing w:line="500" w:lineRule="exact"/>
              <w:ind w:right="-107" w:rightChars="-51"/>
              <w:jc w:val="center"/>
              <w:rPr>
                <w:color w:val="000000" w:themeColor="text1"/>
                <w:sz w:val="18"/>
                <w:szCs w:val="21"/>
                <w14:textFill>
                  <w14:solidFill>
                    <w14:schemeClr w14:val="tx1"/>
                  </w14:solidFill>
                </w14:textFill>
              </w:rPr>
            </w:pPr>
            <w:r>
              <w:rPr>
                <w:rFonts w:hint="eastAsia"/>
                <w:color w:val="000000" w:themeColor="text1"/>
                <w:sz w:val="18"/>
                <w:szCs w:val="21"/>
                <w14:textFill>
                  <w14:solidFill>
                    <w14:schemeClr w14:val="tx1"/>
                  </w14:solidFill>
                </w14:textFill>
              </w:rPr>
              <w:t>不含税</w:t>
            </w:r>
            <w:r>
              <w:rPr>
                <w:color w:val="000000" w:themeColor="text1"/>
                <w:sz w:val="18"/>
                <w:szCs w:val="21"/>
                <w14:textFill>
                  <w14:solidFill>
                    <w14:schemeClr w14:val="tx1"/>
                  </w14:solidFill>
                </w14:textFill>
              </w:rPr>
              <w:t>总价</w:t>
            </w:r>
          </w:p>
          <w:p>
            <w:pPr>
              <w:spacing w:line="500" w:lineRule="exact"/>
              <w:ind w:right="-107" w:rightChars="-51"/>
              <w:jc w:val="center"/>
              <w:rPr>
                <w:color w:val="000000" w:themeColor="text1"/>
                <w:sz w:val="18"/>
                <w:szCs w:val="21"/>
                <w14:textFill>
                  <w14:solidFill>
                    <w14:schemeClr w14:val="tx1"/>
                  </w14:solidFill>
                </w14:textFill>
              </w:rPr>
            </w:pPr>
          </w:p>
        </w:tc>
        <w:tc>
          <w:tcPr>
            <w:tcW w:w="427" w:type="pct"/>
            <w:vAlign w:val="center"/>
          </w:tcPr>
          <w:p>
            <w:pPr>
              <w:spacing w:line="500" w:lineRule="exact"/>
              <w:ind w:right="-107" w:rightChars="-51"/>
              <w:jc w:val="center"/>
              <w:rPr>
                <w:color w:val="000000" w:themeColor="text1"/>
                <w:sz w:val="18"/>
                <w:szCs w:val="21"/>
                <w14:textFill>
                  <w14:solidFill>
                    <w14:schemeClr w14:val="tx1"/>
                  </w14:solidFill>
                </w14:textFill>
              </w:rPr>
            </w:pPr>
            <w:r>
              <w:rPr>
                <w:rFonts w:hint="eastAsia"/>
                <w:color w:val="000000" w:themeColor="text1"/>
                <w:sz w:val="18"/>
                <w:szCs w:val="21"/>
                <w14:textFill>
                  <w14:solidFill>
                    <w14:schemeClr w14:val="tx1"/>
                  </w14:solidFill>
                </w14:textFill>
              </w:rPr>
              <w:t>含税总价</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58" w:hRule="exact"/>
        </w:trPr>
        <w:tc>
          <w:tcPr>
            <w:tcW w:w="263" w:type="pct"/>
            <w:vAlign w:val="center"/>
          </w:tcPr>
          <w:p>
            <w:pPr>
              <w:keepNext w:val="0"/>
              <w:keepLines w:val="0"/>
              <w:widowControl/>
              <w:suppressLineNumbers w:val="0"/>
              <w:jc w:val="center"/>
              <w:textAlignment w:val="center"/>
              <w:rPr>
                <w:rFonts w:ascii="等线" w:hAnsi="等线" w:eastAsia="等线"/>
                <w:kern w:val="0"/>
                <w:sz w:val="21"/>
                <w:szCs w:val="21"/>
              </w:rPr>
            </w:pPr>
            <w:r>
              <w:rPr>
                <w:rFonts w:hint="eastAsia" w:ascii="宋体" w:hAnsi="宋体" w:eastAsia="宋体" w:cs="宋体"/>
                <w:i w:val="0"/>
                <w:iCs w:val="0"/>
                <w:color w:val="000000"/>
                <w:kern w:val="0"/>
                <w:sz w:val="18"/>
                <w:szCs w:val="18"/>
                <w:u w:val="none"/>
                <w:lang w:val="en-US" w:eastAsia="zh-CN" w:bidi="ar"/>
              </w:rPr>
              <w:t>1</w:t>
            </w:r>
          </w:p>
        </w:tc>
        <w:tc>
          <w:tcPr>
            <w:tcW w:w="420" w:type="pct"/>
            <w:tcBorders>
              <w:right w:val="single" w:color="auto" w:sz="4" w:space="0"/>
            </w:tcBorders>
            <w:vAlign w:val="center"/>
          </w:tcPr>
          <w:p>
            <w:pPr>
              <w:keepNext w:val="0"/>
              <w:keepLines w:val="0"/>
              <w:widowControl/>
              <w:suppressLineNumbers w:val="0"/>
              <w:jc w:val="center"/>
              <w:textAlignment w:val="center"/>
              <w:rPr>
                <w:rFonts w:hint="eastAsia"/>
                <w:color w:val="000000" w:themeColor="text1"/>
                <w:sz w:val="18"/>
                <w:szCs w:val="21"/>
                <w14:textFill>
                  <w14:solidFill>
                    <w14:schemeClr w14:val="tx1"/>
                  </w14:solidFill>
                </w14:textFill>
              </w:rPr>
            </w:pPr>
          </w:p>
        </w:tc>
        <w:tc>
          <w:tcPr>
            <w:tcW w:w="1112" w:type="pct"/>
            <w:tcBorders>
              <w:left w:val="single" w:color="auto" w:sz="4" w:space="0"/>
              <w:right w:val="single" w:color="auto" w:sz="4" w:space="0"/>
            </w:tcBorders>
            <w:vAlign w:val="center"/>
          </w:tcPr>
          <w:p>
            <w:pPr>
              <w:keepNext w:val="0"/>
              <w:keepLines w:val="0"/>
              <w:widowControl/>
              <w:suppressLineNumbers w:val="0"/>
              <w:jc w:val="center"/>
              <w:textAlignment w:val="center"/>
              <w:rPr>
                <w:rFonts w:hint="default"/>
                <w:color w:val="000000" w:themeColor="text1"/>
                <w:sz w:val="18"/>
                <w:szCs w:val="21"/>
                <w:lang w:val="en-US" w:eastAsia="zh-CN"/>
                <w14:textFill>
                  <w14:solidFill>
                    <w14:schemeClr w14:val="tx1"/>
                  </w14:solidFill>
                </w14:textFill>
              </w:rPr>
            </w:pPr>
            <w:r>
              <w:rPr>
                <w:rFonts w:hint="eastAsia" w:cs="Times New Roman" w:asciiTheme="majorEastAsia" w:hAnsiTheme="majorEastAsia" w:eastAsiaTheme="majorEastAsia"/>
                <w:color w:val="000000"/>
                <w:sz w:val="18"/>
                <w:szCs w:val="18"/>
                <w:lang w:val="en-US" w:eastAsia="zh-CN"/>
              </w:rPr>
              <w:t>辐射工作场所监测服务年度协议</w:t>
            </w:r>
          </w:p>
        </w:tc>
        <w:tc>
          <w:tcPr>
            <w:tcW w:w="592" w:type="pct"/>
            <w:tcBorders>
              <w:left w:val="single" w:color="auto" w:sz="4" w:space="0"/>
            </w:tcBorders>
            <w:vAlign w:val="center"/>
          </w:tcPr>
          <w:p>
            <w:pPr>
              <w:keepNext w:val="0"/>
              <w:keepLines w:val="0"/>
              <w:widowControl/>
              <w:suppressLineNumbers w:val="0"/>
              <w:jc w:val="center"/>
              <w:textAlignment w:val="center"/>
              <w:rPr>
                <w:rFonts w:hint="default"/>
                <w:color w:val="0000FF"/>
                <w:sz w:val="18"/>
                <w:szCs w:val="21"/>
                <w:lang w:val="en-US" w:eastAsia="zh-CN"/>
              </w:rPr>
            </w:pPr>
            <w:r>
              <w:rPr>
                <w:rFonts w:hint="eastAsia" w:ascii="宋体" w:hAnsi="宋体" w:eastAsia="宋体" w:cs="宋体"/>
                <w:i w:val="0"/>
                <w:iCs w:val="0"/>
                <w:color w:val="000000"/>
                <w:kern w:val="0"/>
                <w:sz w:val="18"/>
                <w:szCs w:val="18"/>
                <w:u w:val="none"/>
                <w:lang w:val="en-US" w:eastAsia="zh-CN" w:bidi="ar"/>
              </w:rPr>
              <w:t>MPa\40L\T 4</w:t>
            </w:r>
          </w:p>
        </w:tc>
        <w:tc>
          <w:tcPr>
            <w:tcW w:w="242" w:type="pct"/>
            <w:vAlign w:val="center"/>
          </w:tcPr>
          <w:p>
            <w:pPr>
              <w:keepNext w:val="0"/>
              <w:keepLines w:val="0"/>
              <w:widowControl/>
              <w:suppressLineNumbers w:val="0"/>
              <w:jc w:val="center"/>
              <w:textAlignment w:val="center"/>
              <w:rPr>
                <w:rFonts w:hint="default"/>
                <w:color w:val="000000" w:themeColor="text1"/>
                <w:sz w:val="18"/>
                <w:szCs w:val="21"/>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3</w:t>
            </w:r>
          </w:p>
        </w:tc>
        <w:tc>
          <w:tcPr>
            <w:tcW w:w="206" w:type="pct"/>
            <w:vAlign w:val="center"/>
          </w:tcPr>
          <w:p>
            <w:pPr>
              <w:keepNext w:val="0"/>
              <w:keepLines w:val="0"/>
              <w:widowControl/>
              <w:suppressLineNumbers w:val="0"/>
              <w:jc w:val="center"/>
              <w:textAlignment w:val="center"/>
              <w:rPr>
                <w:rFonts w:hint="default"/>
                <w:color w:val="000000" w:themeColor="text1"/>
                <w:sz w:val="18"/>
                <w:szCs w:val="21"/>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年</w:t>
            </w:r>
          </w:p>
        </w:tc>
        <w:tc>
          <w:tcPr>
            <w:tcW w:w="356" w:type="pct"/>
            <w:tcBorders>
              <w:right w:val="single" w:color="auto" w:sz="4" w:space="0"/>
            </w:tcBorders>
            <w:vAlign w:val="center"/>
          </w:tcPr>
          <w:p>
            <w:pPr>
              <w:keepNext w:val="0"/>
              <w:keepLines w:val="0"/>
              <w:widowControl/>
              <w:suppressLineNumbers w:val="0"/>
              <w:jc w:val="center"/>
              <w:textAlignment w:val="center"/>
              <w:rPr>
                <w:color w:val="000000" w:themeColor="text1"/>
                <w:sz w:val="16"/>
                <w:szCs w:val="20"/>
                <w14:textFill>
                  <w14:solidFill>
                    <w14:schemeClr w14:val="tx1"/>
                  </w14:solidFill>
                </w14:textFill>
              </w:rPr>
            </w:pPr>
          </w:p>
        </w:tc>
        <w:tc>
          <w:tcPr>
            <w:tcW w:w="313" w:type="pct"/>
            <w:vAlign w:val="center"/>
          </w:tcPr>
          <w:p>
            <w:pPr>
              <w:spacing w:line="500" w:lineRule="exact"/>
              <w:ind w:right="-533" w:rightChars="-254"/>
              <w:jc w:val="center"/>
              <w:rPr>
                <w:color w:val="000000" w:themeColor="text1"/>
                <w:sz w:val="18"/>
                <w:szCs w:val="21"/>
                <w14:textFill>
                  <w14:solidFill>
                    <w14:schemeClr w14:val="tx1"/>
                  </w14:solidFill>
                </w14:textFill>
              </w:rPr>
            </w:pPr>
          </w:p>
        </w:tc>
        <w:tc>
          <w:tcPr>
            <w:tcW w:w="356" w:type="pct"/>
            <w:vAlign w:val="center"/>
          </w:tcPr>
          <w:p>
            <w:pPr>
              <w:spacing w:line="500" w:lineRule="exact"/>
              <w:ind w:right="-533" w:rightChars="-254"/>
              <w:jc w:val="center"/>
              <w:rPr>
                <w:color w:val="000000" w:themeColor="text1"/>
                <w:sz w:val="18"/>
                <w:szCs w:val="21"/>
                <w14:textFill>
                  <w14:solidFill>
                    <w14:schemeClr w14:val="tx1"/>
                  </w14:solidFill>
                </w14:textFill>
              </w:rPr>
            </w:pPr>
          </w:p>
        </w:tc>
        <w:tc>
          <w:tcPr>
            <w:tcW w:w="356" w:type="pct"/>
            <w:vAlign w:val="center"/>
          </w:tcPr>
          <w:p>
            <w:pPr>
              <w:spacing w:line="500" w:lineRule="exact"/>
              <w:ind w:right="-533" w:rightChars="-254"/>
              <w:jc w:val="center"/>
              <w:rPr>
                <w:color w:val="000000" w:themeColor="text1"/>
                <w:sz w:val="18"/>
                <w:szCs w:val="21"/>
                <w14:textFill>
                  <w14:solidFill>
                    <w14:schemeClr w14:val="tx1"/>
                  </w14:solidFill>
                </w14:textFill>
              </w:rPr>
            </w:pPr>
          </w:p>
        </w:tc>
        <w:tc>
          <w:tcPr>
            <w:tcW w:w="349" w:type="pct"/>
            <w:vAlign w:val="center"/>
          </w:tcPr>
          <w:p>
            <w:pPr>
              <w:spacing w:line="500" w:lineRule="exact"/>
              <w:ind w:right="-533" w:rightChars="-254"/>
              <w:jc w:val="center"/>
              <w:rPr>
                <w:color w:val="000000" w:themeColor="text1"/>
                <w:sz w:val="18"/>
                <w:szCs w:val="21"/>
                <w14:textFill>
                  <w14:solidFill>
                    <w14:schemeClr w14:val="tx1"/>
                  </w14:solidFill>
                </w14:textFill>
              </w:rPr>
            </w:pPr>
          </w:p>
        </w:tc>
        <w:tc>
          <w:tcPr>
            <w:tcW w:w="427" w:type="pct"/>
            <w:vAlign w:val="center"/>
          </w:tcPr>
          <w:p>
            <w:pPr>
              <w:spacing w:line="500" w:lineRule="exact"/>
              <w:ind w:right="-533" w:rightChars="-254"/>
              <w:jc w:val="center"/>
              <w:rPr>
                <w:color w:val="000000" w:themeColor="text1"/>
                <w:sz w:val="18"/>
                <w:szCs w:val="21"/>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83" w:hRule="exact"/>
        </w:trPr>
        <w:tc>
          <w:tcPr>
            <w:tcW w:w="2389" w:type="pct"/>
            <w:gridSpan w:val="4"/>
            <w:vAlign w:val="center"/>
          </w:tcPr>
          <w:p>
            <w:pPr>
              <w:keepNext w:val="0"/>
              <w:keepLines w:val="0"/>
              <w:widowControl/>
              <w:suppressLineNumbers w:val="0"/>
              <w:jc w:val="center"/>
              <w:textAlignment w:val="center"/>
              <w:rPr>
                <w:rFonts w:ascii="等线" w:hAnsi="等线" w:eastAsia="等线"/>
                <w:sz w:val="16"/>
                <w:szCs w:val="16"/>
              </w:rPr>
            </w:pPr>
            <w:r>
              <w:rPr>
                <w:rFonts w:hint="eastAsia" w:cs="Times New Roman"/>
                <w:i w:val="0"/>
                <w:iCs w:val="0"/>
                <w:color w:val="000000"/>
                <w:kern w:val="0"/>
                <w:sz w:val="18"/>
                <w:szCs w:val="18"/>
                <w:u w:val="none"/>
                <w:lang w:val="en-US" w:eastAsia="zh-CN" w:bidi="ar"/>
              </w:rPr>
              <w:t>合计</w:t>
            </w:r>
          </w:p>
        </w:tc>
        <w:tc>
          <w:tcPr>
            <w:tcW w:w="242" w:type="pct"/>
            <w:vAlign w:val="center"/>
          </w:tcPr>
          <w:p>
            <w:pPr>
              <w:keepNext w:val="0"/>
              <w:keepLines w:val="0"/>
              <w:widowControl/>
              <w:suppressLineNumbers w:val="0"/>
              <w:jc w:val="center"/>
              <w:textAlignment w:val="center"/>
              <w:rPr>
                <w:rFonts w:ascii="等线" w:hAnsi="等线" w:eastAsia="等线"/>
                <w:color w:val="000000"/>
                <w:sz w:val="16"/>
                <w:szCs w:val="16"/>
              </w:rPr>
            </w:pPr>
          </w:p>
        </w:tc>
        <w:tc>
          <w:tcPr>
            <w:tcW w:w="206" w:type="pct"/>
            <w:vAlign w:val="center"/>
          </w:tcPr>
          <w:p>
            <w:pPr>
              <w:keepNext w:val="0"/>
              <w:keepLines w:val="0"/>
              <w:widowControl/>
              <w:suppressLineNumbers w:val="0"/>
              <w:jc w:val="center"/>
              <w:textAlignment w:val="center"/>
              <w:rPr>
                <w:rFonts w:ascii="等线" w:hAnsi="等线" w:eastAsia="等线"/>
                <w:sz w:val="16"/>
                <w:szCs w:val="16"/>
              </w:rPr>
            </w:pPr>
          </w:p>
        </w:tc>
        <w:tc>
          <w:tcPr>
            <w:tcW w:w="356" w:type="pct"/>
            <w:tcBorders>
              <w:right w:val="single" w:color="auto" w:sz="4" w:space="0"/>
            </w:tcBorders>
            <w:vAlign w:val="center"/>
          </w:tcPr>
          <w:p>
            <w:pPr>
              <w:keepNext w:val="0"/>
              <w:keepLines w:val="0"/>
              <w:widowControl/>
              <w:suppressLineNumbers w:val="0"/>
              <w:jc w:val="center"/>
              <w:textAlignment w:val="center"/>
              <w:rPr>
                <w:color w:val="000000" w:themeColor="text1"/>
                <w:sz w:val="16"/>
                <w:szCs w:val="20"/>
                <w14:textFill>
                  <w14:solidFill>
                    <w14:schemeClr w14:val="tx1"/>
                  </w14:solidFill>
                </w14:textFill>
              </w:rPr>
            </w:pPr>
          </w:p>
        </w:tc>
        <w:tc>
          <w:tcPr>
            <w:tcW w:w="313" w:type="pct"/>
            <w:vAlign w:val="center"/>
          </w:tcPr>
          <w:p>
            <w:pPr>
              <w:spacing w:line="500" w:lineRule="exact"/>
              <w:ind w:right="-533" w:rightChars="-254"/>
              <w:jc w:val="center"/>
              <w:rPr>
                <w:color w:val="000000" w:themeColor="text1"/>
                <w:sz w:val="18"/>
                <w:szCs w:val="21"/>
                <w14:textFill>
                  <w14:solidFill>
                    <w14:schemeClr w14:val="tx1"/>
                  </w14:solidFill>
                </w14:textFill>
              </w:rPr>
            </w:pPr>
          </w:p>
        </w:tc>
        <w:tc>
          <w:tcPr>
            <w:tcW w:w="356" w:type="pct"/>
            <w:vAlign w:val="center"/>
          </w:tcPr>
          <w:p>
            <w:pPr>
              <w:spacing w:line="500" w:lineRule="exact"/>
              <w:ind w:right="-533" w:rightChars="-254"/>
              <w:jc w:val="center"/>
              <w:rPr>
                <w:color w:val="000000" w:themeColor="text1"/>
                <w:sz w:val="18"/>
                <w:szCs w:val="21"/>
                <w14:textFill>
                  <w14:solidFill>
                    <w14:schemeClr w14:val="tx1"/>
                  </w14:solidFill>
                </w14:textFill>
              </w:rPr>
            </w:pPr>
          </w:p>
        </w:tc>
        <w:tc>
          <w:tcPr>
            <w:tcW w:w="356" w:type="pct"/>
            <w:vAlign w:val="center"/>
          </w:tcPr>
          <w:p>
            <w:pPr>
              <w:spacing w:line="500" w:lineRule="exact"/>
              <w:ind w:right="-533" w:rightChars="-254"/>
              <w:jc w:val="center"/>
              <w:rPr>
                <w:color w:val="000000" w:themeColor="text1"/>
                <w:sz w:val="18"/>
                <w:szCs w:val="21"/>
                <w14:textFill>
                  <w14:solidFill>
                    <w14:schemeClr w14:val="tx1"/>
                  </w14:solidFill>
                </w14:textFill>
              </w:rPr>
            </w:pPr>
          </w:p>
        </w:tc>
        <w:tc>
          <w:tcPr>
            <w:tcW w:w="349" w:type="pct"/>
            <w:vAlign w:val="center"/>
          </w:tcPr>
          <w:p>
            <w:pPr>
              <w:spacing w:line="500" w:lineRule="exact"/>
              <w:ind w:right="-533" w:rightChars="-254"/>
              <w:jc w:val="center"/>
              <w:rPr>
                <w:color w:val="000000" w:themeColor="text1"/>
                <w:sz w:val="18"/>
                <w:szCs w:val="21"/>
                <w14:textFill>
                  <w14:solidFill>
                    <w14:schemeClr w14:val="tx1"/>
                  </w14:solidFill>
                </w14:textFill>
              </w:rPr>
            </w:pPr>
          </w:p>
        </w:tc>
        <w:tc>
          <w:tcPr>
            <w:tcW w:w="427" w:type="pct"/>
            <w:vAlign w:val="center"/>
          </w:tcPr>
          <w:p>
            <w:pPr>
              <w:spacing w:line="500" w:lineRule="exact"/>
              <w:ind w:right="-533" w:rightChars="-254"/>
              <w:jc w:val="center"/>
              <w:rPr>
                <w:color w:val="000000" w:themeColor="text1"/>
                <w:sz w:val="18"/>
                <w:szCs w:val="21"/>
                <w14:textFill>
                  <w14:solidFill>
                    <w14:schemeClr w14:val="tx1"/>
                  </w14:solidFill>
                </w14:textFill>
              </w:rPr>
            </w:pPr>
          </w:p>
        </w:tc>
      </w:tr>
    </w:tbl>
    <w:p>
      <w:pPr>
        <w:pStyle w:val="4"/>
        <w:rPr>
          <w:rFonts w:hint="default"/>
          <w:lang w:val="en-US" w:eastAsia="zh-CN"/>
        </w:rPr>
      </w:pPr>
    </w:p>
    <w:p>
      <w:pPr>
        <w:numPr>
          <w:ilvl w:val="0"/>
          <w:numId w:val="1"/>
        </w:numPr>
        <w:ind w:left="-420" w:leftChars="0" w:firstLine="420" w:firstLineChars="0"/>
        <w:jc w:val="both"/>
        <w:rPr>
          <w:rFonts w:hint="default"/>
          <w:b/>
          <w:bCs/>
          <w:sz w:val="28"/>
          <w:szCs w:val="28"/>
          <w:highlight w:val="none"/>
          <w:lang w:val="en-US" w:eastAsia="zh-CN"/>
        </w:rPr>
      </w:pPr>
      <w:r>
        <w:rPr>
          <w:rFonts w:hint="eastAsia"/>
          <w:b/>
          <w:bCs/>
          <w:sz w:val="28"/>
          <w:szCs w:val="28"/>
          <w:highlight w:val="none"/>
          <w:lang w:val="en-US" w:eastAsia="zh-CN"/>
        </w:rPr>
        <w:t>附件清单</w:t>
      </w:r>
    </w:p>
    <w:p>
      <w:pPr>
        <w:pStyle w:val="10"/>
        <w:numPr>
          <w:ilvl w:val="0"/>
          <w:numId w:val="0"/>
        </w:numPr>
        <w:ind w:left="600" w:leftChars="0"/>
        <w:rPr>
          <w:rFonts w:hint="eastAsia" w:asciiTheme="minorHAnsi" w:hAnsiTheme="minorHAnsi" w:eastAsiaTheme="minorEastAsia" w:cstheme="minorBidi"/>
          <w:kern w:val="2"/>
          <w:sz w:val="28"/>
          <w:szCs w:val="28"/>
          <w:highlight w:val="none"/>
          <w:lang w:val="en-US" w:eastAsia="zh-CN" w:bidi="ar-SA"/>
        </w:rPr>
      </w:pPr>
      <w:r>
        <w:rPr>
          <w:rFonts w:hint="eastAsia" w:asciiTheme="minorHAnsi" w:hAnsiTheme="minorHAnsi" w:eastAsiaTheme="minorEastAsia" w:cstheme="minorBidi"/>
          <w:kern w:val="2"/>
          <w:sz w:val="28"/>
          <w:szCs w:val="28"/>
          <w:highlight w:val="none"/>
          <w:lang w:val="en-US" w:eastAsia="zh-CN" w:bidi="ar-SA"/>
        </w:rPr>
        <w:t>附件1：合同文本</w:t>
      </w:r>
    </w:p>
    <w:p>
      <w:pPr>
        <w:pStyle w:val="10"/>
        <w:numPr>
          <w:ilvl w:val="0"/>
          <w:numId w:val="0"/>
        </w:numPr>
        <w:ind w:left="600" w:leftChars="0"/>
        <w:rPr>
          <w:rFonts w:hint="eastAsia" w:asciiTheme="minorHAnsi" w:hAnsiTheme="minorHAnsi" w:eastAsiaTheme="minorEastAsia" w:cstheme="minorBidi"/>
          <w:kern w:val="2"/>
          <w:sz w:val="28"/>
          <w:szCs w:val="28"/>
          <w:highlight w:val="none"/>
          <w:lang w:val="en-US" w:eastAsia="zh-CN" w:bidi="ar-SA"/>
        </w:rPr>
      </w:pPr>
      <w:r>
        <w:rPr>
          <w:rFonts w:hint="eastAsia" w:asciiTheme="minorHAnsi" w:hAnsiTheme="minorHAnsi" w:eastAsiaTheme="minorEastAsia" w:cstheme="minorBidi"/>
          <w:kern w:val="2"/>
          <w:sz w:val="28"/>
          <w:szCs w:val="28"/>
          <w:highlight w:val="none"/>
          <w:lang w:val="en-US" w:eastAsia="zh-CN" w:bidi="ar-SA"/>
        </w:rPr>
        <w:t>附件2：中小企业声明函</w:t>
      </w:r>
    </w:p>
    <w:p>
      <w:pPr>
        <w:pStyle w:val="10"/>
        <w:numPr>
          <w:ilvl w:val="0"/>
          <w:numId w:val="0"/>
        </w:numPr>
        <w:ind w:left="600" w:leftChars="0"/>
        <w:rPr>
          <w:rFonts w:hint="eastAsia" w:asciiTheme="minorHAnsi" w:hAnsiTheme="minorHAnsi" w:eastAsiaTheme="minorEastAsia" w:cstheme="minorBidi"/>
          <w:kern w:val="2"/>
          <w:sz w:val="28"/>
          <w:szCs w:val="28"/>
          <w:highlight w:val="none"/>
          <w:lang w:val="en-US" w:eastAsia="zh-CN" w:bidi="ar-SA"/>
        </w:rPr>
      </w:pPr>
      <w:r>
        <w:rPr>
          <w:rFonts w:hint="eastAsia" w:asciiTheme="minorHAnsi" w:hAnsiTheme="minorHAnsi" w:eastAsiaTheme="minorEastAsia" w:cstheme="minorBidi"/>
          <w:kern w:val="2"/>
          <w:sz w:val="28"/>
          <w:szCs w:val="28"/>
          <w:highlight w:val="none"/>
          <w:lang w:val="en-US" w:eastAsia="zh-CN" w:bidi="ar-SA"/>
        </w:rPr>
        <w:t>附件3：投标人承诺书</w:t>
      </w:r>
    </w:p>
    <w:p>
      <w:pPr>
        <w:pStyle w:val="10"/>
        <w:numPr>
          <w:ilvl w:val="0"/>
          <w:numId w:val="0"/>
        </w:numPr>
        <w:ind w:left="600" w:leftChars="0"/>
        <w:rPr>
          <w:rFonts w:hint="eastAsia" w:asciiTheme="minorHAnsi" w:hAnsiTheme="minorHAnsi" w:eastAsiaTheme="minorEastAsia" w:cstheme="minorBidi"/>
          <w:kern w:val="2"/>
          <w:sz w:val="28"/>
          <w:szCs w:val="28"/>
          <w:highlight w:val="none"/>
          <w:lang w:val="en-US" w:eastAsia="zh-CN" w:bidi="ar-SA"/>
        </w:rPr>
      </w:pPr>
      <w:r>
        <w:rPr>
          <w:rFonts w:hint="eastAsia" w:asciiTheme="minorHAnsi" w:hAnsiTheme="minorHAnsi" w:eastAsiaTheme="minorEastAsia" w:cstheme="minorBidi"/>
          <w:kern w:val="2"/>
          <w:sz w:val="28"/>
          <w:szCs w:val="28"/>
          <w:highlight w:val="none"/>
          <w:lang w:val="en-US" w:eastAsia="zh-CN" w:bidi="ar-SA"/>
        </w:rPr>
        <w:t>附件4：技术规格书</w:t>
      </w:r>
    </w:p>
    <w:p>
      <w:pPr>
        <w:rPr>
          <w:rFonts w:hint="default"/>
          <w:highlight w:val="none"/>
          <w:lang w:val="en-US" w:eastAsia="zh-CN"/>
        </w:rPr>
      </w:pPr>
      <w:r>
        <w:rPr>
          <w:rFonts w:hint="eastAsia"/>
          <w:highlight w:val="none"/>
          <w:lang w:val="en-US" w:eastAsia="zh-CN"/>
        </w:rPr>
        <w:t xml:space="preserve">     </w:t>
      </w:r>
      <w:r>
        <w:rPr>
          <w:rFonts w:hint="eastAsia" w:asciiTheme="minorHAnsi" w:hAnsiTheme="minorHAnsi" w:eastAsiaTheme="minorEastAsia" w:cstheme="minorBidi"/>
          <w:color w:val="FF0000"/>
          <w:kern w:val="2"/>
          <w:sz w:val="28"/>
          <w:szCs w:val="28"/>
          <w:highlight w:val="none"/>
          <w:lang w:val="en-US" w:eastAsia="zh-CN" w:bidi="ar-SA"/>
        </w:rPr>
        <w:t xml:space="preserve"> </w:t>
      </w:r>
    </w:p>
    <w:p>
      <w:pPr>
        <w:numPr>
          <w:ilvl w:val="0"/>
          <w:numId w:val="0"/>
        </w:numPr>
        <w:jc w:val="right"/>
        <w:rPr>
          <w:rFonts w:hint="eastAsia"/>
          <w:b/>
          <w:bCs/>
          <w:sz w:val="24"/>
          <w:szCs w:val="24"/>
          <w:highlight w:val="none"/>
          <w:lang w:val="en-US" w:eastAsia="zh-CN"/>
        </w:rPr>
      </w:pPr>
      <w:r>
        <w:rPr>
          <w:rFonts w:hint="eastAsia"/>
          <w:b/>
          <w:bCs/>
          <w:sz w:val="24"/>
          <w:szCs w:val="24"/>
          <w:highlight w:val="none"/>
          <w:lang w:val="en-US" w:eastAsia="zh-CN"/>
        </w:rPr>
        <w:t>中海油田服务股份有限公司</w:t>
      </w:r>
    </w:p>
    <w:p>
      <w:pPr>
        <w:numPr>
          <w:ilvl w:val="0"/>
          <w:numId w:val="0"/>
        </w:numPr>
        <w:jc w:val="center"/>
        <w:rPr>
          <w:rFonts w:hint="default"/>
          <w:b/>
          <w:bCs/>
          <w:sz w:val="24"/>
          <w:szCs w:val="24"/>
          <w:highlight w:val="none"/>
          <w:lang w:val="en-US" w:eastAsia="zh-CN"/>
        </w:rPr>
      </w:pPr>
      <w:r>
        <w:rPr>
          <w:rFonts w:hint="eastAsia"/>
          <w:b/>
          <w:bCs/>
          <w:sz w:val="24"/>
          <w:szCs w:val="24"/>
          <w:highlight w:val="none"/>
          <w:lang w:val="en-US" w:eastAsia="zh-CN"/>
        </w:rPr>
        <w:t xml:space="preserve">                                              采办共享中心</w:t>
      </w:r>
    </w:p>
    <w:sectPr>
      <w:pgSz w:w="11906" w:h="16838"/>
      <w:pgMar w:top="82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Univers">
    <w:altName w:val="Arial"/>
    <w:panose1 w:val="00000000000000000000"/>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84A486"/>
    <w:multiLevelType w:val="singleLevel"/>
    <w:tmpl w:val="9884A486"/>
    <w:lvl w:ilvl="0" w:tentative="0">
      <w:start w:val="1"/>
      <w:numFmt w:val="decimal"/>
      <w:suff w:val="space"/>
      <w:lvlText w:val="%1."/>
      <w:lvlJc w:val="left"/>
      <w:rPr>
        <w:rFonts w:hint="default"/>
        <w:sz w:val="28"/>
        <w:szCs w:val="28"/>
      </w:rPr>
    </w:lvl>
  </w:abstractNum>
  <w:abstractNum w:abstractNumId="1">
    <w:nsid w:val="DCD48432"/>
    <w:multiLevelType w:val="singleLevel"/>
    <w:tmpl w:val="DCD48432"/>
    <w:lvl w:ilvl="0" w:tentative="0">
      <w:start w:val="1"/>
      <w:numFmt w:val="decimal"/>
      <w:suff w:val="space"/>
      <w:lvlText w:val="%1."/>
      <w:lvlJc w:val="left"/>
      <w:rPr>
        <w:rFonts w:hint="default"/>
        <w:color w:val="auto"/>
      </w:rPr>
    </w:lvl>
  </w:abstractNum>
  <w:abstractNum w:abstractNumId="2">
    <w:nsid w:val="5765EC03"/>
    <w:multiLevelType w:val="singleLevel"/>
    <w:tmpl w:val="5765EC03"/>
    <w:lvl w:ilvl="0" w:tentative="0">
      <w:start w:val="1"/>
      <w:numFmt w:val="chineseCounting"/>
      <w:suff w:val="nothing"/>
      <w:lvlText w:val="%1、"/>
      <w:lvlJc w:val="left"/>
      <w:pPr>
        <w:ind w:left="-420" w:firstLine="42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AD05C6"/>
    <w:rsid w:val="02B7487C"/>
    <w:rsid w:val="04210E57"/>
    <w:rsid w:val="04523256"/>
    <w:rsid w:val="05591C96"/>
    <w:rsid w:val="05EC045E"/>
    <w:rsid w:val="06BA1A15"/>
    <w:rsid w:val="0AB3485C"/>
    <w:rsid w:val="0AED5301"/>
    <w:rsid w:val="0B464D66"/>
    <w:rsid w:val="0DC70C0F"/>
    <w:rsid w:val="0E137A19"/>
    <w:rsid w:val="0E827A2E"/>
    <w:rsid w:val="0ECB5890"/>
    <w:rsid w:val="0F2C5019"/>
    <w:rsid w:val="100A545F"/>
    <w:rsid w:val="12942044"/>
    <w:rsid w:val="130D4D47"/>
    <w:rsid w:val="14A859F3"/>
    <w:rsid w:val="153C1F07"/>
    <w:rsid w:val="15A66514"/>
    <w:rsid w:val="15C7069E"/>
    <w:rsid w:val="15CE5841"/>
    <w:rsid w:val="163F34B3"/>
    <w:rsid w:val="189B4EEA"/>
    <w:rsid w:val="197F7DD3"/>
    <w:rsid w:val="1BCF6E0B"/>
    <w:rsid w:val="1C92426F"/>
    <w:rsid w:val="1D532BBD"/>
    <w:rsid w:val="1D5C3938"/>
    <w:rsid w:val="1E102FCD"/>
    <w:rsid w:val="1E10545E"/>
    <w:rsid w:val="1EB037D3"/>
    <w:rsid w:val="1F381CF1"/>
    <w:rsid w:val="20F90805"/>
    <w:rsid w:val="22F07266"/>
    <w:rsid w:val="23226F32"/>
    <w:rsid w:val="237F6F54"/>
    <w:rsid w:val="23AF4F9E"/>
    <w:rsid w:val="249D521F"/>
    <w:rsid w:val="24C860A5"/>
    <w:rsid w:val="25176BB5"/>
    <w:rsid w:val="252F1CAC"/>
    <w:rsid w:val="25482F11"/>
    <w:rsid w:val="28543B14"/>
    <w:rsid w:val="28BE2B63"/>
    <w:rsid w:val="28DD431A"/>
    <w:rsid w:val="2903572E"/>
    <w:rsid w:val="2C9B3D9F"/>
    <w:rsid w:val="2CA232AE"/>
    <w:rsid w:val="2CCD2098"/>
    <w:rsid w:val="2F604549"/>
    <w:rsid w:val="2F8B4335"/>
    <w:rsid w:val="2F9D5718"/>
    <w:rsid w:val="302C4204"/>
    <w:rsid w:val="32E41302"/>
    <w:rsid w:val="35524004"/>
    <w:rsid w:val="36453215"/>
    <w:rsid w:val="383054F0"/>
    <w:rsid w:val="39AE0030"/>
    <w:rsid w:val="3BBF7270"/>
    <w:rsid w:val="3BCF621C"/>
    <w:rsid w:val="3C88295C"/>
    <w:rsid w:val="3CA14E2B"/>
    <w:rsid w:val="3D3F03AD"/>
    <w:rsid w:val="3E262D6F"/>
    <w:rsid w:val="3F3F5354"/>
    <w:rsid w:val="3F51536E"/>
    <w:rsid w:val="3FE0468B"/>
    <w:rsid w:val="402368E9"/>
    <w:rsid w:val="404F79D6"/>
    <w:rsid w:val="41320BB8"/>
    <w:rsid w:val="44D268C3"/>
    <w:rsid w:val="44F078A8"/>
    <w:rsid w:val="456176FC"/>
    <w:rsid w:val="45C21DFF"/>
    <w:rsid w:val="47685964"/>
    <w:rsid w:val="479604D4"/>
    <w:rsid w:val="4862144E"/>
    <w:rsid w:val="4A061AFF"/>
    <w:rsid w:val="4D2166E7"/>
    <w:rsid w:val="4F2A6D95"/>
    <w:rsid w:val="4FC90807"/>
    <w:rsid w:val="50384F6E"/>
    <w:rsid w:val="520347E7"/>
    <w:rsid w:val="52D76ADC"/>
    <w:rsid w:val="533A2968"/>
    <w:rsid w:val="53FB1516"/>
    <w:rsid w:val="558511DC"/>
    <w:rsid w:val="5617739C"/>
    <w:rsid w:val="570B7B14"/>
    <w:rsid w:val="579A565A"/>
    <w:rsid w:val="58701BA4"/>
    <w:rsid w:val="5B0111AA"/>
    <w:rsid w:val="5C0045B8"/>
    <w:rsid w:val="5C41066B"/>
    <w:rsid w:val="5C627008"/>
    <w:rsid w:val="5CEE6A13"/>
    <w:rsid w:val="5D406F09"/>
    <w:rsid w:val="5DD46D36"/>
    <w:rsid w:val="5E4179C9"/>
    <w:rsid w:val="60D033C6"/>
    <w:rsid w:val="62AD05C6"/>
    <w:rsid w:val="64170565"/>
    <w:rsid w:val="65343B16"/>
    <w:rsid w:val="656D6EC5"/>
    <w:rsid w:val="6661460E"/>
    <w:rsid w:val="6C8F6C84"/>
    <w:rsid w:val="6CBB162E"/>
    <w:rsid w:val="6E972CE3"/>
    <w:rsid w:val="6F3D7457"/>
    <w:rsid w:val="6F8040FB"/>
    <w:rsid w:val="6FE379B5"/>
    <w:rsid w:val="71602412"/>
    <w:rsid w:val="71F519FE"/>
    <w:rsid w:val="724A3FE1"/>
    <w:rsid w:val="72B258CC"/>
    <w:rsid w:val="736B7EE9"/>
    <w:rsid w:val="74B83E13"/>
    <w:rsid w:val="7629236B"/>
    <w:rsid w:val="779527C9"/>
    <w:rsid w:val="78761BB0"/>
    <w:rsid w:val="7AE96A4E"/>
    <w:rsid w:val="7B0D056F"/>
    <w:rsid w:val="7C3C0B5C"/>
    <w:rsid w:val="7CEE13EE"/>
    <w:rsid w:val="7D7341E9"/>
    <w:rsid w:val="7F0A58B4"/>
    <w:rsid w:val="7F313C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3"/>
    <w:next w:val="1"/>
    <w:qFormat/>
    <w:uiPriority w:val="0"/>
    <w:pPr>
      <w:outlineLvl w:val="1"/>
    </w:pPr>
    <w:rPr>
      <w:b w:val="0"/>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tabs>
        <w:tab w:val="left" w:pos="1040"/>
      </w:tabs>
      <w:adjustRightInd w:val="0"/>
      <w:snapToGrid w:val="0"/>
      <w:spacing w:before="80" w:after="80" w:line="288" w:lineRule="auto"/>
      <w:ind w:firstLine="420"/>
    </w:pPr>
    <w:rPr>
      <w:rFonts w:ascii="Univers" w:hAnsi="Univers" w:cs="Times New Roman"/>
      <w:sz w:val="24"/>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默认段落字体 Para Char"/>
    <w:basedOn w:val="11"/>
    <w:next w:val="1"/>
    <w:qFormat/>
    <w:uiPriority w:val="0"/>
    <w:pPr>
      <w:spacing w:line="360" w:lineRule="auto"/>
      <w:ind w:firstLine="720" w:firstLineChars="200"/>
      <w:jc w:val="left"/>
    </w:pPr>
    <w:rPr>
      <w:rFonts w:eastAsia="仿宋"/>
      <w:kern w:val="10"/>
      <w:sz w:val="24"/>
      <w:szCs w:val="28"/>
    </w:rPr>
  </w:style>
  <w:style w:type="paragraph" w:customStyle="1" w:styleId="11">
    <w:name w:val="Normal_1"/>
    <w:next w:val="10"/>
    <w:qFormat/>
    <w:uiPriority w:val="0"/>
    <w:rPr>
      <w:rFonts w:ascii="Times New Roman" w:hAnsi="Times New Roman" w:eastAsia="Times New Roman" w:cs="Times New Roman"/>
      <w:sz w:val="24"/>
      <w:szCs w:val="24"/>
    </w:rPr>
  </w:style>
  <w:style w:type="paragraph" w:customStyle="1" w:styleId="12">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3">
    <w:name w:val="Table Paragraph"/>
    <w:basedOn w:val="1"/>
    <w:qFormat/>
    <w:uiPriority w:val="0"/>
    <w:pPr>
      <w:jc w:val="left"/>
    </w:pPr>
    <w:rPr>
      <w:kern w:val="0"/>
      <w:sz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2025-03-12T02:13:00Z</dcterms:created>
  <dc:creator>郭珍柱</dc:creator>
  <cp:lastModifiedBy>胡庆利</cp:lastModifiedBy>
  <dcterms:modified xsi:type="dcterms:W3CDTF">2025-07-24T09:51:26Z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29E18BD0C1EF426AACB57EC863CB422D</vt:lpwstr>
  </property>
</Properties>
</file>