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center"/>
        <w:rPr>
          <w:rFonts w:hint="eastAsia" w:ascii="微软雅黑" w:hAnsi="微软雅黑" w:eastAsia="微软雅黑" w:cs="微软雅黑"/>
          <w:b/>
          <w:spacing w:val="2"/>
          <w:w w:val="99"/>
          <w:sz w:val="52"/>
          <w:szCs w:val="52"/>
        </w:rPr>
      </w:pPr>
      <w:r>
        <w:rPr>
          <w:rFonts w:hint="eastAsia" w:ascii="微软雅黑" w:hAnsi="微软雅黑" w:eastAsia="微软雅黑" w:cs="微软雅黑"/>
          <w:b/>
          <w:spacing w:val="2"/>
          <w:w w:val="99"/>
          <w:sz w:val="52"/>
          <w:szCs w:val="52"/>
          <w:lang w:eastAsia="zh-CN"/>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3810" b="9525"/>
            <wp:wrapTight wrapText="bothSides">
              <wp:wrapPolygon>
                <wp:start x="7475" y="0"/>
                <wp:lineTo x="2320" y="4577"/>
                <wp:lineTo x="1031" y="6294"/>
                <wp:lineTo x="0" y="8297"/>
                <wp:lineTo x="0" y="15163"/>
                <wp:lineTo x="1289" y="18310"/>
                <wp:lineTo x="1289" y="18596"/>
                <wp:lineTo x="5155" y="21457"/>
                <wp:lineTo x="5671" y="21457"/>
                <wp:lineTo x="11341" y="21457"/>
                <wp:lineTo x="12115" y="21457"/>
                <wp:lineTo x="15465" y="18882"/>
                <wp:lineTo x="17527" y="14305"/>
                <wp:lineTo x="17527" y="13732"/>
                <wp:lineTo x="21394" y="12016"/>
                <wp:lineTo x="21394" y="8869"/>
                <wp:lineTo x="14950"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596390" cy="1438275"/>
                    </a:xfrm>
                    <a:prstGeom prst="rect">
                      <a:avLst/>
                    </a:prstGeom>
                    <a:noFill/>
                    <a:ln>
                      <a:noFill/>
                    </a:ln>
                  </pic:spPr>
                </pic:pic>
              </a:graphicData>
            </a:graphic>
          </wp:anchor>
        </w:drawing>
      </w:r>
    </w:p>
    <w:p>
      <w:pPr>
        <w:autoSpaceDE w:val="0"/>
        <w:autoSpaceDN w:val="0"/>
        <w:spacing w:before="120" w:after="120"/>
        <w:ind w:right="-20"/>
        <w:jc w:val="center"/>
        <w:rPr>
          <w:rFonts w:hint="eastAsia" w:ascii="微软雅黑" w:hAnsi="微软雅黑" w:eastAsia="微软雅黑" w:cs="微软雅黑"/>
          <w:b/>
          <w:spacing w:val="2"/>
          <w:w w:val="99"/>
          <w:sz w:val="52"/>
          <w:szCs w:val="52"/>
        </w:rPr>
      </w:pPr>
    </w:p>
    <w:p>
      <w:pPr>
        <w:autoSpaceDE w:val="0"/>
        <w:autoSpaceDN w:val="0"/>
        <w:spacing w:before="120" w:after="120"/>
        <w:ind w:right="-20"/>
        <w:jc w:val="center"/>
        <w:rPr>
          <w:rFonts w:hint="eastAsia" w:ascii="微软雅黑" w:hAnsi="微软雅黑" w:eastAsia="微软雅黑" w:cs="微软雅黑"/>
          <w:b/>
          <w:spacing w:val="2"/>
          <w:w w:val="99"/>
          <w:sz w:val="52"/>
          <w:szCs w:val="52"/>
        </w:rPr>
      </w:pPr>
    </w:p>
    <w:p>
      <w:pPr>
        <w:jc w:val="center"/>
        <w:rPr>
          <w:rFonts w:hint="eastAsia" w:ascii="微软雅黑" w:hAnsi="微软雅黑" w:eastAsia="微软雅黑" w:cs="微软雅黑"/>
          <w:spacing w:val="2"/>
          <w:w w:val="99"/>
          <w:sz w:val="52"/>
          <w:szCs w:val="52"/>
          <w:lang w:eastAsia="zh-CN"/>
        </w:rPr>
      </w:pPr>
      <w:r>
        <w:rPr>
          <w:rFonts w:hint="eastAsia" w:ascii="微软雅黑" w:hAnsi="微软雅黑" w:eastAsia="微软雅黑" w:cs="微软雅黑"/>
          <w:spacing w:val="2"/>
          <w:w w:val="99"/>
          <w:sz w:val="52"/>
          <w:szCs w:val="52"/>
          <w:lang w:eastAsia="zh-CN"/>
        </w:rPr>
        <w:t>中海油能源发展股份有限公司</w:t>
      </w:r>
    </w:p>
    <w:p>
      <w:pPr>
        <w:jc w:val="center"/>
        <w:rPr>
          <w:rFonts w:hint="eastAsia" w:ascii="微软雅黑" w:hAnsi="微软雅黑" w:eastAsia="微软雅黑" w:cs="微软雅黑"/>
          <w:bCs/>
          <w:spacing w:val="2"/>
          <w:w w:val="99"/>
          <w:sz w:val="36"/>
          <w:szCs w:val="36"/>
          <w:lang w:eastAsia="zh-CN"/>
        </w:rPr>
      </w:pPr>
    </w:p>
    <w:p>
      <w:pPr>
        <w:jc w:val="both"/>
        <w:rPr>
          <w:rFonts w:hint="eastAsia" w:ascii="微软雅黑" w:hAnsi="微软雅黑" w:eastAsia="微软雅黑" w:cs="微软雅黑"/>
          <w:bCs/>
          <w:spacing w:val="2"/>
          <w:w w:val="99"/>
          <w:sz w:val="36"/>
          <w:szCs w:val="36"/>
          <w:lang w:eastAsia="zh-CN"/>
        </w:rPr>
      </w:pPr>
    </w:p>
    <w:p>
      <w:pPr>
        <w:jc w:val="center"/>
        <w:rPr>
          <w:rFonts w:hint="eastAsia" w:ascii="微软雅黑" w:hAnsi="微软雅黑" w:eastAsia="微软雅黑" w:cs="微软雅黑"/>
          <w:bCs/>
          <w:spacing w:val="2"/>
          <w:w w:val="99"/>
          <w:sz w:val="40"/>
          <w:szCs w:val="40"/>
          <w:u w:val="single"/>
          <w:lang w:eastAsia="zh-CN"/>
        </w:rPr>
      </w:pPr>
      <w:r>
        <w:rPr>
          <w:rFonts w:hint="eastAsia" w:ascii="微软雅黑" w:hAnsi="微软雅黑" w:eastAsia="微软雅黑" w:cs="微软雅黑"/>
          <w:bCs/>
          <w:spacing w:val="2"/>
          <w:w w:val="99"/>
          <w:sz w:val="40"/>
          <w:szCs w:val="40"/>
          <w:u w:val="single"/>
          <w:lang w:eastAsia="zh-CN"/>
        </w:rPr>
        <w:t>信科公司北方地区音频设备专有协议</w:t>
      </w:r>
    </w:p>
    <w:p>
      <w:pPr>
        <w:jc w:val="center"/>
        <w:rPr>
          <w:rFonts w:hint="eastAsia" w:ascii="微软雅黑" w:hAnsi="微软雅黑" w:eastAsia="微软雅黑" w:cs="微软雅黑"/>
          <w:b/>
          <w:spacing w:val="2"/>
          <w:w w:val="99"/>
          <w:sz w:val="52"/>
          <w:szCs w:val="52"/>
          <w:lang w:eastAsia="zh-CN"/>
        </w:rPr>
      </w:pPr>
    </w:p>
    <w:p>
      <w:pPr>
        <w:jc w:val="center"/>
        <w:rPr>
          <w:rFonts w:hint="eastAsia" w:ascii="微软雅黑" w:hAnsi="微软雅黑" w:eastAsia="微软雅黑" w:cs="微软雅黑"/>
          <w:b/>
          <w:spacing w:val="2"/>
          <w:w w:val="99"/>
          <w:sz w:val="52"/>
          <w:szCs w:val="52"/>
          <w:lang w:eastAsia="zh-CN"/>
        </w:rPr>
      </w:pPr>
      <w:r>
        <w:rPr>
          <w:rFonts w:hint="eastAsia" w:ascii="微软雅黑" w:hAnsi="微软雅黑" w:eastAsia="微软雅黑" w:cs="微软雅黑"/>
          <w:b/>
          <w:spacing w:val="2"/>
          <w:w w:val="99"/>
          <w:sz w:val="52"/>
          <w:szCs w:val="52"/>
          <w:lang w:eastAsia="zh-CN"/>
        </w:rPr>
        <w:t>采购技术要求书</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微软雅黑" w:hAnsi="微软雅黑" w:eastAsia="微软雅黑" w:cs="Arial Unicode MS"/>
          <w:b/>
          <w:color w:val="000000"/>
          <w:w w:val="99"/>
          <w:sz w:val="44"/>
          <w:szCs w:val="4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微软雅黑" w:hAnsi="微软雅黑" w:eastAsia="微软雅黑" w:cs="Arial Unicode MS"/>
          <w:b/>
          <w:color w:val="000000"/>
          <w:w w:val="99"/>
          <w:sz w:val="44"/>
          <w:szCs w:val="44"/>
        </w:rPr>
      </w:pPr>
    </w:p>
    <w:p>
      <w:pPr>
        <w:autoSpaceDE w:val="0"/>
        <w:autoSpaceDN w:val="0"/>
        <w:spacing w:before="120" w:after="120" w:line="36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编制：</w:t>
      </w:r>
      <w:r>
        <w:rPr>
          <w:rFonts w:hint="eastAsia" w:ascii="Arial Unicode MS" w:eastAsia="Arial Unicode MS" w:cs="Arial Unicode MS"/>
          <w:spacing w:val="2"/>
          <w:w w:val="99"/>
          <w:sz w:val="36"/>
          <w:szCs w:val="36"/>
          <w:u w:val="single"/>
          <w:lang w:eastAsia="zh-CN"/>
        </w:rPr>
        <w:t xml:space="preserve">                </w:t>
      </w:r>
    </w:p>
    <w:p>
      <w:pPr>
        <w:autoSpaceDE w:val="0"/>
        <w:autoSpaceDN w:val="0"/>
        <w:spacing w:before="120" w:after="120" w:line="36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审核：</w:t>
      </w:r>
      <w:r>
        <w:rPr>
          <w:rFonts w:hint="eastAsia" w:ascii="Arial Unicode MS" w:eastAsia="Arial Unicode MS" w:cs="Arial Unicode MS"/>
          <w:spacing w:val="2"/>
          <w:w w:val="99"/>
          <w:sz w:val="36"/>
          <w:szCs w:val="36"/>
          <w:u w:val="single"/>
          <w:lang w:eastAsia="zh-CN"/>
        </w:rPr>
        <w:t xml:space="preserve">                </w:t>
      </w:r>
    </w:p>
    <w:p>
      <w:pPr>
        <w:autoSpaceDE w:val="0"/>
        <w:autoSpaceDN w:val="0"/>
        <w:spacing w:before="120" w:after="120" w:line="360" w:lineRule="auto"/>
        <w:ind w:right="-20"/>
        <w:rPr>
          <w:rFonts w:hint="eastAsia" w:ascii="Arial Unicode MS" w:eastAsia="Arial Unicode MS" w:cs="Arial Unicode MS"/>
          <w:w w:val="99"/>
          <w:sz w:val="36"/>
          <w:szCs w:val="36"/>
        </w:rPr>
      </w:pPr>
      <w:r>
        <w:rPr>
          <w:rFonts w:hint="eastAsia" w:ascii="Arial Unicode MS" w:eastAsia="Arial Unicode MS" w:cs="Arial Unicode MS"/>
          <w:spacing w:val="2"/>
          <w:w w:val="99"/>
          <w:sz w:val="36"/>
          <w:szCs w:val="36"/>
          <w:lang w:eastAsia="zh-CN"/>
        </w:rPr>
        <w:t xml:space="preserve">           批准：</w:t>
      </w:r>
      <w:r>
        <w:rPr>
          <w:rFonts w:hint="eastAsia" w:ascii="Arial Unicode MS" w:eastAsia="Arial Unicode MS" w:cs="Arial Unicode MS"/>
          <w:spacing w:val="2"/>
          <w:w w:val="99"/>
          <w:sz w:val="36"/>
          <w:szCs w:val="36"/>
          <w:u w:val="single"/>
          <w:lang w:eastAsia="zh-CN"/>
        </w:rPr>
        <w:t xml:space="preserve">                </w:t>
      </w:r>
      <w:r>
        <w:rPr>
          <w:rFonts w:hint="eastAsia" w:ascii="Arial Unicode MS" w:eastAsia="Arial Unicode MS" w:cs="Arial Unicode MS"/>
          <w:spacing w:val="2"/>
          <w:w w:val="99"/>
          <w:sz w:val="36"/>
          <w:szCs w:val="36"/>
          <w:lang w:eastAsia="zh-CN"/>
        </w:rPr>
        <w:t xml:space="preserve"> </w:t>
      </w:r>
      <w:r>
        <w:rPr>
          <w:rFonts w:hint="eastAsia" w:ascii="Arial Unicode MS" w:eastAsia="Arial Unicode MS" w:cs="Arial Unicode MS"/>
          <w:w w:val="99"/>
          <w:sz w:val="36"/>
          <w:szCs w:val="36"/>
        </w:rPr>
        <w:t xml:space="preserve">   </w:t>
      </w:r>
    </w:p>
    <w:p>
      <w:pPr>
        <w:autoSpaceDE w:val="0"/>
        <w:autoSpaceDN w:val="0"/>
        <w:spacing w:before="120" w:after="120" w:line="360" w:lineRule="auto"/>
        <w:ind w:right="-20"/>
        <w:rPr>
          <w:rFonts w:hint="eastAsia" w:ascii="微软雅黑" w:hAnsi="微软雅黑" w:eastAsia="微软雅黑" w:cs="微软雅黑"/>
          <w:b/>
          <w:spacing w:val="2"/>
          <w:w w:val="99"/>
          <w:sz w:val="52"/>
          <w:szCs w:val="52"/>
          <w:lang w:eastAsia="zh-CN"/>
        </w:rPr>
        <w:sectPr>
          <w:headerReference r:id="rId3" w:type="default"/>
          <w:pgSz w:w="11906" w:h="16838"/>
          <w:pgMar w:top="1440" w:right="1800" w:bottom="1440" w:left="1800" w:header="851" w:footer="992" w:gutter="0"/>
          <w:cols w:space="720" w:num="1"/>
          <w:docGrid w:type="lines" w:linePitch="312" w:charSpace="0"/>
        </w:sectPr>
      </w:pPr>
      <w:r>
        <w:rPr>
          <w:rFonts w:hint="eastAsia" w:ascii="Arial Unicode MS" w:eastAsia="Arial Unicode MS" w:cs="Arial Unicode MS"/>
          <w:spacing w:val="2"/>
          <w:w w:val="99"/>
          <w:sz w:val="36"/>
          <w:szCs w:val="36"/>
          <w:lang w:eastAsia="zh-CN"/>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bookmarkStart w:id="0" w:name="_Toc13248927"/>
      <w:bookmarkStart w:id="1" w:name="_Toc13249324"/>
      <w:bookmarkStart w:id="2" w:name="_Toc13248928"/>
      <w:bookmarkStart w:id="3" w:name="_Toc13249325"/>
      <w:r>
        <w:rPr>
          <w:rFonts w:hint="eastAsia" w:ascii="微软雅黑" w:hAnsi="微软雅黑" w:eastAsia="微软雅黑" w:cs="微软雅黑"/>
          <w:sz w:val="32"/>
          <w:szCs w:val="32"/>
          <w:lang w:eastAsia="zh-CN"/>
        </w:rPr>
        <w:t>项目概况及总体要求</w:t>
      </w:r>
      <w:bookmarkEnd w:id="0"/>
      <w:bookmarkEnd w:id="1"/>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本次招标内容为音视频系统设备，所招标设备包含设备安装和调试，具体采购数量以设备清单为准。由卖方负责本次招标内所有系统设备的供货、运输、检测、线缆敷设、设备安装、接线及调试工作。</w:t>
      </w:r>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投标方需保证投标设备均为原产原装；保证所提供货物是全新的、未使用过的，并完全符合合同规定的质量、规格和性能的要求。</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需求一览表</w:t>
      </w:r>
      <w:bookmarkEnd w:id="2"/>
      <w:bookmarkEnd w:id="3"/>
    </w:p>
    <w:tbl>
      <w:tblPr>
        <w:tblStyle w:val="11"/>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989"/>
        <w:gridCol w:w="1144"/>
        <w:gridCol w:w="2953"/>
        <w:gridCol w:w="1370"/>
        <w:gridCol w:w="762"/>
        <w:gridCol w:w="6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序号</w:t>
            </w:r>
          </w:p>
        </w:tc>
        <w:tc>
          <w:tcPr>
            <w:tcW w:w="5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设备类别</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物料组</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货物名称</w:t>
            </w:r>
          </w:p>
        </w:tc>
        <w:tc>
          <w:tcPr>
            <w:tcW w:w="8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招标参数</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单位</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u w:val="none"/>
              </w:rPr>
            </w:pPr>
            <w:r>
              <w:rPr>
                <w:rFonts w:hint="eastAsia" w:ascii="微软雅黑" w:hAnsi="微软雅黑" w:eastAsia="微软雅黑" w:cs="微软雅黑"/>
                <w:b/>
                <w:bCs/>
                <w:i w:val="0"/>
                <w:iCs w:val="0"/>
                <w:color w:val="auto"/>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58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40W天花喇叭（白色）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60W天花喇叭（白色）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100W定阻天花喇叭（白色）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100W定阻同轴天花喇叭（白色）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120W专业音箱（白色）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150W专业音箱1（黑色）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150W专业音箱1（白色）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150W专业音箱2（黑色）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200W专业音箱（白色）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300W专业音箱（白色）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350W专业音箱（黑色）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350W专业音箱（白色）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450W专业音箱（黑色）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450W专业音箱（白色）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300W工程音箱（黑色）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400W工程音箱（黑色）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500W工程音箱（黑色）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单10寸300W专业音箱（黑色）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单12寸400W专业音箱（黑色）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单15寸500W专业音箱（黑色）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同轴12寸400W返听音箱（黑色）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300W返听音箱（黑色）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400W返听音箱（黑色）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2×12W有源音箱（黑色）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2×25W有源音箱（黑色）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2×50W有源音箱（黑色）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2×100W有源音箱（黑色）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500W超低频音箱（黑色）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600W超低频音箱（黑色）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1200W超低频音箱（黑色）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300W超低频音箱（黑色）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150W线阵全频音箱（黑色）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350W线阵低频音箱（黑色）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500W线阵全频音箱（黑色）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600W线阵低频音箱（黑色）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700W线阵全频音箱（黑色）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800W线阵低频音箱（黑色）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演出级350W音箱（黑色）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演出级450W补声音箱（黑色）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演出级550W补声音箱（黑色）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200W线性全频音柱（黑色）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200W线性全频音柱（白色）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300W线性全频音柱（黑色）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300W线性全频音柱（白色）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400W线性全频音柱（黑色）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400W线性全频音柱（白色）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200W全频音柱（黑色）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300W全频音柱（黑色）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400W全频音柱（黑色）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100W会议室音柱1（黑色）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A161205</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100W会议室音柱2（黑色）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56</w:t>
            </w:r>
          </w:p>
        </w:tc>
        <w:tc>
          <w:tcPr>
            <w:tcW w:w="58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音响周边配件</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音箱壁挂支架1</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音箱壁挂支架2</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音箱壁挂支架3</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音箱壁挂支架3（白色）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音箱壁挂延长款支架4</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音箱壁挂支架5</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音箱壁挂支架5（白色）</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63</w:t>
            </w:r>
          </w:p>
        </w:tc>
        <w:tc>
          <w:tcPr>
            <w:tcW w:w="58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功放</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双通道200W数字功放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双通道350W数字功放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双通道500W数字功放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双通道700W数字功放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四通道200W数字功放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四通道350W数字功放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四通道500W数字功放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双通道1000W数字功放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双通道1200W数字功放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四通道500W D类数字功放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四通道700W D类数字功放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双通道95W多媒体功放机</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双通道120W多媒体功放机</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双通道180W多媒体功放机</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双通道350W多媒体功放机</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多媒体蓝牙30W数字功放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A260506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多媒体蓝牙60W数字功放</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80</w:t>
            </w:r>
          </w:p>
        </w:tc>
        <w:tc>
          <w:tcPr>
            <w:tcW w:w="58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音频处理设备</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12路带效果调音台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14路带效果4编组带MP3调音台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16路带效果4编组带MP3调音台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16路数字调音台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20路数字调音台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24路数字调音台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A161314</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32路数字调音台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83623681</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8路电源时序器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85212666</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大功率电源时序器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84074403</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8路网络电源时序器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85328503</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14路电源时序器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4进4出音频处理器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8进8出音频处理器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12进12出音频处理器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16进16出音频处理器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2进6出音频处理器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4进8出音频处理器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A161312</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2通道反馈抑制器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A161312</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数字音频反馈抑制器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99</w:t>
            </w:r>
          </w:p>
        </w:tc>
        <w:tc>
          <w:tcPr>
            <w:tcW w:w="58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话筒</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U段无线设备双手持(一拖二)</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U段无线设备双领夹(一拖二)</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U段无线设备双头戴(一拖二)</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U段无线设备双鹅颈(一拖二)</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U段无线设备双短咪杆(一拖二)</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U段无线设备四手持(一拖四)</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U段无线设备四鹅颈(一拖四)</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U段无线设备四短咪杆(一拖四)</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U段无线设备八鹅颈(一拖八)</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U段无线设备八短咪杆(一拖八)</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A162403</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U段无线设备天线分配器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A162402</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U段无线设备天线耦合器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A162401</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U段无线设备天线放大器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A160201</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U段无线设备指向性天线</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A160201</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U段无线设备壁挂天线</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U段无线设备话筒台式支架</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U段无线设备话筒落地支架</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桌面式纯模拟鹅颈话筒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专业发言会议话筒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有线低噪高保真会议话筒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专业会议高保真话筒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单短咪杆会议话筒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双短咪杆会议话筒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双咪杆演讲话筒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四咪杆演讲话筒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小振膜话筒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支</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振膜麦克风支架（单话筒）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振膜麦克风支架（双话筒）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振膜麦克风支架（四话筒）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A162202</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会议系统全数字会议主机</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会议系统会议话筒处理器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A162102</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会议系统音频综合管理平台</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简便式网络话筒主席单元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简便式网络话筒代表单元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全数字话筒主席单元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全数字话筒代表单元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4.3寸传音主席话筒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4.3寸传音代表话筒</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纯发言会议话筒主席单元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纯发言会议话筒代表单元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全数字会议话筒纯发言主席单元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全数字会议话筒纯发言代表单元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全数字话筒主席单元(短咪杆）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全数字话筒代表单元(短咪杆）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4.3寸传音主席话筒（短咪杆）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4.3寸传音代表话筒（短咪杆）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旗形话筒主席单元（短咪杆）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旗形话筒代表单元（短咪杆）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全数字会议话筒纯发言主席单元（短咪杆）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全数字会议话筒纯发言代表单元（短咪杆）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纯发言会议话筒主席单元(短咪杆）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纯发言会议话筒代表单元(短咪杆）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双同传触屏会议主席话筒（短咪杆）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双同传触屏会议代表话筒（短咪杆）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会议话筒10米连接线</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会议话筒20米连接线</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会议话筒插座</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A260507  </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无线主席会议话筒单元带耳机口</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A260507  </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无线代表会议话筒单元带耳机口</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A260507  </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无线主席会议话筒单元(喇叭+耳机口）</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A260507   </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无线代表会议话筒单元(喇叭+耳机口）</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简约无线会议话筒主席单元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简约无线会议话筒代表单元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圆形无线会议话筒主席单元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圆形无线会议话筒代表单元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方底座无线会议话筒主席单元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方底座无线会议话筒代表单元</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166</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无线主席会议话筒单元（短咪杆）带耳机口</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无线代表会议话筒单元（短咪杆）带耳机口</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简约无线会议话筒主席单元（短咪杆）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简约无线会议话筒代表单元（短咪杆）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圆形无线会议话筒主席单元（短咪杆）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圆形无线会议话筒代表单元（短咪杆）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172</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方形底座无线会议话筒主席单元(短咪杆）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173</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方形底座无线会议话筒代表单元(短咪杆）</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174</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A260507</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会议话筒发射器</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175</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A161499</w:t>
            </w:r>
          </w:p>
        </w:tc>
        <w:tc>
          <w:tcPr>
            <w:tcW w:w="17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会议话筒充电箱</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176</w:t>
            </w:r>
          </w:p>
        </w:tc>
        <w:tc>
          <w:tcPr>
            <w:tcW w:w="58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技术服务</w:t>
            </w:r>
          </w:p>
        </w:tc>
        <w:tc>
          <w:tcPr>
            <w:tcW w:w="6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w:t>
            </w:r>
          </w:p>
        </w:tc>
        <w:tc>
          <w:tcPr>
            <w:tcW w:w="17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技术服务1</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177</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w:t>
            </w:r>
          </w:p>
        </w:tc>
        <w:tc>
          <w:tcPr>
            <w:tcW w:w="17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技术服务2</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178</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w:t>
            </w:r>
          </w:p>
        </w:tc>
        <w:tc>
          <w:tcPr>
            <w:tcW w:w="17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技术服务3</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179</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w:t>
            </w:r>
          </w:p>
        </w:tc>
        <w:tc>
          <w:tcPr>
            <w:tcW w:w="17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专业技术服务1</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180</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w:t>
            </w:r>
          </w:p>
        </w:tc>
        <w:tc>
          <w:tcPr>
            <w:tcW w:w="17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专业技术服务2</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9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181</w:t>
            </w:r>
          </w:p>
        </w:tc>
        <w:tc>
          <w:tcPr>
            <w:tcW w:w="58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sz w:val="18"/>
                <w:szCs w:val="18"/>
                <w:u w:val="none"/>
              </w:rPr>
            </w:pPr>
          </w:p>
        </w:tc>
        <w:tc>
          <w:tcPr>
            <w:tcW w:w="67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w:t>
            </w:r>
          </w:p>
        </w:tc>
        <w:tc>
          <w:tcPr>
            <w:tcW w:w="173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专业技术服务3</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详见技术要求</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36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r>
    </w:tbl>
    <w:p>
      <w:pPr>
        <w:pStyle w:val="4"/>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微软雅黑" w:hAnsi="微软雅黑" w:eastAsia="微软雅黑" w:cs="微软雅黑"/>
          <w:b/>
          <w:bCs/>
          <w:sz w:val="21"/>
          <w:szCs w:val="21"/>
          <w:lang w:eastAsia="zh-CN"/>
        </w:rPr>
      </w:pPr>
      <w:bookmarkStart w:id="4" w:name="_Toc13248929"/>
      <w:bookmarkStart w:id="5" w:name="_Toc13249326"/>
      <w:r>
        <w:rPr>
          <w:rFonts w:hint="eastAsia" w:ascii="微软雅黑" w:hAnsi="微软雅黑" w:eastAsia="微软雅黑" w:cs="微软雅黑"/>
          <w:b/>
          <w:bCs/>
          <w:sz w:val="21"/>
          <w:szCs w:val="21"/>
          <w:lang w:eastAsia="zh-CN"/>
        </w:rPr>
        <w:t>其他要求：</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投标方须请仔细阅读相关技术要求，并按照技术要求</w:t>
      </w:r>
      <w:r>
        <w:rPr>
          <w:rFonts w:hint="eastAsia" w:ascii="微软雅黑" w:hAnsi="微软雅黑" w:eastAsia="微软雅黑" w:cs="微软雅黑"/>
          <w:color w:val="auto"/>
          <w:kern w:val="0"/>
          <w:sz w:val="21"/>
          <w:szCs w:val="21"/>
          <w:highlight w:val="none"/>
          <w:lang w:eastAsia="zh-CN"/>
        </w:rPr>
        <w:t>提供</w:t>
      </w:r>
      <w:r>
        <w:rPr>
          <w:rFonts w:hint="eastAsia" w:ascii="微软雅黑" w:hAnsi="微软雅黑" w:eastAsia="微软雅黑" w:cs="微软雅黑"/>
          <w:color w:val="auto"/>
          <w:kern w:val="0"/>
          <w:sz w:val="21"/>
          <w:szCs w:val="21"/>
          <w:highlight w:val="none"/>
        </w:rPr>
        <w:t>产品。</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★在投标时需明确所有货物的品牌型号（除技术服务外），所有投标产品（除技术服务外）必须为同一品牌</w:t>
      </w:r>
      <w:r>
        <w:rPr>
          <w:rFonts w:hint="eastAsia" w:ascii="微软雅黑" w:hAnsi="微软雅黑" w:eastAsia="微软雅黑" w:cs="微软雅黑"/>
          <w:color w:val="auto"/>
          <w:kern w:val="0"/>
          <w:sz w:val="21"/>
          <w:szCs w:val="21"/>
          <w:highlight w:val="none"/>
          <w:lang w:val="en-US" w:eastAsia="zh-CN"/>
        </w:rPr>
        <w:t>并提供完全响应招标参数的承诺函</w:t>
      </w:r>
      <w:r>
        <w:rPr>
          <w:rFonts w:hint="eastAsia" w:ascii="微软雅黑" w:hAnsi="微软雅黑" w:eastAsia="微软雅黑" w:cs="微软雅黑"/>
          <w:color w:val="auto"/>
          <w:kern w:val="0"/>
          <w:sz w:val="21"/>
          <w:szCs w:val="21"/>
          <w:highlight w:val="none"/>
        </w:rPr>
        <w:t>。</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w:t>
      </w:r>
      <w:r>
        <w:rPr>
          <w:rFonts w:hint="eastAsia" w:ascii="微软雅黑" w:hAnsi="微软雅黑" w:eastAsia="微软雅黑" w:cs="微软雅黑"/>
          <w:color w:val="auto"/>
          <w:kern w:val="0"/>
          <w:sz w:val="21"/>
          <w:szCs w:val="21"/>
          <w:highlight w:val="none"/>
          <w:lang w:eastAsia="zh-CN"/>
        </w:rPr>
        <w:t>为了保证产品的多元性，投标方提供设备的产品型号（</w:t>
      </w:r>
      <w:r>
        <w:rPr>
          <w:rFonts w:hint="eastAsia" w:ascii="微软雅黑" w:hAnsi="微软雅黑" w:eastAsia="微软雅黑" w:cs="微软雅黑"/>
          <w:color w:val="auto"/>
          <w:kern w:val="0"/>
          <w:sz w:val="21"/>
          <w:szCs w:val="21"/>
          <w:highlight w:val="none"/>
          <w:lang w:val="en-US" w:eastAsia="zh-CN"/>
        </w:rPr>
        <w:t>音响类、音响周边配件类、功放类、音频处理设备类、话筒类）共175项，每项产品投标人必须采用不同型号应答</w:t>
      </w:r>
      <w:r>
        <w:rPr>
          <w:rFonts w:hint="eastAsia" w:ascii="微软雅黑" w:hAnsi="微软雅黑" w:eastAsia="微软雅黑" w:cs="微软雅黑"/>
          <w:color w:val="auto"/>
          <w:kern w:val="0"/>
          <w:sz w:val="21"/>
          <w:szCs w:val="21"/>
          <w:highlight w:val="none"/>
          <w:lang w:eastAsia="zh-CN"/>
        </w:rPr>
        <w:t>，</w:t>
      </w:r>
      <w:r>
        <w:rPr>
          <w:rFonts w:hint="eastAsia" w:ascii="微软雅黑" w:hAnsi="微软雅黑" w:eastAsia="微软雅黑" w:cs="微软雅黑"/>
          <w:color w:val="auto"/>
          <w:kern w:val="0"/>
          <w:sz w:val="21"/>
          <w:szCs w:val="21"/>
          <w:highlight w:val="none"/>
          <w:lang w:val="en-US" w:eastAsia="zh-CN"/>
        </w:rPr>
        <w:t>如出现应答型号相同，作响应无效处理。</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投标方</w:t>
      </w:r>
      <w:r>
        <w:rPr>
          <w:rFonts w:hint="eastAsia" w:ascii="微软雅黑" w:hAnsi="微软雅黑" w:eastAsia="微软雅黑" w:cs="微软雅黑"/>
          <w:color w:val="auto"/>
          <w:kern w:val="0"/>
          <w:sz w:val="21"/>
          <w:szCs w:val="21"/>
          <w:highlight w:val="none"/>
          <w:lang w:eastAsia="zh-CN"/>
        </w:rPr>
        <w:t>提供</w:t>
      </w:r>
      <w:r>
        <w:rPr>
          <w:rFonts w:hint="eastAsia" w:ascii="微软雅黑" w:hAnsi="微软雅黑" w:eastAsia="微软雅黑" w:cs="微软雅黑"/>
          <w:color w:val="auto"/>
          <w:kern w:val="0"/>
          <w:sz w:val="21"/>
          <w:szCs w:val="21"/>
          <w:highlight w:val="none"/>
        </w:rPr>
        <w:t>的产品必须是原厂原装的正规产品。</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投标方对配置如有疑问、偏差或对配置有所更改(包括描述更改)，请在提交标书前提出，并与招标方技术人员沟通，提交的标书应为双方统一确定的配置和描述。</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★投标方需</w:t>
      </w:r>
      <w:r>
        <w:rPr>
          <w:rFonts w:hint="eastAsia" w:ascii="微软雅黑" w:hAnsi="微软雅黑" w:eastAsia="微软雅黑" w:cs="微软雅黑"/>
          <w:color w:val="auto"/>
          <w:kern w:val="0"/>
          <w:sz w:val="21"/>
          <w:szCs w:val="21"/>
          <w:highlight w:val="none"/>
          <w:lang w:eastAsia="zh-CN"/>
        </w:rPr>
        <w:t>提供</w:t>
      </w:r>
      <w:r>
        <w:rPr>
          <w:rFonts w:hint="eastAsia" w:ascii="微软雅黑" w:hAnsi="微软雅黑" w:eastAsia="微软雅黑" w:cs="微软雅黑"/>
          <w:color w:val="auto"/>
          <w:kern w:val="0"/>
          <w:sz w:val="21"/>
          <w:szCs w:val="21"/>
          <w:highlight w:val="none"/>
        </w:rPr>
        <w:t>设备的品牌、型号以及技术参数或说明介绍材料</w:t>
      </w:r>
      <w:r>
        <w:rPr>
          <w:rFonts w:hint="eastAsia" w:ascii="微软雅黑" w:hAnsi="微软雅黑" w:eastAsia="微软雅黑" w:cs="微软雅黑"/>
          <w:color w:val="auto"/>
          <w:kern w:val="0"/>
          <w:sz w:val="21"/>
          <w:szCs w:val="21"/>
          <w:highlight w:val="none"/>
          <w:lang w:eastAsia="zh-CN"/>
        </w:rPr>
        <w:t>。</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必须</w:t>
      </w:r>
      <w:r>
        <w:rPr>
          <w:rFonts w:hint="eastAsia" w:ascii="微软雅黑" w:hAnsi="微软雅黑" w:eastAsia="微软雅黑" w:cs="微软雅黑"/>
          <w:color w:val="auto"/>
          <w:kern w:val="0"/>
          <w:sz w:val="21"/>
          <w:szCs w:val="21"/>
          <w:highlight w:val="none"/>
          <w:lang w:eastAsia="zh-CN"/>
        </w:rPr>
        <w:t>提供</w:t>
      </w:r>
      <w:r>
        <w:rPr>
          <w:rFonts w:hint="eastAsia" w:ascii="微软雅黑" w:hAnsi="微软雅黑" w:eastAsia="微软雅黑" w:cs="微软雅黑"/>
          <w:color w:val="auto"/>
          <w:kern w:val="0"/>
          <w:sz w:val="21"/>
          <w:szCs w:val="21"/>
          <w:highlight w:val="none"/>
        </w:rPr>
        <w:t>技术偏离表，存在偏离情况时，需对每一项设备材料的技术指标的偏离情况进行说明，标★的为</w:t>
      </w:r>
      <w:r>
        <w:rPr>
          <w:rFonts w:hint="eastAsia" w:ascii="微软雅黑" w:hAnsi="微软雅黑" w:eastAsia="微软雅黑" w:cs="微软雅黑"/>
          <w:color w:val="auto"/>
          <w:kern w:val="0"/>
          <w:sz w:val="21"/>
          <w:szCs w:val="21"/>
          <w:highlight w:val="none"/>
          <w:lang w:val="en-US" w:eastAsia="zh-CN"/>
        </w:rPr>
        <w:t>实质性要求，作响应无效处理</w:t>
      </w:r>
      <w:r>
        <w:rPr>
          <w:rFonts w:hint="eastAsia" w:ascii="微软雅黑" w:hAnsi="微软雅黑" w:eastAsia="微软雅黑" w:cs="微软雅黑"/>
          <w:color w:val="auto"/>
          <w:kern w:val="0"/>
          <w:sz w:val="21"/>
          <w:szCs w:val="21"/>
          <w:highlight w:val="none"/>
        </w:rPr>
        <w:t>。</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执行标准/规范</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下列标准规范对于本文件的应用是必不可少的，本次采购主要引用的采购标准如下，当标准规范与技术文件相冲突时，应按照文件优先级执行：在寻源和合同的执行过程中，如果技术文件和各类标准等文件之间出现矛盾，卖方应在交货之前向买方提出澄清申请。文件的优先执行顺序由高到低为：</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●中华人民共和国强制执行的国家法律、法规和标准</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●中国海油集团公司强制执行的行业标准</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●项目所在地强制执行标准</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●本技术文件所附文件</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●非强制执行的国家标准</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●非强制执行的行业标准</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●非强制执行的团体标准</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●通用的国际标准</w:t>
      </w:r>
    </w:p>
    <w:p>
      <w:pPr>
        <w:pStyle w:val="4"/>
        <w:jc w:val="both"/>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本项目执行标准/规范如下：</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YD/T4050-2022 绿色设计产品评价技术规范视频会议设备</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GB/T 28049-2011 厅堂、体育场馆扩声系统设计规范</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GB 50356-2005 剧场、电影院和多用途厅堂 建筑声学设计规范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GB/T 14197-2012 音频、视频和视听系统互连的优选配接值</w:t>
      </w:r>
    </w:p>
    <w:p>
      <w:pPr>
        <w:pStyle w:val="4"/>
        <w:numPr>
          <w:ilvl w:val="0"/>
          <w:numId w:val="2"/>
        </w:numPr>
        <w:ind w:left="420" w:leftChars="0" w:hanging="420" w:firstLineChars="0"/>
        <w:rPr>
          <w:rFonts w:hint="eastAsia"/>
          <w:color w:val="auto"/>
          <w:lang w:eastAsia="zh-CN"/>
        </w:rPr>
      </w:pPr>
      <w:r>
        <w:rPr>
          <w:rFonts w:hint="eastAsia" w:ascii="微软雅黑" w:hAnsi="微软雅黑" w:eastAsia="微软雅黑" w:cs="微软雅黑"/>
          <w:color w:val="auto"/>
          <w:sz w:val="21"/>
          <w:szCs w:val="21"/>
          <w:lang w:eastAsia="zh-CN"/>
        </w:rPr>
        <w:t>GB/T 12060.3-2011 声系统设备 第3部分：声频放大器测量方法</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GB/T 4959-2011 厅堂扩声特性测量方法</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GB/T 50076-2013 室内混响时间测量规范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 50949-2013 扩声系统工程施工规范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 50371-2006 厅堂扩声系统设计规范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 50799-2012 电子会议系统工程设计规范</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GB 50606-2010 智能建筑工程施工规范</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GB 51043-2014 电子会议系统工程施工与质量验收规范</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GB</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sz w:val="21"/>
          <w:szCs w:val="21"/>
          <w:lang w:eastAsia="zh-CN"/>
        </w:rPr>
        <w:t>T 50314-2015 智能建筑设计标准</w:t>
      </w:r>
    </w:p>
    <w:p>
      <w:pPr>
        <w:pStyle w:val="4"/>
        <w:numPr>
          <w:ilvl w:val="0"/>
          <w:numId w:val="2"/>
        </w:numPr>
        <w:ind w:left="420" w:leftChars="0" w:hanging="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GB-50169-2016 电气安装工程接地装置施工及验收规范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 4943.1-2022 音视频 信息技术设备和通信技术设备 第1部分：安全要求</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GB/T9397-2013直接辐射式电动扬声器通用规范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SJ</w:t>
      </w:r>
      <w:r>
        <w:rPr>
          <w:rFonts w:hint="eastAsia" w:ascii="微软雅黑" w:hAnsi="微软雅黑" w:eastAsia="微软雅黑" w:cs="微软雅黑"/>
          <w:color w:val="auto"/>
          <w:sz w:val="21"/>
          <w:szCs w:val="21"/>
          <w:lang w:val="en-US" w:eastAsia="zh-CN"/>
        </w:rPr>
        <w:t>/</w:t>
      </w:r>
      <w:r>
        <w:rPr>
          <w:rFonts w:hint="eastAsia" w:ascii="微软雅黑" w:hAnsi="微软雅黑" w:eastAsia="微软雅黑" w:cs="微软雅黑"/>
          <w:color w:val="auto"/>
          <w:sz w:val="21"/>
          <w:szCs w:val="21"/>
          <w:lang w:eastAsia="zh-CN"/>
        </w:rPr>
        <w:t>T 10406-2016 声频功率放大器通用规范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SJ/T 11524-2015数字调音台通用规范</w:t>
      </w:r>
    </w:p>
    <w:p>
      <w:pPr>
        <w:pStyle w:val="4"/>
        <w:numPr>
          <w:ilvl w:val="0"/>
          <w:numId w:val="2"/>
        </w:numPr>
        <w:ind w:left="420" w:leftChars="0" w:hanging="420" w:firstLineChars="0"/>
        <w:rPr>
          <w:rFonts w:hint="eastAsia"/>
          <w:color w:val="auto"/>
          <w:lang w:eastAsia="zh-CN"/>
        </w:rPr>
      </w:pPr>
      <w:r>
        <w:rPr>
          <w:rFonts w:hint="eastAsia" w:ascii="微软雅黑" w:hAnsi="微软雅黑" w:eastAsia="微软雅黑" w:cs="微软雅黑"/>
          <w:color w:val="auto"/>
          <w:sz w:val="21"/>
          <w:szCs w:val="21"/>
          <w:lang w:eastAsia="zh-CN"/>
        </w:rPr>
        <w:t>GY∕T 274-2013 数字调音台技术指标和测量方法</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GB/T 11313.8-2015 射频连接器 第8部分：外导体内径为6.5mm（0.256in）、特性阻抗为50Ω（75Ω）、卡口连接的射频同轴连接器（BNC型）分规范</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GB/T 32401-2015 VHF/UHF 频段无线电监测接收机技术要求及测试方法</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YD/T 3168-2016 公众无线局域网设备射频指标技术要求和测试方法</w:t>
      </w:r>
    </w:p>
    <w:p>
      <w:pPr>
        <w:pStyle w:val="4"/>
        <w:numPr>
          <w:ilvl w:val="0"/>
          <w:numId w:val="2"/>
        </w:numPr>
        <w:ind w:left="420" w:leftChars="0" w:hanging="420" w:firstLineChars="0"/>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JB/T 12148-2015 家用和类似用途带USB充电接口的插座</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技术要求</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技术文件中所有标注“★”项均为实质性条款，任何对实质性条款的偏离都将导致投标被拒绝。申请人应依据自己的商务和技术能力对招标文件文件提出的要求和条件作出真实的响应。投标文件对招标文件的全部偏差，均应在投标文件的商务和技术偏差表中列明。</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textAlignment w:val="auto"/>
        <w:outlineLvl w:val="1"/>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基本要求</w:t>
      </w:r>
    </w:p>
    <w:p>
      <w:pPr>
        <w:pStyle w:val="4"/>
        <w:keepNext w:val="0"/>
        <w:keepLines w:val="0"/>
        <w:pageBreakBefore w:val="0"/>
        <w:widowControl w:val="0"/>
        <w:numPr>
          <w:ilvl w:val="2"/>
          <w:numId w:val="1"/>
        </w:numPr>
        <w:tabs>
          <w:tab w:val="left" w:pos="0"/>
        </w:tabs>
        <w:kinsoku/>
        <w:wordWrap/>
        <w:overflowPunct/>
        <w:topLinePunct w:val="0"/>
        <w:autoSpaceDE/>
        <w:autoSpaceDN/>
        <w:bidi w:val="0"/>
        <w:adjustRightInd/>
        <w:snapToGrid/>
        <w:ind w:left="420" w:leftChars="0" w:hanging="420" w:firstLineChars="0"/>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★投标文件中需提供主要产品（音响类、功放类、音频处理设备类、话筒类）的彩页。</w:t>
      </w:r>
    </w:p>
    <w:p>
      <w:pPr>
        <w:pStyle w:val="4"/>
        <w:keepNext w:val="0"/>
        <w:keepLines w:val="0"/>
        <w:pageBreakBefore w:val="0"/>
        <w:widowControl w:val="0"/>
        <w:numPr>
          <w:ilvl w:val="2"/>
          <w:numId w:val="1"/>
        </w:numPr>
        <w:tabs>
          <w:tab w:val="left" w:pos="0"/>
        </w:tabs>
        <w:kinsoku/>
        <w:wordWrap/>
        <w:overflowPunct/>
        <w:topLinePunct w:val="0"/>
        <w:autoSpaceDE/>
        <w:autoSpaceDN/>
        <w:bidi w:val="0"/>
        <w:adjustRightInd/>
        <w:snapToGrid/>
        <w:ind w:left="420" w:leftChars="0" w:hanging="420" w:firstLineChars="0"/>
        <w:jc w:val="both"/>
        <w:textAlignment w:val="auto"/>
        <w:rPr>
          <w:rFonts w:hint="default" w:ascii="微软雅黑" w:hAnsi="微软雅黑" w:eastAsia="微软雅黑" w:cs="微软雅黑"/>
        </w:rPr>
      </w:pPr>
      <w:r>
        <w:rPr>
          <w:rFonts w:hint="eastAsia" w:ascii="微软雅黑" w:hAnsi="微软雅黑" w:eastAsia="微软雅黑" w:cs="微软雅黑"/>
          <w:sz w:val="21"/>
          <w:szCs w:val="21"/>
          <w:lang w:val="zh-CN" w:eastAsia="zh-CN"/>
        </w:rPr>
        <w:t>投标人提供的产品要求满足招标文件技术要求书里面的技术指标和要求。</w:t>
      </w:r>
    </w:p>
    <w:p>
      <w:pPr>
        <w:pStyle w:val="4"/>
        <w:keepNext w:val="0"/>
        <w:keepLines w:val="0"/>
        <w:pageBreakBefore w:val="0"/>
        <w:widowControl w:val="0"/>
        <w:numPr>
          <w:ilvl w:val="2"/>
          <w:numId w:val="1"/>
        </w:numPr>
        <w:tabs>
          <w:tab w:val="left" w:pos="0"/>
        </w:tabs>
        <w:kinsoku/>
        <w:wordWrap/>
        <w:overflowPunct/>
        <w:topLinePunct w:val="0"/>
        <w:autoSpaceDE/>
        <w:autoSpaceDN/>
        <w:bidi w:val="0"/>
        <w:adjustRightInd/>
        <w:snapToGrid/>
        <w:ind w:left="420" w:leftChars="0" w:hanging="420" w:firstLineChars="0"/>
        <w:jc w:val="both"/>
        <w:textAlignment w:val="auto"/>
        <w:rPr>
          <w:rFonts w:hint="eastAsia" w:ascii="微软雅黑" w:hAnsi="微软雅黑" w:eastAsia="微软雅黑" w:cs="微软雅黑"/>
          <w:sz w:val="21"/>
          <w:szCs w:val="21"/>
          <w:highlight w:val="none"/>
          <w:lang w:val="zh-CN" w:eastAsia="zh-CN"/>
        </w:rPr>
      </w:pPr>
      <w:r>
        <w:rPr>
          <w:rFonts w:hint="eastAsia" w:ascii="微软雅黑" w:hAnsi="微软雅黑" w:eastAsia="微软雅黑" w:cs="微软雅黑"/>
          <w:sz w:val="21"/>
          <w:szCs w:val="21"/>
          <w:highlight w:val="none"/>
          <w:lang w:val="zh-CN" w:eastAsia="zh-CN"/>
        </w:rPr>
        <w:t>★投标人需承诺提供设备的本次招标范围内相关安装调试与支持服务，包括指导布线、设备调试、系统集成联合调试等。各设备间除设备自带线缆外，所需线缆的敷设及提供由买方负责，但线缆接头的制作（若涉及）以及设备的连接工作由中标人负责实施</w:t>
      </w:r>
      <w:r>
        <w:rPr>
          <w:rFonts w:hint="default" w:ascii="微软雅黑" w:hAnsi="微软雅黑" w:eastAsia="微软雅黑" w:cs="微软雅黑"/>
          <w:sz w:val="21"/>
          <w:szCs w:val="21"/>
          <w:highlight w:val="none"/>
        </w:rPr>
        <w:t>。同时，如安装需具备特定的前置条件（例如高空作业需使用脚手架等设施），买方应负责提供相应的配套环境和条件，确保安装工作的顺利进行。</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textAlignment w:val="auto"/>
        <w:outlineLvl w:val="1"/>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详细参数要求</w:t>
      </w:r>
    </w:p>
    <w:p>
      <w:pPr>
        <w:pStyle w:val="4"/>
        <w:keepNext w:val="0"/>
        <w:keepLines w:val="0"/>
        <w:pageBreakBefore w:val="0"/>
        <w:widowControl w:val="0"/>
        <w:kinsoku/>
        <w:wordWrap/>
        <w:overflowPunct/>
        <w:topLinePunct w:val="0"/>
        <w:autoSpaceDE/>
        <w:autoSpaceDN/>
        <w:bidi w:val="0"/>
        <w:adjustRightInd/>
        <w:snapToGrid/>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详细技术参数要求见下表：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630"/>
        <w:gridCol w:w="6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06" w:type="pct"/>
            <w:noWrap w:val="0"/>
            <w:vAlign w:val="center"/>
          </w:tcPr>
          <w:p>
            <w:pPr>
              <w:keepNext w:val="0"/>
              <w:keepLines w:val="0"/>
              <w:widowControl/>
              <w:suppressLineNumbers w:val="0"/>
              <w:jc w:val="center"/>
              <w:textAlignment w:val="center"/>
              <w:rPr>
                <w:rFonts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序号</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货物名称</w:t>
            </w:r>
          </w:p>
        </w:tc>
        <w:tc>
          <w:tcPr>
            <w:tcW w:w="3637" w:type="pct"/>
            <w:noWrap w:val="0"/>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招标参数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40W天花喇叭（白色）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1.频率响应(-10dB)等同或优于60Hz-20KHz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2.低音≥6英寸和高音≥1英寸的同轴设计。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3.采用PP盘振膜，大口径磁路系统。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4.采用丝膜软球顶高音喇叭单元。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5.RMS功率≥40W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6.灵敏度≥90dB±3dB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60W天花喇叭（白色）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1.阻抗：≤16Ω±20%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1.频率响应等同或优于100Hzto20kHz@-10dB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2.喇叭单元：≥6.5"低音和≥19mm(3/4")高音同轴扬声器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3.最大声压级：≥106dB±3dB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4.灵敏度：≥88dB±3dB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5.RMS功率≥60W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6.峰值功率≥120W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100W定阻天花喇叭（白色）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1.频率响应(-10dB)等同或优于50Hz-20KHz</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2．灵敏度(1W/1M)≥91dB</w:t>
            </w:r>
          </w:p>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3．RMS功率≥100W</w:t>
            </w:r>
          </w:p>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4．喇叭单元：≥8" ×1  1.5"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100W定阻同轴天花喇叭（白色）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1.采用≥1只6.5寸中低音喇叭单元和≥1只1.5"球顶高音单元的同轴设计方案；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2.采用吸顶安装方式，采用铁质网罩内贴防尘网棉。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3.分频器优化功率响应及人声部分的中频表现力。</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4.RMS功率≥100W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5.频率响应(-10dB)等同或优于60Hz-20KHz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6.灵敏度(1W/1M)≥92dB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频响等同或优于70Hz~20KHz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2.低音：≥6.5"低音×1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3.RMS功率≥120W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4.灵敏度≥95dB/W/M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5.水平覆盖角≥120°，垂直覆盖角≥60°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6.高音：≥3"锥形高音单元×2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120W专业音箱（白色）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频响等同或优于70Hz~20KHz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 低音：≥6.5"低音×1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3.RMS功率≥120W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4.灵敏度≥95dB/W/M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5.水平覆盖角≥120°，垂直覆盖角≥60°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6.高音：≥3"锥形高音单元×2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150W专业音箱1（黑色）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1.频响等同或优于70Hz~20KHz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2.低音：≥8"低音×1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3.RMS功率≥150W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4.灵敏度≥96dB/W/M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5.水平覆盖角≥100°，垂直覆盖角≥80°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6.高音：≥3"锥形高音单元×2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7.低音：≥8"低音×1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150W专业音箱1（白色）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1.频响等同或优于70Hz-20KHz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2.低音：≥8"低音×1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3.RMS功率≥150W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4.灵敏度≥96dB/W/M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5.水平覆盖角≥100°，垂直覆盖角≥80°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6.高音：≥3"锥形高音单元×2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 ±20%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1.RMS功率：≥100W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2.峰值功率：≥400W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3.高音单元：≥3"纸盆高音×1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4.灵敏度(±3dB)：≥92dB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5.低音单元：≥6.5"低音×1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6.频率范围（-10dB）：等同或优于90Hz-20KHz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150W专业音箱2（黑色）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1.频响等同或优于65Hz~20KHz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2.低音：≥8"低音×1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3.RMS功率≥150W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4.灵敏度≥95dB/W/M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6.高音：≥3"锥形高音单元×1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2.低音：≥8"低音×1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3.RMS功率≥200W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4.灵敏度≥96dB/W/M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6.高音：≥1.4"压缩高音单元×1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200W专业音箱（白色）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2.低音：≥8"低音×1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3.RMS功率≥200W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4.灵敏度≥96dB/W/M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6.高音≥1.4"压缩高音单元×1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1.频响等同或优于55Hz~20KHz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2.低音：≥10"低音×1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4.灵敏度≥98dB/W/M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6.高音≥1.4"压缩高音单元×1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300W专业音箱（白色）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1.频响等同或优于55Hz~20KHz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2.低音：≥10"低音×1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4.灵敏度≥98dB/W/M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6.高音：≥1.4"压缩高音单元×1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350W专业音箱（黑色）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1.频响等同或优于50Hz~20KHz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2.低音：≥12"低音×1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350W专业音箱（白色）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1.频响等同或优于50Hz~20KHz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2.低音：≥12"低音×1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450W专业音箱（黑色）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3.RMS功率≥450W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4.灵敏度≥100dB/W/M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6.高音：≥1.73"压缩高音单元×1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450W专业音箱（白色）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3.RMS功率≥450W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4.灵敏度≥100dB/W/M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6.高音≥1.73"压缩高音单元×1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300W工程音箱（黑色）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2.低音：≥10"低音×1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4.灵敏度≥98dB/W/M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5.水平覆盖角≥90°，垂直覆盖角≥80°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400W工程音箱（黑色）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2.低音：≥12"低音×1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3.RMS功率≥400W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5.水平覆盖角≥90°，垂直覆盖角≥80°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500W工程音箱（黑色）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1.频响等同或优于40Hz-20KHz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3.RMS功率≥500W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4.灵敏度≥100dB/W/M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5.水平覆盖角≥90°，垂直覆盖角≥80°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单10寸300W专业音箱（黑色）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1.采用≥10寸中低音钕磁喇叭单元和1只44mm压缩钕磁高音单元。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2.精确设计的分频器优化功率响应及人声部分的中频表现力。</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3.频响等同或优于45Hz-20kHz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5.灵敏度≥98dB/W/M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6.水平覆盖角≥90°，垂直覆盖角≥70°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单12寸400W专业音箱（黑色）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1.采用≥12寸中低音钕磁喇叭单元和1只44mm压缩钕磁高音单元。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2.精确设计的分频器优化功率响应及人声部分的中频表现力。</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3.频响等同或优于45Hz-20kHz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4.RMS功率≥400W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5.灵敏度≥99dB/W/M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6.水平覆盖角≥90°，垂直覆盖角≥70°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单15寸500W专业音箱（黑色）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1.采用≥15寸中低音钕磁喇叭单元和1只44mm压缩钕磁高音单元。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2.精确设计的分频器优化功率响应及人声部分的中频表现力。</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3.频响等同或优于40Hz-20kHz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4.RMS功率≥500W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5.灵敏度≥100dB/W/M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6.水平覆盖角≥90°，垂直覆盖角≥70°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同轴12寸400W返听音箱（黑色）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1.采用≥一只12寸同轴扬声器单元（含一只12寸低音单元及一只75mm高音单元）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2.多用途箱体结构设计，可横竖放置，作全频箱或舞台监听音箱；</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3.箱体采用优质桦木板CNC加工；耐磨环保水性漆喷涂。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5.水平覆盖角≥90°，垂直覆盖角≥90°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6.频响等同或优于50Hz-20kHz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7.RMS功率≥400W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300W返听音箱（黑色）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2.低音：10"低音×1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4.灵敏度≥98dB/W/M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6.高音：≤1.4"压缩高音单元×1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400W返听音箱（黑色）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1.频响等同或优于50Hz-20KHz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2.低音：12"低音×1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3.RMS功率≥400W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5.水平覆盖角≥80°，垂直覆盖角≥60°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6.高音≥1.7"压缩高音单元×1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2×12W有源音箱（黑色）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1.采用≥1只4寸低音喇叭单元和≥1只2.5寸高音单元组成。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2.额定输出功率支持≥2×12W，支持4-8Ω输出阻抗。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3.支持≥1路话筒和≥1路立体声线路输入接口、≥1路立体声线路输出接口、≥1个麦克风音量调节，≥1个线路输入音量调节，支持≥1路100V输入接口。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4.话筒优先于线路输入，带默音功能。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5.具有输出过载、过压、短路保护。</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6.信噪比≥70dB，谐波失真≤1%。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2×25W有源音箱（黑色）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1.内置高保真扬声器，额定输出功率支持≥2×25W，支持4-8Ω输出阻抗。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支持≥1路话筒和≥1路立体声线路输入接口、≥1路立体声线路输出接口，带默音功能，话筒优先于线路输入。具有≥1个麦克风音量调节，≥1个线路输入音量调节，≥2个高低音调节。（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3.支持≥100V输入接口。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4.具有输出过载、过压、短路保护。</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5.信噪比≥70dB，谐波失真≤1%。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2×50W有源音箱（黑色）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1.内置高保真扬声器，内置电子分频器，额定输出功率≥2×50W，输出阻抗≤4Ω。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2.支持≥1路话筒、≥1路立体声线路输入接口、≥1路立体声线路输出接口，具有默音功能，100V输入优先于线路输入。具有≥1个麦克风音量调节，≥1个线路输入音量调节，≥2个高低音调节。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3.支持≥100V优先输入接口。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4.具有输出过载、过压、短路保护功能。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5.信噪比≥73dB，谐波失真≤1%。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2×100W有源音箱（黑色）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1.内置高保真扬声器，内置电子分频器，额定输出功率≥2×100W，输出阻抗≤4Ω。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2.支持≥1路话筒、≥1路立体声线路输入接口、≥1路立体声线路输出接口，具有默音功能，100V广播输入优先于线路输入。具有≥1个麦克风音量调节，≥1个线路输入音量调节，≥2个高低音调节。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3.支持≥100V优先输入接口。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4.具有输出过载、过压、短路保护功能。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5.信噪比≥73dB，谐波失真≤1%。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500W超低频音箱（黑色）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1.频响等同或优于40Hz~400Hz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2.低音：≥15"低音×1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3.RMS功率≥500W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4.灵敏度≥98dB/W/M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600W超低频音箱（黑色）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频响等同或优于40Hz~400Hz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2.低音：≥18"低音×1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3.RMS功率≥600W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1200W超低频音箱（黑色）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1.阻抗：≤4Ω±20%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1.箱体采用桦木板，内部多点加强筋固定，表面喷涂聚脲漆处理。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2.刚性保护网罩，覆盖学网棉；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3.采用≥2只18寸铁氧体超低音单元组成，倒相式箱体设计，低频可延伸至≥40H；</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4.专业音箱插座插头。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 频响等同或优于40Hz-400Hz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6.RMS功率：≥1200W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7.灵敏度：≥101dB/W/M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8.最大声压级（额定/峰值）：≥132dB/≥138dB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300W超低频音箱（黑色）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应具备≥1只12寸超低音喇叭单元、箱体采用15mm桦木板制作。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2.频响等同或优于55Hz-400Hz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4.灵敏度≥99dB/W/M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150W线阵全频音箱（黑色）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1.音箱类型为二分频线性阵列全频音箱，功率≥150W，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2.频率范围等同或优于85Hz~20KHz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3.灵敏度≥99dB (1M/1W ).</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4.低频扬声器：≥6.5" x 2，高频扬声器：≥34mm（1.34"）压缩驱动器x1。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5.水平覆盖角(-6dB)≥90°，垂直覆盖角(-6dB)≥10°。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350W线阵低频音箱（黑色）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1.音箱类型为低频音箱，低频扬声器：≥12" x 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2.频率范围等同或优于45Hz-400Hz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3.功率≥350W，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4.灵敏度≥99dB (1M/1W)。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500W线阵全频音箱（黑色）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1.音箱类型为二分频线性阵列全频音箱。</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2.功率≥500W，频率范围等同或优于70Hz-20kHz，最大声压级≥127dB。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3.灵敏度SPL（1W/1M）≥100dB (1M/1W )，低频扬声器：≥8" x 2，高频扬声器：≥75mm（3"）压缩驱动器*1。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4.水平覆盖角(-6dB)≥90°，垂直覆盖角(-6dB)≥10°。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600W线阵低频音箱（黑色）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2.音箱类型为低频音箱，低频扬声器单元18" x 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2.功率≥600W， 频率范围等同或优于40Hz-400Hz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3.灵敏度SPL（1W/1M）≥100dB (1M/1W)，最大声压级≥128dB。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700W线阵全频音箱（黑色）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2.箱体采用进口桦木制作、耐磨喷漆处理；由≥二个10寸（250mm）的低频驱动器以及≥一个75mm高频驱动器组成。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2.采用吊装组合线阵设计，允等同或优于许0-8度范围调整音箱覆盖区域。专业吊挂件组合。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3.功率≥700W； 频率范围等同或优于60Hz-20kHz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4.灵敏度≥104dB (1M/1W )。</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5.低频扬声器：≥10" x 2，高频扬声器：≥75mm（3"）压缩驱动器×1，水平覆盖角(-6dB)≥110°；垂直覆盖角(-6dB)≥10°。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800W线阵低频音箱（黑色）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2.音箱类型为超低频音箱，低频扬声器：≥18"*1。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2.功率≥800W、频率范围等同或优于40Hz-400Hz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3.灵敏度≥101dB(1M/1W)。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演出级350W音箱（黑色）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两分频全频音箱，采用≥一只10寸低音单元和≥一只1.75寸压缩式高频驱动器。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 .频率范围等同或优于55Hz-20kHz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3.功率≥350W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4.灵敏度≥101dB (1M/1W)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5.水平覆盖角（-6dB）≥100°；垂直覆盖角(-6dB)≥90°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演出级450W补声音箱（黑色）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1.两分频全频音箱，采用≥一只12寸低音单元和≥一只3寸压缩式高频驱动器。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 频率范围等同或优于50Hz-20kHz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3.功率≥450W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4.灵敏度≥102dB (1M/1W)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5.水平覆盖角（-6dB）≥100°；垂直覆盖角(-6dB)≥90°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演出级550W补声音箱（黑色）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1.两分频全频音箱，采用≥一只15寸低音单元和≥一只3寸压缩式高频驱动器。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 频率范围等同或优于45Hz-20kHz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3.功率≥550W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4.灵敏度≥103dB (1M/1W)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5.水平覆盖角（-6dB）≥100°；垂直覆盖角(-6dB)≥90°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200W线性全频音柱（黑色）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1.采用≥6只3寸全频喇叭单元。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2.箱体采用≥12mm高密度板，耐磨喷漆处理。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3.拼接排列扬声器设计。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4.RMS功率≥200W；峰值功率≥800W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6.最大声压级（额定/峰值）≥118dB/124dB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 频率范围等同或优于80Hz-20kHz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200W线性全频音柱（白色）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1.采用≥6只3寸全频喇叭单元。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2.箱体采用≥12mm高密度板，耐磨喷漆处理。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3.拼接排列扬声器设计。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4.RMS功率≥200W,峰值功率≥800W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5.频率范围等同或优于80Hz-20KHz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7.最大声压级（额定/峰值）≥118dB/124dB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300W线性全频音柱（黑色）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1.阻抗≤4Ω±20%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1.采用≥8只3寸全频喇叭单元。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2.箱体采用≥12mm高密度板，耐磨喷漆处理。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3.拼接排列扬声器设计。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4.RMS功率≥300W；峰值功率≥1200W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6.最大声压级（额定/峰值）：120dB/126dB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 频率范围等同或优于70Hz-20kHz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300W线性全频音柱（白色）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1.阻抗≤4Ω±20%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1.采用≥8只3寸全频喇叭单元。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2.箱体采用≥12mm高密度板，耐磨喷漆处理。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4.拼接排列扬声器设计。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5.RMS功率≥300W,灵敏度≥95dB(1M/1W)，频率范围等同或优于70Hz-20kHz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400W线性全频音柱（黑色）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1.采用≥12只3寸全频喇叭单元。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2.箱体采用≥12mm高密度板，耐磨喷漆处理。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3.拼接排列扬声器设计。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4.RMS功率≥400W,峰值功率≥1600W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5.最大声压级（额定/峰值）≥124dB/130dB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 频率范围等同或优于60Hz-20kHz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7.灵敏度≥98dB(1M/1W)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400W线性全频音柱（白色）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2.采用≥12只3寸全频喇叭单元。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2.箱体采用≥12mm高密度板，耐磨喷漆处理。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3.拼接排列扬声器设计。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4.RMS功率≥400W,灵敏度≥98dB(1M/1W)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5.RMS功率≥400W；峰值功率≥1600W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6.频率范围等同或优于60Hz-20KHz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7.灵敏度≥98dB(1M/1W)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8.最大声压级（额定/峰值）≥124dB/130dB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200W全频音柱（黑色）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1.RMS功率≥200W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2.峰值功率≥800W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3.最大声压级（额定/峰值）:≥118dB/124dB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 频率响应等同或优于80Hz-20KHz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6.喇叭单元：≥3＂全频×6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300W全频音柱（黑色）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1.阻抗：≤4Ω±20%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1.RMS功率≥300W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2.峰值功率≥1200W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3.最大声压级（额定/峰值）:≥120dB/126dB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 频率响应等同或优于70Hz-20kHz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6.喇叭单元：≥3＂全频×8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400W全频音柱（黑色）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1.阻抗：≤6Ω±20%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1.RMS功率≥400W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2.峰值功率≥1600W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3.最大声压级（额定/峰值）:≥122dB/128dB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 频率响应等同或优于60Hz-20KHz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5.灵敏度≥96dB(1M/1W)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6.喇叭单元：≥3＂全频×12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100W会议室音柱1（黑色）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 2.RMS功率≥100W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 频率响应等同或优于150Hz-14KHz@-6dB  / 80Hz-20KHz@-10dB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4.垂直覆盖角≥20°，水平覆盖角≥120°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5.喇叭单元：≥3＂全频×4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100W会议室音柱2（黑色）</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本参数引用《直接辐射式电动扬声器通用规范》GB/T9397-2013中的4.3.1额定阻抗。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1.阻抗：≤8Ω±20%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1.RMS功率≥100W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 频率响应：等同或优于150Hz-14KHz@-6dB/80Hz-20KHz@-10dB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3.灵敏度≥95dB(1M/1W)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4.垂直覆盖角≥20°，水平覆盖角≥120°@（-6dB）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56</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音箱壁挂支架1</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用于300W专业音箱、300W工程音箱等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57</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音箱壁挂支架2</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用于350W专业音箱、450W专业音箱、400W工程音箱等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58</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音箱壁挂支架3</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用于100W专业音箱、150W专业音箱、200W专业音箱、300W工程音箱、200W线性全频音柱、300W线性全频音柱等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59</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音箱壁挂支架3（白色）</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用于100W专业音箱、150W专业音箱、200W专业音箱、300W工程音箱、200W线性全频音柱、300W线性全频音柱等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60</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音箱壁挂延长款支架4</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用于100W专业音箱、150W专业音箱、200W专业音箱、200W线性全频音柱、300W线性全频音柱等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61</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音箱壁挂支架5</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用于120W专业音箱、150W专业音箱等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62</w:t>
            </w:r>
          </w:p>
        </w:tc>
        <w:tc>
          <w:tcPr>
            <w:tcW w:w="956" w:type="pct"/>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音箱壁挂支架5（白色）</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用于120W专业音箱、150W专业音箱等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双通道200W数字功放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1.标准≤1U机箱设计，采用D类数字功放设计方案。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2.标准XLR输入接口，和LINK输出口。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3.电源采用开关电源技术，效率高，有效的抑制电源谐波。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4.配备智能调峰限幅器，支持启动软启动，防止启动时吸收大电流，干扰其他电气设备。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5.具有过压、欠压、过流、直流、输出短路、温控保护等功能。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6.输出功率：立体声@8Ω：≥200W×2；立体声@4Ω：≥400W×2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双通道350W数字功放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1.标准≤1U机箱设计，采用D类数字功放设计方案。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2.标准XLR输入接口，和LINK输出口。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3.电源采用开关电源技术，效率高，有效的抑制电源谐波。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4.配备智能调峰限幅器，支持启动软启动，防止启动时吸收大电流，干扰其他电气设备。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5.具有过压、欠压、过流、直流、输出短路、温控保护等功能。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6.输出功率：立体声@8Ω：≥350W×2；立体声@4Ω：≥600W×2。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双通道500W数字功放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1.功放类型：D类数字功放，定阻式，具有数字音频处理功能。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2.额定输出功率（有效值）/阻抗：2×500W/8Ω。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3.增益调节:至少包含音乐（线路）音量、效果音量、话筒音量调节等，均可采用物理键（钮）独立调节。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4.内置不少于2个DSP数字效果器，具有混响、延时、多段EQ、反馈抑制及高低通滤波调整等功能。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5.预置多种话筒EQ和多种音乐EQ等效果模式。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6.支持数字声场效果模式自定义及存储。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★7.不少于3路线路输入，每路电平可单独调节。（提供第三方检测机构出具的具有CNAS或ilAC-MRA标识的检测报告扫描件或复印件）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★8.不少于2路话筒输入，每路电平可单独调节。（提供第三方检测机构出具的具有CNAS或ilAC-MRA标识的检测报告扫描件或复印件）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★9.包含但不限于光纤输入、立体声输出接口。（提供第三方检测机构出具的具有CNAS或ilAC-MRA标识的检测报告扫描件或复印件）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10.包含但不限于过压、过流、过载、超温、短路等保护功能。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配有不小于7英寸彩色电容触控屏,物理分辨率不低于800×480，中文显示，显示及操控包含但不限于音源、卡拉OK效果模式、声反馈抑制等。（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12.面板上设有保护、失真、电源等指示灯。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13.具有主动散热装置或温控风冷散热装置。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双通道700W数字功放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1.标准≤1U机柜式设计；采用PFC+开关电源+D类数字功放设计方案；输出功率：立体声@8Ω：≥700W×2；立体声@4Ω：≥1000W×2；桥接@16Ω：≥1400W；桥接@8Ω：≥2000W。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2.开关电源采用LLC谐振电源短路保护电路和D类数字功放一体模块化设计，保证半桥LLC开关电源稳定性和可靠性。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3.支持开机软启动功能，软启动过程中电源需求缓慢上升，减少对电网和其他电子设备的电流冲击。</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4.开关电源内置EMI电路，有效的抑制电源谐波，达到欧盟绿色电源标准。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5.数字功放核心的调制和匹配电路技术，让功放还原真实原声。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6.整机转换效率达到85%以上。</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7.数字功放电源自适应音频调整节能功能，实现智能削峰限幅器，控制功率模块及扬声器系统在安全范围内工作。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8.MONO /STEREO/BRIDGE三种模式可选择切换。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9.开机软启动，防止开机时向电网吸收大电流，干扰其它用电设备。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10.内置六大保护电路模块，为功放的可靠性保驾护航，具有：过压保护，欠压保护，过流保护，直流保护，输出短路保护，温控风扇等功能。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四通道200W数字功放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1.采用高效功率放大电路，输出可桥接8欧。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2.电源采用开关电源供电，具有过压保护功能。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3.功放具有压限，过温保护，过流保护，输出直流保护，输出短路保护等功能。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4.支持XLR平衡式输入，SPEAKON音响插座输出。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5.MONO /STEREO/BRIDGE三种模式可选择切换。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6.常规带载8Ω，最低带载4Ω。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7.输出功率：立体声8Ω ：≥200W×4；立体声4Ω：≥380W×4；桥接8Ω：≥760W×2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四通道350W数字功放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1.采用高效功率放大电路，输出可桥接8欧。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2.电源采用开关电源供电，具有过压保护功能。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3.功放具有压限，过温保护，过流保护，输出直流保护，输出短路保护等功能。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4.支持XLR平衡式输入，SPEAKON音响插座输出。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5.MONO /STEREO/BRIDGE三种模式可选择切换。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6.常规带载8Ω，最低带载4Ω。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7.输出功率：立体声8Ω ：≥350W×4；立体声4Ω：≥580W×4；桥接8Ω：≥1100W×2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69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四通道500W数字功放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：≥80dB。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1.标准≤1U机柜式设计；采用PFC+开关电源+D类数字功放设计方案。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2.支持开机软启动功能，软启动过程中电源需求缓慢上升，减少对电网和其他电子设备的电流冲击。</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3.采用数字功放双环路压限保护电路，避免开机瞬间的大电流冲击扬声器。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4.采用开关电源输出电压自启停动态节能的功能，自适应动态功率高效转换功能。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5.支持过压保护、欠压保护、过流保护、输出短路保护、温度压限、信号压限、温度自动控风扇功能。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6.XLR平衡式输入；SPEAKON音响插座输出。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7.MONO /STEREO/BRIDGE三种模式可选择切换。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8.灵敏度1V/2V可选择切换。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9.带温控风机，开机即转，随着温度长高风扇加速。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10.面板有信号（绿）、削顶（橙）、保护指示灯（红）、电源指示灯（蓝）。</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11.输出功率：（1KHz/THD≤1％）：立体声8Ω：≥4*500W；立体声4Ω：≥4*800W；立体声2Ω：≥4*1300W；桥接16Ω：≥2*1000W；桥接8Ω：≥2*1600W；桥接4Ω：≥2*2600W。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双通道1000W数字功放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1.标准≤1U机柜式设计，采用PFC+开关电源+D类数字功放设计方案。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2.开机软启动功能，软启动过程中电源需求缓慢上升，减少对电网和其他电子设备的电流冲击。</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★3.采用数字功放双环路压限保护电路，避免开机瞬间的大电流冲击扬声器，减少对扬声器的损害风险，为功放全方位系统保护。（提供第三方检测机构出具的具有CNAS或ilAC-MRA标识的检测报告扫描件或复印件）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★4.采用开关电源输出电压自启停动态节能的功能，自适应动态功率高效转换功能。（提供第三方检测机构出具的具有CNAS或ilAC-MRA标识的检测报告扫描件或复印件）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过压保护、欠压保护、过流保护、输出短路保护、温度压限、信号压限、温度自动控风扇等功能，很大程度提高功放稳定性和可靠性。（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6.XLR平衡式输入/XLR 平衡式LINK输出；SPEAKON音响插座输出。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7.MONO /STEREO/BRIDGE三种模式可选择切换。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8.灵敏度1V/2V可选择切换。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9.带温控风机，开机即转，随着温度长高风扇加速。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10.面板有信号（绿）、削顶（橙）、保护指示灯（红）、电源指示灯（蓝）。</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11.输出功率（1KHz/THD≤1％）：连续功率：立体声8Ω×2：≥2*1000W；立体声4Ω×2：≥2*1700W；立体声2Ω×2：≥2*2900W；桥接16Ω：≥2000W；桥接8Ω：≥3400W；桥接4Ω：≥5800W。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双通道1200W数字功放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1.标准≤1U机柜式设计，采用PFC+开关电源+D类数字功放设计方案。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2.开机软启动功能，软启动过程中电源需求缓慢上升，减少对电网和其他电子设备的电流冲击。</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★3.采用数字功放双环路压限保护电路，避免开机瞬间的大电流冲击扬声器，减少对扬声器的损害风险，为功放全方位系统保护。（提供第三方检测机构出具的具有CNAS或ilAC-MRA标识的检测报告扫描件或复印件）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★4.采用开关电源输出电压自启停动态节能的功能，自适应动态功率高效转换功能。（提供第三方检测机构出具的具有CNAS或ilAC-MRA标识的检测报告扫描件或复印件）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过压保护、欠压保护、过流保护、输出短路保护、温度压限、信号压限、温度自动控风扇等功能，很大程度提高功放稳定性和可靠性。（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6.XLR平衡式输入/XLR 平衡式LINK输出；SPEAKON音响插座输出。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7.MONO /STEREO/BRIDGE三种模式可选择切换。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8.灵敏度1V/2V可选择切换。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9.带温控风机，开机即转，随着温度长高风扇加速。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10.面板有信号（绿）、削顶（橙）、保护指示灯（红）、电源指示灯（蓝）。</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11.输出功率（1KHz/THD≤1％）：连续功率：立体声8Ω×2：2*1200W；立体声4Ω×2：≥2*1900W；立体声2Ω×2：≥2*3200W；桥接16Ω：≥2400W；桥接8Ω：≥3800W；桥接4Ω：≥6400W；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四通道500W D类数字功放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1.标准机柜式设计，采用PFC+开关电源+D类数字功放设计方案。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2.内置压缩器、限幅器、FIR处理器、噪声门、参量均衡、矩阵路由、延时器、高低通处理；支持≥4种处理模块（可包含：参数导入、设计相位调整、FIR-EQ、幅度修正）。（提供功能界面截图佐证）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3.带有多种工作模式：立体声、桥接等，支持桥接、矩阵模式自由切换 ；支持定压定阻输出：100V、16欧、8 欧、4 欧 。</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4.采用IPS电容屏，具有触摸功能。可显示设备状态，包括：市电电压/电流/功放状态、功放温度、输出模式状态 、功放实时电压/电流/功率显示、通道当前音量、扬声器阻抗等。可通过面板触控屏切换菜单进行查看与控制。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5.支持联机方式：TCP/IP ,可远程监控设备状态，可包括功放温度、功放实时电压、电流、功率显示、功放故障、扬声器阻抗、市电电压、市电电流。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6.输入灵敏度支持2dBu/6dBu/12dBu三档可调 ，可通过PC软件或液晶屏设置。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7.支持多种输入源自由切换：模拟输入、AES3数字音频输入、Dante网络音频输入；模拟音频接口可级联 。</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8.工作模式开关切换时，设备支持重新自动检测扬声器阻抗，并设置成对应参数。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9.网络 TCP/IP 控制，可实现多台设备管理，网络接口可级联 ，USB、RS485 支持外部协议控制；支持DANTE 网络音频输入，支持设定自定义主备模式，主信号故障时自动切换到备用信号。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10.支持宽电压运行等同或优于180-264VAC；支持负载过流警报功能，当通道当前电流比设定电流大时蜂鸣警报。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11.输出功率（20Hz-20KHz/THD≤1％）： 立体声/矩阵@8Ω×4：≥500W×4；立体声/矩阵@4Ω×4：≥700W×4；桥接@16Ω×2：≥1000W×2；桥接@8Ω×2：≥1400W×2；桥接定压100V@10Ω:≥1000W×2。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12.输入灵敏度：等同或优于2dBu/6dBu/12dBu；输入阻抗：≤20kΩ 平衡；频率响应(@1W功率下）：等同或优于20Hz-20kHz /+1/-1dB；THD+N(@1/8功率下）：≤0.05％；信噪比 (A计权)：≥99dB。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13.支持功放节能模式，功放无音频信号输出后三十分钟自动进入待机状态，当有信号输出时触发开启功放。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四通道700W D类数字功放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5.3.1电性能要求：表1:声频功放基本参数：定阻式，第1类标准参数要求：串音衰减，等同或优于≥60dB@1KHz额定条件下，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1.串音衰减(@1KHz) ：≥85dB。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1.标准机柜式设计，采用PFC+开关电源+D类数字功放设计方案。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2.内置压缩器、限幅器、FIR处理器、噪声门、参量均衡、矩阵路由、延时器、高低通处理；支持≥4种处理模块（可包含：参数导入、设计相位调整、FIR-EQ、幅度修正）。（提供功能界面截图佐证）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3.带有多种工作模式：立体声、桥接等，支持桥接、矩阵模式自由切换 ；支持定压定阻输出：100V、70V、16欧、8 欧、4 欧 。</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4.采用IPS电容屏，具有触摸功能。可显示设备状态，包括：市电电压/电流/功放状态、功放温度、输出模式状态 、功放实时电压/电流/功率显示、通道当前音量、扬声器阻抗等。可通过面板触控屏切换菜单进行查看与控制。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5.支持联机方式：TCP/IP ,可远程监控设备状态，可包括功放温度、功放实时电压、电流、功率显示、功放故障、扬声器阻抗、市电电压、市电电流。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6.输入灵敏度支持2dBu/6dBu/12dBu三档可调 ，可通过PC软件或液晶屏设置。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7.支持多种输入源自由切换：模拟输入、AES3数字音频输入、Dante网络音频输入；模拟音频接口可级联 。</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8.工作模式开关切换时，设备支持重新自动检测扬声器阻抗，并设置成对应参数。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9.网络 TCP/IP 控制，可实现多台设备管理，网络接口可级联 ，USB、RS485 支持外部协议控制；支持DANTE 网络音频输入，支持设定自定义主备模式，主信号故障时自动切换到备用信号。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10.支持宽电压运行等同或优于180-264VAC；支持负载过流警报功能，当通道当前电流比设定电流大时蜂鸣警报。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11.输出功率（20Hz-20KHz/THD≤1％）： 立体声/矩阵@8Ω×4：≥700W×4；立体声/矩阵@4Ω×4：≥1000W×4；桥接@16Ω×2：≥1400W×2；桥接@8Ω×2：≥2000W×2；定压70V@6.1Ω:≥800W×4；桥接定压100V@6.6Ω:≥1500W×2。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12.输入灵敏度：等同或优于2dBu/6dBu/12dBu；输入阻抗：≤20kΩ 平衡；频率响应(@1W功率下）：等同或优于20Hz-20kHz /+1/-1dB；THD+N(@1/8功率下）：≤0.05％；信噪比 (A计权)：≥99dB。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13.支持功放节能模式，功放无音频信号输出后三十分钟自动进入待机状态，当有信号输出时触发开启功放。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双通道95W多媒体功放机</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5.3.1电性能要求：表1:声频功放基本参数：定阻式，第1类标准参数要求：总谐波失真，等同或优于≤0.1%@1KHz额定条件下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1.谐波失真：功放额定输出功率1Kz(1/8A功率条件下）≤0.1%。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1.音源具备USB、蓝牙、路线、麦克风输入。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2.采用DSP处理器，内置8种MIC效果器应用场景模式，分别为：Room、Hall、Echo、Delay、KTV、Classical、MaiBa(麦霸)、ChangJiang(唱将)。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3.控制可以通过红外遥控、编码开关、按键实现其功能。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4.面板LCD显示屏,实现直观显示各种功能及工作状态。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5.提供≥2路RCA线路输入，≥3路平衡麦带幻象电源输入。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6.采用DSP处理器，预置多种场景模式。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7.每路话筒音量独立可调，效果可调，音乐音量独立可调，高中低音调节；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8.具备≥1路RS485接口，支持RS485通讯中控集成控制；（提供产品外观截图佐证）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9.支持USB播放，支持MP3、WAV、APE、FLAC等主流音乐格式。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10.具有开关机软启动保护功能，具有压限、短路、过载、过热保护。</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11.额定输出功率：≥2x150W@4Ω；≥2x95W@8Ω。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12.内置≥48V幻象开关控制功能。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13.支持蓝牙功能，可以手机，电脑等设备连接。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14.每个话筒输入有增益调节功能，话筒能最佳匹配功放输入状态。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双通道120W多媒体功放机</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5.3.1电性能要求：表1:声频功放基本参数：定阻式，第1类标准参数要求：总谐波失真，等同或优于≤0.1%@1KHz额定条件下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1.谐波失真：功放额定输出功率1Kz(1/8A功率条件下）≤0.1%。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1.音源具备光纤，同轴，USB，蓝牙，路线，麦克风输入。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2.内置DSP音效处理，具备延时、混响、混音、防啸叫（7级移频）、变调（10级），人声激励，消原唱等功能。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3.控制可以通过红外遥控、编码开关、按键实现其功能。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4.面板LCD显示屏,实现直观显示各种功能及工作状态。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5.提供≥3路RCA线路输入，≥3路平衡麦带幻象电源输入。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6.采用DSP处理器，预置多种场景模式。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7.每路话筒音量独立可调，效果可调，音乐音量独立可调，高中低音调节。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8.具备≥1路RS485接口，支持RS485通讯中控集成控制。（提供产品外观截图佐证）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9.支持USB播放，支持MP3、WAV、APE、FLAC等主流音乐格式。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10.具有开关机软启动保护功能，具有压限、短路、过载、过热保护。</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11.额定输出功率：≥2x240W@4Ω；≥2x120W@8Ω。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12.内置≥48V幻象开关控制功能；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13.支持蓝牙功能，可以手机，电脑等设备连接；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14.每个话筒输入有增益调节功能，话筒能最佳匹配功放输入状态。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双通道180W多媒体功放机</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5.3.1电性能要求：表1:声频功放基本参数：定阻式，第1类标准参数要求：总谐波失真，等同或优于≤0.1%@1KHz额定条件下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1.谐波失真：功放额定输出功率1Kz(1/8A功率条件下）≤0.1%。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1.音源具备光纤，同轴，USB，蓝牙，路线，麦克风等多路输入；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2.内置DSP音效处理，具备延时、混响、混音、防啸叫（7级移频）、变调（10级），人声激励，消原唱等功能。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3.控制可以通过红外遥控、编码开关、按键实现其功能；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4.面板LCD显示屏,实现直观显示各种功能及工作状态；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5.提供≥3路RCA线路输入，≥3路平衡麦带幻象电源输入；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6.采用DSP处理器，预置多种场景模式；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7.具备≥1路RS485接口，支持RS485通讯中控集成控制；（提供产品外观截图佐证）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8.内置RS485通讯中控集成控制功能；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9.支持USB播放，支持MP3、WAV、APE、FLAC等主流音乐格式，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10.具有开关机软启动保护功能，具有功放有压限、短路、过载、过热保护；</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11.额定输出功率：≥2x350W@4R；≥2x180W@8R</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12.内置≥48V幻象开关控制功能；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13.支持蓝牙功能，可以手机，电脑等设备连接；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14.每个话筒输入有增益调节功能，话筒能最佳匹配功放输入状态；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双通道350W多媒体功放机</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5.3.1电性能要求：表1:声频功放基本参数：定阻式，第1类标准参数要求：总谐波失真，等同或优于≤0.1%@1KHz额定条件下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1.谐波失真：功放额定输出功率1Kz(1/8A功率条件下）≤0.1%。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1.音源具备光纤，同轴，USB，蓝牙，路线，麦克风等多路输入；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2.内置DSP音效处理，具备延时、混响、混音、防啸叫（7级移频）、变调（10级），人声激励，消原唱等功能。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3.控制可以通过红外遥控、编码开关、按键实现其功能；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4.面板LCD显示屏,实现直观显示各种功能及工作状态；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5.提供≥3路RCA线路输入，≥3路平衡麦带幻象电源输入；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6.采用DSP处理器，预置多种场景模式；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7.每路话筒音量独立可调，效果可调，音乐音量独立可调，高中低音调节；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8.具备≥1路RS485接口，支持RS485通讯中控集成控制；（提供产品外观截图佐证）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9.支持USB播放，支持MP3、WAV、APE、FLAC等主流音乐格式。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10.具有开关机软启动保护功能，具有功放有压限、短路、过载、过热保护。</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11.面板：铝合金材质；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12.内置≥48V幻象开关控制功能。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13.支持蓝牙功能，可以手机，电脑等设备连接；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14.每个话筒输入有增益调节功能，话筒能最佳匹配功放输入状态。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15.额定输出功率：≥2x500W@4R；≥2x350W@8R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多媒体蓝牙30W数字功放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5.3.1电性能要求：表1:声频功放基本参数：定阻式，第2类标准参数要求：总谐波失真，等同或优于≤1%@40-16KHz，1/100额定输出功率条件下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1.谐波失真：功放额定输出功率时的失真≤1%。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1.支持≥2路音频输入，带切换功能；支持≥3路话筒输入功能，带独立增益调节功能；支持≥MIC1双接口输入，并带幻象电源功能。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2.带MP3功能模块，采用LCD 显示屏，可播放U盘MP3， WMA， APE，FLAC， WAV，AAC等文件格式，TF卡，支持手机蓝牙功能，可以显示歌曲名称；带MP3录音功能。可以通过MP3随时随地播放录音。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3.额定输出功率：4Ω×2：≥2×60W ；8Ω×2：≥2×30W、MIC ≥1双接口输入，并带幻象电源功能。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4.具有：过压保护，欠压保护，过温压限，过温关机，过流压限，过流关机，直流保护，输出短路保护，线性温控风扇。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79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多媒体蓝牙60W数字功放</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本参数引用：SJT 10406-2016 声频功率放大器通用规范：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5.3.1电性能要求：表1:声频功放基本参数：定阻式，第2类标准参数要求：总谐波失真，等同或优于≤1%@40-16KHz，1/100额定输出功率条件下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1.谐波失真：功放额定输出功率时的失真≤1%。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1.支持≥2路音频输入，带切换功能;支持≥3路话筒输入功能，带独立增益调节功能;支持MIC1双接口输入，并带幻象电源功能。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2.带TF/USB接口的MP3播放器，具有蓝牙播放功能，带数码管显示功能;带MP3录音功能。可以通过MP3随时.随地播放录音。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3.额定输出功率≥4Ω×2：120W×2；8Ω×2：60W×2、输出阻抗≤4~8Ω;信噪比:Mic≥65dB， 音乐≥70dB;谐波失真:功放额定输出功率时的失真＜1%。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4.效果器参数DELAY: ≥80ms-240ms、ECHO:1-12、REPEAT: 0.1s-2s.</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5.频率响应AUX,VCD等同或优于20HZ(±3dB)-20KHZ(±3dB);MIC等同或优于50HZ(±3dB)-16kHZ(±3dB)。保护方式:超温/短路、冷却方式:风冷式。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12路带效果调音台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1.支持≥4路Mic输入兼容≥4路线路输入接口，话筒接口幻象电源：≥+48V，≥4组立体线性输入。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2.具有≥1组立体声主输出、≥1组辅助输出、≥1路耳机监听输出、≥1组CD/Tape输出。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3.每路单声道输入通道设有≥3段EQ，设有峰值LED指示灯。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4.内置≥24位DSP效果器，提供≥100种预设效果。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14路带效果4编组带MP3调音台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1.支持≥8路麦克风输入兼容6路线路输入接口，支持≥2路立体声输入接口，≥4路RCA输入，话筒接口幻象电源：+48V。</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2.主输出≥2组，编组输出≥4路，辅助输出≥4路，耳机监控输出≥1个，双效输出≥1个，控制室输出≥1组，主混音断点插入≥1组，断点插入≥6个。</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3.内置≥24位DSP效果器，提供≥100种预设效果。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4.具备≥13个60mm行程的高精密碳膜推子。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5.内置USB声卡模块，支持连接电脑进行音乐播放和录音。内置MP3播放器，支持≥1个USB接口连接u盘播放音乐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16路带效果4编组带MP3调音台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1.支持≥10路MIC输入兼容8路线路输入接口，支持≥2组立体声输入接口，≥4路RCA输入，话筒接口幻象电源：+48V。</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主输出≥2组，编组输出≥4路，辅助输出≥4路，耳机监控输出≥1个，接口双效输出≥1个，控制室输出≥1组，主混音断点插入≥1组，断点插入≥8个。（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3.内置≥24位DSP效果器，提供≥100种预设效果。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4.具备≥15个60mm行程的高精密碳膜推子。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★5.内置USB声卡模块，支持连接电脑进行音乐播放和录音。内置MP3播放器，支持≥1个USB接口连接u盘播放音乐。（提供第三方检测机构出具的具有CNAS或ilAC-MRA标识的检测报告扫描件或复印件）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16路数字调音台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1.具有≥14路平衡XLR输入接口、≥16路TRS输入接口、≥1路OPTICAL接口、≥1路S/PDIF接口、≥1路USB2.0输入声卡。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2.具有≥100组场景预设功能，可导出、导入USB存储器，便于数据备份；≥32个PEQ模式存储。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3.具有≥8个推子编组、≥3个快速静音组按键。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4.具有≥2个内置效果器，设备自带有经典混响、大房间混响等效果模块。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5.具有≥1个10.1英寸高清触摸屏，支持≥1280×800分辨率。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6.具有≥13个100mm电动推子，电动推子可操控所有的通道和主输出:≥1个LR主声道推子、≥12个通道推子以及≥2个推子层。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7.具有面板锁定按键，防止误操作。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8.支持中英文界面切换，且无需重启。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9.每个输入通道具有≥4段参数均衡、噪声门、高低通、压缩、反相。</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10.每个输出通道具有≥8段参数均衡、高低通、压缩、反相、1800亳秒延时器。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11.输入带有独立的反馈抑制器，支持增益共享型自动混音，带有≥2个DCA编组。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20路数字调音台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机架式调音台≤3U，便于现场安装；前面板具有≥7英寸电容多点触控屏，触控屏具有调节各输入输出通道音量、均衡器、压缩器、噪声门参数功能；可存储≥99个自定义场景模式功能，便于不同场景快速调用。（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触摸屏具有系统设置功能。查看设备名称、DSP版本、MCU版本、软件版本、系统版本、CPU温度、运行时间、USB连接状态。可以自定义蓝牙名称、设置RS485波特率、设置软件界面显示为中文或英文、选择固件升级程序、开启面板锁屏。恢复出厂设置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输入通道具有：≥12路平衡XLR输入通道、≥2路线路立体声输入通道（≥4个输入）、≥1路USB立体声输入通道（≥2个输入）、≥1路同轴输入通道、≥1路数字光纤输入通道、≥1路蓝牙音频输入通道；输出通道具有：≥8路AUX输出（XLR接口）、≥1路Main L/R 主输出 (XLR接口)、≥1路监听输出、≥1路AES数字信号输出（XLR接口）、≥1路同轴信号输出。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4.具有≥12路平衡XLR麦克风输入通道和≥2路线路立体声输入通道，平衡XLR麦克风输入通道支持独立控制48V幻象功能。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设备配备≥1路USB录音和播放接口，支持多种音频格式播放，包括MP3、M4A、M4R、MP2、AMR、AAC、WMA，以及WAV和FLAC等无损音乐格式，并支持无损WAV格式的录制。用户可通过设备软件界面自定义USB播放和录制功能设置，支持上一曲、下一曲、循环播放、单曲循环、随机播放模式，且播放、录制音量控制在软件界面采用仿真调音台推杆控制技术，并可设置播放的音量值在-72dB~﹢12dB可调。（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1个RJ45网口和≥1个WIFI/蓝牙音频输入接口，支持通过有线网络接口或无线WIFI连接PC机或Android平板电脑。用户可以通过Windows客户端软件或Android平板客户端软件对设备进行控制。设备内置的蓝牙模块也可以通过蓝牙与手机建立连接，实现音频传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7.具有≥1路RS485接口控制，用户可通过此接口发送串口指令进行远程的中控控制。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每个输入通道均具有≥12级参数均衡器、高低通滤波器、压缩器、噪声门、极性、延迟音频处理功能；每个输出通道具有≥12段参数均衡器/31段图示均衡器、高通滤波器、滑块、延迟和反馈抑制器音频处理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9.内置有≥4个DCA编组和≥6个SUB编组，通过将多个音源通道组合在一起，提供了方便高效的方式来管理和调整通道的音量，且面板配备了≥四个DCA编组旋钮，无需切换到DCA编组界面即可调节DCA编组的音量。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10.IN1-12、ST1、ST2输入通道内置有压缩器功能，压缩信号的动态范围，常用于压缩输出信号的大小。还内置有噪声门功能，可以有效消除设备白噪声。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11.IN1-12支持通道联调和通道复制功能，可调节多个相同通道参数，减少重复操作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★12.每个输出通道都有延时功能，支持≥2000ms的延时调节，用于调节每个输出信号的延时，保证每个音频信号的同步。（提供第三方检测机构出具的具有CNAS或ilAC-MRA标识的检测报告扫描件或复印件）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13.每个输出通道具有限幅器功能，限制输出信号的大小，防止信号过大损坏扩声设备。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14.每个输出通道具有反馈抑制功能，有陷波、移频、动态/固定（24个点）模式设定。</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双引擎专业效果（FX）处理器，双通道输出，具有延时、合唱、混响等17种效果模式：效果模式包括REVERB(混响)、GATE_REVERB(门限混响)、DOUBLING(叠加)、MONO_DELAY(单声道延迟)、STEREO_DELAY(立体声延迟)、PING_PONG_DELAY(兵乓延迟)、ECHO(回声)、SLAP_DELAY(节拍延迟)、TAPE_DELAY(磁带延迟)、CHORUS(合唱)、TREMOLO(颤音)、WAHWAH(哇音)、PHASER(移相)、SHIFTER(移位)、DISTORTION(失真)、EARLY REFLECTION(早期反射)、MODULATION_DELAY(调制延迟)，可以独立调节干湿比、延时、回声、音色、衰减、空间、前反射等参数。（提供第三方检测机构出具的具有CNAS或ilAC-MRA标识的检测报告扫描件或复印件）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★16.支持6组自动混音功能，可选择要混音的通道和发送的通道，增益共享，门限混音等混音模式。（提供第三方检测机构出具的具有CNAS或ilAC-MRA标识的检测报告扫描件或复印件）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具备C/S架构管理软件和Android平板移动端软件；客户端软件可运行在Windows7/10/11、苹果macOS系统、银河麒麟桌面操作系统（兆芯版）、银河麒麟桌面操作系统（飞腾版）、统信UOS、Ubuntu操作系统；Android平板移动端软件可运行在Android 7.0及以上系统及鸿蒙OS 4.0及以下系统。（提供第三方检测机构出具的具有CNAS或ilAC-MRA标识的检测报告扫描件或复印件）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24路数字调音台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1.具有≥10.1英寸1280x800电容触摸屏、数字编码器以及按键构成的操作面板。</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2.具有≥17个电动推子，电动推子可操控：≥1个LR主声道推子、≥16个通道推子。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3.支持中英文界面切换，且无需重启。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4.内置USB录音、放音功能。能够识别USB电子盘内的中英文歌曲名，具备快进、下一曲、快速暂停等功能；且支持播放APE、FLAC、MP3、WAV音频格式。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5.内置≥16个通道独立的反馈抑制器，内置≥16路自动混音（增益共享型）。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6.具有≥2个内置效果器，自带有经典混响、大房间混响等效果模块；FX音效可使用专用的返回通道返回到混音且不占用单声道和立体声输入通道。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7.支持iPad触摸屏全功能控制，实时数据同步；支持≥8个终端同时控制。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8.可通过网络或者USB升级ARM固件、DSP固件。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9.每个输入通道具有≥4段参数均衡、噪声门、高低通、压缩、反相。</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10.每个输出通道具有≥8段参数均衡、高低通、压缩、反相、延时器。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11.模拟输入≥24CH ( MIC/Line)；输出通道支持L/R、10BUS、HeadPhone(L/R)，10BUS混音总线可选择推子前、推子后（PRE/POST）。</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12.支持≥100组场景预设功能，可导出、导入USB存储器，便于数据备份；支持32个PEQ模式存储。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13.内置信号发生器：正弦波、粉红噪声、白噪声。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14.支持通道参数拷贝功能，相同的通道快速复制数据，通道名称可自定义。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15.接线方式：平衡式输入、输出卡侬。</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16.支持≥8个推子编组、≥8个用户自定义按键、≥4个快速静音组按键。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17.具有面板锁定按键，防止误操作。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32路数字调音台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1.具有≥10.1英寸1280x800电容触摸屏、数字编码器以及按键构成的操作面板。</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★2.具有≥17个电动推子，电动推子可操控：≥1个LR主声道推子、≥16个通道推子。（提供第三方检测机构出具的具有CNAS或ilAC-MRA标识的检测报告扫描件或复印件）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3.支持中英文界面切换，且无需重启。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内置USB录音、放音功能。能够识别USB电子盘内的中英文歌曲名，具备快进、下一曲、快速暂停等功能；且支持播放APE、FLAC、MP3、WAV音频格式。（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★5.内置≥16个通道独立的反馈抑制器，内置≥16路自动混音（增益共享型）。（提供第三方检测机构出具的具有CNAS或ilAC-MRA标识的检测报告扫描件或复印件）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6.具有≥2个内置效果器，自带有经典混响、大房间混响等效果模块；FX音效可使用专用的返回通道返回到混音且不占用单声道和立体声输入通道。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7.支持iPad触摸屏全功能控制，实时数据同步；支持≥8个终端同时控制。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8.可通过网络或者USB升级ARM固件、DSP固件。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★9.每个输入通道具有≥4段参数均衡、噪声门、高低通、压缩、反相。（提供第三方检测机构出具的具有CNAS或ilAC-MRA标识的检测报告扫描件或复印件）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★10.每个输出通道具有≥8段参数均衡、高低通、压缩、反相、延时器。（提供第三方检测机构出具的具有CNAS或ilAC-MRA标识的检测报告扫描件或复印件）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11.模拟输入≥32CH ( MIC/Line)；输出通道支持L/R、10BUS、HeadPhone(L/R)，10BUS混音总线可选择推子前、推子后（PRE/POST）。</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12.支持≥100组场景预设功能，可导出、导入USB存储器，便于数据备份；支持32个PEQ模式存储。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13.内置信号发生器：正弦波、粉红噪声、白噪声。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14.支持通道参数拷贝功能，相同的通道快速复制数据，通道名称可自定义。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15.接线方式：平衡式输入、输出卡侬。</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16.支持≥8个推子编组、≥8个用户自定义按键、≥4个快速静音组按键。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17.具有面板锁定按键，防止误操作。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18.与专业音箱、发布盒、采集盒同一品牌。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8路电源时序器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1.支持≥8通道电源时序打开/关闭，每路动作延时时间：≤1秒，支持远程控制（上电+24V直流信号）8通道电源时序打开/关闭—当电源开关处于off位置时有效。支持配置CH1和CH2通道为受控或不受控状态。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2.当远程控制有效时同时控制后板ALARM（报警）端口导通以起到级联控制ALARM（报警）功能。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3.单个通道最大负载功率≥2200W，所有通道负载总功率≥6000W。输出连接器：多用途电源插座。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4.具有一路及以上USB输出接口。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大功率电源时序器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1.支持≥8通道电源时序打开/关闭，支持远程控制（上电+24V直流信号）≥8通道电源时序打开/关闭—当电源开关锁处于off位置时有效。支持配置CH1和CH2通道为受控或不受控状态。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2.当远程控制有效时同时控制后板ALARM（报警）端口导通以起到级联控制ALARM（报警）功能。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3.单个通道最大负载功率≥3500W，所有通道负载总功率达≥6000W，输入连接器：大功率线码式电源连接器。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4.输出连接器：≥2个16A，≥2个16A接线端子和≥4个10A电源插座。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5.具有≥1路USB接口。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8路网络电源时序器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1.配备LCD显示屏，支持显示温度信息，实时输入电压信息、时间信息、IP信息，定时任务信息。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2.具有≥8路电源输出插座（≥4路10A、≥4路16A的插座规格），总输出电流≥30A，支持实时监控插座功率。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★3.具有≥2个10M/100M网口，≥2路RS-485接口，≥1路USB接口提供照明灯供电；配备≥1个监听扬声器，支持人声报警提示。（提供第三方检测机构出具的具有CNAS或ilAC-MRA标识的检测报告扫描件或复印件）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5.具备对每一路电源输出进行定时编程，支持每路开关时序间隔动作延迟时间调节设置。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6.支持实时检测设备温度，支持拓展外接温湿度传感器，显示外部环境温湿度。</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8.支持电压、电流或温湿度超过限定值播放相应的人声报警，恢复正常时自动停止。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9.支持通过主设备电源锁可一键开启或关闭所有从设备；支持独立控制每一路电源输出，支持一键全开或全关；支持一键紧急打开或者关闭全部电源。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10.支持PC界面控制、定时控制、手动控制、串口控制方式。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14路电源时序器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1.具有≥1个100A空气开关，具有过载和短路双重保护功能；内置≥12个继电器，可瞬间触发，确保开关的快速响应。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2.≥14路独立输出通道（≥12路可控+≥2路直通）；12路可控输出通道包括6路10A输出和6路16A输出；2路直通输出通道为10A输出，设备整体最大可带载≥22KW（100A）。</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2.8英寸液晶显示屏，屏幕亮度可以手动调节，实时显示每路输出通道的开关状态、电压、电流、功率，电源输入欠压、过压，电源输出每路过压、过流、过载等告警信息；可以显示设备信息、运行时长、运行日志、日期时间信息；自带屏幕锁、按键锁，防止误触；具有≥5个触控式按键，通过按键可以自由操控设备，保留真实触感与段落反馈。</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4.多通信协议：支持DMX512、RDM、Art-Net、TCP/IP等通信协议；支持MODBUS（RS485、UDP）协议，可对接中控主机进行控制。具有≥1个RS 485输入接口，≥1个RS 485输出接口，≥1个RJ45网络接口。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5.设备并机管理：支持多台设备组网，对所有组网设备统一管理；支持场景管理，包括开关状态场景编辑和保存，支持开关状态一键恢复。</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6.一键开关：单个设备所有回路输出一键式顺序、逆序开关，也可以每路独立开关。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7.开关延时：开关开启和关闭延时0.5-999.0秒自定义设置，所有回路统一设置，也可以每路单独设置。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8.定时控制：支持每路定时控制，可以自定义选择输出通道定时开启或关闭，可单次执行，也可以循环执行。</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参数监测：输入电源电压欠压、过压监测，每路输出通道支持电压、电流、功率、开关状态，每路输出过压、过流、过载异常告警监测，并及时关闭对应通道的开关；支持设备内部温度监测功能，异常时自动告警并及时关闭开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电气设置：支持设置输入电压欠压和过压阈值、延时响应时间，支持每路输出单独设置电压、电流、功率告警阈值，超出范围后报警并关闭开关；支持识别出每路没有正常工作的设备，可以选择是否断开输出电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11.报警管理：实时监测设备所有的异常告警，显示告警信息，设备本机保存告警日志，并自动上报至云端，可在手机或平板APP端和WEB网页端查看，实现手机或电脑的远程实时监控。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12.安全设置：设备可自定义设置开启和关闭远程操作功能，防止因远端误操作造成安全隐患。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13.蓝牙控制：支持通过手机或平板APP端连接设备蓝牙，实时显示设备信息、运行时长、每一路的开关状态、电压、电流、功率等信息，轻松实现对设备总开关以及每一路开关的操控。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联网控制：设备具有RJ45网络接口，接入外网可自动分配IP接入云平台，由手机/平板APP端和WEB网页端远程控制，设备支持远程OTA升级固件程序；手机/平板APP端、WEB网页端均支持在具有移动网络或宽带网络的任何地点使用，可实现一键开关、顺序开关、并机管理、定时控制、参数监测、报警管理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15.具有≥1个100A空气开关，具有过载和短路双重保护功能；内置≥12个继电器，可瞬间触发，确保开关的快速响应；具有EMC滤波器功能，通过滤除高频噪声和干扰信号，降低设备电磁辐射和敏感度。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4进4出音频处理器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1.高通滤波器、低通滤波器。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2.均衡器：多段参数均衡器、图示均衡器。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3.48V幻象供电。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后面板具有≥4路线路音频凤凰端子平衡输入接口（具有48V幻象供电）、≥4路线路音频凤凰端子平衡输出接口、≥1个拨码开关、≥1个RJ45接口、≥1个RS232接口、≥1个RS485接口、≥8个可编程GPIO控制接口、≥1个接地柱；前面板具有≥2.0英寸 IPS 真彩显示屏、≥1个编码旋钮、≥1个USB存储设备接口。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12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3.具有矩阵增益调节功能，每个输入通道参与混音的增益可调，增益调节范围等同或优于-72db到12db。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4.音频处理器具有跨平台软件，可运行于windows操作系统或国产操作系统或macOS系统或Ubuntu桌面版操作系统。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5.该产品针对PC客户端、手机和Android平板电脑提供不同的控制方式。通过PC客户端可以同时登录APP软件和连接设备，实现多台设备的数据同步。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6.设备配有编码旋钮和IPS屏幕，可用于控制和配置设备的静音、增益和场景。IPS界面可以显示IP地址的实时级别、输入输出通道。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7.具有设备定位功能。客户端一键定位局域网内同类设备，定位设备显示定位信息。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8.支持≥65535台设备通过软件集中控制。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8进8出音频处理器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1.高通滤波器、低通滤波器。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2.均衡器：多段参数均衡器、图示均衡器。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3.48V幻象供电。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后面板具有≥8路线路音频凤凰端子平衡输入接口（具有48V幻象供电）、≥8路线路音频凤凰端子平衡输出接口、≥1个拨码开关、≥1个RJ45接口、≥1个RS232接口、≥1个RS485接口、≥8个可编程GPIO控制接口、≥1个接地柱；前面板具有≥2.0英寸 IPS 真彩显示屏、≥1个编码旋钮、≥1个USB存储设备接口。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12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3.具有矩阵增益调节功能，每个输入通道参与混音的增益可调，增益调节范围等同或优于-72db到12db。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4.音频处理器具有跨平台软件，可运行于windows操作系统或国产操作系统或macOS系统或Ubuntu桌面版操作系统。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5.该产品针对PC客户端、手机和Android平板电脑提供不同的控制方式。通过PC客户端可以同时登录APP软件和连接设备，实现多台设备的数据同步。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6.设备配有编码旋钮和IPS屏幕，可用于控制和配置设备的静音、增益和场景。IPS界面可以显示IP地址的实时级别、输入输出通道。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7.具有设备定位功能。客户端一键定位局域网内同类设备，定位设备显示定位信息。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8.支持≥65535台设备通过软件集中控制。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12进12出音频处理器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1.高通滤波器、低通滤波器。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2.均衡器：多段参数均衡器、图示均衡器。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3.48V幻象供电。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后面板具有≥12路线路音频凤凰端子平衡输入接口（具有48V幻象供电）、≥12路线路音频凤凰端子平衡输出接口、≥1个拨码开关、≥1个RJ45接口、≥1个RS232接口、≥1个RS485接口、≥8个可编程GPIO控制接口、≥1个接地柱；前面板具有≥2.0英寸 IPS 真彩显示屏、≥1个编码旋钮、≥1个USB存储设备接口。（提供产品外观截图佐证）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12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3.具有矩阵增益调节功能，每个输入通道参与混音的增益可调，增益调节范围等同或优于-72db到12db。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4.音频处理器具有跨平台软件，可运行于windows操作系统或国产操作系统或macOS系统或Ubuntu桌面版操作系统。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5.该产品针对PC客户端、手机和Android平板电脑提供不同的控制方式。通过PC客户端可以同时登录APP软件和连接设备，实现多台设备的数据同步。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6.设备配有编码旋钮和IPS屏幕，可用于控制和配置设备的静音、增益和场景。IPS界面可以显示IP地址的实时级别、输入输出通道。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7.具有设备定位功能。客户端一键定位局域网内同类设备，定位设备显示定位信息。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8.支持≥65535台设备通过软件集中控制。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16进16出音频处理器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1.高通滤波器、低通滤波器。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2.均衡器：多段参数均衡器、图示均衡器。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3.48V幻象供电。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后面板具有≥16路线路音频凤凰端子平衡输入接口（具有48V幻象供电）、≥16路线路音频凤凰端子平衡输出接口、≥1个拨码开关、≥1个RJ45接口、≥1个RS232接口、≥1个RS485接口、≥8个可编程GPIO控制接口、≥1个接地柱；前面板具有≥2.0英寸 IPS 真彩显示屏、≥1个编码旋钮、≥1个USB存储设备接口。（提供产品外观截图佐证）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12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3.具有矩阵增益调节功能，每个输入通道参与混音的增益可调，增益调节范围等同或优于-72db到12db。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4.音频处理器具有跨平台软件，可运行于windows操作系统或国产操作系统或macOS系统或Ubuntu桌面版操作系统。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5.该产品针对PC客户端、手机和Android平板电脑提供不同的控制方式。通过PC客户端可以同时登录APP软件和连接设备，实现多台设备的数据同步。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6.设备配有编码旋钮和IPS屏幕，可用于控制和配置设备的静音、增益和场景。IPS界面可以显示IP地址的实时级别、输入输出通道。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7.具有设备定位功能。客户端一键定位局域网内同类设备，定位设备显示定位信息。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8.支持≥65535台设备通过软件集中控制。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2进6出音频处理器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1.输入信号过载电平指示、输入信号工作电平指示。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2.音频矩阵。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3.平衡式输入、输出。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1.输入≥2路平衡式线路输入，采用标准卡侬接口，平衡接法。</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2.输出≥6路平衡式线路输出，采用标准卡侬接口，平衡接法。</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3.内置≥96kHz的FIR滤波器、高阶信号发生器与RTA实时频谱分析仪的功能。（提供功能界面截图佐证）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4.具有MIR线性相位分频滤波器，具有经典滤波器（LR24/48）的形状，不会产生任何相位失真，保持相位曲线平直。（提供功能界面截图佐证）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5.每个输入和输出通道都配有RMS压缩器，可以控制输入通道中的信号动态或用于声音强度。极低失真压限器可以防止突然的大动态信号损坏扬声器单元。（提供功能界面截图佐证）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6.具有AEQ自动均衡功能，可现场测量实时生成FIR系数，直接存入处理器中，简单直接地应用FIR到现场扩声或是音箱预设中。（提供功能界面截图佐证）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7.全矩阵混音可以将任何输入通道发送到输出通道，并将几个不相邻的输出通道叠加和混合到物理输出。（提供功能界面截图佐证）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8.配置输入输出通道选择键，编辑当前输入输出通道参数。长按并保持三秒钟以使当前通道静音。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9.具有液晶显示屏和导航旋钮，可实现功能切换，菜单上下选择。</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10.内置数字音频处理算法：增益、延时、极性、分频、FIR、EQ、混音矩阵、压缩、压限。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11.具有编组功能，可以同时控制≥32台处理器，可以统一控制增益，静音，PEQ和极性，增加多机调试便利度。（提供功能界面截图佐证）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12.支持通道联控功能。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13.具有≥1路USB B型接口，用于连接电脑通信。 具有≥1路局域网控制接口，可以通过网线直接与PC连接，默认的DHCP自动获取IP地址，一键完成全部连接。具有≥1路RS485协议接口，提供≥1进1出双接口，可以用于连接软件，也可用于中控协议传输。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4进8出音频处理器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1.输入信号过载电平指示、输入信号工作电平指示。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2.音频矩阵。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3.平衡式输入、输出。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产品接口：前面板采用钢化玻璃覆盖LED灯和IPS高清屏幕一体化设计，拥有≥12组LED数码管，每组有≥3种颜色和≥8个LED灯，实时显示输入输出通道的的电平值；≥2英寸IPS真彩显示屏；≥12个物理按键，配置设备参数；≥1个编码旋钮；后面板具有≥4路卡侬输入接口，采用平衡接法；≥8路卡侬输出接口，采用平衡接法；≥1路RJ45网口，≥1路RS485通讯接口，≥1个船型电源开关。（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2.支持测量≥WAVE、ASIO两种音频驱动声卡的声场曲线，并且能够调节幅度，相位1oct到48oct平滑程度，支持1到16平均点数，且能插入延时；实时显示幅度响应，相位响应以及相干度曲线。</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基于频率均衡方法，PC客户端可以导入smaart曲线，自动生成FIR滤波器的系数。自动生成后的最小相位和线性相位也可以调整，也可以改变目标曲线。拖拽处理频率范围后，可实时显示实际幅相曲线。并可根据现场要求调整延时大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4.可以同时使用FIR和IIR这两种滤波器来生成校正需要的系数。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设备带有内置编码旋钮，与≥2.0英寸的IPS屏幕配合使用。可用于现场控制和配置设备场景、静音、自动均衡、分频器、矩阵、增益、压缩器、噪声门、限幅器和延迟装置。还可以可以显示IP地址和当前级别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6.全矩阵可变增益混音：输入矩阵≥4×8，输出矩阵≥8×8，可将任何的输入通道发送到输出通道，将几个不相邻输出通道叠加混音至物理输出，并且每混音通道输入输出均可进行范围-72db到12db的增益调节。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7.输入延时器可调范围≥2000ms，输出延时器可调范围≥2000ms。</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在最小相位FIR的处理全功能开启条件下，输入音频到输出音频延时≤388us；输入参量均衡器≥31段，输出参量均衡器≥8段，滤波器类型≥16种，可以调节峰值滤波器，一阶/二阶/可变Q高架/低架滤波器、陷波、一阶/二阶/可变Q高通/低通滤波器以及一阶/二阶可变Q全通滤波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9.设备具有客户端软件，软件可以一键定位局域网内设备，被定位到的设备会在显示屏上显示定位信息；软件支持集中控制≥999台设备；可以安装在Windows7/10/11操作系统中。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2通道反馈抑制器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1.输入信号过载电平指示、输入信号工作电平指示。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2.音频矩阵。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3.平衡式输入、输出。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处理器主频≥1.3GHz；配置≥2个完全独立的反馈抑制通道，每通道均支持自适应反馈抑制（AFC）功能，传声增益提升≥6dB，可分别处理不同声源信号（如主讲麦克风与观众席拾音），避免多麦克风场景下的交叉啸叫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2.支持声学校正按钮，按下可以预测声反馈回路。提供≥高/中/低三档输入电平调节。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3.具有≥2个独立通道，每通道均支持等同或宽于0-99级数字音量调节及静音开关功能。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4.基于啸叫检测门限更新法，具有移频+陷波反馈抑制功能，可以使用≥48个可编程陷波点。</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前面板具有≥48个LED灯陷波状态指示灯（具有≥2×12个静态点和≥2×12个动态点）、≥2英寸IPS真彩显示屏、≥1个编码旋钮；后面板具有≥1个船形开关、≥2路XLR母座+2路TRS母座模拟输入、≥2路XLR公座+2路TRS母座模拟输出、≥1个RJ45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6.设备具有编码旋钮和≥2.0英寸IPS屏幕，可用于控制和配置设备直通、场景。IPS屏幕能够显示IP地址，输入和输出通道的实时电平。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7.具有设备定位，PC客户端具有一键定位局域网内同类设备功能，被定位到的设备会在显示屏上显示定位信息。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8.设备具有统一集中控制功能，支持≥65535台设备通过软件集中控制。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9.支持多客户端数据同步，≥2个客户端以上连接混音器设备时，可实现多端数据同步。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反馈抑制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数字音频反馈抑制器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【本设备部分引用《SJ/T 11524-2015数字调音台通用规范》中5.3功能要求】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1.输入信号过载电平指示、输入信号工作电平指示。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2.音频矩阵。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3.平衡式输入、输出。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1.基于啸叫检测门限更新法，具有移频+陷波反馈抑制功能，可以使用≥48个可编程陷波点。</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前面板具有≥48个LED灯陷波状态指示灯（具有≥2×12个静态点和≥2×12个动态点）、≥2英寸IPS真彩显示屏、≥1个编码旋钮；后面板具有≥1个船形开关、≥2路XLR母座+2路TRS母座模拟输入、≥2路XLR母座+2路TRS母座模拟输出、≥1个RJ45接口。（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3.设备具有编码旋钮和≥2.0英寸IPS屏幕，可用于控制和配置设备直通、场景。IPS屏幕能够显示IP地址，输入和输出通道的实时电平。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4.具有设备定位，PC客户端具有一键定位局域网内同类设备功能，被定位到的设备会在显示屏上显示定位信息。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5.支持≥65535台设备通过软件集中控制。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6.支持多客户端数据同步，≥2个客户端以上连接混音器设备时，可实现多端数据同步。</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反馈抑制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界面截图佐证）（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99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U段无线设备双手持(一拖二)</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1.具有≥1台接收主机、≥2只手持发射机；频率范围等同或优于470MHz-510MHz、540MHz-590MHz、640MHz-690MHz、807MHz-830MHz四个频段使用。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2.基于数字U段的传输技术，pi/4-DQPSK调制方式，采用国产主控芯片，传输距离≥80米，接收机具有≥2路平衡输出、≥1路非平衡混音输出；具有混响、均衡、智能静音、音频加密、功率调节功能。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4.具有自动静音功能，麦克风跌落、抛掷时，毫秒级自动静音，避免冲击声；实时监测设备姿态，静置≥5秒静音，≥8分钟关机，无需手动干预。</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★5.具有多级混响调节功能，混响效果≥15625。效果占比、回响延时、混响幅度调节三种音效均有≥25级调节。（提供功能截图佐证）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7.发射机使用时长≥10小时。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9.接收机具有≥2个2.2英寸的TFT-LCD显示屏；发射机具有≥0.96英寸OLED显示屏，能够显示频率信息、音频加密状态、功率挡位、静音状态、电量格数信息。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U段无线设备双领夹(一拖二)</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1.具有≥1台接收主机、≥2只领夹腰包；频率范围等同或优于470MHz-510MHz、540MHz-590MHz、640MHz-690MHz、807MHz-830MHz四个频段使用。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2.基于数字U段的传输技术，pi/4-DQPSK调制方式，采用国产主控芯片，传输距离≥80米，接收机具有≥2路平衡输出、≥1路非平衡混音输出；具有混响、均衡、智能静音、音频加密、功率调节功能。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接收机前面板具有≥2个TFT-LCD显示屏、≥2个编码旋钮、≥2个频率扫描实体按键、≥2个红外对频实体按键、≥1个电源开关按键、≥1个二合一指示灯（红外发射管+对频指示灯）；后面板具有≥1个LINE-OUT接口、≥2个XLR-OUT接口、≥2个BNC接口、≥1个DC接口。发射机具有≥1个显示屏、≥4个实体按键（包括≥1个静音键、≥1个音量减少键、≥1个音量增加键、≥1个电源开关键）、≥1个电源状态指示灯、≥1个静音指示灯。（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6.具有长时间续航，发射机连续使用时长≥10小时。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8.接收机具有≥2个2.2英寸的TFT-LCD显示屏；发射机具有≥0.96英寸OLED显示屏，能够显示频率信息、音频加密状态、功率挡位、静音状态、电量格数信息。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U段无线设备双头戴(一拖二)</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2.具有≥1台接收主机、≥2只头戴腰包；频率范围等同或优于470MHz-510MHz、540MHz-590MHz、640MHz-690MHz、807MHz-830MHz四个频段使用。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接收机前面板具有≥2个TFT-LCD显示屏、≥2个编码旋钮、≥2个频率扫描实体按键、≥2个红外对频实体按键、≥1个电源开关按键、≥1个二合一指示灯（红外发射管+对频指示灯）；后面板具有≥1个LINE-OUT接口、≥2个XLR-OUT接口、≥2个BNC接口、≥1个DC接口。发射机具有≥1个显示屏、≥4个实体按键（包括≥1个静音键、≥1个音量减少键、≥1个音量增加键、≥1个电源开关键）、≥1个电源状态指示灯、≥1个静音指示灯。</w:t>
            </w:r>
          </w:p>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6.具有长时间续航，发射机连续使用时长≥10小时。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8.接收机具有≥2个2.2英寸的TFT-LCD显示屏；发射机具有≥0.96英寸OLED显示屏，能够显示频率信息、音频加密状态、功率挡位、静音状态、电量格数信息。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U段无线设备双鹅颈(一拖二)</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2.具有≥1台接收主机、≥2台桌面式鹅颈咪杆发射机；频率范围等同或优于470MHz-510MHz、540MHz-590MHz、640MHz-690MHz、807MHz-830MHz四个频段使用。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3.桌面式发射机配置≥1颗容量2400mAh的锂电池，使用时长≥15小时；设备电池孔位≥4个，电池具有扩展性，通过拓展连续使用时长≥60小时。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接收机前面板具有≥2个TFT-LCD显示屏、≥2个编码旋钮、≥2个频率扫描实体按键、≥2个红外对频实体按键、≥1个电源开关按键、≥1个二合一指示灯（红外发射管+对频指示灯）；后面板具有≥1个LINE-OUT接口、≥2个XLR-OUT接口、≥2个BNC接口、≥1个DC接口。桌面式发射机具有≥1个TYPE-C 充电口、≥1个3.5mm耳麦输入接口、≥1个OLED显示屏、≥1个电源开关按键，≥1个触摸开关麦按键。（提供产品外观截图佐证）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8.接收机具有≥2个2.2英寸的TFT-LCD显示屏；发射机具有≥0.96英寸OLED显示屏，能够显示频率信息、音频加密状态、功率挡位、静音状态、电量格数信息。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U段无线设备双短咪杆(一拖二)</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2.具有≥1台接收主机、≥2台桌面式短咪杆发射机；频率范围等同或优于470MHz-510MHz、540MHz-590MHz、640MHz-690MHz、807MHz-830MHz四个频段使用。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3.桌面式发射机配置≥1颗容量2400mAh的锂电池，使用时长≥15小时；设备电池孔位≥4个，电池具有扩展性，通过拓展连续使用时长≥60小时。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接收机前面板具有≥2个TFT-LCD显示屏、≥2个编码旋钮、≥2个频率扫描实体按键、≥2个红外对频实体按键、≥1个电源开关按键、≥1个二合一指示灯（红外发射管+对频指示灯）；后面板具有≥1个LINE-OUT接口、≥2个XLR-OUT接口、≥2个BNC接口、≥1个DC接口。桌面式发射机具有≥1个TYPE-C 充电口、≥1个3.5mm耳麦输入接口、≥1个OLED显示屏、≥1个电源开关按键，≥1个触摸开关麦按键。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8.接收机具有≥2个2.2英寸的TFT-LCD显示屏；发射机具有≥0.96英寸OLED显示屏，能够显示频率信息、音频加密状态、功率挡位、静音状态、电量格数信息。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U段无线设备四手持(一拖四)</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2.具有≥1台接收主机、≥4只手持发射机；频率范围等同或优于470MHz-510MHz、540MHz-590MHz、640MHz-690MHz、807MHz-830MHz四个频段使用。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接收机前面板具有≥4个TFT-LCD显示屏、≥4个编码旋钮、≥4个频率扫描实体按键、≥4个红外对频实体按键、≥1个电源开关按键、≥1个二合一指示灯（红外发射管+对频指示灯）；后面板具有≥1个LINE-OUT接口、≥4个XLR-OUT接口、≥4个BNC接口、≥1个DC接口。发射机具有≥1个OLED 显示屏、≥1个开关机/静音按键、≥2个工作状态指示灯。（提供产品外观截图佐证）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4.具有自动静音功能，麦克风跌落、抛掷时，毫秒级自动静音，避免冲击声；实时监测设备姿态，静置≥5秒静音，≥8分钟关机，无需手动干预。</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7.具有长时间续航，发射机连续使用时长≥10小时。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9.接收机具有≥4个2.2英寸的TFT-LCD显示屏；发射机具有≥0.96英寸OLED显示屏，能够显示频率信息、音频加密状态、功率挡位、静音状态、电量格数信息。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U段无线设备四鹅颈(一拖四)</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2.具有≥1台接收主机、≥4台桌面式鹅颈咪杆发射机；频率范围等同或优于470MHz-510MHz、540MHz-590MHz、640MHz-690MHz、807MHz-830MHz四个频段使用。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3.桌面式发射机配置≥1颗容量2400mAh的锂电池，使用时长≥15小时；设备电池孔位≥4个，电池具有扩展性，通过拓展连续使用时长≥60小时。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4.接收机前面板具有≥4个LCD 显示屏、≥4个编码旋钮、≥4个频率扫描实体按键、≥4个红外对频实体按键、≥1个电源开关按键、≥1个二合一指示灯（红外发射管+对频指示灯）；后面板具有≥1个LINE-OUT接口、≥4个XLR-OUT接口、≥4个BNC接口、≥1个DC接口。桌面式发射机具有≥1个TYPE-C 充电口、≥1个3.5mm耳麦输入接口、≥1个OLED显示屏、≥1个电源开关按键，≥1个触摸开关麦按键。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8.接收机具有≥4个2.2英寸的TFT-LCD显示屏；发射机具有≥0.96英寸OLED显示屏，能够显示频率信息、音频加密状态、功率挡位、静音状态、电量格数信息。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U段无线设备四短咪杆(一拖四)</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2.具有≥1台接收主机、≥4台桌面式短咪杆发射机；频率范围等同或优于470MHz-510MHz、540MHz-590MHz、640MHz-690MHz、807MHz-830MHz四个频段使用。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发射机配置≥1颗容量2400mAh的锂电池，使用时长≥15小时；设备电池孔位≥4个，电池具有扩展性，通过拓展连续使用时长≥60小时。（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4.接收机前面板具有≥4个LCD 显示屏、≥4个编码旋钮、≥4个频率扫描实体按键、≥4个红外对频实体按键、≥1个电源开关按键、≥1个二合一指示灯（红外发射管+对频指示灯）；后面板具有≥1个LINE-OUT接口、≥4个XLR-OUT接口、≥4个BNC接口、≥1个DC接口。桌面式发射机具有≥1个TYPE-C 充电口、≥1个3.5mm耳麦输入接口、≥1个OLED显示屏、≥1个电源开关按键，≥1个触摸开关麦按键。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4个2.2英寸的TFT-LCD显示屏；发射机具有≥0.96英寸OLED显示屏，能够显示频率信息、音频加密状态、功率挡位、静音状态、电量格数信息。（提供第三方检测机构出具的具有CNAS或ilAC-MRA标识的检测报告扫描件或复印件）</w:t>
            </w:r>
            <w:bookmarkStart w:id="6" w:name="_GoBack"/>
            <w:bookmarkEnd w:id="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U段无线设备八鹅颈(一拖八)</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1.基于数字U段的传输技术，pi/4-DQPSK调制方式，采用国产主控芯片，传输距离≥80米，接收机具有≥8路平衡输出、≥2路非平衡混音输出；具有混响、均衡、智能静音、音频加密、功率调节功能。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2.具有≥1台接收主机、≥8台桌面式鹅颈咪杆发射机；频率范围等同或优于470MHz-510MHz、540MHz-590MHz、640MHz-690MHz、807MHz-830MHz四个频段使用。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w:t>
            </w:r>
            <w:r>
              <w:rPr>
                <w:rFonts w:hint="eastAsia" w:ascii="微软雅黑" w:hAnsi="微软雅黑" w:eastAsia="微软雅黑" w:cs="微软雅黑"/>
                <w:i w:val="0"/>
                <w:iCs w:val="0"/>
                <w:color w:val="auto"/>
                <w:kern w:val="0"/>
                <w:sz w:val="18"/>
                <w:szCs w:val="18"/>
                <w:highlight w:val="none"/>
                <w:u w:val="none"/>
                <w:lang w:val="en-US" w:eastAsia="zh-CN" w:bidi="ar"/>
              </w:rPr>
              <w:t>.桌面式发射机配置≥1颗容量2400mAh的锂电池，使用时长≥15小时；设备电池孔位≥4个，电池具有扩展性，通过拓展连续使用时长≥60小时。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★4.接收机前面板具有≥8个LCD 显示屏、≥8个编码旋钮、≥8个频率扫描实体按键、≥8个红外对频实体按键、≥1个电源开关按键、≥1个二合一指示灯（红外发射管+对频指示灯）；后面板具有≥2个LINE-OUT接口、≥8个XLR-OUT接口、≥8个BNC接口、≥1个DC接口。桌面式发射机具有≥1个TYPE-C 充电口、≥1个3.5mm耳麦输入接口、≥1个OLED显示屏、≥1个电源开关按键，≥1个触摸开关麦按键。（提供产品外观截图佐证）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8.接收机具有≥8个2.2英寸的TFT-LCD显示屏；发射机具有≥0.96英寸OLED显示屏，能够显示频率信息、音频加密状态、功率挡位、静音状态、电量格数信息。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U段无线设备八短咪杆(一拖八)</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32401-2015 VHF/UHF 频段无线电监测接收机技术要求及测试方法》中4要求4.1.1工作频率、5电性能参数试验条件和测试方法5.1.3测试设备的要求】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1.VHF/UHF频段无线电监测接收机工作频率：20MHz~3000MHz。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2.失真测量±2%。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1.基于数字U段的传输技术，pi/4-DQPSK调制方式，采用国产主控芯片，传输距离≥80米，接收机具有≥8路平衡输出、≥2路非平衡混音输出；具有混响、均衡、智能静音、音频加密、功率调节功能。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2.具有≥1台接收主机、≥8台桌面式短咪杆发射机；频率范围等同或优于470MHz-510MHz、540MHz-590MHz、640MHz-690MHz、807MHz-830MHz四个频段使用。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3.桌面式发射机配置≥1颗容量2400mAh的锂电池，使用时长≥15小时；设备电池孔位≥4个，电池具有扩展性，通过拓展连续使用时长≥60小时。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4.接收机前面板具有≥8个LCD 显示屏、≥8个编码旋钮、≥8个频率扫描实体按键、≥8个红外对频实体按键、≥1个电源开关按键、≥1个二合一指示灯（红外发射管+对频指示灯）；后面板具有≥2个LINE-OUT接口、≥8个XLR-OUT接口、≥8个BNC接口、≥1个DC接口。桌面式发射机具有≥1个TYPE-C 充电口、≥1个3.5mm耳麦输入接口、≥1个OLED显示屏、≥1个电源开关按键，≥1个触摸开关麦按键。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5.具有多级混响调节功能，混响效果≥15625。效果占比、回响延时、混响幅度调节三种音效均有≥25级调节。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6.具有多波段均衡调节功能，均衡调节≥2197种，麦克风均衡器调节功能有高、中、低三个调节级别，每个效果支持≥13档调节。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7.具有识别码防串扰功能，采用32位唯一识别码进行收发配对。发送和接收的ID码必须相同才能配对，这样可以有效地防止同一频率的信号相互干扰。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8.接收机具有≥8个2.2英寸的TFT-LCD显示屏；发射机具有≥0.96英寸OLED显示屏，能够显示频率信息、音频加密状态、功率挡位、静音状态、电量格数信息。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U段无线设备天线分配器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11313.8-2015 射频连接器 第8部分：外导体内径为6.5mm（0.256in）、特性阻抗为50Ω（75Ω）、卡口连接的射频同轴连接器（BNC型）分规范》】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1.卡口为BNC型。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2.阻抗为50Ω。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1.具备≥4个直流电源输出接口，支持给≥4台接收机供电，减少适配器数量和免去繁琐布线。</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2.具备≥2个天线输入接口，支持接收天线信号，实现分配多路射频信号的效果。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3.具备≥2个天线级联接口，支持无限制级联分配器，可实现扩展无线话筒的目的。</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4.具备放大射频信号，补偿因信号功率被分配至多个输出而造成的插入损耗。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U段无线设备天线耦合器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11313.8-2015 射频连接器 第8部分：外导体内径为6.5mm（0.256in）、特性阻抗为50Ω（75Ω）、卡口连接的射频同轴连接器（BNC型）分规范》】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1.卡口为BNC型。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2.阻抗为50Ω。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1.宽带设计，在应用频率范围内提供高隔离度，防止信号相互干扰。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2.在系统中，通过此耦合器方便转接和安装。</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3.可使用多组耦合器进行拓展覆盖区域。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4.耦合器在线路中有隔离杂讯的功能，防止自激。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U段无线设备天线放大器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11313.8-2015 射频连接器 第8部分：外导体内径为6.5mm（0.256in）、特性阻抗为50Ω（75Ω）、卡口连接的射频同轴连接器（BNC型）分规范》】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1.卡口为BNC型。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1.频率范围≥470-950MHZ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2.端子：BNC</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3.噪声：≤3dB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4.增益：≥20dB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U段无线设备指向性天线</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11313.8-2015 射频连接器 第8部分：外导体内径为6.5mm（0.256in）、特性阻抗为50Ω（75Ω）、卡口连接的射频同轴连接器（BNC型）分规范》】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1.卡口为BNC型。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2.阻抗为50Ω。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1.天线接收频段广，可接收等同或优于470-950MHZ的频率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2.放大器增益：四档可调（-6dB/0dB/6dB/12dB)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3.天线极化方式：线极化</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4.天线驻波比：≤2.0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5.指向性：≥90度指向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U段无线设备壁挂天线</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【本设备部分引用《GB/T 11313.8-2015 射频连接器 第8部分：外导体内径为6.5mm（0.256in）、特性阻抗为50Ω（75Ω）、卡口连接的射频同轴连接器（BNC型）分规范》】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1.卡口为BNC型。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2.阻抗为50Ω。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1.射频频率范围等同或优于470～950MHz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2.驻波比：≤2.0</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3.输入阻抗：≤50Ω</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4.指向性：≥180度指向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114</w:t>
            </w:r>
          </w:p>
        </w:tc>
        <w:tc>
          <w:tcPr>
            <w:tcW w:w="956"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U段无线设备话筒台式支架</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高度：等同或优于160-200mm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U段无线设备话筒落地支架</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高度：等同或优于980-1680mm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斜杠：等同或优于550-900mm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桌面式纯模拟鹅颈话筒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1.开麦具有指示灯提示，按键开启后，咪杆指示灯亮起。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2.频率响应：等同或优于80Hz~16KHz。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3.设备具有话筒增益调节接口，可调节话筒增益。</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4.设备支持幻象供电、电池供电供电方式；电池支持连续发言≥60小时。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5.设备底部具有电池电源拨动开关，可根据实际使用状态手动开关话筒电池电源。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6.指向性：心形指向性；信噪比：≥80dB(A)；输出阻抗：≥75Ω；灵敏度：≥-38±2dB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专业发言会议话筒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1.内置≥129颗全向麦阵列麦克风，搭配软件支持控制指定区域拾音，可同时分配≥33个独立区域拾音；内置级联功能模块，可实现多台天花阵列麦级联。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2.内置音频信号处理算法，集成实时反馈抑制引擎、AI深度学习降噪系统、音频处理+AI深度算法双引擎架构、动态波束成形技术。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3.具有DSP音频处理功能，包括自动增益功能、自动噪声抑制、混响抑制功能、混音矩阵功能，混音矩阵功能可自由配置音频通道；支持自动闪避功能，接入无线麦时可优先无线麦输出。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4.具备回声通路与反馈通路双工状态，独立调节音频参数，内置≥13段均衡器，实时分区调节双输出，本地会议与远程会议室可同时使用。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5.内置智能电源管理模块，支持适配器与POE双路电源输入；模块支持冗余备份与自动切换，当检测到主用电源中断时，能在毫秒级内启用备用电源。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6.具有红外遥控，支持通过红外遥控切换天花阵列麦静音、仅扩声、仅拾音、拾扩四种模式。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7.内置≥2路Dante模块,可通过网络传输音频。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8.产品接口：RJ45 网口≥3个，凤凰端子输入接口≥4个，凤凰端子输出接口≥4个，RS-485接口≥1个，USB（Typs- C）接口≥1个；支持AFC、ANS、AEC、AGC、ARR、AM算法。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有线低噪高保真会议话筒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1.设备具有话筒增益调节接口，可调节话筒增益。</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2.设备支持幻象供电、电池供电供电方式；电池支持连续发言≥60小时。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3.设备底部具有电池电源拨动开关，可根据实际使用状态手动开关话筒电池电源。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4.开麦具有指示灯提示，按键开启后，咪杆指示灯亮起。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5.指向性：心形指向性；信噪比：≥80dB(A)；频率响应：等同或优于80Hz~16KHz；输出阻抗：≥75Ω；灵敏度：≥-40±2dB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119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专业会议高保真话筒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1.采用驻极体电容式传声器设计。指向性：心形指向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2.具备良好的拾音效果，抗手机、电磁、高频干扰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3.灵敏度≥-36±1.5dB(0dB=1V/Pa,at 1KHz)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4.咪杆长度：≥409mm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5.幻象供电：≥+48V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单短咪杆会议话筒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1.频率响应等同或优于50Hz-18kHz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2.换能方式：电容式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3.咪杆数量：单咪杆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4.指向性：超心型指向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5.输出阻抗（欧姆）：≤1200Ω平衡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6.供电电压：≥幻象48V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双短咪杆会议话筒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1.频率响应等同或优于60Hz-16kHz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2.换能方式：电容式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3.咪杆数量：双咪杆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4.指向性：超心型指向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5.输出阻抗（欧姆）：≤1200Ω平衡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6.供电电压：≥幻象48V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双咪杆演讲话筒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1.频率响应等同或优于50Hz-18kHz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2.换能方式：电容式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3.咪杆数量：双咪杆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4.指向性：超心型指向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5.输出阻抗（欧姆）：≤1200Ω平衡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6.供电电压：≥幻象48V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四咪杆演讲话筒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1.频率响应等同或优于50Hz-18kHz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2.换能方式：电容式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3.咪杆数量：四咪杆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4.指向性：超心型指向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5.输出阻抗（欧姆）：≤1200Ω平衡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6.供电电压：≥幻象48V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小振膜话筒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1.采用柱极式电容麦克风设计，具有良好的束状特性。</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2.接口：平衡式XLR接口；方向特性：束状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3.支持单只麦克风或多只麦克风同时使用。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4.幻象供电：≥+48V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125</w:t>
            </w:r>
          </w:p>
        </w:tc>
        <w:tc>
          <w:tcPr>
            <w:tcW w:w="956"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振膜麦克风支架（单话筒）</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支架高度为≥106mm；底座直径≥70mm；底部高度≥30mm；净重：≥500g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振膜麦克风支架（双话筒）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1.支架升降：双咪杆可升降</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2.话筒角度：可调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振膜麦克风支架（四话筒）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1.话筒角度：可调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2.材质：纯铝材质打造。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会议系统全数字会议主机</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50799-2012中4会议讨论系统中4.2功能设计要求中4.2.2、4.4主要设备设计要求中4.4.2】</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1.系统应具有发言人数限制功能，可设置系统同时开启传声器最大数量。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2.会议室宜根据需要对会议系统控制主机进行备份，会议系统控制主机宜具有主机双机“热备份”功能。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3.宜具有连接视像跟踪系统的接口和通信协议。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1.支持≥4090台有线会议单元和≥300台无线会议单元同时接入管理使用；支持≥4390台会议单元同时参与会议议程（签到、表决、服务等）以及发言控制。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2.主机兼容有线和无线会议单元同时连接，两者可以并行使用。采用跨域音频同步技术，实现有线和无线会议单元音频的无缝混合输出。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超大数据处理能力：系统支持至少24个会议单元同时发言，包括至少16个有线会议单元和至少8个无线会议单元同时发言。具有自定义每个会议单元的发言人数的功能。有线会议单元的扬声器范围可以设置为等于或优于1到16之间的任何数字。无线会议单元中的扬声器数量可以设置为等于或优于1到8之间的任何数字。</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3个备份机构；支持双机热备功能，可以将一台设备设置为主机，另一台设备设置为从机。当主机出现故障时，可以自动切换到从机进行操作，实现双备份功能。支持圆形双链路功能，确保在其中一根网线断开或设备出现问题时，会议仍能正常进行。支持T-link备份功能。即使链路中多个会议单元故障，也不会影响其他会议单元，保证会议的正常进行。</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5.采用多环路检测及网络补给技术，实现会议单元手拉手链路出现故障时恢复时间≤5ms。</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6.支持与会议麦克风处理器一起使用。主机与麦克风处理器通过网线连接，传输音频。可同时传输≥16个有线会议单元和≥8个无线会议单元的音频信号，并提供反馈抑制、智能混音、自动增益音频调节处理功能。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16个音频输出通道。通过扩展，可实现≥272个音频输出通道。音频输出通道可配置为有线角色分离输出方式、无线角色分离输出方式和同步传输输出方式。每个音频输出通道可独立调节音频参数，包括≥30级音量调节，≥10级均衡器调节，≥100级延迟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8.支持主机U盘和客户端软件两种录音方式；搭配会议话筒和录音盒可以录制单个会议单元发言音频和录制所有会议单元混音发言音频。</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9.设备采用分段压缩混音处理技术和时钟同步传输技术，会议单元拾音到主机输出延时≤5ms。</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C/S、B/S管控架构，包括客户端、WEB端、本机全彩触摸屏、安卓手机/平板控制方式；通过客户端、WEB端可调节音频矩阵参数（包括EQ、音量、延时器、会议单元灵敏度等）、≥16通道输出模式切换、开关会议单元、中英俄法四种语言切换、控制角色分离主机功能；使用本机全彩触摸屏可调节会议模式、有线/无线会议单元开麦数量、编ID、主机/从机设置、中英俄法四种语言切换、显示亮度/输出音量调节、显示剩余使用天数、输入注册码进行主机注册功能；使用安卓手机/平板可控制会议单元开关、开启签到、投票、表决、接收会议服务信息、一键关闭无线会议单元功能，免PC操作。（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具有C/S、B/S架构管理软件，客户端、WEB端软件均可运行的操作系统版本≥8种，包括Windows7/10/11、银河麒麟桌面操作系统（兆芯版）、银河麒麟桌面操作系统（飞腾版）、macOS系统、统信UOS、Ubuntu桌面版操作系统。</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会议主机软件融入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功能和一键还原配置信息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设备具有≥1个USB接口；后面板具有≥2路RS-232接口、≥1路RS-485接口、≥4路RJ45通讯接口；具有≥1路RCA输入、≥1路卡侬输入、≥2路凤凰端子输入接口；≥1路RCA输出、≥1路卡侬输出、≥16路凤凰端子输出接口；≥1个拨码开关、≥1个接地柱。</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前面板具有≥5个状态指示灯，可显示有线无线会议单元使用状态；其中≥4个有线会议发言单元通讯指示灯，有线会议单元正常通讯使用为闪烁状态；其中≥1个为无线会议发言单元通讯指示灯，接上无线收发器正常使用进入闪烁状态；未接入设备时不亮，可快速检测链路使用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15.主机具有≥16通道音频分组输出接口；采用会议分区相控技术，可拆分≥16个独立的会议系统使用，也可以组成一个大型的会议系统使用，实现多种方式的会议室合并/拆分。</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WEB管理端具有切换个性化主题风格功能，可切换≥4种风格，可选简约主题、政务主题、时尚主题、活力主题，不同主题提供不同UI界面背景颜色。（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会议系统会议话筒处理器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3.总谐波失真（正常工作状态下）≤0.5%（200Hz~8.0kHz）。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处理器与数字会议主机通过网络传输链路传输会议单元音频信号，只需要通过网线即可以接收数字会议单元音频信号，并提供自动增益、自动混音、AFC反馈抑制（≥24个可编程陷波点）、EQ调节（≥31段图示均衡器调节）音频处理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2.采用啸叫检测门限更新法，移频+陷波组合反馈抑制方式，具有≥24个可编程陷波点，可自由分配动态/静态点，自动/手动切换。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智能混音、语音检测功能，可以实现≥16个有线会议单元+≥8个无线会议单元同时开启并实时检测会议单元dB值；当发言人讲话时，会议单元自动调整为发言状态，并联动摄像机自动跟踪发言人；当发言人停止讲话时，会议单元自动调整为静音状态，并联动摄像机自动切换到全景画面。</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4.具有≥1个RS485、≥1个RS232接口，可对接摄像机实现摄像跟踪功能；内置≥64个话筒预置位，满足大型会议室摄像跟踪需求。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5.后面板具有≥1个船形开关、≥4个RJ45、≥1个RS485、≥2个RS232、≥1个TYPE-C接口、≥1个拨码开关、≥1路卡侬输出接口和≥2路RCA输出接口；前面板具有≥1个AFC电容触摸开关；≥4个状态指示灯（包括≥1个AFC 功能状态指示灯、≥1个音频信号灯、≥1个处理器工作状态指示灯、≥1个工作电源指示灯）。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产品软件与数字会议主机软件集成，可以实现使用同一软件配置数字会议主机和会议话筒处理器；支持搭配音频综合管理平台集中管控各种音频设备，包含数字会议系统软件模块、电子桌牌软件模块、反馈抑制器软件模块、智能混音器软件模块、数字音频处理器软件模块、智控数字专业功放软件模块，各模块打开呈现在状态栏窗口，可快速管理和调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会议系统音频综合管理平台</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音频综合管理平台集成全数字会议系统软件模块、电子桌牌软件模块、反馈抑制器软件模块、智能混音器软件模块、数字音频处理器软件模块、智控数字专业功放软件模块，各模块打开呈现在状态栏窗口，可快速管理和调用，并具备自动检测音频处理器、智能混音器、反馈抑制器、数字功放设备硬件版本、软件版本功能，检测到有新版本时提供更新提示，用户可以对硬件进行升级。（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音频综合管理平台具有设备扫描功能（包括全数字会议系统、电子桌牌系统、音频处理器、智能混音器、反馈抑制器、数字功放系统硬件设备），可以通过平台扫描所有在线设备，并显示设备硬件名称、硬件IP地址、在线、离线状态等信息；可以针对不同硬件类型选择适用软件版本，并直接下载或打开。（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音频综合管理平台具有应用列表，通过平台可下载全数字会议系统软件模块、电子桌牌软件模块、反馈抑制器软件模块、智能混音器软件模块、数字音频处理器软件模块、智控数字专业功放软件模块，下载后在主界面实时显示，可选择打开应用、卸载应用，应用上移、下移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音频综合管理平台具有软件配置信息备份和还原功能，通过平台可以一键备份全数字会议系统软件模块、反馈抑制器软件模块、智能混音器软件模块、数字音频处理器软件模块、智控数字专业功放软件模块配置信息上传云端或者保存本地；用户可通过平台一键还原备份的数据。（提供功能界面截图佐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5.具有全数字会议系统软件模块，软件具有签到、表决、话筒管理、会议管理、语音激励、模拟排位、摄像跟踪、译员机语种及多语言版本等功能。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电子桌牌软件模块，软件支持铭牌设置及更新、中英俄多语言版本选择、集中控制、自定义投票表决、无线表决器人员设置、模拟排位、签到表决、IP设置、多服务器大屏投影、一键关机、息屏、清屏、亮屏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7.具有反馈抑制器软件模块，软件支持反馈抑制AFC、场景切换及导入导出、在线固件升级、多设备管理、用户管理、信号选择、模拟输入、模拟输出、陷波器、噪声门、限幅器音频参数配置功能。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8.具有智能混音器软件模块，软件支持多设备管理、≥4场景切换、在线批量升级，分组设置、数据备份、自定义通道名称、自动混音、矩阵、分频器、均衡器、闪避器等音频参数配置调节。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具有数字音频处理器软件模块，软件支持多设备管理、≥8场景切换、在线批量升级、用户管理，恢复出厂设置、备份还原、摄像跟踪、实时啸叫点检测、深度可调陷波器、高精度移频、自动混音、回声消除、限幅器、均衡器、延时器、GPIO设置、串口设置等音频参数配置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智控数字专业功放软件模块，软件支持多设备管理、通道复制、桥接模式、灵敏度设置、在线固件批量升级、音量调节、正反向切换、矩阵、输入输出、扩展器、压缩器、限幅器、均衡器、分频器音频参数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11.支持部署于国产操作系统，与国产操作系统完成兼容性测试，能够达到通用兼容性要求及性能、可靠性要求，满足用户的关键性应用需求。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简便式网络话筒主席单元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2.单元支持PC软件话筒控制，支持声控功能。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5.采用数字传输链路，通过网口转六芯航空线连接到会议主机级联口供电，非压缩音频传输技术。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6.单元具有TCP/IP协议簇，支持ICMP、HTTP、UDP、TCP、IGMP等多种协议。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★10.具有独立的web控制页面，支持麦克风ID号、麦克风灵敏度、麦克风EQ等参数的调整。（提供第三方检测机构出具的具有CNAS或ilAC-MRA标识的检测报告扫描件或复印件）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★11.单元支持web页面固件升级功能。（提供第三方检测机构出具的具有CNAS或ilAC-MRA标识的检测报告扫描件或复印件）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13.具有≥2个网口，可用于手拉手级联。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简便式网络话筒代表单元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2.单元支持PC软件话筒控制，支持声控功能。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4.采用数字传输链路，通过网口转六芯航空线连接到会议主机级联口供电，非压缩音频传输技术。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5.单元具有TCP/IP协议簇，支持ICMP、HTTP、UDP、TCP、IGMP等多种协议。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7.具有独立的web控制页面，支持麦克风ID号、麦克风灵敏度、麦克风EQ等参数的调整。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12.具有≥2个网口，可用于手拉手级联。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全数字话筒主席单元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6.采用全彩触屏。咪杆高度（或长度）≤380mm。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10.同声传译支持≥63+1通道，具备≥2个3.5mm耳机接口，支持收听同声传译通道的声音或用于连接外置麦克风。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11.每个单元支持web管理服务。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12.支持至少4种语言切换，可调整麦克风ID号、麦克风灵敏度、麦克风EQ等参数。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18.具有≥2个网口，可用于手拉手级联。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19.单元在PC软件的主机配置页面，可设置是否显示时钟，选择否时，时钟将隐藏。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全数字话筒代表单元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2.采用全彩触屏。咪杆高度（或长度）≤380mm。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8.同声传译支持≥63+1通道，具备≥2个3.5mm耳机接口，支持收听同声传译通道的声音或用于连接外置麦克风。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9.每个单元支持web管理服务。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★10.支持至少4种语言切换，可调整麦克风ID号、麦克风灵敏度、麦克风EQ等参数。（提供第三方检测机构出具的具有CNAS或ilAC-MRA标识的检测报告扫描件或复印件）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★11.具有≥5段EQ调节功能。（提供第三方检测机构出具的具有CNAS或ilAC-MRA标识的检测报告扫描件或复印件）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★14.单元支持web页面固件升级功能。（提供第三方检测机构出具的具有CNAS或ilAC-MRA标识的检测报告扫描件或复印件）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16.具有≥2个网口，可用于手拉手级联。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4.3寸传音主席话筒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1.采用电容触摸按键。咪杆高度（或长度）≤380mm。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6.采用全彩触屏。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10.同声传译支持≥63+1通道，单元具有双通道收听功能，可同时收听不同译员通道。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11.每个单元支持web管理服务，支持≥四种语言切换、调节话筒ID号、话筒灵敏度、话筒EQ等参数。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4.3寸传音代表话筒</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1.采用电容触摸按键。咪杆高度（或长度）≤380mm。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2.采用全彩触屏。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9.同声传译支持≥63+1通道，单元具有双通道收听功能，可同时收听不同译员通道。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★10.每个单元支持web管理服务，支持≥四种语言切换、调节话筒ID号、话筒灵敏度、话筒EQ等参数。（提供第三方检测机构出具的具有CNAS或ilAC-MRA标识的检测报告扫描件或复印件）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★15.支持IP地址嗅探功能，通过PC机工具，可以找到未知设备的ID号、IP地址、MAC地址等参数。（提供第三方检测机构出具的具有CNAS或ilAC-MRA标识的检测报告扫描件或复印件）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纯发言会议话筒主席单元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3.会议PC软件支持对代表单元发言计时和定时发言功能，会议PC软件支持对主席单元计时发言功能。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4.采用数字传输链路，通过网口转六芯航空线连接到会议主机级联口供电；非压缩音频传输技术。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5.具有≥2个网口，可用于级联下一台话筒，实现手拉手连接功能。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6.具有独立的web控制页面，支持麦克风ID号、麦克风灵敏度、麦克风EQ等参数的调整；单元具有≥5段EQ调节功能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9.支持IP地址嗅探功能，通过PC机工具，可以找到未知设备的ID号、IP地址、MAC地址等参数。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纯发言会议话筒代表单元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1.会议PC软件支持对代表单元发言计时和定时发言功能，会议PC软件支持对主席单元计时发言功能。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3.采用数字传输链路，通过网口转六芯航空线连接到会议主机级联口供电；非压缩音频传输技术。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4.具有≥2个网口，可用于级联下一台话筒，实现手拉手连接功能。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5.具有独立的web控制页面，支持麦克风ID号、麦克风灵敏度、麦克风EQ等参数的调整；单元具有≥5段EQ调节功能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8.支持IP地址嗅探功能，通过PC机工具，可以找到未知设备的ID号、IP地址、MAC地址等参数。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139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全数字会议话筒纯发言主席单元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内置高保真扬声器，并具有音量调节旋钮，可调节扬声器输出音量大小；具有抑制啸叫功能，当话筒打开时，内置的扬声器会自动关闭。（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2.主席话筒具备关闭代表话筒发言的优先权限。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★3.话筒核心器件全部采用国产化芯片。（提供第三方检测机构出具的具有CNAS或ilAC-MRA标识的检测报告扫描件或复印件）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4.话筒采用数字传输链路；具有≥2个网口，可用于手拉手级联。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5.具有≥3.5mm立体声输出插座，可做录音及连接耳机用。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★6.具有独立的 web 控制页面，支持调节话筒ID号、话筒灵敏度、话筒EQ等参数。（提供第三方检测机构出具的具有CNAS或ilAC-MRA标识的检测报告扫描件或复印件）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8.话筒内置数字功放芯片；芯片具备自动增益AGC和压限功能，能够通过数字功放芯片处理数字音频信号，使话筒内置喇叭输出的音频清晰洪亮。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★9.话筒内置≥1个4Ω 2W喇叭，可通过内置喇叭输出其他话筒发言的音频，实现本地扩声。（提供第三方检测机构出具的具有CNAS或ilAC-MRA标识的检测报告扫描件或复印件）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全数字会议话筒纯发言代表单元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内置高保真扬声器，并具有音量调节旋钮，可调节扬声器输出音量大小；具有抑制啸叫功能，当话筒打开时，内置的扬声器会自动关闭。（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★2.话筒核心器件全部采用国产化芯片。（提供第三方检测机构出具的具有CNAS或ilAC-MRA标识的检测报告扫描件或复印件）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3.话筒采用数字传输链路；具有≥2个网口，可用于手拉手级联。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4.具有≥3.5mm立体声输出插座，可做录音及连接耳机用。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★5.具有独立的 web 控制页面，支持调节话筒ID号、话筒灵敏度、话筒EQ等参数。（提供第三方检测机构出具的具有CNAS或ilAC-MRA标识的检测报告扫描件或复印件）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7.话筒内置数字功放芯片；芯片具备自动增益AGC和压限功能，能够通过数字功放芯片处理数字音频信号，使话筒内置喇叭输出的音频清晰洪亮。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★8.话筒内置≥1个4Ω 2W喇叭，可通过内置喇叭输出其他话筒发言的音频，实现本地扩声。（提供第三方检测机构出具的具有CNAS或ilAC-MRA标识的检测报告扫描件或复印件）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全数字话筒主席单元(短咪杆）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2.采用全彩触屏。咪杆高度（或长度）≤240mm。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10.同声传译支持≥63+1通道，单元具有双通道收听功能，可同时收听不同译员通道。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★11.每个单元支持web管理服务。（提供第三方检测机构出具的具有CNAS或ilAC-MRA标识的检测报告扫描件或复印件）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★12.支持至少4种语言切换，可调整麦克风ID号、麦克风灵敏度、麦克风EQ等参数。（提供第三方检测机构出具的具有CNAS或ilAC-MRA标识的检测报告扫描件或复印件）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★13.具有≥5段EQ调节功能。（提供第三方检测机构出具的具有CNAS或ilAC-MRA标识的检测报告扫描件或复印件）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★14.支持签到功能，也可通过PC机软件进行单元登录等功能的禁止或控制。（提供第三方检测机构出具的具有CNAS或ilAC-MRA标识的检测报告扫描件或复印件）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★15.支持投票功能，提供多种投票方式选项，选项内容可自定义发送至单元显示。（提供第三方检测机构出具的具有CNAS或ilAC-MRA标识的检测报告扫描件或复印件）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★16.单元支持web页面固件升级功能。（提供第三方检测机构出具的具有CNAS或ilAC-MRA标识的检测报告扫描件或复印件）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★18.具有≥2个网口，可用于手拉手级联。（提供第三方检测机构出具的具有CNAS或ilAC-MRA标识的检测报告扫描件或复印件）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19.单元在PC软件的主机配置页面，可设置是否显示时钟，选择否时，时钟将隐藏。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全数字话筒代表单元(短咪杆）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2.采用全彩触屏。咪杆高度（或长度）≤240mm。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9.同声传译支持≥63+1通道，单元具有双通道收听功能，可同时收听不同译员通道。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10.每个单元支持web管理服务。</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11.支持至少4种语言切换，可调整麦克风ID号、麦克风灵敏度、麦克风EQ等参数。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17.具有≥2个网口，可用于手拉手级联。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18.单元在PC软件的主机配置页面，可设置是否显示时钟，选择否时，时钟将隐藏。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4.3寸传音主席话筒（短咪杆）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2.采用4.3寸全彩触屏。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10.同声传译支持≥63+1通道，单元具有双通道收听功能，可同时收听不同译员通道。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11.每个单元支持web管理服务，支持≥四种语言切换、调节话筒ID号、话筒灵敏度、话筒EQ等参数。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17.单元在PC软件的主机配置页面，可设置是否显示时钟，选择否时，时钟将隐藏。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4.3寸传音代表话筒（短咪杆）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1.采用电容触摸按键。咪杆高度（或长度）≤240mm。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★2.采用4.3寸全彩触屏。（提供第三方检测机构出具的具有CNAS或ilAC-MRA标识的检测报告扫描件或复印件）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7.单元采用≥100M网络传输，网络连接采用网线手拉手。</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9.同声传译支持≥63+1通道，单元具有双通道收听功能，可同时收听不同译员通道。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★10.每个单元支持web管理服务，支持≥四种语言切换、调节话筒ID号、话筒灵敏度、话筒EQ等参数。（提供第三方检测机构出具的具有CNAS或ilAC-MRA标识的检测报告扫描件或复印件）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★15.支持IP地址嗅探功能，通过PC机工具，可以找到未知设备的ID号、IP地址、MAC地址等参数。（提供第三方检测机构出具的具有CNAS或ilAC-MRA标识的检测报告扫描件或复印件）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16.单元在PC软件的主机配置页面，可设置是否显示时钟，选择否时，时钟将隐藏。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旗形话筒主席单元（短咪杆）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1.具有旗形全彩触屏。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3.单元具有发言计时和定时发言功能，主席单元具备关闭代表单元发言的优先权限。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5.采用短咪杆拾音设计，远距离拾音。咪杆高度（或长度）≤240mm。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7.单元采用≥100M网络传输，采用单线接入环形网络。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9.同声传译支持≥63+1通道，所有主席和代表单元的发言都在0通道收听，1到63通道为收听译员机发言的通道。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10.每个单元支持web管理服务，支持≥四种语言切换、调节话筒ID号、话筒灵敏度。</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14.支持IP地址嗅探功能，通过PC机工具，可以找到未知设备的ID号、IP地址、MAC地址等参数。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15.单元支持网络修改设备类型（主席/代表）、设置时钟屏保。</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16.具备≥1个3.5mm耳机接口，支持收听同声传译通道的声音或用于连接外置麦克风。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旗形话筒代表单元（短咪杆）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1.具有旗形全彩触屏。</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5.采用短咪杆拾音设计，远距离拾音。咪杆高度（或长度）≤240mm。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6.单元采用非压缩音频传输技术，≥48K采样率，等同或优于80Hz-16KHz带宽音质。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7.单元采用100M网络传输，采用单线接入环形网络。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8.单元通信采用标准的TCP/IP协议，各单元支持ping包功能。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9.同声传译支持≥63+1通道，所有主席和代表单元的发言都在0通道收听，1到63通道为收听译员机发言的通道。</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★10.每个单元支持web管理服务，支持≥四种语言切换、调节话筒ID号、话筒灵敏度。（提供第三方检测机构出具的具有CNAS或ilAC-MRA标识的检测报告扫描件或复印件）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12.支持投票功能，提供多种投票方式选项，选项内容可自定义发送至单元显示。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★14.支持IP地址嗅探功能，通过PC机工具，可以找到未知设备的ID号、IP地址、MAC地址等参数。（提供第三方检测机构出具的具有CNAS或ilAC-MRA标识的检测报告扫描件或复印件）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15.单元支持网络修改设备类型（主席/代表）、设置时钟屏保。</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16.具备≥1个3.5mm耳机接口，支持收听同声传译通道的声音或用于连接外置麦克风。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全数字会议话筒纯发言主席单元（短咪杆）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3.单元内部具有声控功能，声控灵敏度可调。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4.数字传输链路，通过网线连接到会议主机级联口供电，非压缩音频传输技术，≥48k采样率，等同或优于80Hz-16kHz带宽音质。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5.采用实体按键签到方式。咪杆尺寸≤240mm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6.单元具有TCP/IP协议族，支持ICMP、HTTP、UDP、TCP、IGMP等多种协议。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8.单元具有独立的web控制页面，支持调节话筒ID号、话筒灵敏度等参数。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11.支持IP地址嗅探功能，通过PC机工具，可以找到未知设备的ID号、IP地址、MAC地址等参数。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全数字会议话筒纯发言代表单元（短咪杆）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1.单元支持 PC 软件话筒控制，支持声控功能。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2.代表机具有申请发言功能，主席可批准申请人发言。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3.单元内部具有声控功能，声控灵敏度可调。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4.数字传输链路，通过网线连接到会议主机级联口供电，非压缩音频传输技术，≥48k采样率，等同或优于80Hz-16kHz带宽音质。</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5.采用实体按键签到方式。咪杆尺寸≤240mm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6.单元具有TCP/IP协议族，支持ICMP、HTTP、UDP、TCP、IGMP等多种协议。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★8.单元具有独立的web控制页面，支持调节话筒ID号、话筒灵敏度等参数。（提供第三方检测机构出具的具有CNAS或ilAC-MRA标识的检测报告扫描件或复印件）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★11.支持IP地址嗅探功能，通过PC机工具，可以找到未知设备的ID号、IP地址、MAC地址等参数。（提供第三方检测机构出具的具有CNAS或ilAC-MRA标识的检测报告扫描件或复印件）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149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纯发言会议话筒主席单元(短咪杆）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2.会议PC软件支持对代表单元发言计时和定时发言功能，会议PC软件支持对主席单元计时发言功能。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4.采用数字传输链路，通过网口转六芯航空线连接到会议主机级联口供电；非压缩音频传输技术。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5.具有≥2个网口，可用于级联下一台话筒，实现手拉手连接功能。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6.具有独立的web控制页面，支持麦克风ID号、麦克风灵敏度、麦克风EQ等参数的调整；单元具有≥5段EQ调节功能。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9.支持IP地址嗅探功能，通过PC机工具，可以找到未知设备的ID号、IP地址、MAC地址等参数。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纯发言会议话筒代表单元(短咪杆）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1.会议PC软件支持对代表单元发言计时和定时发言功能，会议PC软件支持对主席单元计时发言功能。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2.单元内部具有反馈抑制功能，具有声控功能，声控灵敏度可调。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3.采用数字传输链路，通过网口转六芯航空线连接到会议主机级联口供电；非压缩音频传输技术。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4.具有≥2个网口，可用于级联下一台话筒，实现手拉手连接功能。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5.具有独立的web控制页面，支持麦克风ID号、麦克风灵敏度、麦克风EQ等参数的调整；单元具有≥5段EQ调节功能。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6.支持签到功能，也可通过PC机软件进行单元登录等功能的禁止或控制。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8.支持IP地址嗅探功能，通过PC机工具，可以找到未知设备的ID号、IP地址、MAC地址等参数。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双同传触屏会议主席话筒（短咪杆）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1.采用≥4.3英寸IPS全彩触屏屏幕。咪杆长度≤240mm。</w:t>
            </w:r>
          </w:p>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2.主席单元具备关闭代表单元发言的优先权限。</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5.话筒采用短咪杆，高灵敏度咪芯设计，支持远距离拾音。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6.通信采用标准TCP/IP协议，且每个单元可支持ping包功能。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7.同声传译支持≥63+1通道，具备≥2个3.5mm耳机接口，支持收听同声传译通道的声音或用于连接外置麦克风。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8.单元支持web管理服务，支持四种语言切换、调节话筒ID号、话筒灵敏度、话筒EQ等参数。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9.具有≥5 段 EQ 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10.支持（圆盘）时钟显示功能，可显示时间，支持同步管理电脑时间。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11.支持会议后勤服务功能，话筒单元可向会议主机发送茶水、纸笔、人工服务等需求。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12.支持签到功能，也可以通过PC软件禁止单元签到、控制单元签到等功能。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13.支持表决功能，有多种表决模式选择，且选项内容可自定义下发到单元显示。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15.支持IP地址嗅探功能，通过PC工具可以查找到未知单元的ID号、IP地址、MAC地址等参数。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双同传触屏会议代表话筒（短咪杆）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1.采用≥4.3英寸IPS全彩触屏屏幕。咪杆长度≤240mm</w:t>
            </w:r>
          </w:p>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2.具有发言计时和定时发言功能，代表机具有申请发言功能。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3.内部具有反馈抑制功能，具有声控功能，声控灵敏度可调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4.话筒采用短咪杆，高灵敏度咪芯设计，支持远距离拾音。</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5.通信采用标准TCP/IP协议，且每个单元可支持ping包功能。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★6.同声传译支持≥63+1通道，具备≥2个3.5mm耳机接口，支持收听同声传译通道的声音或用于连接外置麦克风。（提供第三方检测机构出具的具有CNAS或ilAC-MRA标识的检测报告扫描件或复印件）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★7.单元支持web管理服务，支持四种语言切换、调节话筒ID号、话筒灵敏度、话筒EQ等参数。（提供第三方检测机构出具的具有CNAS或ilAC-MRA标识的检测报告扫描件或复印件）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8.具有≥5 段 EQ 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★9.支持（圆盘）时钟显示功能，可显示时间，支持同步管理电脑时间。（提供第三方检测机构出具的具有CNAS或ilAC-MRA标识的检测报告扫描件或复印件）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10.支持会议后勤服务功能，话筒单元可向会议主机发送茶水、纸笔、人工服务等需求。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11.支持签到功能，也可以通过PC软件禁止单元签到、控制单元签到等功能。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12.支持表决功能，有多种表决模式选择，且选项内容可自定义下发到单元显示。</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13.支持web页面固件升级功能。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14.支持IP地址嗅探功能，通过PC工具可以查找到未知单元的ID号、IP地址、MAC地址等参数。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153</w:t>
            </w:r>
          </w:p>
        </w:tc>
        <w:tc>
          <w:tcPr>
            <w:tcW w:w="956"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会议话筒10米连接线</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≥20米延长线（一公一母）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154</w:t>
            </w:r>
          </w:p>
        </w:tc>
        <w:tc>
          <w:tcPr>
            <w:tcW w:w="956"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会议话筒20米连接线</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≥10米延长线（一公一母）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会议话筒插座</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1.一进三出连接单元</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 ≥100M/10M 自适应网络传输，可以实现手拉手级联。</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3.每个六芯航空接口支持IEEE802.3、IEEE802.3u、 IEEE802.3x规范。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无线主席会议话筒单元带耳机口</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1.话筒核心器件全部采用国产化芯片。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2.话筒采用≥48kHz采样率。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4.支持通过Type-C口充电，具有智能指标状态。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5.可通过UI设置SSID。</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★6.具有中文（简体、繁体）、英、俄、法≥4种语言切换显示功能，PC软件支持切换中、英2种语言（提供第三方检测机构出具的具有CNAS或ilAC-MRA标识的检测报告扫描件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★8.具有声控功能。通过软件调节声控灵敏度及设置关闭时间。（提供第三方检测机构出具的具有CNAS或ilAC-MRA标识的检测报告扫描件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★9.支持签到功能，通过PC软件设置并发起。（提供第三方检测机构出具的具有CNAS或ilAC-MRA标识的检测报告扫描件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★10.支持会议投票功能、支持五键选举、三键表决功能。（提供第三方检测机构出具的具有CNAS或ilAC-MRA标识的检测报告扫描件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★11.采用≥128位AES加密技术，支持 WPA/WPA2 无线安全技术。（提供第三方检测机构出具的具有CNAS或ilAC-MRA标识的检测报告扫描件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12.主席具备优先权功能，可关闭正在发言的所有代表话筒。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13.采用全彩触屏，咪杆长度≤240mm。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14.具备≥3.5mm耳机孔，可连接外置麦克风。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15.内置锂电池，电池容量支持≥12小时持续发言。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无线代表会议话筒单元带耳机口</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1.话筒核心器件全部采用国产化芯片。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2.话筒采用≥48kHz采样率。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4.支持通过Type-C口充电，具有智能指标状态。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5.可通过UI设置SSID。</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6.具有中文（简体、繁体）、英、俄、法4种语言切换显示功能，PC软件支持切换中、英2种语言。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8.具有声控功能。通过软件调节声控灵敏度及设置关闭时间。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9.支持签到功能，通过PC软件设置并发起。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10.支持会议投票功能、支持五键选举、三键表决功能。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12.代表机具有申请发言功能，通过主席机批准申请人发言。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13.采用全彩触屏，咪杆长度≤240mm。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14.具备≥3.5mm耳机孔，可连接外置麦克风。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15.内置锂电池，电池容量支持≥12小时持续发言。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无线主席会议话筒单元(喇叭+耳机口）</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1.具有≥4.3英寸彩屏，可显示话筒开/关、ID设置、电量，信号强度等信息；支持多点触摸电容按键。支持中英文语言界面切换。支持签到、表决功能。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2.具备优先权功能，可关闭正在发言的所有代表话筒。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3.具有声控功能可调节声控灵敏度，智能打开话筒和设置关闭时间。具有发言计时和定时发言功能。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4.桌面式话筒采用心型指向性驻极体麦克风，内部具有DSP音频处理，反馈抑制功能。咪杆高度（或长度）≤409mm，支持持续发言时间为≥9-11小时，持续喇叭输出时间为≥7-8小时。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5.采用≥128位AES加密技术，支持WPA/WPA2无线安全技术。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6.具备USB充电接口。标配6节大容量锂电池，电池容量：≥15300mAh。</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8.喇叭最大输出功率：≥2W</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9.耳机输出功率/阻抗：≤15mW/&gt; 32 ohm &lt;200 ohm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10.具备≥1个3.5mm耳机接口，支持收听会议话筒声音或用于连接外置麦克风。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159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无线代表会议话筒单元(喇叭+耳机口）</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1.具有≥4.3英寸彩屏，可显示话筒开/关、ID设置、电量，信号强度等信息；支持多点触摸电容按键。支持中英文语言界面切换。支持签到、表决功能。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2.代表机具有申请发言功能，主席可批准申请人发言。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3.具有声控功能可调节声控灵敏度，智能打开话筒和设置关闭时间。具有发言计时和定时发言功能。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4.桌面式话筒采用心型指向性驻极体麦克风，内部具有DSP音频处理，反馈抑制功能。咪杆高度（或长度）：≤409mm，支持持续发言时间为≥9-11小时，持续喇叭输出时间为≥7-8小时。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5.采用≥128位AES加密技术，支持WPA/WPA2无线安全技术。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6.具备USB充电接口。标配6节大容量锂电池，电池容量：≥15300mAh。</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8.耳机输出功率/阻抗：≤15mW/&gt; 32 ohm &lt;200 ohm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9.具备≥1个3.5mm耳机接口，支持收听会议话筒声音或用于连接外置麦克风。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简约无线会议话筒主席单元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1.支持触摸按键签到功能。具备优先权功能，可关闭正在发言的所有代表话筒。具有声控功能。具有发言计时和定时发言功能。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2.采用心型指向性驻极体麦克风，要求内部具有DSP音频处理，没有“噗噗”的低频冲击声，内部具有反馈抑制功能，可有效地防止啸叫。</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4.具备TYPE-C口，可进行升级程序和在线充电，内置容量锂电池，电池容量≥5100mAh，可持续≥15小时发言。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6.咪杆长度：380mm（黑色）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简约无线会议话筒代表单元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1.支持触摸按键签到功能。具有声控功能。具有发言计时和定时发言功能。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2.采用心型指向性驻极体麦克风，要求内部具有DSP音频处理；内部具有反馈抑制功能。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4.具备TYPE-C口，可进行升级程序和在线充电，内置容量锂电池，电池容量≥5100mAh，可持续≥15小时发言。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6.咪杆长度：≤380mm（黑色）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圆形无线会议话筒主席单元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1.具备优先权功能，可关闭正在发言的所有代表话筒。具有声控功能。具有发言计时和定时发言功能。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2.具备全视角IPS电容触摸显示屏，支持触屏签到。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3.采用心型指向性驻极体麦克风，要求内部具有DSP音频处理；内部具有反馈抑制功能。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5.具备TYPE-C口，可进行升级程序和充电，内置容量锂电池，电池容量≥10200mAh，可持续≥14小时发言。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8.可设置SSID和密码功能，具有中英文切换显示功能，通过PC软件统一设置。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圆形无线会议话筒代表单元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1.代表机具有申请发言功能，通过主席机批准申请人发言。具有声控功能打开话筒。具有发言计时和定时发言功能。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2.具备全视角IPS电容触摸显示屏，支持触屏签到。</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3.采用心型指向性驻极体麦克风，要求内部具有DSP音频处理；内部具有反馈抑制功能。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5.具备TYPE-C口，可进行升级程序和充电，内置容量锂电池，电池容量≥10200mAh，可持续≥14小时发言。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8.可设置SSID和密码功能，具有中英文切换显示功能，通过PC软件统一设置。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方底座无线会议话筒主席单元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2.具有声控功能。通过软件调节声控灵敏度及设置关闭时间。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3.主席具备优先权功能，可关闭正在发言的所有代表话筒。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4.采用≥4.3英寸全彩触屏，咪杆长度≤380mm。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5.话筒采用≥48kHz采样率。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6.采用芯片架构及算法，话筒开机连接时间≤5秒。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8.支持通过Type-C口充电，支持18W快充，具有智能指标状态。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9.可通过UI设置SSID。</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10.具有中英文切换显示功能，通过PC软件统一设置。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11.支持签到功能，通过PC软件设置并发起。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12.支持会议投票功能、支持五键选举、三键表决功能。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14.具备≥3.5mm耳机孔，可连接外置麦克风。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15.内置锂电池，电池容量支持≥14小时持续发言。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方底座无线会议话筒代表单元</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2.具有声控功能。通过软件调节声控灵敏度及设置关闭时间。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3.代表机具有申请发言功能，通过主席机批准申请人发言。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4.采用≥4.3英寸全彩触屏，咪杆长度≤380mm。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5.话筒采用≥48kHz采样率。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6.采用芯片架构及算法，话筒开机连接时间≤5秒。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8.支持通过Type-C口充电，支持≥18W快充，具有智能指标状态。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9.可通过UI设置SSID。</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10.具有中英文切换显示功能，通过PC软件统一设置。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11.支持签到功能，通过PC软件设置并发起。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12.支持会议投票功能、支持五键选举、三键表决功能。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14.具备≥3.5mm耳机孔，可连接外置麦克风。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15.内置锂电池，电池容量支持≥14小时持续发言。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166</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无线主席会议话筒单元（短咪杆）带耳机口</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1.具有≥4.3英寸彩屏，可显示话筒开/关、ID设置、电量，信号强度等信息；支持多点触摸电容按键。支持中英文语言界面切换。支持签到、表决功能。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2.具备优先权功能，可关闭正在发言的所有代表话筒。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3.具有声控功能可调节声控灵敏度，智能打开话筒和设置关闭时间。具有发言计时和定时发言功能。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4.桌面式话筒采用心型指向性驻极体麦克风，内部具有DSP音频处理，反馈抑制功能。咪杆高度（或长度）：≤240mm，可持续≥17小时发言或连续≥24小时工作。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5.采用≥128位AES加密技术，支持WPA/WPA2无线安全技术。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6.具备USB充电接口。标配6节大容量锂电池，电池容量：≥15300mAh</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8.具备≥1个3.5mm耳机接口，支持连接外置麦克风。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167</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无线代表会议话筒单元（短咪杆）带耳机口</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4.3英寸彩屏，可显示话筒开/关、ID设置、电量，信号强度等信息；支持多点触摸电容按键。支持中英文语言界面切换。支持签到、表决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2.代表机具有申请发言功能，主席可批准申请人发言。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3.具有声控功能可调节声控灵敏度，智能打开话筒和设置关闭时间。具有发言计时和定时发言功能。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4.桌面式话筒采用心型指向性驻极体麦克风，内部具有DSP音频处理，反馈抑制功能。咪杆高度（或长度）：≤240mm，可持续≥17小时发言或连续≥24小时工作。</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★5.采用≥128位AES加密技术，支持WPA/WPA2 无线安全技术。（提供第三方检测机构出具的具有CNAS或ilAC-MRA标识的检测报告扫描件或复印件）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★6.具备USB充电接口。标配6节大容量锂电池，电池容量：≥15300mAh。（提供第三方检测机构出具的具有CNAS或ilAC-MRA标识的检测报告扫描件或复印件）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8.具备≥1个3.5mm耳机接口，支持连接外置麦克风。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168</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简约无线会议话筒主席单元（短咪杆）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1.支持触摸按键签到功能。具备优先权功能，可关闭正在发言的所有代表话筒。具有声控功能。具有发言计时和定时发言功能。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2.采用心型指向性驻极体麦克风，要求内部具有DSP音频处理；内部具有反馈抑制功能。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3.采用≥128位AES加密技术，支持 WPA/WPA2 无线安全技术，防止窃听和非授权访问。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4.具备TYPE-C口，可进行升级程序和在线充电，内置容量锂电池，电池容量≥5100mAh，可持续≥15小时发言。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6.咪杆长度：≤190mm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169</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简约无线会议话筒代表单元（短咪杆）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1.支持触摸按键签到功能。具有声控功能。具有发言计时和定时发言功能。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2.采用心型指向性驻极体麦克风，要求内部具有DSP音频处理；内部具有反馈抑制功能。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3.采用≥128位AES加密技术，支持 WPA/WPA2 无线安全技术，防止窃听和非授权访问。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4.具备TYPE-C口，可进行升级程序和在线充电，内置容量锂电池，电池容量≥5100mAh，可持续≥15小时发言。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6.咪杆长度：≤190mm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170</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圆形无线会议话筒主席单元（短咪杆）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1.具备优先权功能，可关闭正在发言的所有代表话筒。具有声控功能。具有发言计时和定时发言功能。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2.具备全视角IPS电容触摸显示屏，支持触屏签到。咪杆高度（或长度）≤240mm。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3.桌面式话筒采用心型指向性驻极体麦克风，要求内部具有DSP音频处理，反馈抑制功能。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5.具备TYPE-C口，可进行升级程序和充电，内置容量锂电池，电池容量≥10200mAh，可持续≥14小时发言。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8.可设置SSID和密码功能，具有中英文切换显示功能，通过PC软件统一设置。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171</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圆形无线会议话筒代表单元（短咪杆）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1.代表机具有申请发言功能，通过主席机批准申请人发言。具有声控功能。具有发言计时和定时发言功能。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2.具备全视角IPS电容触摸显示屏，支持触屏签到。咪杆高度（或长度）≤240mm。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3.桌面式话筒采用心型指向性驻极体麦克风，要求内部具有DSP音频处理，反馈抑制功能。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5.具备TYPE-C口，可进行升级程序和充电，内置容量锂电池，电池容量≥10200Ah，可持续≥14小时发言。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6.支持后台≥5段EQ调节功能。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8.可设置SSID和密码功能，具有中英文切换显示功能，通过PC软件统一设置。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172</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方形底座无线会议话筒主席单元(短咪杆）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2.具有声控功能。通过软件调节声控灵敏度及设置关闭时间。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3.主席具备优先权功能，可关闭正在发言的所有代表话筒。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4.采用≥4.3英寸全彩触屏，咪杆长度≤240mm。</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5.话筒采用≥48kHz采样率。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6.采用芯片架构及算法，话筒开机连接时间≤5秒。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8.支持通过Type-C口充电，支持≥18W快充，具有智能指标状态。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9.可通过UI设置SSID。</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10.具有中英文切换显示功能，通过PC软件统一设置。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11.支持签到功能，通过PC软件设置并发起。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12.支持会议投票功能、支持五键选举、三键表决功能。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13.采用≥128位AES加密技术，支持 WPA/WPA2 无线安全技术。</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14.具备≥3.5mm耳机孔，可连接外置麦克风。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15.内置锂电池，电池容量支持≥14小时持续发言。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173</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方形底座无线会议话筒代表单元(短咪杆）</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【本设备部分引用《电子会议系统工程设计规范》GB 50799-2012中4会议讨论系统中4.3性能设计要求中4.3.1】</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1.频率响应80Hz~15.0kHz（±3dB）。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2.A计权信号噪声比≥75dB。</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1.具有发言计时和定时发言功能。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2.具有声控功能。通过软件调节声控灵敏度及设置关闭时间。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3.代表机具有申请发言功能，通过主席机批准申请人发言。</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★4.采用≥4.3英寸全彩触屏，咪杆长度≤240mm。（提供第三方检测机构出具的具有CNAS或ilAC-MRA标识的检测报告扫描件或复印件）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5.话筒采用≥48kHz采样率。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6.采用芯片架构及算法，话筒开机连接时间≤5秒。</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★7.具有智能检测故障功能，提示用户AP故障、主机通信故障、信号强度过低等情况。（提供第三方检测机构出具的具有CNAS或ilAC-MRA标识的检测报告扫描件或复印件）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★8.支持通过Type-C口充电，支持≥18W快充，具有智能指标状态。</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★9.可通过UI设置SSID。（提供第三方检测机构出具的具有CNAS或ilAC-MRA标识的检测报告扫描件或复印件）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★10.具有中英文切换显示功能，通过PC软件统一设置。（提供第三方检测机构出具的具有CNAS或ilAC-MRA标识的检测报告扫描件或复印件）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11.支持签到功能，通过PC软件设置并发起。</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★12.支持会议投票功能、支持五键选举、三键表决功能。（提供第三方检测机构出具的具有CNAS或ilAC-MRA标识的检测报告扫描件或复印件）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★13.采用≥128位AES加密技术，支持 WPA/WPA2 无线安全技术。（提供第三方检测机构出具的具有CNAS或ilAC-MRA标识的检测报告扫描件或复印件）</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14.具备≥3.5mm耳机孔，可连接外置麦克风。</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15.内置锂电池，电池容量支持≥14小时持续发言。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174</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会议话筒发射器</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【本设备部分引用《YD T 3168-2016 公众无线局域网设备射频指标技术要求和测试方法》中4频段配置一致性要求中4.1工作频率范围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以下为引用标准中重要参数，纳入评议范围：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1.公众无线局域网设备在2.4GHz频段的工作频率范围为2400MHz~2483.5MHz。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2.公众无线局域网设备在5.1GHz频段的工作频率范围为5150MHz~5350MHz。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3.公众无线局域网设备在5.8GHz频段的工作频率范围为5725MHz~5850MHz。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1.支持中文SSID，可指定最长包含≥31个字符的SSID，也可以使用中英文混合的SSID。</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2.遵从Wi-Fi 6协议标准（IEEE 802.11ax），向下兼容802.11a/b/g/n/ac/Wave2，支持MU-MIMO，允许AP同时接收多个终端发送数据，整机最大传输速率可达1.601Gbps。</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3.支持WPA3安全协议。</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4.支持等同或优于80/160MHz的高带宽频段。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restar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175</w:t>
            </w:r>
          </w:p>
        </w:tc>
        <w:tc>
          <w:tcPr>
            <w:tcW w:w="956"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会议话筒充电箱</w:t>
            </w:r>
          </w:p>
        </w:tc>
        <w:tc>
          <w:tcPr>
            <w:tcW w:w="3637" w:type="pct"/>
            <w:vMerge w:val="restar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【本设备部分引用《 JB/T 12148-2015家用和类似用途带USB充电接口的插座》中6.2 USB充电接口的额定值中6.2.1 输出电压；部分引用《GB 4943.1-2022 音视频 信息技术设备和通信技术设备 第1部分：安全要求》中F3.3.4额定电压、F3.3.5 额定频率】</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以下为引用标准中重要参数，纳入评议范围：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1.USB充电接口的额定输出电压为直流5V，允差为土5%。</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对于单一的额定电压，应标示220V或三相380V；对于额定电压范围，应包含220V或三相380V；对于多个额定电压，其中之一应是220V或三相380V，并在出厂时设定为220V或三相380V；对于多个额定电压范围，应包含220V或三相380V，并在出厂时设定为包含220V或三相380V的电压范围。</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3.额定频率或额定频率范围应为50Hz或包含50Hz。</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【以下内容为本设备采购的补充要求】</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1.充电箱具有≥10个USB接口，支持使用USB线充电，提供5V/9V供电。一端连接充电器一端连接会议单元,支持18W快充。支持同时插满所有USB接口。</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2.根据设备的耐受电流大小充电器会自动匹配合适的电流大小给设备充电，同时有过流保护功能。</w:t>
            </w:r>
            <w:r>
              <w:rPr>
                <w:rFonts w:hint="eastAsia" w:ascii="微软雅黑" w:hAnsi="微软雅黑" w:eastAsia="微软雅黑" w:cs="微软雅黑"/>
                <w:i w:val="0"/>
                <w:iCs w:val="0"/>
                <w:color w:val="auto"/>
                <w:kern w:val="0"/>
                <w:sz w:val="18"/>
                <w:szCs w:val="18"/>
                <w:highlight w:val="none"/>
                <w:u w:val="none"/>
                <w:lang w:val="en-US" w:eastAsia="zh-CN" w:bidi="ar"/>
              </w:rPr>
              <w:br w:type="textWrapping"/>
            </w:r>
            <w:r>
              <w:rPr>
                <w:rFonts w:hint="eastAsia" w:ascii="微软雅黑" w:hAnsi="微软雅黑" w:eastAsia="微软雅黑" w:cs="微软雅黑"/>
                <w:i w:val="0"/>
                <w:iCs w:val="0"/>
                <w:color w:val="auto"/>
                <w:kern w:val="0"/>
                <w:sz w:val="18"/>
                <w:szCs w:val="18"/>
                <w:highlight w:val="none"/>
                <w:u w:val="none"/>
                <w:lang w:val="en-US" w:eastAsia="zh-CN" w:bidi="ar"/>
              </w:rPr>
              <w:t>3.智能自动电路保护，所有USB插口均具有短路保护功能和自恢复功能。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06" w:type="pct"/>
            <w:vMerge w:val="continue"/>
            <w:noWrap/>
            <w:vAlign w:val="center"/>
          </w:tcPr>
          <w:p>
            <w:pPr>
              <w:jc w:val="center"/>
              <w:rPr>
                <w:rFonts w:hint="eastAsia" w:ascii="微软雅黑" w:hAnsi="微软雅黑" w:eastAsia="微软雅黑" w:cs="微软雅黑"/>
                <w:i w:val="0"/>
                <w:iCs w:val="0"/>
                <w:color w:val="auto"/>
                <w:sz w:val="18"/>
                <w:szCs w:val="18"/>
                <w:highlight w:val="none"/>
                <w:u w:val="none"/>
              </w:rPr>
            </w:pPr>
          </w:p>
        </w:tc>
        <w:tc>
          <w:tcPr>
            <w:tcW w:w="956"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c>
          <w:tcPr>
            <w:tcW w:w="3637" w:type="pct"/>
            <w:vMerge w:val="continue"/>
            <w:noWrap w:val="0"/>
            <w:vAlign w:val="center"/>
          </w:tcPr>
          <w:p>
            <w:pPr>
              <w:rPr>
                <w:rFonts w:hint="eastAsia" w:ascii="微软雅黑" w:hAnsi="微软雅黑" w:eastAsia="微软雅黑" w:cs="微软雅黑"/>
                <w:i w:val="0"/>
                <w:iCs w:val="0"/>
                <w:color w:val="auto"/>
                <w:sz w:val="18"/>
                <w:szCs w:val="1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176</w:t>
            </w:r>
          </w:p>
        </w:tc>
        <w:tc>
          <w:tcPr>
            <w:tcW w:w="956" w:type="pct"/>
            <w:noWrap/>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技术服务1</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搬运施工现场的物资和设备。协助施工区域的清理和整理。执行其他无需专业技能的辅助性任务。在设备质保期结束后，若设备需要迁移或重新安装，且不涉及专业调试工作时，可使用此项服务。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177</w:t>
            </w:r>
          </w:p>
        </w:tc>
        <w:tc>
          <w:tcPr>
            <w:tcW w:w="956" w:type="pct"/>
            <w:noWrap/>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技术服务2</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进行电缆的敷设、连接和端子处理。安装和维护电气设备及相关部件。检测和排除基本的电气故障，确保系统正常运行。在设备质保期结束后，进行设备迁移或重新安装时，涉及电气连接和基础调试的工作，可使用此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178</w:t>
            </w:r>
          </w:p>
        </w:tc>
        <w:tc>
          <w:tcPr>
            <w:tcW w:w="956" w:type="pct"/>
            <w:noWrap/>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技术服务3</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诊断并解决复杂的电气故障。进行设备的高级别维护和调整。提供技术支持，确保设备在新环境中的正常运行。在设备质保期结束后，设备迁移或重新安装过程中，遇到复杂电气问题或需要高级别技术支持时，可使用此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179</w:t>
            </w:r>
          </w:p>
        </w:tc>
        <w:tc>
          <w:tcPr>
            <w:tcW w:w="956" w:type="pct"/>
            <w:noWrap/>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专业技术服务1</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在一线城市范围内为会议室设备提供相应的线缆铺设服务，包含设备的安装、线缆敷设、接线及整理、管槽预埋、标识等。施工过程中涉及的线缆及管材由采购方提供，其他施工所需螺丝等固定件、扎带、标签纸、线缆两端标识等辅料由卖方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180</w:t>
            </w:r>
          </w:p>
        </w:tc>
        <w:tc>
          <w:tcPr>
            <w:tcW w:w="956" w:type="pct"/>
            <w:noWrap/>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专业技术服务2</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在二线城市范围内为会议室设备提供相应的线缆铺设服务，包含设备的安装、线缆敷设、接线及整理、管槽预埋、标识等。施工过程中涉及的线缆及管材由采购方提供，其他施工所需螺丝等固定件、扎带、标签纸、线缆两端标识等辅料由卖方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06" w:type="pct"/>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181</w:t>
            </w:r>
          </w:p>
        </w:tc>
        <w:tc>
          <w:tcPr>
            <w:tcW w:w="956" w:type="pct"/>
            <w:noWrap/>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专业技术服务3</w:t>
            </w:r>
          </w:p>
        </w:tc>
        <w:tc>
          <w:tcPr>
            <w:tcW w:w="3637" w:type="pct"/>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在三线城市范围内为会议室设备提供相应的线缆铺设服务，包含设备的安装、线缆敷设、接线及整理、管槽预埋、标识等。施工过程中涉及的线缆及管材由采购方提供，其他施工所需螺丝等固定件、扎带、标签纸、线缆两端标识等辅料由卖方完成。</w:t>
            </w:r>
          </w:p>
        </w:tc>
      </w:tr>
    </w:tbl>
    <w:p>
      <w:pPr>
        <w:rPr>
          <w:rFonts w:hint="eastAsia"/>
          <w:lang w:val="zh-CN" w:eastAsia="zh-CN"/>
        </w:rPr>
      </w:pPr>
    </w:p>
    <w:bookmarkEnd w:id="4"/>
    <w:bookmarkEnd w:id="5"/>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标识、包装、运输和存储</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textAlignment w:val="auto"/>
        <w:outlineLvl w:val="1"/>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产品标识</w:t>
      </w:r>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color w:val="auto"/>
          <w:sz w:val="21"/>
          <w:szCs w:val="21"/>
          <w:highlight w:val="none"/>
          <w:lang w:eastAsia="zh-CN"/>
        </w:rPr>
        <w:t>设备上需标有产品名称、规格型号、S/N码、生产商名称等</w:t>
      </w:r>
      <w:r>
        <w:rPr>
          <w:rFonts w:hint="eastAsia" w:ascii="微软雅黑" w:hAnsi="微软雅黑" w:eastAsia="微软雅黑" w:cs="微软雅黑"/>
          <w:sz w:val="21"/>
          <w:szCs w:val="21"/>
          <w:lang w:eastAsia="zh-CN"/>
        </w:rPr>
        <w:t>。</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textAlignment w:val="auto"/>
        <w:outlineLvl w:val="1"/>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产品包装</w:t>
      </w:r>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产品外包装需完整，内部包装需有缓冲物包裹。</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textAlignment w:val="auto"/>
        <w:outlineLvl w:val="1"/>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产品运输</w:t>
      </w:r>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由成交人负责运输到国内指定地点，包装必须保证安全可靠，运输过程由包装、运输造成各类损失由卖方承担，并需送货上楼。</w:t>
      </w:r>
    </w:p>
    <w:p>
      <w:pPr>
        <w:keepNext w:val="0"/>
        <w:keepLines w:val="0"/>
        <w:pageBreakBefore w:val="0"/>
        <w:widowControl/>
        <w:numPr>
          <w:ilvl w:val="1"/>
          <w:numId w:val="1"/>
        </w:numPr>
        <w:tabs>
          <w:tab w:val="left" w:pos="0"/>
        </w:tabs>
        <w:kinsoku/>
        <w:wordWrap/>
        <w:overflowPunct/>
        <w:topLinePunct w:val="0"/>
        <w:autoSpaceDE/>
        <w:autoSpaceDN/>
        <w:bidi w:val="0"/>
        <w:adjustRightInd/>
        <w:snapToGrid/>
        <w:spacing w:line="240" w:lineRule="auto"/>
        <w:ind w:left="420" w:leftChars="0" w:hanging="420" w:firstLineChars="0"/>
        <w:jc w:val="left"/>
        <w:textAlignment w:val="auto"/>
        <w:outlineLvl w:val="1"/>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产品存储</w:t>
      </w:r>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相对温度：-10℃~40℃</w:t>
      </w:r>
    </w:p>
    <w:p>
      <w:pPr>
        <w:pStyle w:val="4"/>
        <w:keepNext w:val="0"/>
        <w:keepLines w:val="0"/>
        <w:pageBreakBefore w:val="0"/>
        <w:widowControl w:val="0"/>
        <w:kinsoku/>
        <w:wordWrap/>
        <w:overflowPunct/>
        <w:topLinePunct w:val="0"/>
        <w:autoSpaceDE/>
        <w:autoSpaceDN/>
        <w:bidi w:val="0"/>
        <w:adjustRightInd/>
        <w:snapToGrid/>
        <w:spacing w:line="240" w:lineRule="auto"/>
        <w:ind w:firstLine="44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相对湿度：10%~90%</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技术文件</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highlight w:val="none"/>
          <w:lang w:eastAsia="zh-CN"/>
        </w:rPr>
      </w:pPr>
      <w:r>
        <w:rPr>
          <w:rFonts w:hint="eastAsia" w:ascii="微软雅黑" w:hAnsi="微软雅黑" w:eastAsia="微软雅黑" w:cs="微软雅黑"/>
          <w:sz w:val="21"/>
          <w:szCs w:val="21"/>
          <w:highlight w:val="none"/>
          <w:lang w:val="zh-CN" w:eastAsia="zh-CN"/>
        </w:rPr>
        <w:t>★</w:t>
      </w:r>
      <w:r>
        <w:rPr>
          <w:rFonts w:hint="eastAsia" w:ascii="微软雅黑" w:hAnsi="微软雅黑" w:eastAsia="微软雅黑" w:cs="微软雅黑"/>
          <w:sz w:val="21"/>
          <w:szCs w:val="21"/>
          <w:highlight w:val="none"/>
          <w:lang w:eastAsia="zh-CN"/>
        </w:rPr>
        <w:t>所有投标设备，若涉及老项目改造的，需与改造场所已使用的原品牌设备进行无缝对接并提供无缝对接承诺书，应答人承诺所投的设备可与原使用设备无缝对接、良好兼容；如果出现不同品牌系统设备之间不兼容的问题，应答人应免费负责完成兼容涉及的所有工作，否则采购人有权拒绝验收并要求应答人整改，如因此给采购人造成损失的，一切损失由应答人承担。</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对所投标设备的软硬件、安装、调试、人员服务、培训和环境等方面的要求所涉及的费用均包含在本次招标的投标范围之内。如果投标方没有提供明确的报价，可以认为上述要求所需要的费用由投标方免费提供；</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需提供完工资料文件，包含操作手册、系统图、线缆及设备标识等。卖方需提供产品合格证，产品操作手册等；</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一切用以把设备组装成完整系统所必需的部件、配件、零件、紧固件和设备之间的电缆布线及其它器材均应包括在清单中；</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投标方所提供的设备需满足本招标书中所述技术规格。若本标书中的设备、材料、许可证等方面的配置或要求中出现不合理、不完整、遗漏等问题时投标人有责任和义务提出补充；</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投标方的投标技术文件中需包含系统方案详细介绍、系统组成、各部分作用、详细的系统连接图、设备清单、设备资料等；</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投标方应认真阅读要求和标准中提到的各种须知、要求、表格、术语及规范，对技术要求和标准任何方面应答不完全或不确切均可能导致投标失败。</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工作进度、监造和现场验收</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val="en-US" w:eastAsia="zh-CN"/>
        </w:rPr>
        <w:t>★厂验要求：投标人需承诺满足如买方或买方执行方需要，投标人接受进行厂验。</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送货地点：以订单约定内容为准。</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送货要求：发货前需与货物接收人沟通具体发货时间，按照货物接收人通知为准，需提供现场所需文件等，如合格证、发货单等。</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车辆要求：车辆进入场地需配备安全帽、倒车喇叭等。</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交货日期：合同签订后45日或收到买方实际通知后</w:t>
      </w:r>
      <w:r>
        <w:rPr>
          <w:rFonts w:hint="eastAsia" w:ascii="微软雅黑" w:hAnsi="微软雅黑" w:eastAsia="微软雅黑" w:cs="微软雅黑"/>
          <w:lang w:val="en-US" w:eastAsia="zh-CN"/>
        </w:rPr>
        <w:t>30</w:t>
      </w:r>
      <w:r>
        <w:rPr>
          <w:rFonts w:hint="eastAsia" w:ascii="微软雅黑" w:hAnsi="微软雅黑" w:eastAsia="微软雅黑" w:cs="微软雅黑"/>
          <w:lang w:eastAsia="zh-CN"/>
        </w:rPr>
        <w:t>日内。发货前应取得买方（书面或邮件形式）同意。如卖方未取得买方同意自行发货，买方有权拒收该批货物，随之所生的相发关费用由卖方承担。</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设备验收要求，需提供设备明细清单。</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货物接收人：张玮，18202228427，zhangwei173@cnooc.com.cn</w:t>
      </w:r>
    </w:p>
    <w:p>
      <w:pPr>
        <w:pStyle w:val="6"/>
        <w:numPr>
          <w:ilvl w:val="0"/>
          <w:numId w:val="3"/>
        </w:numPr>
        <w:spacing w:line="257" w:lineRule="auto"/>
        <w:ind w:firstLineChars="0"/>
        <w:rPr>
          <w:rFonts w:hint="eastAsia" w:ascii="微软雅黑" w:hAnsi="微软雅黑" w:eastAsia="微软雅黑" w:cs="微软雅黑"/>
          <w:lang w:eastAsia="zh-CN"/>
        </w:rPr>
      </w:pPr>
      <w:r>
        <w:rPr>
          <w:rFonts w:hint="eastAsia" w:ascii="微软雅黑" w:hAnsi="微软雅黑" w:eastAsia="微软雅黑" w:cs="微软雅黑"/>
          <w:lang w:eastAsia="zh-CN"/>
        </w:rPr>
        <w:t>采办联系人：</w:t>
      </w:r>
      <w:r>
        <w:rPr>
          <w:rFonts w:hint="eastAsia" w:ascii="微软雅黑" w:hAnsi="微软雅黑" w:eastAsia="微软雅黑" w:cs="微软雅黑"/>
          <w:lang w:eastAsia="zh-CN"/>
        </w:rPr>
        <w:fldChar w:fldCharType="begin"/>
      </w:r>
      <w:r>
        <w:rPr>
          <w:rFonts w:hint="eastAsia" w:ascii="微软雅黑" w:hAnsi="微软雅黑" w:eastAsia="微软雅黑" w:cs="微软雅黑"/>
          <w:lang w:eastAsia="zh-CN"/>
        </w:rPr>
        <w:instrText xml:space="preserve"> HYPERLINK "mailto:侯东辉，25807969，ex_houdh@cnooc.com.cn；" </w:instrText>
      </w:r>
      <w:r>
        <w:rPr>
          <w:rFonts w:hint="eastAsia" w:ascii="微软雅黑" w:hAnsi="微软雅黑" w:eastAsia="微软雅黑" w:cs="微软雅黑"/>
          <w:lang w:eastAsia="zh-CN"/>
        </w:rPr>
        <w:fldChar w:fldCharType="separate"/>
      </w:r>
      <w:r>
        <w:rPr>
          <w:rFonts w:hint="eastAsia" w:ascii="微软雅黑" w:hAnsi="微软雅黑" w:eastAsia="微软雅黑" w:cs="微软雅黑"/>
          <w:lang w:eastAsia="zh-CN"/>
        </w:rPr>
        <w:t>侯东辉，</w:t>
      </w:r>
      <w:r>
        <w:rPr>
          <w:rFonts w:hint="eastAsia" w:ascii="微软雅黑" w:hAnsi="微软雅黑" w:eastAsia="微软雅黑" w:cs="微软雅黑"/>
          <w:lang w:val="en-US" w:eastAsia="zh-CN"/>
        </w:rPr>
        <w:t>022-</w:t>
      </w:r>
      <w:r>
        <w:rPr>
          <w:rFonts w:hint="eastAsia" w:ascii="微软雅黑" w:hAnsi="微软雅黑" w:eastAsia="微软雅黑" w:cs="微软雅黑"/>
          <w:lang w:eastAsia="zh-CN"/>
        </w:rPr>
        <w:t>25807969，ex_houdh@cnooc.com.cn；</w:t>
      </w:r>
      <w:r>
        <w:rPr>
          <w:rFonts w:hint="eastAsia" w:ascii="微软雅黑" w:hAnsi="微软雅黑" w:eastAsia="微软雅黑" w:cs="微软雅黑"/>
          <w:lang w:eastAsia="zh-CN"/>
        </w:rPr>
        <w:fldChar w:fldCharType="end"/>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质量保证</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质保期与质保金要求：设备到货验收并安装调试完毕，验收合格之日起，免费质保36个月。质保期满一年后，经买方确认设备无质量问题且验收合格后，买方在收到卖方付款申请及开具满足要求的合同金额【5%】收据后按付款周期要求，买方支付质保金【5%】。</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eastAsia="zh-CN"/>
        </w:rPr>
        <w:t>考核、罚则、赔偿等特殊要求：到货验收不合格，无条件退货。</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支持进行工厂验收测试，且根据要求可提供测试报告，所有设备均需提供合格证及检测报告，进口设备需提供出入关证明。所有设备运抵现场前需经过防疫消毒处理。</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现场安装调试完成后，需要厂家进行系统联调，需要全部满足技术要求书中的要求，如出现检测项不满足，产品视为验收不合格。</w:t>
      </w:r>
    </w:p>
    <w:p>
      <w:pPr>
        <w:keepNext w:val="0"/>
        <w:keepLines w:val="0"/>
        <w:pageBreakBefore w:val="0"/>
        <w:widowControl/>
        <w:numPr>
          <w:ilvl w:val="0"/>
          <w:numId w:val="1"/>
        </w:numPr>
        <w:kinsoku/>
        <w:wordWrap/>
        <w:overflowPunct/>
        <w:topLinePunct w:val="0"/>
        <w:autoSpaceDE/>
        <w:autoSpaceDN/>
        <w:bidi w:val="0"/>
        <w:adjustRightInd/>
        <w:snapToGrid/>
        <w:spacing w:before="120" w:after="120"/>
        <w:ind w:left="0" w:leftChars="0" w:firstLine="0" w:firstLineChars="0"/>
        <w:jc w:val="both"/>
        <w:textAlignment w:val="auto"/>
        <w:outlineLvl w:val="0"/>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lang w:eastAsia="zh-CN"/>
        </w:rPr>
        <w:t>技术服务与售后服务</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卖方提供相应的测试、培训等人员现场支持服务。</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sz w:val="21"/>
          <w:szCs w:val="21"/>
          <w:lang w:val="zh-CN" w:eastAsia="zh-CN"/>
        </w:rPr>
        <w:t>技术联络与响应，卖方在接到买方通知后及时给予答复，24小时到达现场；</w:t>
      </w:r>
    </w:p>
    <w:p>
      <w:pPr>
        <w:pStyle w:val="4"/>
        <w:keepNext w:val="0"/>
        <w:keepLines w:val="0"/>
        <w:pageBreakBefore w:val="0"/>
        <w:widowControl w:val="0"/>
        <w:numPr>
          <w:ilvl w:val="1"/>
          <w:numId w:val="1"/>
        </w:numPr>
        <w:tabs>
          <w:tab w:val="left" w:pos="0"/>
          <w:tab w:val="clear" w:pos="420"/>
        </w:tabs>
        <w:kinsoku/>
        <w:wordWrap/>
        <w:overflowPunct/>
        <w:topLinePunct w:val="0"/>
        <w:autoSpaceDE/>
        <w:autoSpaceDN/>
        <w:bidi w:val="0"/>
        <w:adjustRightInd/>
        <w:snapToGrid/>
        <w:spacing w:line="240" w:lineRule="auto"/>
        <w:ind w:left="420" w:leftChars="0" w:hanging="420" w:firstLineChars="0"/>
        <w:jc w:val="both"/>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zh-CN" w:eastAsia="zh-CN"/>
        </w:rPr>
        <w:t>保密要求，如涉及知识产权的使用或其他保密要求。</w:t>
      </w:r>
    </w:p>
    <w:sectPr>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A0000287" w:usb1="28CF3C52" w:usb2="00000016" w:usb3="00000000" w:csb0="0004001F" w:csb1="00000000"/>
  </w:font>
  <w:font w:name="微软雅黑">
    <w:panose1 w:val="020B0503020204020204"/>
    <w:charset w:val="86"/>
    <w:family w:val="auto"/>
    <w:pitch w:val="default"/>
    <w:sig w:usb0="A0000287" w:usb1="28CF3C52" w:usb2="00000016" w:usb3="00000000" w:csb0="0004001F" w:csb1="00000000"/>
  </w:font>
  <w:font w:name="Arial Unicode MS">
    <w:altName w:val="宋体"/>
    <w:panose1 w:val="020B0604020202020204"/>
    <w:charset w:val="86"/>
    <w:family w:val="roman"/>
    <w:pitch w:val="default"/>
    <w:sig w:usb0="00000000" w:usb1="00000000"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15</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iA8iQrgEAAEsD&#10;AAAOAAAAAAAAAAEAIAAAAB4BAABkcnMvZTJvRG9jLnhtbFBLBQYAAAAABgAGAFkBAAA+BQ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distribute"/>
      <w:rPr>
        <w:lang w:eastAsia="zh-CN"/>
      </w:rPr>
    </w:pPr>
    <w:r>
      <w:rPr>
        <w:rFonts w:hint="eastAsia" w:ascii="宋体" w:hAnsi="宋体"/>
        <w:lang w:eastAsia="zh-CN"/>
      </w:rPr>
      <w:t>编号：</w:t>
    </w:r>
    <w:r>
      <w:rPr>
        <w:rFonts w:ascii="宋体" w:hAnsi="宋体"/>
        <w:lang w:eastAsia="zh-CN"/>
      </w:rPr>
      <w:t>SCM-01-01-XK-01-</w:t>
    </w:r>
    <w:r>
      <w:rPr>
        <w:rFonts w:hint="eastAsia" w:ascii="宋体" w:hAnsi="宋体"/>
        <w:lang w:eastAsia="zh-CN"/>
      </w:rPr>
      <w:t>C</w:t>
    </w:r>
    <w:r>
      <w:rPr>
        <w:rFonts w:ascii="宋体" w:hAnsi="宋体"/>
        <w:lang w:eastAsia="zh-CN"/>
      </w:rPr>
      <w:t>05</w:t>
    </w:r>
    <w:r>
      <w:rPr>
        <w:rFonts w:hint="eastAsia" w:ascii="宋体" w:hAnsi="宋体"/>
        <w:lang w:eastAsia="zh-CN"/>
      </w:rPr>
      <w:t xml:space="preserve">                                                  版本：202</w:t>
    </w:r>
    <w:r>
      <w:rPr>
        <w:rFonts w:ascii="宋体" w:hAnsi="宋体"/>
        <w:lang w:eastAsia="zh-CN"/>
      </w:rPr>
      <w:t>1</w:t>
    </w:r>
    <w:r>
      <w:rPr>
        <w:rFonts w:hint="eastAsia" w:ascii="宋体" w:hAnsi="宋体"/>
        <w:lang w:eastAsia="zh-CN"/>
      </w:rPr>
      <w:t>-01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03D4EF"/>
    <w:multiLevelType w:val="singleLevel"/>
    <w:tmpl w:val="9703D4EF"/>
    <w:lvl w:ilvl="0" w:tentative="0">
      <w:start w:val="1"/>
      <w:numFmt w:val="bullet"/>
      <w:lvlText w:val=""/>
      <w:lvlJc w:val="left"/>
      <w:pPr>
        <w:ind w:left="420" w:hanging="420"/>
      </w:pPr>
      <w:rPr>
        <w:rFonts w:hint="default" w:ascii="Wingdings" w:hAnsi="Wingdings"/>
      </w:rPr>
    </w:lvl>
  </w:abstractNum>
  <w:abstractNum w:abstractNumId="1">
    <w:nsid w:val="CBE8427F"/>
    <w:multiLevelType w:val="singleLevel"/>
    <w:tmpl w:val="CBE8427F"/>
    <w:lvl w:ilvl="0" w:tentative="0">
      <w:start w:val="1"/>
      <w:numFmt w:val="bullet"/>
      <w:lvlText w:val=""/>
      <w:lvlJc w:val="left"/>
      <w:pPr>
        <w:ind w:left="420" w:hanging="420"/>
      </w:pPr>
      <w:rPr>
        <w:rFonts w:hint="default" w:ascii="Wingdings" w:hAnsi="Wingdings"/>
      </w:rPr>
    </w:lvl>
  </w:abstractNum>
  <w:abstractNum w:abstractNumId="2">
    <w:nsid w:val="12CF7EF6"/>
    <w:multiLevelType w:val="multilevel"/>
    <w:tmpl w:val="12CF7EF6"/>
    <w:lvl w:ilvl="0" w:tentative="0">
      <w:start w:val="1"/>
      <w:numFmt w:val="chineseCounting"/>
      <w:suff w:val="nothing"/>
      <w:lvlText w:val="%1、"/>
      <w:lvlJc w:val="left"/>
      <w:pPr>
        <w:tabs>
          <w:tab w:val="left" w:pos="0"/>
        </w:tabs>
        <w:ind w:left="0" w:firstLine="0"/>
      </w:pPr>
      <w:rPr>
        <w:rFonts w:hint="eastAsia" w:ascii="微软雅黑" w:hAnsi="微软雅黑" w:eastAsia="微软雅黑"/>
        <w:sz w:val="32"/>
      </w:rPr>
    </w:lvl>
    <w:lvl w:ilvl="1" w:tentative="0">
      <w:start w:val="1"/>
      <w:numFmt w:val="decimal"/>
      <w:lvlText w:val="%2."/>
      <w:lvlJc w:val="left"/>
      <w:pPr>
        <w:tabs>
          <w:tab w:val="left" w:pos="420"/>
        </w:tabs>
        <w:ind w:left="420" w:leftChars="0" w:hanging="420" w:firstLineChars="0"/>
      </w:pPr>
      <w:rPr>
        <w:rFonts w:hint="eastAsia" w:ascii="微软雅黑" w:hAnsi="微软雅黑" w:eastAsia="宋体" w:cs="宋体"/>
        <w:sz w:val="21"/>
      </w:rPr>
    </w:lvl>
    <w:lvl w:ilvl="2" w:tentative="0">
      <w:start w:val="1"/>
      <w:numFmt w:val="decimal"/>
      <w:lvlText w:val="(%3)"/>
      <w:lvlJc w:val="left"/>
      <w:pPr>
        <w:tabs>
          <w:tab w:val="left" w:pos="420"/>
        </w:tabs>
        <w:ind w:left="420" w:leftChars="0" w:hanging="420" w:firstLineChars="0"/>
      </w:pPr>
      <w:rPr>
        <w:rFonts w:hint="eastAsia" w:ascii="微软雅黑" w:hAnsi="微软雅黑" w:eastAsia="宋体" w:cs="宋体"/>
        <w:sz w:val="21"/>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zMGM2ZDI2OTU5NzFkNWYwMDM0OTA0MjJkOGU3MGUifQ=="/>
    <w:docVar w:name="KSO_WPS_MARK_KEY" w:val="ce8edd37-6ad0-4bfc-b9e1-007b79d0a85a"/>
  </w:docVars>
  <w:rsids>
    <w:rsidRoot w:val="3B040348"/>
    <w:rsid w:val="000329F0"/>
    <w:rsid w:val="00033D75"/>
    <w:rsid w:val="00051100"/>
    <w:rsid w:val="00053A14"/>
    <w:rsid w:val="0005741C"/>
    <w:rsid w:val="000651E8"/>
    <w:rsid w:val="0008217D"/>
    <w:rsid w:val="000868EB"/>
    <w:rsid w:val="00093FBA"/>
    <w:rsid w:val="000A746A"/>
    <w:rsid w:val="000C28EA"/>
    <w:rsid w:val="000D1E37"/>
    <w:rsid w:val="001303B5"/>
    <w:rsid w:val="00175A67"/>
    <w:rsid w:val="00177D87"/>
    <w:rsid w:val="00180EE8"/>
    <w:rsid w:val="001864C2"/>
    <w:rsid w:val="001A1DBD"/>
    <w:rsid w:val="001A4EBD"/>
    <w:rsid w:val="001C703B"/>
    <w:rsid w:val="001D1901"/>
    <w:rsid w:val="001E533D"/>
    <w:rsid w:val="001F4C0B"/>
    <w:rsid w:val="00205170"/>
    <w:rsid w:val="0022327F"/>
    <w:rsid w:val="00247661"/>
    <w:rsid w:val="00252EA3"/>
    <w:rsid w:val="002908DB"/>
    <w:rsid w:val="00291554"/>
    <w:rsid w:val="002B3CF8"/>
    <w:rsid w:val="002C3528"/>
    <w:rsid w:val="00311C58"/>
    <w:rsid w:val="00327EAD"/>
    <w:rsid w:val="00331E68"/>
    <w:rsid w:val="0035515E"/>
    <w:rsid w:val="00356168"/>
    <w:rsid w:val="003B70D6"/>
    <w:rsid w:val="003C619D"/>
    <w:rsid w:val="0040022D"/>
    <w:rsid w:val="00404FD8"/>
    <w:rsid w:val="00410DF7"/>
    <w:rsid w:val="00411581"/>
    <w:rsid w:val="0042088A"/>
    <w:rsid w:val="00427F7A"/>
    <w:rsid w:val="00432005"/>
    <w:rsid w:val="004452A0"/>
    <w:rsid w:val="00477775"/>
    <w:rsid w:val="004A107E"/>
    <w:rsid w:val="004A2863"/>
    <w:rsid w:val="004A288A"/>
    <w:rsid w:val="004C393F"/>
    <w:rsid w:val="004D63B0"/>
    <w:rsid w:val="00510F5E"/>
    <w:rsid w:val="0052533C"/>
    <w:rsid w:val="00540F2D"/>
    <w:rsid w:val="005435F1"/>
    <w:rsid w:val="00552025"/>
    <w:rsid w:val="00557592"/>
    <w:rsid w:val="0057537D"/>
    <w:rsid w:val="005869AD"/>
    <w:rsid w:val="00592BCA"/>
    <w:rsid w:val="005A5851"/>
    <w:rsid w:val="005B3374"/>
    <w:rsid w:val="005F6167"/>
    <w:rsid w:val="006031C6"/>
    <w:rsid w:val="006136E0"/>
    <w:rsid w:val="00615453"/>
    <w:rsid w:val="0063647B"/>
    <w:rsid w:val="00651C93"/>
    <w:rsid w:val="00657B80"/>
    <w:rsid w:val="00665F7B"/>
    <w:rsid w:val="006A0C8E"/>
    <w:rsid w:val="006C1579"/>
    <w:rsid w:val="006C4558"/>
    <w:rsid w:val="006D165E"/>
    <w:rsid w:val="006E5488"/>
    <w:rsid w:val="006F5C58"/>
    <w:rsid w:val="00705C0A"/>
    <w:rsid w:val="0070694E"/>
    <w:rsid w:val="00716D45"/>
    <w:rsid w:val="007200AE"/>
    <w:rsid w:val="00775D5C"/>
    <w:rsid w:val="007A3C73"/>
    <w:rsid w:val="007A4A66"/>
    <w:rsid w:val="007B2D39"/>
    <w:rsid w:val="007D1ACF"/>
    <w:rsid w:val="007D478E"/>
    <w:rsid w:val="007D7C41"/>
    <w:rsid w:val="007E1D87"/>
    <w:rsid w:val="007F64B9"/>
    <w:rsid w:val="00810298"/>
    <w:rsid w:val="00841240"/>
    <w:rsid w:val="0084335B"/>
    <w:rsid w:val="0085044D"/>
    <w:rsid w:val="00865F6F"/>
    <w:rsid w:val="0088488F"/>
    <w:rsid w:val="00916064"/>
    <w:rsid w:val="00925B9B"/>
    <w:rsid w:val="00925E60"/>
    <w:rsid w:val="009568C1"/>
    <w:rsid w:val="00965EAD"/>
    <w:rsid w:val="00966C1C"/>
    <w:rsid w:val="0097346E"/>
    <w:rsid w:val="009752F4"/>
    <w:rsid w:val="009A6616"/>
    <w:rsid w:val="009B297B"/>
    <w:rsid w:val="009E024F"/>
    <w:rsid w:val="009E54BE"/>
    <w:rsid w:val="00A1264B"/>
    <w:rsid w:val="00A25899"/>
    <w:rsid w:val="00A35069"/>
    <w:rsid w:val="00A352E8"/>
    <w:rsid w:val="00A433C6"/>
    <w:rsid w:val="00A526C3"/>
    <w:rsid w:val="00A83733"/>
    <w:rsid w:val="00A85FB6"/>
    <w:rsid w:val="00AA12C1"/>
    <w:rsid w:val="00AA1A1C"/>
    <w:rsid w:val="00AA7912"/>
    <w:rsid w:val="00AD39D9"/>
    <w:rsid w:val="00AD3F9A"/>
    <w:rsid w:val="00B15E13"/>
    <w:rsid w:val="00B261A1"/>
    <w:rsid w:val="00B3328C"/>
    <w:rsid w:val="00B40086"/>
    <w:rsid w:val="00B4243B"/>
    <w:rsid w:val="00B61174"/>
    <w:rsid w:val="00B62EFB"/>
    <w:rsid w:val="00B673F7"/>
    <w:rsid w:val="00B731C7"/>
    <w:rsid w:val="00B746BF"/>
    <w:rsid w:val="00B77C1A"/>
    <w:rsid w:val="00B97321"/>
    <w:rsid w:val="00B97D9D"/>
    <w:rsid w:val="00BA7C95"/>
    <w:rsid w:val="00BB6760"/>
    <w:rsid w:val="00BC0907"/>
    <w:rsid w:val="00BC1177"/>
    <w:rsid w:val="00BF5308"/>
    <w:rsid w:val="00C2207C"/>
    <w:rsid w:val="00C43AA7"/>
    <w:rsid w:val="00C4740B"/>
    <w:rsid w:val="00C73F9F"/>
    <w:rsid w:val="00C74264"/>
    <w:rsid w:val="00C96F9B"/>
    <w:rsid w:val="00CE045F"/>
    <w:rsid w:val="00CE4E68"/>
    <w:rsid w:val="00CE4F32"/>
    <w:rsid w:val="00CF171B"/>
    <w:rsid w:val="00CF42AE"/>
    <w:rsid w:val="00D12A0F"/>
    <w:rsid w:val="00D448EF"/>
    <w:rsid w:val="00D63268"/>
    <w:rsid w:val="00D82ABB"/>
    <w:rsid w:val="00D92A8E"/>
    <w:rsid w:val="00DA3DD0"/>
    <w:rsid w:val="00DA73E4"/>
    <w:rsid w:val="00DB6A91"/>
    <w:rsid w:val="00DE07ED"/>
    <w:rsid w:val="00DF0E6E"/>
    <w:rsid w:val="00DF5FAC"/>
    <w:rsid w:val="00E418F6"/>
    <w:rsid w:val="00E46081"/>
    <w:rsid w:val="00E4670B"/>
    <w:rsid w:val="00E50EFD"/>
    <w:rsid w:val="00E673EE"/>
    <w:rsid w:val="00E77B9C"/>
    <w:rsid w:val="00E826CB"/>
    <w:rsid w:val="00E91324"/>
    <w:rsid w:val="00EB6E3A"/>
    <w:rsid w:val="00ED11CE"/>
    <w:rsid w:val="00EE30F2"/>
    <w:rsid w:val="00F12F98"/>
    <w:rsid w:val="00F23379"/>
    <w:rsid w:val="00F34354"/>
    <w:rsid w:val="00F65254"/>
    <w:rsid w:val="00FA020E"/>
    <w:rsid w:val="00FC7B4D"/>
    <w:rsid w:val="00FE3801"/>
    <w:rsid w:val="00FE5CFD"/>
    <w:rsid w:val="00FF0813"/>
    <w:rsid w:val="00FF408A"/>
    <w:rsid w:val="00FF7200"/>
    <w:rsid w:val="01633E9B"/>
    <w:rsid w:val="0281473C"/>
    <w:rsid w:val="028D7421"/>
    <w:rsid w:val="02E11616"/>
    <w:rsid w:val="03011BBD"/>
    <w:rsid w:val="03107D15"/>
    <w:rsid w:val="034836A6"/>
    <w:rsid w:val="037734C7"/>
    <w:rsid w:val="038F0816"/>
    <w:rsid w:val="043C29E6"/>
    <w:rsid w:val="04845D9A"/>
    <w:rsid w:val="04A03181"/>
    <w:rsid w:val="04B646B9"/>
    <w:rsid w:val="04CD23A9"/>
    <w:rsid w:val="05674234"/>
    <w:rsid w:val="05A44D5B"/>
    <w:rsid w:val="05DB2EBC"/>
    <w:rsid w:val="05E45D6B"/>
    <w:rsid w:val="060C2D53"/>
    <w:rsid w:val="067B08D9"/>
    <w:rsid w:val="06F1741D"/>
    <w:rsid w:val="072919FB"/>
    <w:rsid w:val="07B154B2"/>
    <w:rsid w:val="07E9738B"/>
    <w:rsid w:val="0825793A"/>
    <w:rsid w:val="096B5FE2"/>
    <w:rsid w:val="098869A4"/>
    <w:rsid w:val="09C14712"/>
    <w:rsid w:val="09E05C37"/>
    <w:rsid w:val="0A036C25"/>
    <w:rsid w:val="0A1D695F"/>
    <w:rsid w:val="0B304DED"/>
    <w:rsid w:val="0BED0EFB"/>
    <w:rsid w:val="0C1C35C4"/>
    <w:rsid w:val="0C4350BA"/>
    <w:rsid w:val="0C4843B9"/>
    <w:rsid w:val="0C936F02"/>
    <w:rsid w:val="0CA206A6"/>
    <w:rsid w:val="0CB13E5D"/>
    <w:rsid w:val="0CCE7C57"/>
    <w:rsid w:val="0CED1F89"/>
    <w:rsid w:val="0D131D40"/>
    <w:rsid w:val="0D5B334E"/>
    <w:rsid w:val="0D646D4B"/>
    <w:rsid w:val="0D87111B"/>
    <w:rsid w:val="0E4A266A"/>
    <w:rsid w:val="0E500433"/>
    <w:rsid w:val="0E5B203C"/>
    <w:rsid w:val="0E8D1DEF"/>
    <w:rsid w:val="0EC130D8"/>
    <w:rsid w:val="0F4E6189"/>
    <w:rsid w:val="0F566DED"/>
    <w:rsid w:val="0FEF6A72"/>
    <w:rsid w:val="1022482E"/>
    <w:rsid w:val="109B6B4B"/>
    <w:rsid w:val="11A93C63"/>
    <w:rsid w:val="11BF6ECB"/>
    <w:rsid w:val="11F3176F"/>
    <w:rsid w:val="11FE3E97"/>
    <w:rsid w:val="127055BE"/>
    <w:rsid w:val="13472130"/>
    <w:rsid w:val="1440256A"/>
    <w:rsid w:val="14CC3AB7"/>
    <w:rsid w:val="15356C11"/>
    <w:rsid w:val="153A7644"/>
    <w:rsid w:val="1546790A"/>
    <w:rsid w:val="157E6040"/>
    <w:rsid w:val="15921C58"/>
    <w:rsid w:val="15C727F2"/>
    <w:rsid w:val="160E7B35"/>
    <w:rsid w:val="16467BBB"/>
    <w:rsid w:val="16A05094"/>
    <w:rsid w:val="1701737D"/>
    <w:rsid w:val="17487963"/>
    <w:rsid w:val="18510D5D"/>
    <w:rsid w:val="18673E19"/>
    <w:rsid w:val="191C16B2"/>
    <w:rsid w:val="19211ABB"/>
    <w:rsid w:val="19C636DB"/>
    <w:rsid w:val="19F228BA"/>
    <w:rsid w:val="1A18361C"/>
    <w:rsid w:val="1A68493F"/>
    <w:rsid w:val="1A85405B"/>
    <w:rsid w:val="1A85488B"/>
    <w:rsid w:val="1AB53561"/>
    <w:rsid w:val="1AC82A13"/>
    <w:rsid w:val="1BA0386C"/>
    <w:rsid w:val="1C382E91"/>
    <w:rsid w:val="1C4D61B0"/>
    <w:rsid w:val="1C6568C1"/>
    <w:rsid w:val="1E081025"/>
    <w:rsid w:val="1E0F2F88"/>
    <w:rsid w:val="1E125E48"/>
    <w:rsid w:val="1E396E3B"/>
    <w:rsid w:val="1E672DC4"/>
    <w:rsid w:val="1E804F26"/>
    <w:rsid w:val="1E8A6AB3"/>
    <w:rsid w:val="1EDC730E"/>
    <w:rsid w:val="1EDD4E34"/>
    <w:rsid w:val="1EF52F8E"/>
    <w:rsid w:val="1F3F5AEF"/>
    <w:rsid w:val="1F4F77BE"/>
    <w:rsid w:val="1F6E24FA"/>
    <w:rsid w:val="1FB57F4F"/>
    <w:rsid w:val="1FFF68B4"/>
    <w:rsid w:val="20350AB8"/>
    <w:rsid w:val="20412454"/>
    <w:rsid w:val="212D20A3"/>
    <w:rsid w:val="21A165ED"/>
    <w:rsid w:val="21D626F6"/>
    <w:rsid w:val="22194C93"/>
    <w:rsid w:val="222F49C8"/>
    <w:rsid w:val="22643634"/>
    <w:rsid w:val="231132FF"/>
    <w:rsid w:val="2346744C"/>
    <w:rsid w:val="23F01166"/>
    <w:rsid w:val="24024B55"/>
    <w:rsid w:val="24086AB3"/>
    <w:rsid w:val="24194B61"/>
    <w:rsid w:val="2501053B"/>
    <w:rsid w:val="25021151"/>
    <w:rsid w:val="25893620"/>
    <w:rsid w:val="263A64E3"/>
    <w:rsid w:val="26977D4E"/>
    <w:rsid w:val="271909D4"/>
    <w:rsid w:val="2735174D"/>
    <w:rsid w:val="27E64ADD"/>
    <w:rsid w:val="27EE1E60"/>
    <w:rsid w:val="284E3CE2"/>
    <w:rsid w:val="2879797C"/>
    <w:rsid w:val="28AF15F0"/>
    <w:rsid w:val="29751A14"/>
    <w:rsid w:val="298A442F"/>
    <w:rsid w:val="2A286505"/>
    <w:rsid w:val="2A4346E5"/>
    <w:rsid w:val="2B0100FD"/>
    <w:rsid w:val="2B106518"/>
    <w:rsid w:val="2B3F1B8A"/>
    <w:rsid w:val="2BBA4B2F"/>
    <w:rsid w:val="2CF64A82"/>
    <w:rsid w:val="2D757A2D"/>
    <w:rsid w:val="2E3507E9"/>
    <w:rsid w:val="2E4D5E0B"/>
    <w:rsid w:val="2E8F225D"/>
    <w:rsid w:val="2EA16BD8"/>
    <w:rsid w:val="2F8B61E7"/>
    <w:rsid w:val="306F7C5C"/>
    <w:rsid w:val="30DA5678"/>
    <w:rsid w:val="310D49D2"/>
    <w:rsid w:val="3211377B"/>
    <w:rsid w:val="32702FD1"/>
    <w:rsid w:val="32870EE7"/>
    <w:rsid w:val="32A44860"/>
    <w:rsid w:val="32DB5FDB"/>
    <w:rsid w:val="333100D2"/>
    <w:rsid w:val="33917251"/>
    <w:rsid w:val="3497172C"/>
    <w:rsid w:val="34DA0DB8"/>
    <w:rsid w:val="35103416"/>
    <w:rsid w:val="351A59A4"/>
    <w:rsid w:val="354B31CD"/>
    <w:rsid w:val="358A5649"/>
    <w:rsid w:val="36AA789A"/>
    <w:rsid w:val="36B20ED2"/>
    <w:rsid w:val="36F56FC4"/>
    <w:rsid w:val="3848736B"/>
    <w:rsid w:val="38646A77"/>
    <w:rsid w:val="38C91357"/>
    <w:rsid w:val="391C5EDB"/>
    <w:rsid w:val="394F68DE"/>
    <w:rsid w:val="39D013C6"/>
    <w:rsid w:val="39E158F3"/>
    <w:rsid w:val="39FD24D7"/>
    <w:rsid w:val="3A425A7C"/>
    <w:rsid w:val="3A7105B1"/>
    <w:rsid w:val="3AF12244"/>
    <w:rsid w:val="3B040348"/>
    <w:rsid w:val="3B1A0F83"/>
    <w:rsid w:val="3B454682"/>
    <w:rsid w:val="3C0161AE"/>
    <w:rsid w:val="3C067E6D"/>
    <w:rsid w:val="3C124D92"/>
    <w:rsid w:val="3CB74129"/>
    <w:rsid w:val="3CD857FF"/>
    <w:rsid w:val="3D8D0477"/>
    <w:rsid w:val="3E186F76"/>
    <w:rsid w:val="3E274619"/>
    <w:rsid w:val="3F5A7010"/>
    <w:rsid w:val="3FD634AE"/>
    <w:rsid w:val="40462DC4"/>
    <w:rsid w:val="409524F0"/>
    <w:rsid w:val="41500D6C"/>
    <w:rsid w:val="41556B9A"/>
    <w:rsid w:val="41C944B6"/>
    <w:rsid w:val="42004812"/>
    <w:rsid w:val="422E75D1"/>
    <w:rsid w:val="42ED2DD8"/>
    <w:rsid w:val="43016C55"/>
    <w:rsid w:val="430F7988"/>
    <w:rsid w:val="43D877F5"/>
    <w:rsid w:val="44324133"/>
    <w:rsid w:val="443A4647"/>
    <w:rsid w:val="445212F8"/>
    <w:rsid w:val="44574B66"/>
    <w:rsid w:val="445A21E3"/>
    <w:rsid w:val="446E4942"/>
    <w:rsid w:val="44B50C18"/>
    <w:rsid w:val="45733B22"/>
    <w:rsid w:val="45BC7725"/>
    <w:rsid w:val="45EE77A4"/>
    <w:rsid w:val="46347A21"/>
    <w:rsid w:val="467D0393"/>
    <w:rsid w:val="475A2C17"/>
    <w:rsid w:val="4890441B"/>
    <w:rsid w:val="49282C8E"/>
    <w:rsid w:val="492B3326"/>
    <w:rsid w:val="492E1783"/>
    <w:rsid w:val="493C25D4"/>
    <w:rsid w:val="494476DB"/>
    <w:rsid w:val="497955D6"/>
    <w:rsid w:val="4980740C"/>
    <w:rsid w:val="4A0B6ACD"/>
    <w:rsid w:val="4A1946C3"/>
    <w:rsid w:val="4A1D0657"/>
    <w:rsid w:val="4AFA2DF5"/>
    <w:rsid w:val="4B377569"/>
    <w:rsid w:val="4B5C7862"/>
    <w:rsid w:val="4B5E0F27"/>
    <w:rsid w:val="4BA41DF4"/>
    <w:rsid w:val="4BB8498F"/>
    <w:rsid w:val="4C520360"/>
    <w:rsid w:val="4C585495"/>
    <w:rsid w:val="4C796D90"/>
    <w:rsid w:val="4C9D76FA"/>
    <w:rsid w:val="4CBA4D19"/>
    <w:rsid w:val="4CD93CE3"/>
    <w:rsid w:val="4D036A91"/>
    <w:rsid w:val="4D30026F"/>
    <w:rsid w:val="4DF069CA"/>
    <w:rsid w:val="4DFB58A6"/>
    <w:rsid w:val="4E254EDC"/>
    <w:rsid w:val="4E531B40"/>
    <w:rsid w:val="4F2732DA"/>
    <w:rsid w:val="4F4564A7"/>
    <w:rsid w:val="4F6710C8"/>
    <w:rsid w:val="4FB3754B"/>
    <w:rsid w:val="4FF84D7B"/>
    <w:rsid w:val="503D05B2"/>
    <w:rsid w:val="505C278E"/>
    <w:rsid w:val="507F3396"/>
    <w:rsid w:val="519F5B93"/>
    <w:rsid w:val="51E05976"/>
    <w:rsid w:val="5276656E"/>
    <w:rsid w:val="53384B26"/>
    <w:rsid w:val="53680A97"/>
    <w:rsid w:val="538A6276"/>
    <w:rsid w:val="53A92C4F"/>
    <w:rsid w:val="53C6300C"/>
    <w:rsid w:val="545C336B"/>
    <w:rsid w:val="547F1F0F"/>
    <w:rsid w:val="54AF171B"/>
    <w:rsid w:val="54DF6509"/>
    <w:rsid w:val="54E77BB5"/>
    <w:rsid w:val="55156288"/>
    <w:rsid w:val="55ED04A4"/>
    <w:rsid w:val="568E6F54"/>
    <w:rsid w:val="56B23691"/>
    <w:rsid w:val="56D26326"/>
    <w:rsid w:val="57144B90"/>
    <w:rsid w:val="578F06BB"/>
    <w:rsid w:val="57DE0CFA"/>
    <w:rsid w:val="586A351D"/>
    <w:rsid w:val="58844B06"/>
    <w:rsid w:val="58CE0D6F"/>
    <w:rsid w:val="59295E4B"/>
    <w:rsid w:val="593E5532"/>
    <w:rsid w:val="59624C9A"/>
    <w:rsid w:val="599E2E37"/>
    <w:rsid w:val="599E4BE5"/>
    <w:rsid w:val="59AF5B9C"/>
    <w:rsid w:val="59E27CF2"/>
    <w:rsid w:val="5A957D96"/>
    <w:rsid w:val="5AC174FB"/>
    <w:rsid w:val="5AE605F2"/>
    <w:rsid w:val="5B2826A2"/>
    <w:rsid w:val="5BC86F0F"/>
    <w:rsid w:val="5C171AF7"/>
    <w:rsid w:val="5C581277"/>
    <w:rsid w:val="5CA80D27"/>
    <w:rsid w:val="5CD86660"/>
    <w:rsid w:val="5D0147D6"/>
    <w:rsid w:val="5D624F22"/>
    <w:rsid w:val="5E1436C8"/>
    <w:rsid w:val="5E2D36E2"/>
    <w:rsid w:val="5EFC4888"/>
    <w:rsid w:val="5F6B3B76"/>
    <w:rsid w:val="6036243E"/>
    <w:rsid w:val="605C2D53"/>
    <w:rsid w:val="61BC62DB"/>
    <w:rsid w:val="61D17F19"/>
    <w:rsid w:val="61FE2D60"/>
    <w:rsid w:val="620241A7"/>
    <w:rsid w:val="625E3F20"/>
    <w:rsid w:val="625F6FA4"/>
    <w:rsid w:val="62B36544"/>
    <w:rsid w:val="62B6628B"/>
    <w:rsid w:val="6367429A"/>
    <w:rsid w:val="647629E6"/>
    <w:rsid w:val="64C9520C"/>
    <w:rsid w:val="65135A39"/>
    <w:rsid w:val="65956E9C"/>
    <w:rsid w:val="65A95841"/>
    <w:rsid w:val="65C92FEA"/>
    <w:rsid w:val="65ED61DF"/>
    <w:rsid w:val="6660394E"/>
    <w:rsid w:val="669D6839"/>
    <w:rsid w:val="66E0108B"/>
    <w:rsid w:val="6745578A"/>
    <w:rsid w:val="677E6815"/>
    <w:rsid w:val="67C12CF5"/>
    <w:rsid w:val="68026099"/>
    <w:rsid w:val="685A6EC8"/>
    <w:rsid w:val="68725BBA"/>
    <w:rsid w:val="68C43362"/>
    <w:rsid w:val="68D979E8"/>
    <w:rsid w:val="694F6D89"/>
    <w:rsid w:val="69FB34F6"/>
    <w:rsid w:val="6A6F452F"/>
    <w:rsid w:val="6A790E3A"/>
    <w:rsid w:val="6AE75A87"/>
    <w:rsid w:val="6AFA6D7D"/>
    <w:rsid w:val="6B114A92"/>
    <w:rsid w:val="6B713A2A"/>
    <w:rsid w:val="6C010CC1"/>
    <w:rsid w:val="6C1845F8"/>
    <w:rsid w:val="6C640188"/>
    <w:rsid w:val="6CAC0443"/>
    <w:rsid w:val="6CBC6D31"/>
    <w:rsid w:val="6CCA7D73"/>
    <w:rsid w:val="6D1B0A3B"/>
    <w:rsid w:val="6D244FF6"/>
    <w:rsid w:val="6D2E670F"/>
    <w:rsid w:val="6DA305C4"/>
    <w:rsid w:val="6E06271B"/>
    <w:rsid w:val="6E414065"/>
    <w:rsid w:val="6EC64DA9"/>
    <w:rsid w:val="6EF97643"/>
    <w:rsid w:val="6F02608B"/>
    <w:rsid w:val="6F852BA1"/>
    <w:rsid w:val="6FC0378E"/>
    <w:rsid w:val="6FC860C0"/>
    <w:rsid w:val="70001CFE"/>
    <w:rsid w:val="70480FAF"/>
    <w:rsid w:val="704915C5"/>
    <w:rsid w:val="70533505"/>
    <w:rsid w:val="70A94718"/>
    <w:rsid w:val="70D7191A"/>
    <w:rsid w:val="71071305"/>
    <w:rsid w:val="71B02FC6"/>
    <w:rsid w:val="722A59C0"/>
    <w:rsid w:val="72B55C25"/>
    <w:rsid w:val="734C2E95"/>
    <w:rsid w:val="73B62B25"/>
    <w:rsid w:val="73C72FEB"/>
    <w:rsid w:val="73DD79F8"/>
    <w:rsid w:val="74370E78"/>
    <w:rsid w:val="746F7452"/>
    <w:rsid w:val="74A76BEC"/>
    <w:rsid w:val="754B464D"/>
    <w:rsid w:val="754B57C9"/>
    <w:rsid w:val="758724CA"/>
    <w:rsid w:val="75BC2223"/>
    <w:rsid w:val="75E57FB9"/>
    <w:rsid w:val="75F2050F"/>
    <w:rsid w:val="77336993"/>
    <w:rsid w:val="778356EE"/>
    <w:rsid w:val="77E31D9C"/>
    <w:rsid w:val="78F51619"/>
    <w:rsid w:val="79FC2E0E"/>
    <w:rsid w:val="7A6F5223"/>
    <w:rsid w:val="7AF7654E"/>
    <w:rsid w:val="7B8A691F"/>
    <w:rsid w:val="7BBB5B41"/>
    <w:rsid w:val="7BEE2F3B"/>
    <w:rsid w:val="7BEE5100"/>
    <w:rsid w:val="7CBA42F3"/>
    <w:rsid w:val="7CCA791B"/>
    <w:rsid w:val="7D6A0BED"/>
    <w:rsid w:val="7F2F6007"/>
    <w:rsid w:val="7F9D7DE4"/>
    <w:rsid w:val="7FBB354B"/>
    <w:rsid w:val="7FE743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Calibri" w:hAnsi="Calibri" w:eastAsia="宋体" w:cs="Times New Roman"/>
      <w:sz w:val="22"/>
      <w:szCs w:val="22"/>
      <w:lang w:val="en-US" w:eastAsia="en-US" w:bidi="ar-SA"/>
    </w:rPr>
  </w:style>
  <w:style w:type="paragraph" w:styleId="3">
    <w:name w:val="heading 2"/>
    <w:basedOn w:val="1"/>
    <w:next w:val="1"/>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keepNext w:val="0"/>
    </w:pPr>
    <w:rPr>
      <w:rFonts w:ascii="宋体" w:hAnsi="Courier New" w:eastAsia="宋体" w:cs="Courier New"/>
      <w:szCs w:val="21"/>
    </w:rPr>
  </w:style>
  <w:style w:type="paragraph" w:styleId="4">
    <w:name w:val="Normal Indent"/>
    <w:basedOn w:val="1"/>
    <w:next w:val="1"/>
    <w:qFormat/>
    <w:uiPriority w:val="0"/>
    <w:pPr>
      <w:ind w:firstLine="420" w:firstLineChars="200"/>
    </w:pPr>
    <w:rPr>
      <w:rFonts w:ascii="Times New Roman" w:hAnsi="Times New Roman"/>
      <w:szCs w:val="24"/>
    </w:rPr>
  </w:style>
  <w:style w:type="paragraph" w:styleId="5">
    <w:name w:val="annotation text"/>
    <w:basedOn w:val="1"/>
    <w:link w:val="18"/>
    <w:unhideWhenUsed/>
    <w:qFormat/>
    <w:uiPriority w:val="0"/>
  </w:style>
  <w:style w:type="paragraph" w:styleId="6">
    <w:name w:val="Body Text"/>
    <w:basedOn w:val="1"/>
    <w:next w:val="1"/>
    <w:qFormat/>
    <w:uiPriority w:val="1"/>
    <w:pPr>
      <w:ind w:firstLine="200" w:firstLineChars="200"/>
      <w:jc w:val="both"/>
    </w:pPr>
    <w:rPr>
      <w:rFonts w:ascii="Microsoft YaHei UI" w:hAnsi="Microsoft YaHei UI" w:eastAsia="Microsoft YaHei UI"/>
      <w:sz w:val="21"/>
      <w:szCs w:val="21"/>
    </w:rPr>
  </w:style>
  <w:style w:type="paragraph" w:styleId="7">
    <w:name w:val="footer"/>
    <w:basedOn w:val="1"/>
    <w:link w:val="19"/>
    <w:qFormat/>
    <w:uiPriority w:val="0"/>
    <w:pPr>
      <w:tabs>
        <w:tab w:val="center" w:pos="4153"/>
        <w:tab w:val="right" w:pos="8306"/>
      </w:tabs>
      <w:snapToGrid w:val="0"/>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pPr>
    <w:rPr>
      <w:rFonts w:ascii="宋体" w:hAnsi="宋体" w:eastAsia="宋体" w:cs="宋体"/>
      <w:sz w:val="24"/>
      <w:szCs w:val="24"/>
      <w:lang w:eastAsia="zh-CN"/>
    </w:rPr>
  </w:style>
  <w:style w:type="paragraph" w:styleId="10">
    <w:name w:val="annotation subject"/>
    <w:basedOn w:val="5"/>
    <w:next w:val="5"/>
    <w:link w:val="20"/>
    <w:qFormat/>
    <w:uiPriority w:val="0"/>
    <w:rPr>
      <w:b/>
      <w:bCs/>
    </w:rPr>
  </w:style>
  <w:style w:type="character" w:styleId="13">
    <w:name w:val="FollowedHyperlink"/>
    <w:unhideWhenUsed/>
    <w:qFormat/>
    <w:uiPriority w:val="99"/>
    <w:rPr>
      <w:color w:val="954F72"/>
      <w:u w:val="single"/>
    </w:rPr>
  </w:style>
  <w:style w:type="character" w:styleId="14">
    <w:name w:val="Hyperlink"/>
    <w:unhideWhenUsed/>
    <w:qFormat/>
    <w:uiPriority w:val="99"/>
    <w:rPr>
      <w:color w:val="0563C1"/>
      <w:u w:val="single"/>
    </w:rPr>
  </w:style>
  <w:style w:type="character" w:styleId="15">
    <w:name w:val="annotation reference"/>
    <w:unhideWhenUsed/>
    <w:qFormat/>
    <w:uiPriority w:val="0"/>
    <w:rPr>
      <w:sz w:val="21"/>
      <w:szCs w:val="21"/>
    </w:rPr>
  </w:style>
  <w:style w:type="paragraph" w:customStyle="1" w:styleId="16">
    <w:name w:val="默认段落字体 Para Char"/>
    <w:basedOn w:val="17"/>
    <w:next w:val="1"/>
    <w:qFormat/>
    <w:uiPriority w:val="0"/>
    <w:pPr>
      <w:widowControl w:val="0"/>
      <w:spacing w:before="80" w:after="80" w:line="360" w:lineRule="auto"/>
      <w:jc w:val="both"/>
    </w:pPr>
    <w:rPr>
      <w:rFonts w:ascii="Calibri" w:hAnsi="Calibri"/>
      <w:kern w:val="2"/>
      <w:szCs w:val="20"/>
    </w:rPr>
  </w:style>
  <w:style w:type="paragraph" w:customStyle="1" w:styleId="17">
    <w:name w:val="Normal_1"/>
    <w:next w:val="16"/>
    <w:qFormat/>
    <w:uiPriority w:val="0"/>
    <w:pPr>
      <w:spacing w:after="160" w:line="278" w:lineRule="auto"/>
    </w:pPr>
    <w:rPr>
      <w:rFonts w:ascii="Times New Roman" w:hAnsi="Times New Roman" w:eastAsia="Times New Roman" w:cs="Times New Roman"/>
      <w:sz w:val="24"/>
      <w:szCs w:val="24"/>
      <w:lang w:val="en-US" w:eastAsia="zh-CN" w:bidi="ar-SA"/>
    </w:rPr>
  </w:style>
  <w:style w:type="character" w:customStyle="1" w:styleId="18">
    <w:name w:val="批注文字 字符"/>
    <w:link w:val="5"/>
    <w:qFormat/>
    <w:uiPriority w:val="0"/>
    <w:rPr>
      <w:rFonts w:ascii="Calibri" w:hAnsi="Calibri"/>
      <w:sz w:val="22"/>
      <w:szCs w:val="22"/>
      <w:lang w:eastAsia="en-US"/>
    </w:rPr>
  </w:style>
  <w:style w:type="character" w:customStyle="1" w:styleId="19">
    <w:name w:val="页脚 字符"/>
    <w:link w:val="7"/>
    <w:qFormat/>
    <w:uiPriority w:val="0"/>
    <w:rPr>
      <w:rFonts w:ascii="Calibri" w:hAnsi="Calibri"/>
      <w:sz w:val="18"/>
      <w:szCs w:val="18"/>
      <w:lang w:eastAsia="en-US"/>
    </w:rPr>
  </w:style>
  <w:style w:type="character" w:customStyle="1" w:styleId="20">
    <w:name w:val="批注主题 字符"/>
    <w:link w:val="10"/>
    <w:qFormat/>
    <w:uiPriority w:val="0"/>
    <w:rPr>
      <w:rFonts w:ascii="Calibri" w:hAnsi="Calibri"/>
      <w:b/>
      <w:bCs/>
      <w:sz w:val="22"/>
      <w:szCs w:val="22"/>
      <w:lang w:eastAsia="en-US"/>
    </w:rPr>
  </w:style>
  <w:style w:type="character" w:customStyle="1" w:styleId="21">
    <w:name w:val="font51"/>
    <w:qFormat/>
    <w:uiPriority w:val="0"/>
    <w:rPr>
      <w:rFonts w:ascii="Arial" w:hAnsi="Arial" w:cs="Arial"/>
      <w:color w:val="000000"/>
      <w:sz w:val="20"/>
      <w:szCs w:val="20"/>
      <w:u w:val="none"/>
    </w:rPr>
  </w:style>
  <w:style w:type="character" w:customStyle="1" w:styleId="22">
    <w:name w:val="font71"/>
    <w:qFormat/>
    <w:uiPriority w:val="0"/>
    <w:rPr>
      <w:rFonts w:hint="eastAsia" w:ascii="宋体" w:hAnsi="宋体" w:eastAsia="宋体" w:cs="宋体"/>
      <w:color w:val="000000"/>
      <w:sz w:val="18"/>
      <w:szCs w:val="18"/>
      <w:u w:val="none"/>
    </w:rPr>
  </w:style>
  <w:style w:type="character" w:customStyle="1" w:styleId="23">
    <w:name w:val="font61"/>
    <w:qFormat/>
    <w:uiPriority w:val="0"/>
    <w:rPr>
      <w:rFonts w:hint="eastAsia" w:ascii="宋体" w:hAnsi="宋体" w:eastAsia="宋体" w:cs="宋体"/>
      <w:color w:val="000000"/>
      <w:sz w:val="20"/>
      <w:szCs w:val="20"/>
      <w:u w:val="none"/>
    </w:rPr>
  </w:style>
  <w:style w:type="character" w:customStyle="1" w:styleId="24">
    <w:name w:val="font91"/>
    <w:qFormat/>
    <w:uiPriority w:val="0"/>
    <w:rPr>
      <w:rFonts w:hint="default" w:ascii="Arial" w:hAnsi="Arial" w:cs="Arial"/>
      <w:color w:val="000000"/>
      <w:sz w:val="18"/>
      <w:szCs w:val="18"/>
      <w:u w:val="none"/>
    </w:rPr>
  </w:style>
  <w:style w:type="character" w:customStyle="1" w:styleId="25">
    <w:name w:val="font101"/>
    <w:qFormat/>
    <w:uiPriority w:val="0"/>
    <w:rPr>
      <w:rFonts w:hint="eastAsia" w:ascii="宋体" w:hAnsi="宋体" w:eastAsia="宋体" w:cs="宋体"/>
      <w:color w:val="000000"/>
      <w:sz w:val="18"/>
      <w:szCs w:val="18"/>
      <w:u w:val="none"/>
    </w:rPr>
  </w:style>
  <w:style w:type="character" w:customStyle="1" w:styleId="26">
    <w:name w:val="font21"/>
    <w:qFormat/>
    <w:uiPriority w:val="0"/>
    <w:rPr>
      <w:rFonts w:hint="eastAsia" w:ascii="宋体" w:hAnsi="宋体" w:eastAsia="宋体" w:cs="宋体"/>
      <w:color w:val="000000"/>
      <w:sz w:val="18"/>
      <w:szCs w:val="18"/>
      <w:u w:val="none"/>
    </w:rPr>
  </w:style>
  <w:style w:type="character" w:customStyle="1" w:styleId="27">
    <w:name w:val="font112"/>
    <w:qFormat/>
    <w:uiPriority w:val="0"/>
    <w:rPr>
      <w:rFonts w:ascii="Calibri" w:hAnsi="Calibri" w:cs="Calibri"/>
      <w:color w:val="000000"/>
      <w:sz w:val="18"/>
      <w:szCs w:val="18"/>
      <w:u w:val="none"/>
    </w:rPr>
  </w:style>
  <w:style w:type="character" w:customStyle="1" w:styleId="28">
    <w:name w:val="font171"/>
    <w:qFormat/>
    <w:uiPriority w:val="0"/>
    <w:rPr>
      <w:rFonts w:ascii="Calibri" w:hAnsi="Calibri" w:cs="Calibri"/>
      <w:color w:val="000000"/>
      <w:sz w:val="18"/>
      <w:szCs w:val="18"/>
      <w:u w:val="none"/>
    </w:rPr>
  </w:style>
  <w:style w:type="character" w:customStyle="1" w:styleId="29">
    <w:name w:val="font131"/>
    <w:qFormat/>
    <w:uiPriority w:val="0"/>
    <w:rPr>
      <w:rFonts w:ascii="Calibri" w:hAnsi="Calibri" w:cs="Calibri"/>
      <w:color w:val="000000"/>
      <w:sz w:val="18"/>
      <w:szCs w:val="18"/>
      <w:u w:val="none"/>
    </w:rPr>
  </w:style>
  <w:style w:type="paragraph" w:customStyle="1" w:styleId="30">
    <w:name w:val="xl72"/>
    <w:basedOn w:val="1"/>
    <w:qFormat/>
    <w:uiPriority w:val="0"/>
    <w:pPr>
      <w:widowControl/>
      <w:spacing w:before="100" w:beforeAutospacing="1" w:after="100" w:afterAutospacing="1"/>
      <w:jc w:val="center"/>
    </w:pPr>
    <w:rPr>
      <w:rFonts w:ascii="宋体" w:hAnsi="宋体" w:cs="宋体"/>
      <w:sz w:val="18"/>
      <w:szCs w:val="18"/>
      <w:lang w:eastAsia="zh-CN"/>
    </w:rPr>
  </w:style>
  <w:style w:type="paragraph" w:customStyle="1" w:styleId="31">
    <w:name w:val="xl82"/>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pPr>
    <w:rPr>
      <w:rFonts w:ascii="Arial" w:hAnsi="Arial" w:cs="Arial"/>
      <w:sz w:val="18"/>
      <w:szCs w:val="18"/>
      <w:lang w:eastAsia="zh-CN"/>
    </w:rPr>
  </w:style>
  <w:style w:type="paragraph" w:customStyle="1" w:styleId="32">
    <w:name w:val="xl99"/>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微软雅黑" w:hAnsi="微软雅黑" w:eastAsia="微软雅黑" w:cs="宋体"/>
      <w:sz w:val="18"/>
      <w:szCs w:val="18"/>
      <w:lang w:eastAsia="zh-CN"/>
    </w:rPr>
  </w:style>
  <w:style w:type="paragraph" w:customStyle="1" w:styleId="33">
    <w:name w:val="xl107"/>
    <w:basedOn w:val="1"/>
    <w:qFormat/>
    <w:uiPriority w:val="0"/>
    <w:pPr>
      <w:widowControl/>
      <w:spacing w:before="100" w:beforeAutospacing="1" w:after="100" w:afterAutospacing="1"/>
      <w:textAlignment w:val="bottom"/>
    </w:pPr>
    <w:rPr>
      <w:rFonts w:ascii="宋体" w:hAnsi="宋体" w:cs="宋体"/>
      <w:sz w:val="24"/>
      <w:szCs w:val="24"/>
      <w:lang w:eastAsia="zh-CN"/>
    </w:rPr>
  </w:style>
  <w:style w:type="paragraph" w:customStyle="1" w:styleId="34">
    <w:name w:val="msonormal"/>
    <w:basedOn w:val="1"/>
    <w:qFormat/>
    <w:uiPriority w:val="0"/>
    <w:pPr>
      <w:widowControl/>
      <w:spacing w:before="100" w:beforeAutospacing="1" w:after="100" w:afterAutospacing="1"/>
    </w:pPr>
    <w:rPr>
      <w:rFonts w:ascii="宋体" w:hAnsi="宋体" w:cs="宋体"/>
      <w:sz w:val="24"/>
      <w:szCs w:val="24"/>
      <w:lang w:eastAsia="zh-CN"/>
    </w:rPr>
  </w:style>
  <w:style w:type="paragraph" w:customStyle="1" w:styleId="3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6">
    <w:name w:val="font7"/>
    <w:basedOn w:val="1"/>
    <w:qFormat/>
    <w:uiPriority w:val="0"/>
    <w:pPr>
      <w:widowControl/>
      <w:spacing w:before="100" w:beforeAutospacing="1" w:after="100" w:afterAutospacing="1"/>
    </w:pPr>
    <w:rPr>
      <w:rFonts w:ascii="宋体" w:hAnsi="宋体" w:cs="宋体"/>
      <w:sz w:val="18"/>
      <w:szCs w:val="18"/>
      <w:lang w:eastAsia="zh-CN"/>
    </w:rPr>
  </w:style>
  <w:style w:type="paragraph" w:customStyle="1" w:styleId="37">
    <w:name w:val="xl102"/>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微软雅黑" w:hAnsi="微软雅黑" w:eastAsia="微软雅黑" w:cs="宋体"/>
      <w:color w:val="FF0000"/>
      <w:sz w:val="18"/>
      <w:szCs w:val="18"/>
      <w:lang w:eastAsia="zh-CN"/>
    </w:rPr>
  </w:style>
  <w:style w:type="paragraph" w:customStyle="1" w:styleId="38">
    <w:name w:val="xl90"/>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FF0000"/>
      <w:sz w:val="18"/>
      <w:szCs w:val="18"/>
      <w:lang w:eastAsia="zh-CN"/>
    </w:rPr>
  </w:style>
  <w:style w:type="paragraph" w:customStyle="1" w:styleId="39">
    <w:name w:val="xl92"/>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color w:val="FF0000"/>
      <w:sz w:val="18"/>
      <w:szCs w:val="18"/>
      <w:lang w:eastAsia="zh-CN"/>
    </w:rPr>
  </w:style>
  <w:style w:type="paragraph" w:customStyle="1" w:styleId="40">
    <w:name w:val="font9"/>
    <w:basedOn w:val="1"/>
    <w:qFormat/>
    <w:uiPriority w:val="0"/>
    <w:pPr>
      <w:widowControl/>
      <w:spacing w:before="100" w:beforeAutospacing="1" w:after="100" w:afterAutospacing="1"/>
    </w:pPr>
    <w:rPr>
      <w:rFonts w:ascii="宋体" w:hAnsi="宋体" w:cs="宋体"/>
      <w:sz w:val="18"/>
      <w:szCs w:val="18"/>
      <w:lang w:eastAsia="zh-CN"/>
    </w:rPr>
  </w:style>
  <w:style w:type="paragraph" w:customStyle="1" w:styleId="41">
    <w:name w:val="xl96"/>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42">
    <w:name w:val="xl103"/>
    <w:basedOn w:val="1"/>
    <w:qFormat/>
    <w:uiPriority w:val="0"/>
    <w:pPr>
      <w:widowControl/>
      <w:pBdr>
        <w:left w:val="single" w:color="auto" w:sz="8" w:space="0"/>
        <w:right w:val="single" w:color="auto" w:sz="8" w:space="0"/>
      </w:pBdr>
      <w:spacing w:before="100" w:beforeAutospacing="1" w:after="100" w:afterAutospacing="1"/>
      <w:jc w:val="center"/>
    </w:pPr>
    <w:rPr>
      <w:rFonts w:ascii="微软雅黑" w:hAnsi="微软雅黑" w:eastAsia="微软雅黑" w:cs="宋体"/>
      <w:color w:val="FF0000"/>
      <w:sz w:val="18"/>
      <w:szCs w:val="18"/>
      <w:lang w:eastAsia="zh-CN"/>
    </w:rPr>
  </w:style>
  <w:style w:type="paragraph" w:customStyle="1" w:styleId="43">
    <w:name w:val="xl9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44">
    <w:name w:val="xl9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45">
    <w:name w:val="font8"/>
    <w:basedOn w:val="1"/>
    <w:qFormat/>
    <w:uiPriority w:val="0"/>
    <w:pPr>
      <w:widowControl/>
      <w:spacing w:before="100" w:beforeAutospacing="1" w:after="100" w:afterAutospacing="1"/>
    </w:pPr>
    <w:rPr>
      <w:rFonts w:cs="Calibri"/>
      <w:sz w:val="18"/>
      <w:szCs w:val="18"/>
      <w:lang w:eastAsia="zh-CN"/>
    </w:rPr>
  </w:style>
  <w:style w:type="paragraph" w:customStyle="1" w:styleId="46">
    <w:name w:val="xl10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47">
    <w:name w:val="font6"/>
    <w:basedOn w:val="1"/>
    <w:qFormat/>
    <w:uiPriority w:val="0"/>
    <w:pPr>
      <w:widowControl/>
      <w:spacing w:before="100" w:beforeAutospacing="1" w:after="100" w:afterAutospacing="1"/>
    </w:pPr>
    <w:rPr>
      <w:rFonts w:ascii="宋体" w:hAnsi="宋体" w:cs="宋体"/>
      <w:sz w:val="18"/>
      <w:szCs w:val="18"/>
      <w:lang w:eastAsia="zh-CN"/>
    </w:rPr>
  </w:style>
  <w:style w:type="paragraph" w:customStyle="1" w:styleId="48">
    <w:name w:val="xl7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b/>
      <w:bCs/>
      <w:sz w:val="18"/>
      <w:szCs w:val="18"/>
      <w:lang w:eastAsia="zh-CN"/>
    </w:rPr>
  </w:style>
  <w:style w:type="paragraph" w:customStyle="1" w:styleId="49">
    <w:name w:val="null3"/>
    <w:qFormat/>
    <w:uiPriority w:val="0"/>
    <w:rPr>
      <w:rFonts w:hint="eastAsia" w:ascii="Calibri" w:hAnsi="Calibri" w:eastAsia="宋体" w:cs="Times New Roman"/>
      <w:lang w:val="en-US" w:eastAsia="zh-Hans" w:bidi="ar-SA"/>
    </w:rPr>
  </w:style>
  <w:style w:type="paragraph" w:customStyle="1" w:styleId="50">
    <w:name w:val="xl83"/>
    <w:basedOn w:val="1"/>
    <w:qFormat/>
    <w:uiPriority w:val="0"/>
    <w:pPr>
      <w:widowControl/>
      <w:spacing w:before="100" w:beforeAutospacing="1" w:after="100" w:afterAutospacing="1"/>
      <w:textAlignment w:val="bottom"/>
    </w:pPr>
    <w:rPr>
      <w:rFonts w:ascii="宋体" w:hAnsi="宋体" w:cs="宋体"/>
      <w:sz w:val="24"/>
      <w:szCs w:val="24"/>
      <w:lang w:eastAsia="zh-CN"/>
    </w:rPr>
  </w:style>
  <w:style w:type="paragraph" w:customStyle="1" w:styleId="51">
    <w:name w:val="xl80"/>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sz w:val="18"/>
      <w:szCs w:val="18"/>
      <w:lang w:eastAsia="zh-CN"/>
    </w:rPr>
  </w:style>
  <w:style w:type="paragraph" w:customStyle="1" w:styleId="52">
    <w:name w:val="xl100"/>
    <w:basedOn w:val="1"/>
    <w:qFormat/>
    <w:uiPriority w:val="0"/>
    <w:pPr>
      <w:widowControl/>
      <w:pBdr>
        <w:left w:val="single" w:color="auto" w:sz="8" w:space="0"/>
        <w:right w:val="single" w:color="auto" w:sz="8" w:space="0"/>
      </w:pBdr>
      <w:spacing w:before="100" w:beforeAutospacing="1" w:after="100" w:afterAutospacing="1"/>
      <w:jc w:val="center"/>
    </w:pPr>
    <w:rPr>
      <w:rFonts w:ascii="微软雅黑" w:hAnsi="微软雅黑" w:eastAsia="微软雅黑" w:cs="宋体"/>
      <w:sz w:val="18"/>
      <w:szCs w:val="18"/>
      <w:lang w:eastAsia="zh-CN"/>
    </w:rPr>
  </w:style>
  <w:style w:type="paragraph" w:customStyle="1" w:styleId="53">
    <w:name w:val="_Style 50"/>
    <w:unhideWhenUsed/>
    <w:qFormat/>
    <w:uiPriority w:val="99"/>
    <w:rPr>
      <w:rFonts w:ascii="Calibri" w:hAnsi="Calibri" w:eastAsia="宋体" w:cs="Times New Roman"/>
      <w:sz w:val="22"/>
      <w:szCs w:val="22"/>
      <w:lang w:val="en-US" w:eastAsia="en-US" w:bidi="ar-SA"/>
    </w:rPr>
  </w:style>
  <w:style w:type="paragraph" w:customStyle="1" w:styleId="54">
    <w:name w:val="xl101"/>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sz w:val="18"/>
      <w:szCs w:val="18"/>
      <w:lang w:eastAsia="zh-CN"/>
    </w:rPr>
  </w:style>
  <w:style w:type="paragraph" w:customStyle="1" w:styleId="55">
    <w:name w:val="xl85"/>
    <w:basedOn w:val="1"/>
    <w:qFormat/>
    <w:uiPriority w:val="0"/>
    <w:pPr>
      <w:widowControl/>
      <w:spacing w:before="100" w:beforeAutospacing="1" w:after="100" w:afterAutospacing="1"/>
    </w:pPr>
    <w:rPr>
      <w:rFonts w:ascii="微软雅黑" w:hAnsi="微软雅黑" w:eastAsia="微软雅黑" w:cs="宋体"/>
      <w:sz w:val="18"/>
      <w:szCs w:val="18"/>
      <w:lang w:eastAsia="zh-CN"/>
    </w:rPr>
  </w:style>
  <w:style w:type="paragraph" w:customStyle="1" w:styleId="56">
    <w:name w:val="xl88"/>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sz w:val="18"/>
      <w:szCs w:val="18"/>
      <w:lang w:eastAsia="zh-CN"/>
    </w:rPr>
  </w:style>
  <w:style w:type="paragraph" w:customStyle="1" w:styleId="57">
    <w:name w:val="xl7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b/>
      <w:bCs/>
      <w:sz w:val="18"/>
      <w:szCs w:val="18"/>
      <w:lang w:eastAsia="zh-CN"/>
    </w:rPr>
  </w:style>
  <w:style w:type="paragraph" w:customStyle="1" w:styleId="58">
    <w:name w:val="xl79"/>
    <w:basedOn w:val="1"/>
    <w:qFormat/>
    <w:uiPriority w:val="0"/>
    <w:pPr>
      <w:widowControl/>
      <w:spacing w:before="100" w:beforeAutospacing="1" w:after="100" w:afterAutospacing="1"/>
      <w:jc w:val="center"/>
    </w:pPr>
    <w:rPr>
      <w:rFonts w:ascii="宋体" w:hAnsi="宋体" w:cs="宋体"/>
      <w:sz w:val="18"/>
      <w:szCs w:val="18"/>
      <w:lang w:eastAsia="zh-CN"/>
    </w:rPr>
  </w:style>
  <w:style w:type="paragraph" w:customStyle="1" w:styleId="59">
    <w:name w:val="xl9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FF0000"/>
      <w:sz w:val="18"/>
      <w:szCs w:val="18"/>
      <w:lang w:eastAsia="zh-CN"/>
    </w:rPr>
  </w:style>
  <w:style w:type="paragraph" w:customStyle="1" w:styleId="60">
    <w:name w:val="xl105"/>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61">
    <w:name w:val="xl89"/>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b/>
      <w:bCs/>
      <w:color w:val="FF0000"/>
      <w:sz w:val="18"/>
      <w:szCs w:val="18"/>
      <w:lang w:eastAsia="zh-CN"/>
    </w:rPr>
  </w:style>
  <w:style w:type="paragraph" w:customStyle="1" w:styleId="62">
    <w:name w:val="xl84"/>
    <w:basedOn w:val="1"/>
    <w:qFormat/>
    <w:uiPriority w:val="0"/>
    <w:pPr>
      <w:widowControl/>
      <w:spacing w:before="100" w:beforeAutospacing="1" w:after="100" w:afterAutospacing="1"/>
    </w:pPr>
    <w:rPr>
      <w:rFonts w:ascii="宋体" w:hAnsi="宋体" w:cs="宋体"/>
      <w:sz w:val="18"/>
      <w:szCs w:val="18"/>
      <w:lang w:eastAsia="zh-CN"/>
    </w:rPr>
  </w:style>
  <w:style w:type="paragraph" w:customStyle="1" w:styleId="63">
    <w:name w:val="xl93"/>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FF0000"/>
      <w:sz w:val="18"/>
      <w:szCs w:val="18"/>
      <w:lang w:eastAsia="zh-CN"/>
    </w:rPr>
  </w:style>
  <w:style w:type="paragraph" w:customStyle="1" w:styleId="64">
    <w:name w:val="xl98"/>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微软雅黑" w:hAnsi="微软雅黑" w:eastAsia="微软雅黑" w:cs="宋体"/>
      <w:sz w:val="18"/>
      <w:szCs w:val="18"/>
      <w:lang w:eastAsia="zh-CN"/>
    </w:rPr>
  </w:style>
  <w:style w:type="paragraph" w:customStyle="1" w:styleId="65">
    <w:name w:val="xl86"/>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pPr>
    <w:rPr>
      <w:rFonts w:ascii="宋体" w:hAnsi="宋体" w:cs="宋体"/>
      <w:sz w:val="18"/>
      <w:szCs w:val="18"/>
      <w:lang w:eastAsia="zh-CN"/>
    </w:rPr>
  </w:style>
  <w:style w:type="paragraph" w:customStyle="1" w:styleId="66">
    <w:name w:val="xl8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pPr>
    <w:rPr>
      <w:rFonts w:ascii="微软雅黑" w:hAnsi="微软雅黑" w:eastAsia="微软雅黑" w:cs="宋体"/>
      <w:sz w:val="18"/>
      <w:szCs w:val="18"/>
      <w:lang w:eastAsia="zh-CN"/>
    </w:rPr>
  </w:style>
  <w:style w:type="paragraph" w:customStyle="1" w:styleId="67">
    <w:name w:val="font5"/>
    <w:basedOn w:val="1"/>
    <w:qFormat/>
    <w:uiPriority w:val="0"/>
    <w:pPr>
      <w:widowControl/>
      <w:spacing w:before="100" w:beforeAutospacing="1" w:after="100" w:afterAutospacing="1"/>
    </w:pPr>
    <w:rPr>
      <w:rFonts w:ascii="宋体" w:hAnsi="宋体" w:cs="宋体"/>
      <w:sz w:val="18"/>
      <w:szCs w:val="18"/>
      <w:lang w:eastAsia="zh-CN"/>
    </w:rPr>
  </w:style>
  <w:style w:type="paragraph" w:customStyle="1" w:styleId="68">
    <w:name w:val="xl108"/>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69">
    <w:name w:val="xl81"/>
    <w:basedOn w:val="1"/>
    <w:qFormat/>
    <w:uiPriority w:val="0"/>
    <w:pPr>
      <w:widowControl/>
      <w:spacing w:before="100" w:beforeAutospacing="1" w:after="100" w:afterAutospacing="1"/>
    </w:pPr>
    <w:rPr>
      <w:rFonts w:ascii="宋体" w:hAnsi="宋体" w:cs="宋体"/>
      <w:sz w:val="18"/>
      <w:szCs w:val="18"/>
      <w:lang w:eastAsia="zh-CN"/>
    </w:rPr>
  </w:style>
  <w:style w:type="paragraph" w:customStyle="1" w:styleId="70">
    <w:name w:val="xl77"/>
    <w:basedOn w:val="1"/>
    <w:qFormat/>
    <w:uiPriority w:val="0"/>
    <w:pPr>
      <w:widowControl/>
      <w:spacing w:before="100" w:beforeAutospacing="1" w:after="100" w:afterAutospacing="1"/>
      <w:jc w:val="center"/>
    </w:pPr>
    <w:rPr>
      <w:rFonts w:ascii="宋体" w:hAnsi="宋体" w:cs="宋体"/>
      <w:color w:val="FF0000"/>
      <w:sz w:val="18"/>
      <w:szCs w:val="18"/>
      <w:lang w:eastAsia="zh-CN"/>
    </w:rPr>
  </w:style>
  <w:style w:type="paragraph" w:customStyle="1" w:styleId="71">
    <w:name w:val="xl70"/>
    <w:basedOn w:val="1"/>
    <w:qFormat/>
    <w:uiPriority w:val="0"/>
    <w:pPr>
      <w:widowControl/>
      <w:spacing w:before="100" w:beforeAutospacing="1" w:after="100" w:afterAutospacing="1"/>
      <w:jc w:val="center"/>
    </w:pPr>
    <w:rPr>
      <w:rFonts w:ascii="宋体" w:hAnsi="宋体" w:cs="宋体"/>
      <w:sz w:val="18"/>
      <w:szCs w:val="18"/>
      <w:lang w:eastAsia="zh-CN"/>
    </w:rPr>
  </w:style>
  <w:style w:type="paragraph" w:customStyle="1" w:styleId="72">
    <w:name w:val="xl74"/>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73">
    <w:name w:val="xl10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74">
    <w:name w:val="xl91"/>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color w:val="FF0000"/>
      <w:sz w:val="18"/>
      <w:szCs w:val="18"/>
      <w:lang w:eastAsia="zh-CN"/>
    </w:rPr>
  </w:style>
  <w:style w:type="paragraph" w:customStyle="1" w:styleId="75">
    <w:name w:val="xl7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pPr>
    <w:rPr>
      <w:rFonts w:ascii="宋体" w:hAnsi="宋体" w:cs="宋体"/>
      <w:sz w:val="18"/>
      <w:szCs w:val="18"/>
      <w:lang w:eastAsia="zh-CN"/>
    </w:rPr>
  </w:style>
  <w:style w:type="paragraph" w:customStyle="1" w:styleId="76">
    <w:name w:val="xl78"/>
    <w:basedOn w:val="1"/>
    <w:qFormat/>
    <w:uiPriority w:val="0"/>
    <w:pPr>
      <w:widowControl/>
      <w:spacing w:before="100" w:beforeAutospacing="1" w:after="100" w:afterAutospacing="1"/>
      <w:jc w:val="center"/>
    </w:pPr>
    <w:rPr>
      <w:rFonts w:ascii="宋体" w:hAnsi="宋体" w:cs="宋体"/>
      <w:b/>
      <w:bCs/>
      <w:sz w:val="18"/>
      <w:szCs w:val="18"/>
      <w:lang w:eastAsia="zh-CN"/>
    </w:rPr>
  </w:style>
  <w:style w:type="paragraph" w:customStyle="1" w:styleId="77">
    <w:name w:val="xl76"/>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sz w:val="18"/>
      <w:szCs w:val="18"/>
      <w:lang w:eastAsia="zh-CN"/>
    </w:rPr>
  </w:style>
  <w:style w:type="paragraph" w:customStyle="1" w:styleId="78">
    <w:name w:val="List Paragraph"/>
    <w:basedOn w:val="1"/>
    <w:qFormat/>
    <w:uiPriority w:val="0"/>
    <w:pPr>
      <w:widowControl/>
      <w:ind w:firstLine="420"/>
      <w:jc w:val="both"/>
    </w:pPr>
    <w:rPr>
      <w:rFonts w:ascii="Calibri" w:hAnsi="Calibri" w:eastAsia="宋体" w:cs="Calibri"/>
      <w:sz w:val="21"/>
      <w:szCs w:val="21"/>
      <w:lang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84</Pages>
  <Words>5604</Words>
  <Characters>7674</Characters>
  <Lines>598</Lines>
  <Paragraphs>168</Paragraphs>
  <TotalTime>1</TotalTime>
  <ScaleCrop>false</ScaleCrop>
  <LinksUpToDate>false</LinksUpToDate>
  <CharactersWithSpaces>7819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2024-11-26T02:37:00Z</dcterms:created>
  <dc:creator>王苑</dc:creator>
  <cp:lastModifiedBy>asus</cp:lastModifiedBy>
  <cp:lastPrinted>2025-06-12T05:50:00Z</cp:lastPrinted>
  <dcterms:modified xsi:type="dcterms:W3CDTF">2026-09-15T01:45:59Z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1A3068838A04497B8C09761C145FB23D</vt:lpwstr>
  </property>
  <property fmtid="{D5CDD505-2E9C-101B-9397-08002B2CF9AE}" pid="4" name="KSOTemplateDocerSaveRecord">
    <vt:lpwstr>eyJoZGlkIjoiY2EyOWRiZmM4MTY2MzBlYmNjODRhOTA0MTc3ZmVjNTQiLCJ1c2VySWQiOiI4MTQ4NzExMTkifQ==</vt:lpwstr>
  </property>
</Properties>
</file>