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spacing w:before="120" w:after="120"/>
        <w:ind w:right="-20"/>
        <w:jc w:val="center"/>
        <w:rPr>
          <w:rFonts w:ascii="Arial Unicode MS" w:eastAsia="Arial Unicode MS" w:cs="Arial Unicode MS"/>
          <w:b/>
          <w:spacing w:val="2"/>
          <w:w w:val="99"/>
          <w:sz w:val="52"/>
          <w:szCs w:val="52"/>
          <w:highlight w:val="none"/>
        </w:rPr>
      </w:pPr>
      <w:r>
        <w:rPr>
          <w:rFonts w:ascii="Arial Unicode MS" w:eastAsia="Arial Unicode MS" w:cs="Arial Unicode MS"/>
          <w:b/>
          <w:spacing w:val="2"/>
          <w:w w:val="99"/>
          <w:sz w:val="52"/>
          <w:szCs w:val="52"/>
          <w:highlight w:val="none"/>
          <w:lang w:eastAsia="zh-CN"/>
        </w:rPr>
        <w:drawing>
          <wp:anchor distT="0" distB="0" distL="114300" distR="114300" simplePos="0" relativeHeight="251659264" behindDoc="1" locked="0" layoutInCell="1" allowOverlap="1">
            <wp:simplePos x="0" y="0"/>
            <wp:positionH relativeFrom="column">
              <wp:posOffset>2009140</wp:posOffset>
            </wp:positionH>
            <wp:positionV relativeFrom="paragraph">
              <wp:posOffset>20320</wp:posOffset>
            </wp:positionV>
            <wp:extent cx="1596390" cy="1438275"/>
            <wp:effectExtent l="0" t="0" r="0" b="0"/>
            <wp:wrapTight wrapText="bothSides">
              <wp:wrapPolygon>
                <wp:start x="7475" y="0"/>
                <wp:lineTo x="2320" y="4577"/>
                <wp:lineTo x="1289" y="6008"/>
                <wp:lineTo x="0" y="8583"/>
                <wp:lineTo x="0" y="15163"/>
                <wp:lineTo x="1289" y="18310"/>
                <wp:lineTo x="1289" y="18882"/>
                <wp:lineTo x="5155" y="21457"/>
                <wp:lineTo x="5928" y="21457"/>
                <wp:lineTo x="11084" y="21457"/>
                <wp:lineTo x="11857" y="21457"/>
                <wp:lineTo x="15465" y="18882"/>
                <wp:lineTo x="15723" y="18310"/>
                <wp:lineTo x="17527" y="13732"/>
                <wp:lineTo x="21394" y="12016"/>
                <wp:lineTo x="21394" y="8869"/>
                <wp:lineTo x="14692" y="4577"/>
                <wp:lineTo x="9537" y="0"/>
                <wp:lineTo x="7475" y="0"/>
              </wp:wrapPolygon>
            </wp:wrapTight>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6390" cy="1438275"/>
                    </a:xfrm>
                    <a:prstGeom prst="rect">
                      <a:avLst/>
                    </a:prstGeom>
                  </pic:spPr>
                </pic:pic>
              </a:graphicData>
            </a:graphic>
          </wp:anchor>
        </w:drawing>
      </w:r>
    </w:p>
    <w:p>
      <w:pPr>
        <w:autoSpaceDE w:val="0"/>
        <w:autoSpaceDN w:val="0"/>
        <w:spacing w:before="120" w:after="120"/>
        <w:ind w:right="-20"/>
        <w:jc w:val="center"/>
        <w:rPr>
          <w:rFonts w:ascii="Arial Unicode MS" w:eastAsia="Arial Unicode MS" w:cs="Arial Unicode MS"/>
          <w:b/>
          <w:spacing w:val="2"/>
          <w:w w:val="99"/>
          <w:sz w:val="52"/>
          <w:szCs w:val="52"/>
          <w:highlight w:val="none"/>
        </w:rPr>
      </w:pPr>
    </w:p>
    <w:p>
      <w:pPr>
        <w:autoSpaceDE w:val="0"/>
        <w:autoSpaceDN w:val="0"/>
        <w:spacing w:before="120" w:after="120"/>
        <w:ind w:right="-20"/>
        <w:jc w:val="center"/>
        <w:rPr>
          <w:rFonts w:hint="eastAsia" w:ascii="微软雅黑" w:hAnsi="微软雅黑" w:eastAsia="微软雅黑" w:cs="Arial Unicode MS"/>
          <w:b/>
          <w:spacing w:val="2"/>
          <w:w w:val="99"/>
          <w:sz w:val="52"/>
          <w:szCs w:val="52"/>
          <w:highlight w:val="none"/>
        </w:rPr>
      </w:pPr>
    </w:p>
    <w:p>
      <w:pPr>
        <w:jc w:val="center"/>
        <w:rPr>
          <w:rFonts w:hint="eastAsia" w:ascii="微软雅黑" w:hAnsi="微软雅黑" w:eastAsia="微软雅黑" w:cs="Arial Unicode MS"/>
          <w:color w:val="000000"/>
          <w:spacing w:val="2"/>
          <w:w w:val="99"/>
          <w:sz w:val="52"/>
          <w:szCs w:val="52"/>
          <w:highlight w:val="none"/>
          <w:lang w:eastAsia="zh-CN"/>
        </w:rPr>
      </w:pPr>
      <w:r>
        <w:rPr>
          <w:rFonts w:hint="eastAsia" w:ascii="微软雅黑" w:hAnsi="微软雅黑" w:eastAsia="微软雅黑" w:cs="Arial Unicode MS"/>
          <w:color w:val="000000"/>
          <w:spacing w:val="2"/>
          <w:w w:val="99"/>
          <w:sz w:val="52"/>
          <w:szCs w:val="52"/>
          <w:highlight w:val="none"/>
          <w:lang w:eastAsia="zh-CN"/>
        </w:rPr>
        <w:t>中海油能源发展股份有限公司</w:t>
      </w:r>
    </w:p>
    <w:p>
      <w:pPr>
        <w:jc w:val="center"/>
        <w:rPr>
          <w:rFonts w:hint="eastAsia" w:ascii="微软雅黑" w:hAnsi="微软雅黑" w:eastAsia="微软雅黑" w:cs="Arial Unicode MS"/>
          <w:b/>
          <w:spacing w:val="2"/>
          <w:w w:val="99"/>
          <w:sz w:val="52"/>
          <w:szCs w:val="52"/>
          <w:highlight w:val="none"/>
          <w:lang w:eastAsia="zh-CN"/>
        </w:rPr>
      </w:pPr>
    </w:p>
    <w:p>
      <w:pPr>
        <w:jc w:val="center"/>
        <w:rPr>
          <w:rFonts w:hint="eastAsia" w:ascii="微软雅黑" w:hAnsi="微软雅黑" w:eastAsia="微软雅黑" w:cs="Arial Unicode MS"/>
          <w:spacing w:val="2"/>
          <w:w w:val="99"/>
          <w:sz w:val="52"/>
          <w:szCs w:val="52"/>
          <w:highlight w:val="none"/>
          <w:u w:val="single"/>
          <w:lang w:eastAsia="zh-CN"/>
        </w:rPr>
      </w:pPr>
      <w:r>
        <w:rPr>
          <w:rFonts w:hint="eastAsia" w:ascii="微软雅黑" w:hAnsi="微软雅黑" w:eastAsia="微软雅黑" w:cs="Arial Unicode MS"/>
          <w:spacing w:val="2"/>
          <w:w w:val="99"/>
          <w:sz w:val="52"/>
          <w:szCs w:val="52"/>
          <w:highlight w:val="none"/>
          <w:u w:val="single"/>
          <w:lang w:eastAsia="zh-CN"/>
        </w:rPr>
        <w:t>海上导热油加热炉</w:t>
      </w:r>
      <w:r>
        <w:rPr>
          <w:rFonts w:hint="eastAsia" w:ascii="微软雅黑" w:hAnsi="微软雅黑" w:eastAsia="微软雅黑" w:cs="Arial Unicode MS"/>
          <w:spacing w:val="2"/>
          <w:w w:val="99"/>
          <w:sz w:val="52"/>
          <w:szCs w:val="52"/>
          <w:highlight w:val="none"/>
          <w:u w:val="single"/>
          <w:lang w:val="en-US" w:eastAsia="zh-CN"/>
        </w:rPr>
        <w:t>智能优化控制系统开发</w:t>
      </w:r>
      <w:r>
        <w:rPr>
          <w:rFonts w:hint="eastAsia" w:ascii="微软雅黑" w:hAnsi="微软雅黑" w:eastAsia="微软雅黑" w:cs="Arial Unicode MS"/>
          <w:spacing w:val="2"/>
          <w:w w:val="99"/>
          <w:sz w:val="52"/>
          <w:szCs w:val="52"/>
          <w:highlight w:val="none"/>
          <w:u w:val="single"/>
          <w:lang w:eastAsia="zh-CN"/>
        </w:rPr>
        <w:t>技术服务</w:t>
      </w:r>
    </w:p>
    <w:p>
      <w:pPr>
        <w:jc w:val="center"/>
        <w:rPr>
          <w:rFonts w:hint="eastAsia" w:ascii="微软雅黑" w:hAnsi="微软雅黑" w:eastAsia="微软雅黑" w:cs="Arial Unicode MS"/>
          <w:b/>
          <w:spacing w:val="2"/>
          <w:w w:val="99"/>
          <w:sz w:val="52"/>
          <w:szCs w:val="52"/>
          <w:highlight w:val="none"/>
          <w:lang w:eastAsia="zh-CN"/>
        </w:rPr>
      </w:pPr>
      <w:r>
        <w:rPr>
          <w:rFonts w:hint="eastAsia" w:ascii="微软雅黑" w:hAnsi="微软雅黑" w:eastAsia="微软雅黑" w:cs="Arial Unicode MS"/>
          <w:b/>
          <w:spacing w:val="2"/>
          <w:w w:val="99"/>
          <w:sz w:val="52"/>
          <w:szCs w:val="52"/>
          <w:highlight w:val="none"/>
          <w:lang w:eastAsia="zh-CN"/>
        </w:rPr>
        <w:t>采购技术要求书</w:t>
      </w:r>
    </w:p>
    <w:p>
      <w:pPr>
        <w:jc w:val="center"/>
        <w:rPr>
          <w:rFonts w:hint="eastAsia" w:ascii="微软雅黑" w:hAnsi="微软雅黑" w:eastAsia="微软雅黑" w:cs="Arial Unicode MS"/>
          <w:b/>
          <w:spacing w:val="2"/>
          <w:w w:val="99"/>
          <w:sz w:val="52"/>
          <w:szCs w:val="52"/>
          <w:highlight w:val="none"/>
          <w:lang w:eastAsia="zh-CN"/>
        </w:rPr>
      </w:pPr>
    </w:p>
    <w:p>
      <w:pPr>
        <w:pStyle w:val="4"/>
        <w:rPr>
          <w:rFonts w:hint="eastAsia" w:ascii="微软雅黑" w:hAnsi="微软雅黑" w:eastAsia="微软雅黑" w:cs="Arial Unicode MS"/>
          <w:b/>
          <w:color w:val="000000"/>
          <w:w w:val="99"/>
          <w:sz w:val="44"/>
          <w:szCs w:val="44"/>
          <w:highlight w:val="none"/>
        </w:rPr>
      </w:pPr>
    </w:p>
    <w:p>
      <w:pPr>
        <w:autoSpaceDE w:val="0"/>
        <w:autoSpaceDN w:val="0"/>
        <w:spacing w:before="120" w:after="120" w:line="720" w:lineRule="auto"/>
        <w:ind w:right="-20"/>
        <w:rPr>
          <w:rFonts w:ascii="Arial Unicode MS" w:eastAsia="Arial Unicode MS" w:cs="Arial Unicode MS"/>
          <w:spacing w:val="2"/>
          <w:w w:val="99"/>
          <w:sz w:val="36"/>
          <w:szCs w:val="36"/>
          <w:highlight w:val="none"/>
          <w:lang w:eastAsia="zh-CN"/>
        </w:rPr>
      </w:pPr>
      <w:r>
        <w:rPr>
          <w:rFonts w:hint="eastAsia" w:ascii="Arial Unicode MS" w:eastAsia="Arial Unicode MS" w:cs="Arial Unicode MS"/>
          <w:spacing w:val="2"/>
          <w:w w:val="99"/>
          <w:sz w:val="36"/>
          <w:szCs w:val="36"/>
          <w:highlight w:val="none"/>
          <w:lang w:eastAsia="zh-CN"/>
        </w:rPr>
        <w:t xml:space="preserve">           编制：</w:t>
      </w:r>
      <w:r>
        <w:rPr>
          <w:rFonts w:hint="eastAsia" w:ascii="Arial Unicode MS" w:eastAsia="Arial Unicode MS" w:cs="Arial Unicode MS"/>
          <w:spacing w:val="2"/>
          <w:w w:val="99"/>
          <w:sz w:val="36"/>
          <w:szCs w:val="36"/>
          <w:highlight w:val="none"/>
          <w:u w:val="single"/>
          <w:lang w:eastAsia="zh-CN"/>
        </w:rPr>
        <w:t xml:space="preserve">                </w:t>
      </w:r>
    </w:p>
    <w:p>
      <w:pPr>
        <w:autoSpaceDE w:val="0"/>
        <w:autoSpaceDN w:val="0"/>
        <w:spacing w:before="120" w:after="120" w:line="720" w:lineRule="auto"/>
        <w:ind w:right="-20"/>
        <w:rPr>
          <w:rFonts w:ascii="Arial Unicode MS" w:eastAsia="Arial Unicode MS" w:cs="Arial Unicode MS"/>
          <w:spacing w:val="2"/>
          <w:w w:val="99"/>
          <w:sz w:val="36"/>
          <w:szCs w:val="36"/>
          <w:highlight w:val="none"/>
          <w:lang w:eastAsia="zh-CN"/>
        </w:rPr>
      </w:pPr>
      <w:r>
        <w:rPr>
          <w:rFonts w:hint="eastAsia" w:ascii="Arial Unicode MS" w:eastAsia="Arial Unicode MS" w:cs="Arial Unicode MS"/>
          <w:spacing w:val="2"/>
          <w:w w:val="99"/>
          <w:sz w:val="36"/>
          <w:szCs w:val="36"/>
          <w:highlight w:val="none"/>
          <w:lang w:eastAsia="zh-CN"/>
        </w:rPr>
        <w:t xml:space="preserve">           审核：</w:t>
      </w:r>
      <w:r>
        <w:rPr>
          <w:rFonts w:hint="eastAsia" w:ascii="Arial Unicode MS" w:eastAsia="Arial Unicode MS" w:cs="Arial Unicode MS"/>
          <w:spacing w:val="2"/>
          <w:w w:val="99"/>
          <w:sz w:val="36"/>
          <w:szCs w:val="36"/>
          <w:highlight w:val="none"/>
          <w:u w:val="single"/>
          <w:lang w:eastAsia="zh-CN"/>
        </w:rPr>
        <w:t xml:space="preserve">                </w:t>
      </w:r>
    </w:p>
    <w:p>
      <w:pPr>
        <w:autoSpaceDE w:val="0"/>
        <w:autoSpaceDN w:val="0"/>
        <w:spacing w:before="120" w:after="120" w:line="720" w:lineRule="auto"/>
        <w:ind w:right="-20"/>
        <w:rPr>
          <w:rFonts w:ascii="Arial Unicode MS" w:eastAsia="Arial Unicode MS" w:cs="Arial Unicode MS"/>
          <w:spacing w:val="2"/>
          <w:w w:val="99"/>
          <w:sz w:val="36"/>
          <w:szCs w:val="36"/>
          <w:highlight w:val="none"/>
          <w:lang w:eastAsia="zh-CN"/>
        </w:rPr>
      </w:pPr>
      <w:r>
        <w:rPr>
          <w:rFonts w:hint="eastAsia" w:ascii="Arial Unicode MS" w:eastAsia="Arial Unicode MS" w:cs="Arial Unicode MS"/>
          <w:spacing w:val="2"/>
          <w:w w:val="99"/>
          <w:sz w:val="36"/>
          <w:szCs w:val="36"/>
          <w:highlight w:val="none"/>
          <w:lang w:eastAsia="zh-CN"/>
        </w:rPr>
        <w:t xml:space="preserve">           批准：</w:t>
      </w:r>
      <w:r>
        <w:rPr>
          <w:rFonts w:hint="eastAsia" w:ascii="Arial Unicode MS" w:eastAsia="Arial Unicode MS" w:cs="Arial Unicode MS"/>
          <w:spacing w:val="2"/>
          <w:w w:val="99"/>
          <w:sz w:val="36"/>
          <w:szCs w:val="36"/>
          <w:highlight w:val="none"/>
          <w:u w:val="single"/>
          <w:lang w:eastAsia="zh-CN"/>
        </w:rPr>
        <w:t xml:space="preserve">                </w:t>
      </w:r>
      <w:r>
        <w:rPr>
          <w:rFonts w:hint="eastAsia" w:ascii="Arial Unicode MS" w:eastAsia="Arial Unicode MS" w:cs="Arial Unicode MS"/>
          <w:spacing w:val="2"/>
          <w:w w:val="99"/>
          <w:sz w:val="36"/>
          <w:szCs w:val="36"/>
          <w:highlight w:val="none"/>
          <w:lang w:eastAsia="zh-CN"/>
        </w:rPr>
        <w:t xml:space="preserve"> </w:t>
      </w:r>
    </w:p>
    <w:p>
      <w:pPr>
        <w:widowControl/>
        <w:rPr>
          <w:rFonts w:ascii="宋体" w:eastAsia="宋体" w:cs="宋体"/>
          <w:b/>
          <w:color w:val="000000"/>
          <w:sz w:val="32"/>
          <w:szCs w:val="32"/>
          <w:highlight w:val="none"/>
          <w:lang w:eastAsia="zh-CN"/>
        </w:rPr>
      </w:pPr>
      <w:r>
        <w:rPr>
          <w:b/>
          <w:sz w:val="32"/>
          <w:szCs w:val="32"/>
          <w:highlight w:val="none"/>
          <w:lang w:eastAsia="zh-CN"/>
        </w:rPr>
        <w:br w:type="page"/>
      </w:r>
    </w:p>
    <w:p>
      <w:pPr>
        <w:spacing w:before="4" w:line="120" w:lineRule="exact"/>
        <w:rPr>
          <w:rFonts w:hint="eastAsia" w:ascii="微软雅黑" w:hAnsi="微软雅黑" w:eastAsia="微软雅黑"/>
          <w:sz w:val="12"/>
          <w:szCs w:val="12"/>
          <w:highlight w:val="none"/>
          <w:lang w:eastAsia="zh-CN"/>
        </w:rPr>
      </w:pPr>
    </w:p>
    <w:p>
      <w:pPr>
        <w:pStyle w:val="4"/>
        <w:spacing w:line="600" w:lineRule="auto"/>
        <w:rPr>
          <w:rFonts w:hint="default" w:ascii="黑体" w:hAnsi="黑体" w:eastAsia="黑体"/>
          <w:highlight w:val="none"/>
          <w:lang w:val="en-US" w:eastAsia="zh-CN"/>
        </w:rPr>
      </w:pPr>
      <w:bookmarkStart w:id="0" w:name="_Toc13249324"/>
      <w:bookmarkStart w:id="1" w:name="_Toc13248927"/>
      <w:r>
        <w:rPr>
          <w:rFonts w:ascii="黑体" w:hAnsi="黑体" w:eastAsia="黑体"/>
          <w:highlight w:val="none"/>
        </w:rPr>
        <w:t>一、</w:t>
      </w:r>
      <w:r>
        <w:rPr>
          <w:rFonts w:hint="eastAsia" w:ascii="黑体" w:hAnsi="黑体" w:eastAsia="黑体"/>
          <w:highlight w:val="none"/>
          <w:lang w:val="en-US" w:eastAsia="zh-CN"/>
        </w:rPr>
        <w:t>项目</w:t>
      </w:r>
      <w:r>
        <w:rPr>
          <w:rFonts w:ascii="黑体" w:hAnsi="黑体" w:eastAsia="黑体"/>
          <w:highlight w:val="none"/>
        </w:rPr>
        <w:t>概况</w:t>
      </w:r>
      <w:bookmarkEnd w:id="0"/>
      <w:bookmarkEnd w:id="1"/>
      <w:r>
        <w:rPr>
          <w:rFonts w:hint="eastAsia" w:ascii="黑体" w:hAnsi="黑体" w:eastAsia="黑体"/>
          <w:highlight w:val="none"/>
          <w:lang w:val="en-US" w:eastAsia="zh-CN"/>
        </w:rPr>
        <w:t>及总体要求</w:t>
      </w:r>
    </w:p>
    <w:p>
      <w:pPr>
        <w:spacing w:before="2" w:line="100" w:lineRule="exact"/>
        <w:rPr>
          <w:rFonts w:hint="eastAsia" w:ascii="微软雅黑" w:hAnsi="微软雅黑" w:eastAsia="微软雅黑"/>
          <w:sz w:val="10"/>
          <w:szCs w:val="10"/>
          <w:highlight w:val="none"/>
          <w:lang w:eastAsia="zh-CN"/>
        </w:rPr>
      </w:pPr>
    </w:p>
    <w:p>
      <w:pPr>
        <w:pStyle w:val="2"/>
        <w:spacing w:line="360" w:lineRule="auto"/>
        <w:ind w:right="119" w:firstLine="480"/>
        <w:rPr>
          <w:rFonts w:hint="default" w:ascii="Microsoft YaHei UI" w:hAnsi="Microsoft YaHei UI" w:eastAsia="Microsoft YaHei UI" w:cstheme="minorBidi"/>
          <w:sz w:val="21"/>
          <w:szCs w:val="21"/>
          <w:highlight w:val="none"/>
          <w:lang w:val="en-US" w:eastAsia="zh-CN" w:bidi="ar-SA"/>
        </w:rPr>
      </w:pPr>
      <w:r>
        <w:rPr>
          <w:rFonts w:hint="eastAsia" w:ascii="微软雅黑" w:hAnsi="微软雅黑" w:eastAsia="微软雅黑" w:cs="微软雅黑"/>
          <w:sz w:val="21"/>
          <w:szCs w:val="21"/>
          <w:highlight w:val="none"/>
          <w:lang w:val="en-US" w:eastAsia="zh-CN"/>
        </w:rPr>
        <w:t>根据海上加热炉能效提升与智能优化控制项目相关要求，需配套建设加热炉智能优化控制系统，实现从理论到工业落地的闭环协同。为确保满足加热炉控制策略现场投运要求。项目需与现场中控系统实时获取加热炉运行工艺参数，系统基于加热炉机理模型、控制算法等，实现加热炉运行状态的实时监控和优化调控策略可视化展示，对现场人员手动调控燃料与空气流量有一定的操作指导作用，实现与现场实际热能需求的精准匹配，从而有效提高设备的热效率和能源利用率。</w:t>
      </w:r>
    </w:p>
    <w:p>
      <w:pPr>
        <w:ind w:firstLine="420" w:firstLineChars="200"/>
        <w:rPr>
          <w:rFonts w:hint="default" w:ascii="Microsoft YaHei UI" w:hAnsi="Microsoft YaHei UI" w:eastAsia="Microsoft YaHei UI" w:cstheme="minorBidi"/>
          <w:sz w:val="21"/>
          <w:szCs w:val="21"/>
          <w:highlight w:val="none"/>
          <w:lang w:val="en-US" w:eastAsia="zh-CN" w:bidi="ar-SA"/>
        </w:rPr>
      </w:pPr>
      <w:r>
        <w:rPr>
          <w:rFonts w:hint="eastAsia" w:ascii="Microsoft YaHei UI" w:hAnsi="Microsoft YaHei UI" w:eastAsia="Microsoft YaHei UI" w:cstheme="minorBidi"/>
          <w:sz w:val="21"/>
          <w:szCs w:val="21"/>
          <w:highlight w:val="none"/>
          <w:lang w:val="en-US" w:eastAsia="zh-CN" w:bidi="ar-SA"/>
        </w:rPr>
        <w:t>标准应用情况概述：本需求应用《导热油加热炉系统规范》（SY/T 0524-2016）、《海上油气田能耗在线监测系统建设指南》（QH/S 13035-2021）采购标准（有补充引用），补充主要内容是：导热油加热炉监测、控制参数等，理由：根据本项目实际需求进行补充。</w:t>
      </w:r>
    </w:p>
    <w:p>
      <w:pPr>
        <w:rPr>
          <w:rFonts w:hint="eastAsia"/>
          <w:highlight w:val="none"/>
          <w:lang w:eastAsia="zh-CN"/>
        </w:rPr>
      </w:pPr>
    </w:p>
    <w:p>
      <w:pPr>
        <w:pStyle w:val="4"/>
        <w:spacing w:line="600" w:lineRule="auto"/>
        <w:rPr>
          <w:rFonts w:hint="default" w:ascii="黑体" w:hAnsi="黑体" w:eastAsia="黑体"/>
          <w:highlight w:val="none"/>
          <w:lang w:val="en-US" w:eastAsia="zh-CN"/>
        </w:rPr>
      </w:pPr>
      <w:r>
        <w:rPr>
          <w:rFonts w:hint="eastAsia" w:ascii="黑体" w:hAnsi="黑体" w:eastAsia="黑体"/>
          <w:highlight w:val="none"/>
        </w:rPr>
        <w:t>二、</w:t>
      </w:r>
      <w:r>
        <w:rPr>
          <w:rFonts w:hint="eastAsia" w:ascii="黑体" w:hAnsi="黑体" w:eastAsia="黑体"/>
          <w:highlight w:val="none"/>
          <w:lang w:val="en-US" w:eastAsia="zh-CN"/>
        </w:rPr>
        <w:t>服务内容和范围</w:t>
      </w:r>
    </w:p>
    <w:p>
      <w:pPr>
        <w:pStyle w:val="4"/>
        <w:spacing w:line="600" w:lineRule="auto"/>
        <w:rPr>
          <w:rFonts w:hint="eastAsia" w:ascii="Microsoft YaHei UI" w:hAnsi="Microsoft YaHei UI" w:eastAsia="Microsoft YaHei UI" w:cs="Microsoft YaHei UI"/>
          <w:sz w:val="21"/>
          <w:szCs w:val="21"/>
          <w:highlight w:val="none"/>
          <w:lang w:val="en-US" w:eastAsia="zh-CN"/>
        </w:rPr>
      </w:pPr>
      <w:r>
        <w:rPr>
          <w:rFonts w:hint="eastAsia" w:ascii="Microsoft YaHei UI" w:hAnsi="Microsoft YaHei UI" w:eastAsia="Microsoft YaHei UI" w:cs="Microsoft YaHei UI"/>
          <w:sz w:val="21"/>
          <w:szCs w:val="21"/>
          <w:highlight w:val="none"/>
          <w:lang w:val="en-US" w:eastAsia="zh-CN"/>
        </w:rPr>
        <w:t>1、服务内容</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Microsoft YaHei UI" w:hAnsi="Microsoft YaHei UI" w:eastAsia="Microsoft YaHei UI" w:cstheme="minorBidi"/>
          <w:sz w:val="21"/>
          <w:szCs w:val="21"/>
          <w:highlight w:val="none"/>
          <w:lang w:val="en-US" w:eastAsia="zh-CN" w:bidi="ar-SA"/>
        </w:rPr>
      </w:pPr>
      <w:r>
        <w:rPr>
          <w:rFonts w:hint="eastAsia" w:ascii="Microsoft YaHei UI" w:hAnsi="Microsoft YaHei UI" w:eastAsia="Microsoft YaHei UI" w:cstheme="minorBidi"/>
          <w:sz w:val="21"/>
          <w:szCs w:val="21"/>
          <w:highlight w:val="none"/>
          <w:lang w:val="en-US" w:eastAsia="zh-CN" w:bidi="ar-SA"/>
        </w:rPr>
        <w:t>乙方为甲方提供与加热炉智能优化控制系统开发与部署应用相关的技术支持，针对本项目提供数据采集传输服务、系统软件功能开发技术服务、现场系统部署联调测试、数据接入指导与对接、系统资料移交、技术培训等服务。通过建立数据采集、优化控制方案仿真、可视化监控的智能管控体系，实现加热炉系统全流程监控、实时热效率计算、能效异常智能寻优及调优策略和优化建议实时可视化呈现，为海上加热炉的长效平稳安全运行提供可靠的技术支撑与系统化保障。</w:t>
      </w:r>
    </w:p>
    <w:p>
      <w:pPr>
        <w:numPr>
          <w:ilvl w:val="0"/>
          <w:numId w:val="2"/>
        </w:numPr>
        <w:rPr>
          <w:rFonts w:hint="eastAsia" w:ascii="Microsoft YaHei UI" w:hAnsi="Microsoft YaHei UI" w:eastAsia="Microsoft YaHei UI" w:cs="Microsoft YaHei UI"/>
          <w:sz w:val="21"/>
          <w:szCs w:val="21"/>
          <w:highlight w:val="none"/>
          <w:lang w:val="en-US" w:eastAsia="zh-CN"/>
        </w:rPr>
      </w:pPr>
      <w:r>
        <w:rPr>
          <w:rFonts w:hint="eastAsia" w:ascii="Microsoft YaHei UI" w:hAnsi="Microsoft YaHei UI" w:eastAsia="Microsoft YaHei UI" w:cs="Microsoft YaHei UI"/>
          <w:sz w:val="21"/>
          <w:szCs w:val="21"/>
          <w:highlight w:val="none"/>
          <w:lang w:val="en-US" w:eastAsia="zh-CN"/>
        </w:rPr>
        <w:t>工作量清单</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8"/>
        <w:gridCol w:w="1260"/>
        <w:gridCol w:w="4469"/>
        <w:gridCol w:w="937"/>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pct"/>
            <w:vAlign w:val="center"/>
          </w:tcPr>
          <w:p>
            <w:pPr>
              <w:pStyle w:val="2"/>
              <w:ind w:firstLine="0" w:firstLineChars="0"/>
              <w:jc w:val="center"/>
              <w:rPr>
                <w:rFonts w:hint="eastAsia"/>
                <w:highlight w:val="none"/>
                <w:lang w:eastAsia="zh-CN"/>
              </w:rPr>
            </w:pPr>
            <w:r>
              <w:rPr>
                <w:rFonts w:hint="eastAsia"/>
                <w:highlight w:val="none"/>
                <w:lang w:eastAsia="zh-CN"/>
              </w:rPr>
              <w:t>序号</w:t>
            </w:r>
          </w:p>
        </w:tc>
        <w:tc>
          <w:tcPr>
            <w:tcW w:w="739" w:type="pct"/>
            <w:vAlign w:val="center"/>
          </w:tcPr>
          <w:p>
            <w:pPr>
              <w:pStyle w:val="2"/>
              <w:ind w:firstLine="0" w:firstLineChars="0"/>
              <w:jc w:val="center"/>
              <w:rPr>
                <w:rFonts w:hint="eastAsia"/>
                <w:highlight w:val="none"/>
                <w:lang w:eastAsia="zh-CN"/>
              </w:rPr>
            </w:pPr>
            <w:r>
              <w:rPr>
                <w:rFonts w:hint="eastAsia"/>
                <w:highlight w:val="none"/>
                <w:lang w:eastAsia="zh-CN"/>
              </w:rPr>
              <w:t>工作项</w:t>
            </w:r>
          </w:p>
        </w:tc>
        <w:tc>
          <w:tcPr>
            <w:tcW w:w="2622" w:type="pct"/>
            <w:vAlign w:val="center"/>
          </w:tcPr>
          <w:p>
            <w:pPr>
              <w:pStyle w:val="2"/>
              <w:ind w:firstLine="0" w:firstLineChars="0"/>
              <w:jc w:val="center"/>
              <w:rPr>
                <w:rFonts w:hint="eastAsia"/>
                <w:highlight w:val="none"/>
                <w:lang w:eastAsia="zh-CN"/>
              </w:rPr>
            </w:pPr>
            <w:r>
              <w:rPr>
                <w:rFonts w:hint="eastAsia"/>
                <w:highlight w:val="none"/>
                <w:lang w:eastAsia="zh-CN"/>
              </w:rPr>
              <w:t>工作内容</w:t>
            </w:r>
          </w:p>
        </w:tc>
        <w:tc>
          <w:tcPr>
            <w:tcW w:w="550" w:type="pct"/>
            <w:vAlign w:val="center"/>
          </w:tcPr>
          <w:p>
            <w:pPr>
              <w:pStyle w:val="2"/>
              <w:ind w:firstLine="0" w:firstLineChars="0"/>
              <w:jc w:val="center"/>
              <w:rPr>
                <w:rFonts w:hint="eastAsia"/>
                <w:highlight w:val="none"/>
                <w:lang w:eastAsia="zh-CN"/>
              </w:rPr>
            </w:pPr>
            <w:r>
              <w:rPr>
                <w:rFonts w:hint="eastAsia"/>
                <w:highlight w:val="none"/>
                <w:lang w:eastAsia="zh-CN"/>
              </w:rPr>
              <w:t>数量</w:t>
            </w:r>
          </w:p>
        </w:tc>
        <w:tc>
          <w:tcPr>
            <w:tcW w:w="519" w:type="pct"/>
            <w:vAlign w:val="center"/>
          </w:tcPr>
          <w:p>
            <w:pPr>
              <w:pStyle w:val="2"/>
              <w:ind w:firstLine="0" w:firstLineChars="0"/>
              <w:jc w:val="center"/>
              <w:rPr>
                <w:rFonts w:hint="eastAsia"/>
                <w:highlight w:val="none"/>
                <w:lang w:eastAsia="zh-CN"/>
              </w:rPr>
            </w:pPr>
            <w:r>
              <w:rPr>
                <w:rFonts w:hint="eastAsia"/>
                <w:highlight w:val="none"/>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568" w:type="pct"/>
            <w:vAlign w:val="center"/>
          </w:tcPr>
          <w:p>
            <w:pPr>
              <w:pStyle w:val="2"/>
              <w:ind w:firstLine="0" w:firstLineChars="0"/>
              <w:jc w:val="center"/>
              <w:rPr>
                <w:rFonts w:hint="eastAsia"/>
                <w:highlight w:val="none"/>
                <w:lang w:eastAsia="zh-CN"/>
              </w:rPr>
            </w:pPr>
            <w:r>
              <w:rPr>
                <w:rFonts w:hint="eastAsia"/>
                <w:highlight w:val="none"/>
                <w:lang w:eastAsia="zh-CN"/>
              </w:rPr>
              <w:t>1</w:t>
            </w:r>
          </w:p>
        </w:tc>
        <w:tc>
          <w:tcPr>
            <w:tcW w:w="739" w:type="pct"/>
            <w:vAlign w:val="center"/>
          </w:tcPr>
          <w:p>
            <w:pPr>
              <w:pStyle w:val="2"/>
              <w:ind w:firstLine="0" w:firstLineChars="0"/>
              <w:rPr>
                <w:rFonts w:hint="eastAsia"/>
                <w:highlight w:val="none"/>
                <w:lang w:eastAsia="zh-CN"/>
              </w:rPr>
            </w:pPr>
            <w:r>
              <w:rPr>
                <w:rFonts w:hint="eastAsia"/>
                <w:highlight w:val="none"/>
                <w:lang w:eastAsia="zh-CN"/>
              </w:rPr>
              <w:t>数据采集传输服务</w:t>
            </w:r>
          </w:p>
        </w:tc>
        <w:tc>
          <w:tcPr>
            <w:tcW w:w="2622" w:type="pct"/>
            <w:vAlign w:val="center"/>
          </w:tcPr>
          <w:p>
            <w:pPr>
              <w:pStyle w:val="2"/>
              <w:ind w:firstLine="0" w:firstLineChars="0"/>
              <w:rPr>
                <w:rFonts w:hint="eastAsia"/>
                <w:highlight w:val="none"/>
                <w:lang w:eastAsia="zh-CN"/>
              </w:rPr>
            </w:pPr>
            <w:r>
              <w:rPr>
                <w:rFonts w:hint="eastAsia"/>
                <w:highlight w:val="none"/>
                <w:lang w:eastAsia="zh-CN"/>
              </w:rPr>
              <w:t>提供服务包括数据采集、</w:t>
            </w:r>
            <w:r>
              <w:rPr>
                <w:rFonts w:hint="eastAsia"/>
                <w:highlight w:val="none"/>
                <w:lang w:val="en-US" w:eastAsia="zh-CN"/>
              </w:rPr>
              <w:t>传输与</w:t>
            </w:r>
            <w:r>
              <w:rPr>
                <w:rFonts w:hint="eastAsia"/>
                <w:highlight w:val="none"/>
                <w:lang w:eastAsia="zh-CN"/>
              </w:rPr>
              <w:t>存储。其中数据采集、</w:t>
            </w:r>
            <w:r>
              <w:rPr>
                <w:rFonts w:hint="eastAsia"/>
                <w:highlight w:val="none"/>
                <w:lang w:val="en-US" w:eastAsia="zh-CN"/>
              </w:rPr>
              <w:t>传输、</w:t>
            </w:r>
            <w:r>
              <w:rPr>
                <w:rFonts w:hint="eastAsia"/>
                <w:highlight w:val="none"/>
                <w:lang w:eastAsia="zh-CN"/>
              </w:rPr>
              <w:t>存储包括</w:t>
            </w:r>
            <w:r>
              <w:rPr>
                <w:rFonts w:hint="eastAsia"/>
                <w:highlight w:val="none"/>
                <w:lang w:val="en-US" w:eastAsia="zh-CN"/>
              </w:rPr>
              <w:t>工艺</w:t>
            </w:r>
            <w:r>
              <w:rPr>
                <w:rFonts w:hint="eastAsia"/>
                <w:highlight w:val="none"/>
                <w:lang w:eastAsia="zh-CN"/>
              </w:rPr>
              <w:t>参数采集、数据存储等；数据</w:t>
            </w:r>
            <w:r>
              <w:rPr>
                <w:rFonts w:hint="eastAsia"/>
                <w:highlight w:val="none"/>
                <w:lang w:val="en-US" w:eastAsia="zh-CN"/>
              </w:rPr>
              <w:t>传输</w:t>
            </w:r>
            <w:r>
              <w:rPr>
                <w:rFonts w:hint="eastAsia"/>
                <w:highlight w:val="none"/>
                <w:lang w:eastAsia="zh-CN"/>
              </w:rPr>
              <w:t>频率设定，数据补传、重传</w:t>
            </w:r>
            <w:r>
              <w:rPr>
                <w:rFonts w:hint="eastAsia"/>
                <w:highlight w:val="none"/>
                <w:lang w:val="en-US" w:eastAsia="zh-CN"/>
              </w:rPr>
              <w:t>等</w:t>
            </w:r>
            <w:r>
              <w:rPr>
                <w:rFonts w:hint="eastAsia"/>
                <w:highlight w:val="none"/>
                <w:lang w:eastAsia="zh-CN"/>
              </w:rPr>
              <w:t>。</w:t>
            </w:r>
          </w:p>
        </w:tc>
        <w:tc>
          <w:tcPr>
            <w:tcW w:w="550" w:type="pct"/>
            <w:vAlign w:val="center"/>
          </w:tcPr>
          <w:p>
            <w:pPr>
              <w:pStyle w:val="2"/>
              <w:ind w:firstLine="420"/>
              <w:jc w:val="center"/>
              <w:rPr>
                <w:rFonts w:hint="eastAsia"/>
                <w:highlight w:val="none"/>
                <w:lang w:eastAsia="zh-CN"/>
              </w:rPr>
            </w:pPr>
            <w:r>
              <w:rPr>
                <w:rFonts w:hint="eastAsia"/>
                <w:highlight w:val="none"/>
                <w:lang w:eastAsia="zh-CN"/>
              </w:rPr>
              <w:t>1</w:t>
            </w:r>
          </w:p>
        </w:tc>
        <w:tc>
          <w:tcPr>
            <w:tcW w:w="519" w:type="pct"/>
            <w:vAlign w:val="center"/>
          </w:tcPr>
          <w:p>
            <w:pPr>
              <w:pStyle w:val="2"/>
              <w:ind w:firstLine="0" w:firstLineChars="0"/>
              <w:jc w:val="center"/>
              <w:rPr>
                <w:rFonts w:hint="eastAsia"/>
                <w:highlight w:val="none"/>
                <w:lang w:eastAsia="zh-CN"/>
              </w:rPr>
            </w:pPr>
            <w:r>
              <w:rPr>
                <w:rFonts w:hint="eastAsia"/>
                <w:highlight w:val="none"/>
                <w:lang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568" w:type="pct"/>
            <w:vAlign w:val="center"/>
          </w:tcPr>
          <w:p>
            <w:pPr>
              <w:pStyle w:val="2"/>
              <w:ind w:firstLine="0" w:firstLineChars="0"/>
              <w:jc w:val="center"/>
              <w:rPr>
                <w:rFonts w:hint="default"/>
                <w:highlight w:val="none"/>
                <w:lang w:val="en-US" w:eastAsia="zh-CN"/>
              </w:rPr>
            </w:pPr>
            <w:r>
              <w:rPr>
                <w:rFonts w:hint="eastAsia"/>
                <w:highlight w:val="none"/>
                <w:lang w:val="en-US" w:eastAsia="zh-CN"/>
              </w:rPr>
              <w:t>2</w:t>
            </w:r>
          </w:p>
        </w:tc>
        <w:tc>
          <w:tcPr>
            <w:tcW w:w="739" w:type="pct"/>
            <w:vAlign w:val="center"/>
          </w:tcPr>
          <w:p>
            <w:pPr>
              <w:pStyle w:val="2"/>
              <w:ind w:firstLine="0" w:firstLineChars="0"/>
              <w:rPr>
                <w:rFonts w:hint="default"/>
                <w:highlight w:val="none"/>
                <w:lang w:val="en-US" w:eastAsia="zh-CN"/>
              </w:rPr>
            </w:pPr>
            <w:r>
              <w:rPr>
                <w:rFonts w:hint="eastAsia"/>
                <w:highlight w:val="none"/>
                <w:lang w:val="en-US" w:eastAsia="zh-CN"/>
              </w:rPr>
              <w:t>算法与模型研发服务</w:t>
            </w:r>
          </w:p>
        </w:tc>
        <w:tc>
          <w:tcPr>
            <w:tcW w:w="2622" w:type="pct"/>
            <w:vAlign w:val="center"/>
          </w:tcPr>
          <w:p>
            <w:pPr>
              <w:pStyle w:val="2"/>
              <w:ind w:firstLine="0" w:firstLineChars="0"/>
              <w:rPr>
                <w:rFonts w:hint="default"/>
                <w:highlight w:val="none"/>
                <w:lang w:val="en-US" w:eastAsia="zh-CN"/>
              </w:rPr>
            </w:pPr>
            <w:r>
              <w:rPr>
                <w:rFonts w:hint="eastAsia"/>
                <w:highlight w:val="none"/>
                <w:lang w:val="en-US" w:eastAsia="zh-CN"/>
              </w:rPr>
              <w:t>提供驱动系统功能实现的高级算法与模型的开发服务。具体包括数据质量与预处理算法、设备健康度分级算法、设备监测与预警算法、多目标约束优化与</w:t>
            </w:r>
            <w:r>
              <w:rPr>
                <w:rFonts w:hint="eastAsia"/>
                <w:highlight w:val="none"/>
                <w:lang w:eastAsia="zh-CN"/>
              </w:rPr>
              <w:t>最优操作决策选择算法、</w:t>
            </w:r>
            <w:r>
              <w:rPr>
                <w:rFonts w:hint="eastAsia"/>
                <w:highlight w:val="none"/>
                <w:lang w:val="en-US" w:eastAsia="zh-CN"/>
              </w:rPr>
              <w:t>控制模型、热效率模型等。</w:t>
            </w:r>
          </w:p>
        </w:tc>
        <w:tc>
          <w:tcPr>
            <w:tcW w:w="550" w:type="pct"/>
            <w:vAlign w:val="center"/>
          </w:tcPr>
          <w:p>
            <w:pPr>
              <w:pStyle w:val="2"/>
              <w:ind w:firstLine="420"/>
              <w:jc w:val="center"/>
              <w:rPr>
                <w:rFonts w:hint="default"/>
                <w:highlight w:val="none"/>
                <w:lang w:val="en-US" w:eastAsia="zh-CN"/>
              </w:rPr>
            </w:pPr>
            <w:r>
              <w:rPr>
                <w:rFonts w:hint="eastAsia"/>
                <w:highlight w:val="none"/>
                <w:lang w:val="en-US" w:eastAsia="zh-CN"/>
              </w:rPr>
              <w:t>1</w:t>
            </w:r>
          </w:p>
        </w:tc>
        <w:tc>
          <w:tcPr>
            <w:tcW w:w="519" w:type="pct"/>
            <w:vAlign w:val="center"/>
          </w:tcPr>
          <w:p>
            <w:pPr>
              <w:pStyle w:val="2"/>
              <w:ind w:firstLine="0" w:firstLineChars="0"/>
              <w:jc w:val="center"/>
              <w:rPr>
                <w:rFonts w:hint="default"/>
                <w:highlight w:val="none"/>
                <w:lang w:val="en-US" w:eastAsia="zh-CN"/>
              </w:rPr>
            </w:pPr>
            <w:r>
              <w:rPr>
                <w:rFonts w:hint="eastAsia"/>
                <w:highlight w:val="none"/>
                <w:lang w:val="en-US"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2" w:hRule="atLeast"/>
        </w:trPr>
        <w:tc>
          <w:tcPr>
            <w:tcW w:w="568" w:type="pct"/>
            <w:vAlign w:val="center"/>
          </w:tcPr>
          <w:p>
            <w:pPr>
              <w:pStyle w:val="2"/>
              <w:ind w:firstLine="0" w:firstLineChars="0"/>
              <w:jc w:val="center"/>
              <w:rPr>
                <w:rFonts w:hint="eastAsia"/>
                <w:highlight w:val="none"/>
                <w:lang w:eastAsia="zh-CN"/>
              </w:rPr>
            </w:pPr>
            <w:r>
              <w:rPr>
                <w:rFonts w:hint="eastAsia"/>
                <w:highlight w:val="none"/>
                <w:lang w:val="en-US" w:eastAsia="zh-CN"/>
              </w:rPr>
              <w:t>3</w:t>
            </w:r>
          </w:p>
        </w:tc>
        <w:tc>
          <w:tcPr>
            <w:tcW w:w="739" w:type="pct"/>
            <w:vAlign w:val="center"/>
          </w:tcPr>
          <w:p>
            <w:pPr>
              <w:pStyle w:val="2"/>
              <w:ind w:firstLine="0" w:firstLineChars="0"/>
              <w:rPr>
                <w:rFonts w:hint="eastAsia"/>
                <w:highlight w:val="none"/>
                <w:lang w:eastAsia="zh-CN"/>
              </w:rPr>
            </w:pPr>
            <w:r>
              <w:rPr>
                <w:rFonts w:hint="eastAsia"/>
                <w:highlight w:val="none"/>
                <w:lang w:eastAsia="zh-CN"/>
              </w:rPr>
              <w:t>功能开发技术服务</w:t>
            </w:r>
          </w:p>
        </w:tc>
        <w:tc>
          <w:tcPr>
            <w:tcW w:w="2622" w:type="pct"/>
            <w:vAlign w:val="center"/>
          </w:tcPr>
          <w:p>
            <w:pPr>
              <w:pStyle w:val="2"/>
              <w:ind w:firstLine="0" w:firstLineChars="0"/>
              <w:rPr>
                <w:rFonts w:hint="eastAsia"/>
                <w:highlight w:val="none"/>
                <w:lang w:eastAsia="zh-CN"/>
              </w:rPr>
            </w:pPr>
            <w:r>
              <w:rPr>
                <w:rFonts w:hint="eastAsia"/>
                <w:highlight w:val="none"/>
                <w:lang w:eastAsia="zh-CN"/>
              </w:rPr>
              <w:t>提供系统</w:t>
            </w:r>
            <w:r>
              <w:rPr>
                <w:rFonts w:hint="eastAsia"/>
                <w:highlight w:val="none"/>
                <w:lang w:val="en-US" w:eastAsia="zh-CN"/>
              </w:rPr>
              <w:t>模型算法工程化封装、</w:t>
            </w:r>
            <w:r>
              <w:rPr>
                <w:rFonts w:hint="eastAsia"/>
                <w:highlight w:val="none"/>
                <w:lang w:eastAsia="zh-CN"/>
              </w:rPr>
              <w:t>架构设计、原型图设计、前端开发、后端开发、接口开发、系统测试、非功能开发等技术服务。登录界面后进入主界面导航入口，其中系统功能不限于</w:t>
            </w:r>
            <w:r>
              <w:rPr>
                <w:highlight w:val="none"/>
                <w:lang w:eastAsia="zh-CN"/>
              </w:rPr>
              <w:t>驾驶舱</w:t>
            </w:r>
            <w:r>
              <w:rPr>
                <w:rFonts w:hint="eastAsia"/>
                <w:highlight w:val="none"/>
                <w:lang w:eastAsia="zh-CN"/>
              </w:rPr>
              <w:t>模块（</w:t>
            </w:r>
            <w:r>
              <w:rPr>
                <w:rFonts w:hint="eastAsia"/>
                <w:highlight w:val="none"/>
                <w:lang w:val="en-US" w:eastAsia="zh-CN"/>
              </w:rPr>
              <w:t>页面</w:t>
            </w:r>
            <w:r>
              <w:rPr>
                <w:rFonts w:hint="eastAsia"/>
                <w:highlight w:val="none"/>
                <w:lang w:eastAsia="zh-CN"/>
              </w:rPr>
              <w:t>包含</w:t>
            </w:r>
            <w:r>
              <w:rPr>
                <w:rFonts w:hint="eastAsia"/>
                <w:highlight w:val="none"/>
                <w:lang w:val="en-US" w:eastAsia="zh-CN"/>
              </w:rPr>
              <w:t>但不限于设备综合健康度评分、实时报警看板、</w:t>
            </w:r>
            <w:r>
              <w:rPr>
                <w:rFonts w:hint="eastAsia"/>
                <w:highlight w:val="none"/>
                <w:lang w:eastAsia="zh-CN"/>
              </w:rPr>
              <w:t>核心参数仪表盘、加热炉</w:t>
            </w:r>
            <w:r>
              <w:rPr>
                <w:rFonts w:hint="eastAsia"/>
                <w:highlight w:val="none"/>
                <w:lang w:val="en-US" w:eastAsia="zh-CN"/>
              </w:rPr>
              <w:t>动态工艺流程图</w:t>
            </w:r>
            <w:r>
              <w:rPr>
                <w:rFonts w:hint="eastAsia"/>
                <w:highlight w:val="none"/>
                <w:lang w:eastAsia="zh-CN"/>
              </w:rPr>
              <w:t>、控制策略等</w:t>
            </w:r>
            <w:r>
              <w:rPr>
                <w:rFonts w:hint="eastAsia"/>
                <w:highlight w:val="none"/>
                <w:lang w:val="en-US" w:eastAsia="zh-CN"/>
              </w:rPr>
              <w:t>内容</w:t>
            </w:r>
            <w:r>
              <w:rPr>
                <w:rFonts w:hint="eastAsia"/>
                <w:highlight w:val="none"/>
                <w:lang w:eastAsia="zh-CN"/>
              </w:rPr>
              <w:t>）、</w:t>
            </w:r>
            <w:r>
              <w:rPr>
                <w:rFonts w:hint="eastAsia"/>
                <w:highlight w:val="none"/>
                <w:lang w:val="en-US" w:eastAsia="zh-CN"/>
              </w:rPr>
              <w:t>实时监测模块、能效分析与评估模块（二级模块包含热效率实时计算、统计分析、报表管理等）、控制与优化模块、</w:t>
            </w:r>
            <w:r>
              <w:rPr>
                <w:rFonts w:hint="eastAsia"/>
                <w:highlight w:val="none"/>
                <w:lang w:eastAsia="zh-CN"/>
              </w:rPr>
              <w:t>系统管理（</w:t>
            </w:r>
            <w:r>
              <w:rPr>
                <w:rFonts w:hint="eastAsia"/>
                <w:highlight w:val="none"/>
                <w:lang w:val="en-US" w:eastAsia="zh-CN"/>
              </w:rPr>
              <w:t>二</w:t>
            </w:r>
            <w:r>
              <w:rPr>
                <w:rFonts w:hint="eastAsia"/>
                <w:highlight w:val="none"/>
                <w:lang w:eastAsia="zh-CN"/>
              </w:rPr>
              <w:t>级模块包含用户管理、预警阈值管理等）。</w:t>
            </w:r>
          </w:p>
        </w:tc>
        <w:tc>
          <w:tcPr>
            <w:tcW w:w="550" w:type="pct"/>
            <w:vAlign w:val="center"/>
          </w:tcPr>
          <w:p>
            <w:pPr>
              <w:pStyle w:val="2"/>
              <w:ind w:firstLine="420"/>
              <w:jc w:val="center"/>
              <w:rPr>
                <w:rFonts w:hint="eastAsia"/>
                <w:highlight w:val="none"/>
                <w:lang w:eastAsia="zh-CN"/>
              </w:rPr>
            </w:pPr>
            <w:r>
              <w:rPr>
                <w:rFonts w:hint="eastAsia"/>
                <w:highlight w:val="none"/>
                <w:lang w:eastAsia="zh-CN"/>
              </w:rPr>
              <w:t>1</w:t>
            </w:r>
          </w:p>
        </w:tc>
        <w:tc>
          <w:tcPr>
            <w:tcW w:w="519" w:type="pct"/>
            <w:vAlign w:val="center"/>
          </w:tcPr>
          <w:p>
            <w:pPr>
              <w:pStyle w:val="2"/>
              <w:ind w:firstLine="0" w:firstLineChars="0"/>
              <w:jc w:val="center"/>
              <w:rPr>
                <w:rFonts w:hint="eastAsia"/>
                <w:highlight w:val="none"/>
                <w:lang w:eastAsia="zh-CN"/>
              </w:rPr>
            </w:pPr>
            <w:r>
              <w:rPr>
                <w:rFonts w:hint="eastAsia"/>
                <w:highlight w:val="none"/>
                <w:lang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2" w:hRule="atLeast"/>
        </w:trPr>
        <w:tc>
          <w:tcPr>
            <w:tcW w:w="568" w:type="pct"/>
            <w:vAlign w:val="center"/>
          </w:tcPr>
          <w:p>
            <w:pPr>
              <w:pStyle w:val="2"/>
              <w:ind w:firstLine="0" w:firstLineChars="0"/>
              <w:jc w:val="center"/>
              <w:rPr>
                <w:rFonts w:hint="eastAsia"/>
                <w:highlight w:val="none"/>
                <w:lang w:eastAsia="zh-CN"/>
              </w:rPr>
            </w:pPr>
            <w:r>
              <w:rPr>
                <w:rFonts w:hint="eastAsia"/>
                <w:highlight w:val="none"/>
                <w:lang w:val="en-US" w:eastAsia="zh-CN"/>
              </w:rPr>
              <w:t>4</w:t>
            </w:r>
          </w:p>
        </w:tc>
        <w:tc>
          <w:tcPr>
            <w:tcW w:w="739" w:type="pct"/>
            <w:vAlign w:val="center"/>
          </w:tcPr>
          <w:p>
            <w:pPr>
              <w:pStyle w:val="2"/>
              <w:ind w:firstLine="0" w:firstLineChars="0"/>
              <w:rPr>
                <w:rFonts w:hint="eastAsia"/>
                <w:highlight w:val="none"/>
                <w:lang w:eastAsia="zh-CN"/>
              </w:rPr>
            </w:pPr>
            <w:r>
              <w:rPr>
                <w:rFonts w:hint="eastAsia"/>
                <w:highlight w:val="none"/>
                <w:lang w:eastAsia="zh-CN"/>
              </w:rPr>
              <w:t>部署实施服务</w:t>
            </w:r>
          </w:p>
        </w:tc>
        <w:tc>
          <w:tcPr>
            <w:tcW w:w="2622" w:type="pct"/>
            <w:vAlign w:val="center"/>
          </w:tcPr>
          <w:p>
            <w:pPr>
              <w:pStyle w:val="2"/>
              <w:ind w:firstLine="0" w:firstLineChars="0"/>
              <w:rPr>
                <w:rFonts w:hint="eastAsia"/>
                <w:highlight w:val="none"/>
                <w:lang w:eastAsia="zh-CN"/>
              </w:rPr>
            </w:pPr>
            <w:r>
              <w:rPr>
                <w:rFonts w:hint="eastAsia"/>
                <w:highlight w:val="none"/>
                <w:lang w:eastAsia="zh-CN"/>
              </w:rPr>
              <w:t>提供服务包括系统部署、联调测试、数据接入指导与对接、系统操作培训、系统资料移交等；调试设备不限于服务器和网闸的配套支持设备，确保数据采集、数据传输以及系统正常运行。</w:t>
            </w:r>
          </w:p>
        </w:tc>
        <w:tc>
          <w:tcPr>
            <w:tcW w:w="550" w:type="pct"/>
            <w:vAlign w:val="center"/>
          </w:tcPr>
          <w:p>
            <w:pPr>
              <w:pStyle w:val="2"/>
              <w:ind w:firstLine="420"/>
              <w:jc w:val="center"/>
              <w:rPr>
                <w:rFonts w:hint="eastAsia"/>
                <w:highlight w:val="none"/>
                <w:lang w:eastAsia="zh-CN"/>
              </w:rPr>
            </w:pPr>
            <w:r>
              <w:rPr>
                <w:rFonts w:hint="eastAsia"/>
                <w:highlight w:val="none"/>
                <w:lang w:eastAsia="zh-CN"/>
              </w:rPr>
              <w:t>1</w:t>
            </w:r>
          </w:p>
        </w:tc>
        <w:tc>
          <w:tcPr>
            <w:tcW w:w="519" w:type="pct"/>
            <w:vAlign w:val="center"/>
          </w:tcPr>
          <w:p>
            <w:pPr>
              <w:pStyle w:val="2"/>
              <w:ind w:firstLine="0" w:firstLineChars="0"/>
              <w:jc w:val="center"/>
              <w:rPr>
                <w:rFonts w:hint="eastAsia"/>
                <w:highlight w:val="none"/>
                <w:lang w:eastAsia="zh-CN"/>
              </w:rPr>
            </w:pPr>
            <w:r>
              <w:rPr>
                <w:rFonts w:hint="eastAsia"/>
                <w:highlight w:val="none"/>
                <w:lang w:eastAsia="zh-CN"/>
              </w:rPr>
              <w:t>项</w:t>
            </w:r>
          </w:p>
        </w:tc>
      </w:tr>
    </w:tbl>
    <w:p>
      <w:pPr>
        <w:rPr>
          <w:highlight w:val="none"/>
          <w:lang w:eastAsia="zh-CN"/>
        </w:rPr>
      </w:pPr>
    </w:p>
    <w:p>
      <w:pPr>
        <w:pStyle w:val="2"/>
        <w:numPr>
          <w:ilvl w:val="0"/>
          <w:numId w:val="0"/>
        </w:numPr>
        <w:spacing w:line="257" w:lineRule="auto"/>
        <w:ind w:right="121" w:rightChars="55"/>
        <w:rPr>
          <w:rFonts w:hint="eastAsia"/>
          <w:highlight w:val="none"/>
          <w:lang w:eastAsia="zh-CN"/>
        </w:rPr>
      </w:pPr>
      <w:r>
        <w:rPr>
          <w:rFonts w:hint="eastAsia"/>
          <w:highlight w:val="none"/>
          <w:lang w:val="en-US" w:eastAsia="zh-CN"/>
        </w:rPr>
        <w:t>3、</w:t>
      </w:r>
      <w:r>
        <w:rPr>
          <w:rFonts w:hint="eastAsia"/>
          <w:highlight w:val="none"/>
          <w:lang w:eastAsia="zh-CN"/>
        </w:rPr>
        <w:t>服务地点</w:t>
      </w:r>
    </w:p>
    <w:p>
      <w:pPr>
        <w:ind w:firstLine="420" w:firstLineChars="200"/>
        <w:jc w:val="both"/>
        <w:rPr>
          <w:rFonts w:hint="eastAsia" w:ascii="Microsoft YaHei UI" w:hAnsi="Microsoft YaHei UI" w:eastAsia="Microsoft YaHei UI"/>
          <w:sz w:val="21"/>
          <w:szCs w:val="21"/>
          <w:highlight w:val="none"/>
          <w:lang w:eastAsia="zh-CN"/>
        </w:rPr>
      </w:pPr>
      <w:r>
        <w:rPr>
          <w:rFonts w:hint="eastAsia" w:ascii="Microsoft YaHei UI" w:hAnsi="Microsoft YaHei UI" w:eastAsia="Microsoft YaHei UI"/>
          <w:sz w:val="21"/>
          <w:szCs w:val="21"/>
          <w:highlight w:val="none"/>
          <w:lang w:val="en-US" w:eastAsia="zh-CN"/>
        </w:rPr>
        <w:t>天津市、海上作业平台，具体以甲方要求为准</w:t>
      </w:r>
      <w:r>
        <w:rPr>
          <w:rFonts w:hint="eastAsia" w:ascii="Microsoft YaHei UI" w:hAnsi="Microsoft YaHei UI" w:eastAsia="Microsoft YaHei UI"/>
          <w:sz w:val="21"/>
          <w:szCs w:val="21"/>
          <w:highlight w:val="none"/>
          <w:lang w:eastAsia="zh-CN"/>
        </w:rPr>
        <w:t>。</w:t>
      </w:r>
    </w:p>
    <w:p>
      <w:pPr>
        <w:pStyle w:val="2"/>
        <w:numPr>
          <w:ilvl w:val="0"/>
          <w:numId w:val="0"/>
        </w:numPr>
        <w:spacing w:line="257" w:lineRule="auto"/>
        <w:ind w:right="121" w:rightChars="55"/>
        <w:rPr>
          <w:rFonts w:hint="eastAsia"/>
          <w:highlight w:val="none"/>
          <w:lang w:eastAsia="zh-CN"/>
        </w:rPr>
      </w:pPr>
      <w:r>
        <w:rPr>
          <w:rFonts w:hint="eastAsia"/>
          <w:highlight w:val="none"/>
          <w:lang w:val="en-US" w:eastAsia="zh-CN"/>
        </w:rPr>
        <w:t>4、</w:t>
      </w:r>
      <w:r>
        <w:rPr>
          <w:rFonts w:hint="eastAsia"/>
          <w:highlight w:val="none"/>
          <w:lang w:eastAsia="zh-CN"/>
        </w:rPr>
        <w:t>服务期限</w:t>
      </w:r>
    </w:p>
    <w:p>
      <w:pPr>
        <w:ind w:firstLine="420" w:firstLineChars="200"/>
        <w:jc w:val="both"/>
        <w:rPr>
          <w:rFonts w:hint="default" w:ascii="Microsoft YaHei UI" w:hAnsi="Microsoft YaHei UI" w:eastAsia="Microsoft YaHei UI"/>
          <w:sz w:val="21"/>
          <w:szCs w:val="21"/>
          <w:highlight w:val="none"/>
          <w:lang w:val="en-US" w:eastAsia="zh-CN"/>
        </w:rPr>
      </w:pPr>
      <w:r>
        <w:rPr>
          <w:rFonts w:hint="eastAsia" w:ascii="Microsoft YaHei UI" w:hAnsi="Microsoft YaHei UI" w:eastAsia="Microsoft YaHei UI"/>
          <w:sz w:val="21"/>
          <w:szCs w:val="21"/>
          <w:highlight w:val="none"/>
          <w:lang w:eastAsia="zh-CN"/>
        </w:rPr>
        <w:t>2026年10月31日</w:t>
      </w:r>
      <w:r>
        <w:rPr>
          <w:rFonts w:hint="eastAsia" w:ascii="Microsoft YaHei UI" w:hAnsi="Microsoft YaHei UI" w:eastAsia="Microsoft YaHei UI"/>
          <w:sz w:val="21"/>
          <w:szCs w:val="21"/>
          <w:highlight w:val="none"/>
          <w:lang w:val="en-US" w:eastAsia="zh-CN"/>
        </w:rPr>
        <w:t>前完成本项目全部相关工作。</w:t>
      </w:r>
    </w:p>
    <w:p>
      <w:pPr>
        <w:pStyle w:val="4"/>
        <w:spacing w:line="600" w:lineRule="auto"/>
        <w:rPr>
          <w:rFonts w:ascii="黑体" w:hAnsi="黑体" w:eastAsia="黑体"/>
          <w:highlight w:val="none"/>
        </w:rPr>
      </w:pPr>
      <w:r>
        <w:rPr>
          <w:rFonts w:hint="eastAsia" w:ascii="黑体" w:hAnsi="黑体" w:eastAsia="黑体"/>
          <w:highlight w:val="none"/>
        </w:rPr>
        <w:t>三、执行标准/规范</w:t>
      </w:r>
    </w:p>
    <w:p>
      <w:pPr>
        <w:pStyle w:val="2"/>
        <w:keepNext w:val="0"/>
        <w:keepLines w:val="0"/>
        <w:pageBreakBefore w:val="0"/>
        <w:widowControl w:val="0"/>
        <w:kinsoku/>
        <w:wordWrap/>
        <w:overflowPunct/>
        <w:topLinePunct w:val="0"/>
        <w:autoSpaceDE/>
        <w:autoSpaceDN/>
        <w:bidi w:val="0"/>
        <w:adjustRightInd/>
        <w:snapToGrid/>
        <w:spacing w:line="257" w:lineRule="auto"/>
        <w:ind w:firstLine="420" w:firstLineChars="200"/>
        <w:textAlignment w:val="auto"/>
        <w:rPr>
          <w:rFonts w:hint="default"/>
          <w:highlight w:val="none"/>
          <w:lang w:val="en-US" w:eastAsia="zh-CN"/>
        </w:rPr>
      </w:pPr>
      <w:bookmarkStart w:id="2" w:name="OLE_LINK1"/>
      <w:r>
        <w:rPr>
          <w:rFonts w:hint="eastAsia"/>
          <w:highlight w:val="none"/>
          <w:lang w:val="en-US" w:eastAsia="zh-CN"/>
        </w:rPr>
        <w:t>加热炉智能优化控制系统软件开发、调试测试、现场投用等过程，应符合国家/行业的相关文件、标准和规范的要求。引用相关标准和规范如下：</w:t>
      </w:r>
    </w:p>
    <w:p>
      <w:pPr>
        <w:pStyle w:val="2"/>
        <w:keepNext w:val="0"/>
        <w:keepLines w:val="0"/>
        <w:pageBreakBefore w:val="0"/>
        <w:widowControl w:val="0"/>
        <w:kinsoku/>
        <w:wordWrap/>
        <w:overflowPunct/>
        <w:topLinePunct w:val="0"/>
        <w:autoSpaceDE/>
        <w:autoSpaceDN/>
        <w:bidi w:val="0"/>
        <w:adjustRightInd/>
        <w:snapToGrid/>
        <w:spacing w:line="257" w:lineRule="auto"/>
        <w:ind w:firstLine="420" w:firstLineChars="200"/>
        <w:textAlignment w:val="auto"/>
        <w:rPr>
          <w:rFonts w:hint="eastAsia"/>
          <w:highlight w:val="none"/>
          <w:lang w:val="en-US" w:eastAsia="zh-CN"/>
        </w:rPr>
      </w:pPr>
      <w:r>
        <w:rPr>
          <w:rFonts w:hint="eastAsia"/>
          <w:highlight w:val="none"/>
          <w:lang w:val="en-US" w:eastAsia="zh-CN"/>
        </w:rPr>
        <w:t>1、导热油加热炉系统规范 SY/T 0524-2008</w:t>
      </w:r>
    </w:p>
    <w:p>
      <w:pPr>
        <w:pStyle w:val="2"/>
        <w:keepNext w:val="0"/>
        <w:keepLines w:val="0"/>
        <w:pageBreakBefore w:val="0"/>
        <w:widowControl w:val="0"/>
        <w:kinsoku/>
        <w:wordWrap/>
        <w:overflowPunct/>
        <w:topLinePunct w:val="0"/>
        <w:autoSpaceDE/>
        <w:autoSpaceDN/>
        <w:bidi w:val="0"/>
        <w:adjustRightInd/>
        <w:snapToGrid/>
        <w:spacing w:line="257" w:lineRule="auto"/>
        <w:ind w:firstLine="420" w:firstLineChars="200"/>
        <w:textAlignment w:val="auto"/>
        <w:rPr>
          <w:rFonts w:hint="eastAsia"/>
          <w:highlight w:val="none"/>
          <w:lang w:val="en-US" w:eastAsia="zh-CN"/>
        </w:rPr>
      </w:pPr>
      <w:r>
        <w:rPr>
          <w:rFonts w:hint="eastAsia"/>
          <w:highlight w:val="none"/>
          <w:lang w:val="en-US" w:eastAsia="zh-CN"/>
        </w:rPr>
        <w:t xml:space="preserve">2、海上油气田能耗在线监测系统建设指南 </w:t>
      </w:r>
      <w:bookmarkEnd w:id="2"/>
      <w:r>
        <w:rPr>
          <w:rFonts w:hint="eastAsia"/>
          <w:highlight w:val="none"/>
          <w:lang w:val="en-US" w:eastAsia="zh-CN"/>
        </w:rPr>
        <w:t xml:space="preserve">QH/S 13035-2021 </w:t>
      </w:r>
    </w:p>
    <w:p>
      <w:pPr>
        <w:pStyle w:val="4"/>
        <w:spacing w:line="600" w:lineRule="auto"/>
        <w:rPr>
          <w:rFonts w:hint="eastAsia" w:ascii="黑体" w:hAnsi="黑体" w:eastAsia="黑体"/>
          <w:highlight w:val="none"/>
        </w:rPr>
      </w:pPr>
      <w:r>
        <w:rPr>
          <w:rFonts w:hint="eastAsia" w:ascii="黑体" w:hAnsi="黑体" w:eastAsia="黑体"/>
          <w:highlight w:val="none"/>
        </w:rPr>
        <w:t>四、</w:t>
      </w:r>
      <w:r>
        <w:rPr>
          <w:rFonts w:hint="eastAsia" w:ascii="黑体" w:hAnsi="黑体" w:eastAsia="黑体"/>
          <w:highlight w:val="none"/>
          <w:lang w:val="en-US" w:eastAsia="zh-CN"/>
        </w:rPr>
        <w:t>服务</w:t>
      </w:r>
      <w:r>
        <w:rPr>
          <w:rFonts w:hint="eastAsia" w:ascii="黑体" w:hAnsi="黑体" w:eastAsia="黑体"/>
          <w:highlight w:val="none"/>
        </w:rPr>
        <w:t>要求</w:t>
      </w:r>
    </w:p>
    <w:p>
      <w:pPr>
        <w:pStyle w:val="2"/>
        <w:spacing w:line="257" w:lineRule="auto"/>
        <w:ind w:right="121" w:rightChars="55" w:firstLine="210" w:firstLineChars="100"/>
        <w:rPr>
          <w:rFonts w:hint="default"/>
          <w:highlight w:val="none"/>
          <w:lang w:val="en-US" w:eastAsia="zh-CN"/>
        </w:rPr>
      </w:pPr>
      <w:r>
        <w:rPr>
          <w:rFonts w:hint="eastAsia"/>
          <w:highlight w:val="none"/>
          <w:lang w:eastAsia="zh-CN"/>
        </w:rPr>
        <w:t>1、</w:t>
      </w:r>
      <w:r>
        <w:rPr>
          <w:rFonts w:hint="eastAsia"/>
          <w:highlight w:val="none"/>
          <w:lang w:val="en-US" w:eastAsia="zh-CN"/>
        </w:rPr>
        <w:t>设计/施工方案要求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Microsoft YaHei UI" w:hAnsi="Microsoft YaHei UI" w:eastAsia="Microsoft YaHei UI" w:cstheme="minorBidi"/>
          <w:sz w:val="21"/>
          <w:szCs w:val="21"/>
          <w:highlight w:val="none"/>
          <w:lang w:val="en-US" w:eastAsia="zh-CN" w:bidi="ar-SA"/>
        </w:rPr>
      </w:pPr>
      <w:r>
        <w:rPr>
          <w:rFonts w:hint="eastAsia" w:ascii="Microsoft YaHei UI" w:hAnsi="Microsoft YaHei UI" w:eastAsia="Microsoft YaHei UI" w:cstheme="minorBidi"/>
          <w:sz w:val="21"/>
          <w:szCs w:val="21"/>
          <w:highlight w:val="none"/>
          <w:lang w:val="en-US" w:eastAsia="zh-CN" w:bidi="ar-SA"/>
        </w:rPr>
        <w:t>乙方需按照《海油发展安全环保公司信息化技术规范》要求开展加热炉智能优化控制系统功能模块开发工作。项目建设需遵循并采用中国海油集团公司整体的安全策略和要求，同时在软件设计、开发实现、数据备份等环节结合项目具体需求进行相应的安全设计。模块上线部署通过中海油集团公司安全检测及性能检测后才可上线应用。</w:t>
      </w:r>
    </w:p>
    <w:p>
      <w:pPr>
        <w:pStyle w:val="2"/>
        <w:spacing w:line="257" w:lineRule="auto"/>
        <w:ind w:right="121" w:rightChars="55" w:firstLine="210" w:firstLineChars="100"/>
        <w:rPr>
          <w:highlight w:val="none"/>
          <w:lang w:eastAsia="zh-CN"/>
        </w:rPr>
      </w:pPr>
      <w:r>
        <w:rPr>
          <w:rFonts w:hint="eastAsia"/>
          <w:highlight w:val="none"/>
          <w:lang w:val="en-US" w:eastAsia="zh-CN"/>
        </w:rPr>
        <w:t>2、</w:t>
      </w:r>
      <w:r>
        <w:rPr>
          <w:highlight w:val="none"/>
          <w:lang w:eastAsia="zh-CN"/>
        </w:rPr>
        <w:t>服务具体要求</w:t>
      </w:r>
    </w:p>
    <w:p>
      <w:pPr>
        <w:pStyle w:val="2"/>
        <w:rPr>
          <w:rFonts w:hint="default" w:cstheme="minorBidi"/>
          <w:sz w:val="21"/>
          <w:szCs w:val="21"/>
          <w:highlight w:val="none"/>
          <w:lang w:val="en-US" w:eastAsia="zh-CN" w:bidi="ar-SA"/>
        </w:rPr>
      </w:pPr>
      <w:r>
        <w:rPr>
          <w:rFonts w:hint="eastAsia" w:cstheme="minorBidi"/>
          <w:sz w:val="21"/>
          <w:szCs w:val="21"/>
          <w:highlight w:val="none"/>
          <w:lang w:val="en-US" w:eastAsia="zh-CN" w:bidi="ar-SA"/>
        </w:rPr>
        <w:t>人员要求：</w:t>
      </w:r>
    </w:p>
    <w:p>
      <w:pPr>
        <w:pStyle w:val="2"/>
        <w:keepNext w:val="0"/>
        <w:keepLines w:val="0"/>
        <w:pageBreakBefore w:val="0"/>
        <w:widowControl w:val="0"/>
        <w:kinsoku/>
        <w:wordWrap/>
        <w:overflowPunct/>
        <w:topLinePunct w:val="0"/>
        <w:autoSpaceDE/>
        <w:autoSpaceDN/>
        <w:bidi w:val="0"/>
        <w:adjustRightInd/>
        <w:snapToGrid/>
        <w:spacing w:line="257" w:lineRule="auto"/>
        <w:ind w:firstLine="420" w:firstLineChars="200"/>
        <w:textAlignment w:val="auto"/>
        <w:rPr>
          <w:rFonts w:hint="eastAsia"/>
          <w:highlight w:val="none"/>
          <w:lang w:val="en-US" w:eastAsia="zh-CN"/>
        </w:rPr>
      </w:pPr>
      <w:bookmarkStart w:id="3" w:name="_Toc119430830"/>
      <w:r>
        <w:rPr>
          <w:rFonts w:hint="eastAsia"/>
          <w:highlight w:val="none"/>
          <w:lang w:val="en-US" w:eastAsia="zh-CN"/>
        </w:rPr>
        <w:t>乙方参与项目的</w:t>
      </w:r>
      <w:r>
        <w:rPr>
          <w:rFonts w:hint="eastAsia"/>
          <w:color w:val="000000" w:themeColor="text1"/>
          <w:highlight w:val="none"/>
          <w:lang w:val="en-US" w:eastAsia="zh-CN"/>
          <w14:textFill>
            <w14:solidFill>
              <w14:schemeClr w14:val="tx1"/>
            </w14:solidFill>
          </w14:textFill>
        </w:rPr>
        <w:t>核心技术人员至少5人，均需硕士及以上学历，油气田开发工程、化学工程、仪表自动化控制等专业。其中乙方项目负责人需副教授级或副高级及以上职称，应具备5年以上油气田开发相关研究经验，其余参与项目的的核心人员需具备能够准确解读现有的数学机理模型和控制策略控制逻辑，且熟练使用专业控制仿真软件和仿真代码转化为软件组件的能力。证明材料至少包括姓名、学历、专业、职称</w:t>
      </w:r>
      <w:r>
        <w:rPr>
          <w:rFonts w:hint="eastAsia"/>
          <w:highlight w:val="none"/>
          <w:lang w:val="en-US" w:eastAsia="zh-CN"/>
        </w:rPr>
        <w:t>等，并加盖单位公章。</w:t>
      </w:r>
    </w:p>
    <w:p>
      <w:pPr>
        <w:ind w:firstLine="420" w:firstLineChars="200"/>
        <w:rPr>
          <w:rFonts w:hint="default" w:ascii="Microsoft YaHei UI" w:hAnsi="Microsoft YaHei UI" w:eastAsia="Microsoft YaHei UI" w:cstheme="minorBidi"/>
          <w:sz w:val="21"/>
          <w:szCs w:val="21"/>
          <w:highlight w:val="none"/>
          <w:lang w:val="en-US" w:eastAsia="zh-CN" w:bidi="ar-SA"/>
        </w:rPr>
      </w:pPr>
      <w:r>
        <w:rPr>
          <w:rFonts w:hint="default" w:ascii="Microsoft YaHei UI" w:hAnsi="Microsoft YaHei UI" w:eastAsia="Microsoft YaHei UI" w:cstheme="minorBidi"/>
          <w:sz w:val="21"/>
          <w:szCs w:val="21"/>
          <w:highlight w:val="none"/>
          <w:lang w:val="en-US" w:eastAsia="zh-CN" w:bidi="ar-SA"/>
        </w:rPr>
        <w:t>现场作业人员在终端服务阶段前必须持有</w:t>
      </w:r>
      <w:r>
        <w:rPr>
          <w:rFonts w:hint="eastAsia" w:ascii="Microsoft YaHei UI" w:hAnsi="Microsoft YaHei UI" w:eastAsia="Microsoft YaHei UI" w:cstheme="minorBidi"/>
          <w:sz w:val="21"/>
          <w:szCs w:val="21"/>
          <w:highlight w:val="none"/>
          <w:lang w:val="en-US" w:eastAsia="zh-CN" w:bidi="ar-SA"/>
        </w:rPr>
        <w:t>出海相关证件</w:t>
      </w:r>
      <w:r>
        <w:rPr>
          <w:rFonts w:hint="default" w:ascii="Microsoft YaHei UI" w:hAnsi="Microsoft YaHei UI" w:eastAsia="Microsoft YaHei UI" w:cstheme="minorBidi"/>
          <w:sz w:val="21"/>
          <w:szCs w:val="21"/>
          <w:highlight w:val="none"/>
          <w:lang w:val="en-US" w:eastAsia="zh-CN" w:bidi="ar-SA"/>
        </w:rPr>
        <w:t>，且证件均在有效期内。要求进入施工前在甲方公司登记备案，证书扫描留底。</w:t>
      </w:r>
    </w:p>
    <w:p>
      <w:pPr>
        <w:pStyle w:val="2"/>
        <w:rPr>
          <w:rFonts w:hint="default"/>
          <w:highlight w:val="none"/>
          <w:lang w:val="en-US" w:eastAsia="zh-CN"/>
        </w:rPr>
      </w:pPr>
      <w:r>
        <w:rPr>
          <w:rFonts w:hint="eastAsia" w:cstheme="minorBidi"/>
          <w:sz w:val="21"/>
          <w:szCs w:val="21"/>
          <w:highlight w:val="none"/>
          <w:lang w:val="en-US" w:eastAsia="zh-CN" w:bidi="ar-SA"/>
        </w:rPr>
        <w:t>技术要求：</w:t>
      </w:r>
    </w:p>
    <w:p>
      <w:pPr>
        <w:pStyle w:val="2"/>
        <w:spacing w:line="257" w:lineRule="auto"/>
        <w:ind w:firstLine="0" w:firstLineChars="0"/>
        <w:rPr>
          <w:rFonts w:hint="eastAsia"/>
          <w:highlight w:val="none"/>
          <w:lang w:eastAsia="zh-CN"/>
        </w:rPr>
      </w:pPr>
      <w:r>
        <w:rPr>
          <w:rFonts w:hint="eastAsia"/>
          <w:highlight w:val="none"/>
          <w:lang w:eastAsia="zh-CN"/>
        </w:rPr>
        <w:t>（1）数据采集传输服务</w:t>
      </w:r>
    </w:p>
    <w:p>
      <w:pPr>
        <w:ind w:firstLine="420" w:firstLineChars="200"/>
        <w:jc w:val="both"/>
        <w:rPr>
          <w:rFonts w:hint="eastAsia" w:ascii="Microsoft YaHei UI" w:hAnsi="Microsoft YaHei UI" w:eastAsia="Microsoft YaHei UI"/>
          <w:sz w:val="21"/>
          <w:szCs w:val="21"/>
          <w:highlight w:val="none"/>
          <w:lang w:eastAsia="zh-CN"/>
        </w:rPr>
      </w:pPr>
      <w:r>
        <w:rPr>
          <w:rFonts w:hint="eastAsia" w:ascii="Microsoft YaHei UI" w:hAnsi="Microsoft YaHei UI" w:eastAsia="Microsoft YaHei UI"/>
          <w:sz w:val="21"/>
          <w:szCs w:val="21"/>
          <w:highlight w:val="none"/>
          <w:lang w:eastAsia="zh-CN"/>
        </w:rPr>
        <w:t>引用《海上油气田能耗在线监测系统建设指南》(QHS 13035-2021)“8.1 数据采集要求”</w:t>
      </w:r>
      <w:r>
        <w:rPr>
          <w:rFonts w:hint="eastAsia" w:ascii="Microsoft YaHei UI" w:hAnsi="Microsoft YaHei UI" w:eastAsia="Microsoft YaHei UI"/>
          <w:sz w:val="21"/>
          <w:szCs w:val="21"/>
          <w:highlight w:val="none"/>
          <w:lang w:val="en-US" w:eastAsia="zh-CN"/>
        </w:rPr>
        <w:t>和《</w:t>
      </w:r>
      <w:r>
        <w:rPr>
          <w:rFonts w:hint="eastAsia" w:ascii="Microsoft YaHei UI" w:hAnsi="Microsoft YaHei UI" w:eastAsia="Microsoft YaHei UI"/>
          <w:sz w:val="21"/>
          <w:szCs w:val="21"/>
          <w:highlight w:val="none"/>
          <w:lang w:eastAsia="zh-CN"/>
        </w:rPr>
        <w:t>导热油加热炉系统规范</w:t>
      </w:r>
      <w:r>
        <w:rPr>
          <w:rFonts w:hint="eastAsia" w:ascii="Microsoft YaHei UI" w:hAnsi="Microsoft YaHei UI" w:eastAsia="Microsoft YaHei UI"/>
          <w:sz w:val="21"/>
          <w:szCs w:val="21"/>
          <w:highlight w:val="none"/>
          <w:lang w:val="en-US" w:eastAsia="zh-CN"/>
        </w:rPr>
        <w:t>》（</w:t>
      </w:r>
      <w:r>
        <w:rPr>
          <w:rFonts w:hint="eastAsia" w:ascii="Microsoft YaHei UI" w:hAnsi="Microsoft YaHei UI" w:eastAsia="Microsoft YaHei UI"/>
          <w:sz w:val="21"/>
          <w:szCs w:val="21"/>
          <w:highlight w:val="none"/>
          <w:lang w:eastAsia="zh-CN"/>
        </w:rPr>
        <w:t>SY/T 0524-2008</w:t>
      </w:r>
      <w:r>
        <w:rPr>
          <w:rFonts w:hint="eastAsia" w:ascii="Microsoft YaHei UI" w:hAnsi="Microsoft YaHei UI" w:eastAsia="Microsoft YaHei UI"/>
          <w:sz w:val="21"/>
          <w:szCs w:val="21"/>
          <w:highlight w:val="none"/>
          <w:lang w:val="en-US" w:eastAsia="zh-CN"/>
        </w:rPr>
        <w:t>）”20.3 监测、控制参数“</w:t>
      </w:r>
      <w:r>
        <w:rPr>
          <w:rFonts w:hint="eastAsia" w:ascii="Microsoft YaHei UI" w:hAnsi="Microsoft YaHei UI" w:eastAsia="Microsoft YaHei UI"/>
          <w:sz w:val="21"/>
          <w:szCs w:val="21"/>
          <w:highlight w:val="none"/>
          <w:lang w:eastAsia="zh-CN"/>
        </w:rPr>
        <w:t>，完成数据采集</w:t>
      </w:r>
      <w:r>
        <w:rPr>
          <w:rFonts w:hint="eastAsia" w:ascii="Microsoft YaHei UI" w:hAnsi="Microsoft YaHei UI" w:eastAsia="Microsoft YaHei UI"/>
          <w:sz w:val="21"/>
          <w:szCs w:val="21"/>
          <w:highlight w:val="none"/>
          <w:lang w:val="en-US" w:eastAsia="zh-CN"/>
        </w:rPr>
        <w:t>与传输服务</w:t>
      </w:r>
      <w:r>
        <w:rPr>
          <w:rFonts w:hint="eastAsia" w:ascii="Microsoft YaHei UI" w:hAnsi="Microsoft YaHei UI" w:eastAsia="Microsoft YaHei UI"/>
          <w:sz w:val="21"/>
          <w:szCs w:val="21"/>
          <w:highlight w:val="none"/>
          <w:lang w:eastAsia="zh-CN"/>
        </w:rPr>
        <w:t>。</w:t>
      </w:r>
    </w:p>
    <w:p>
      <w:pPr>
        <w:pStyle w:val="2"/>
        <w:rPr>
          <w:rFonts w:hint="eastAsia"/>
          <w:highlight w:val="none"/>
          <w:lang w:val="en-US" w:eastAsia="zh-CN"/>
        </w:rPr>
      </w:pPr>
      <w:r>
        <w:rPr>
          <w:rFonts w:hint="eastAsia"/>
          <w:highlight w:val="none"/>
          <w:lang w:val="en-US" w:eastAsia="zh-CN"/>
        </w:rPr>
        <w:t>系统需通过网闸对现场加热炉燃料、导热油、烟气等工艺参数数据实时采集或第三方系统对接获取，</w:t>
      </w:r>
      <w:r>
        <w:rPr>
          <w:rFonts w:hint="eastAsia"/>
          <w:highlight w:val="none"/>
          <w:lang w:eastAsia="zh-CN"/>
        </w:rPr>
        <w:t>以秒</w:t>
      </w:r>
      <w:r>
        <w:rPr>
          <w:rFonts w:hint="eastAsia"/>
          <w:highlight w:val="none"/>
          <w:lang w:val="en-US" w:eastAsia="zh-CN"/>
        </w:rPr>
        <w:t>级</w:t>
      </w:r>
      <w:r>
        <w:rPr>
          <w:rFonts w:hint="eastAsia"/>
          <w:highlight w:val="none"/>
          <w:lang w:eastAsia="zh-CN"/>
        </w:rPr>
        <w:t>进行传输，</w:t>
      </w:r>
      <w:r>
        <w:rPr>
          <w:rFonts w:hint="eastAsia"/>
          <w:highlight w:val="none"/>
          <w:lang w:val="en-US" w:eastAsia="zh-CN"/>
        </w:rPr>
        <w:t>系统需与专业仿真软件集成，确保两者之间的兼容性，建设加热炉智能优化控制数据库，仿真结果数据需实时存储至数据库，同时，以空燃比/风油比和导热油出口温度数据为主，提取所有加热炉相关数据特征，通过数据分类、清洗、标签等预处理，形成模型训练的数据集，系统服务器要能够</w:t>
      </w:r>
      <w:r>
        <w:rPr>
          <w:highlight w:val="none"/>
          <w:lang w:eastAsia="zh-CN"/>
        </w:rPr>
        <w:t>高效处理并发数据流，足以应对复杂的数据预处理和实时分析任务，保证海量历史数据的完整保存和高速读写，并确保长期稳定运行</w:t>
      </w:r>
      <w:r>
        <w:rPr>
          <w:rFonts w:hint="eastAsia"/>
          <w:highlight w:val="none"/>
          <w:lang w:eastAsia="zh-CN"/>
        </w:rPr>
        <w:t>。</w:t>
      </w:r>
      <w:r>
        <w:rPr>
          <w:rFonts w:hint="eastAsia"/>
          <w:highlight w:val="none"/>
          <w:lang w:val="en-US" w:eastAsia="zh-CN"/>
        </w:rPr>
        <w:t>此外，当</w:t>
      </w:r>
      <w:r>
        <w:rPr>
          <w:rFonts w:hint="eastAsia"/>
          <w:highlight w:val="none"/>
          <w:lang w:eastAsia="zh-CN"/>
        </w:rPr>
        <w:t>海上加热炉智能优化控制系统</w:t>
      </w:r>
      <w:r>
        <w:rPr>
          <w:highlight w:val="none"/>
          <w:lang w:eastAsia="zh-CN"/>
        </w:rPr>
        <w:t>因</w:t>
      </w:r>
      <w:r>
        <w:rPr>
          <w:rFonts w:hint="eastAsia"/>
          <w:highlight w:val="none"/>
          <w:lang w:val="en-US" w:eastAsia="zh-CN"/>
        </w:rPr>
        <w:t>网络异常、年检等</w:t>
      </w:r>
      <w:r>
        <w:rPr>
          <w:highlight w:val="none"/>
          <w:lang w:eastAsia="zh-CN"/>
        </w:rPr>
        <w:t>原因导致数据接收失败时，可在系统恢复后接受指令，</w:t>
      </w:r>
      <w:r>
        <w:rPr>
          <w:rFonts w:hint="eastAsia"/>
          <w:highlight w:val="none"/>
          <w:lang w:val="en-US" w:eastAsia="zh-CN"/>
        </w:rPr>
        <w:t>系统能够</w:t>
      </w:r>
      <w:r>
        <w:rPr>
          <w:highlight w:val="none"/>
          <w:lang w:eastAsia="zh-CN"/>
        </w:rPr>
        <w:t>依照既定格式补传缺失数据</w:t>
      </w:r>
      <w:r>
        <w:rPr>
          <w:rFonts w:hint="eastAsia"/>
          <w:highlight w:val="none"/>
          <w:lang w:eastAsia="zh-CN"/>
        </w:rPr>
        <w:t>，</w:t>
      </w:r>
      <w:r>
        <w:rPr>
          <w:rFonts w:hint="eastAsia"/>
          <w:highlight w:val="none"/>
          <w:lang w:val="en-US" w:eastAsia="zh-CN"/>
        </w:rPr>
        <w:t>并确保系统能正常数据采集、计算与结果输出。</w:t>
      </w:r>
    </w:p>
    <w:p>
      <w:pPr>
        <w:rPr>
          <w:rFonts w:hint="eastAsia"/>
          <w:lang w:val="en-US" w:eastAsia="zh-CN"/>
        </w:rPr>
      </w:pPr>
    </w:p>
    <w:p>
      <w:pPr>
        <w:pStyle w:val="2"/>
        <w:ind w:firstLine="400"/>
        <w:jc w:val="center"/>
        <w:rPr>
          <w:rFonts w:hint="default"/>
          <w:highlight w:val="none"/>
          <w:lang w:val="en-US" w:eastAsia="zh-CN"/>
        </w:rPr>
      </w:pPr>
      <w:r>
        <w:rPr>
          <w:sz w:val="20"/>
          <w:szCs w:val="20"/>
          <w:highlight w:val="none"/>
        </w:rPr>
        <w:t>表</w:t>
      </w:r>
      <w:r>
        <w:rPr>
          <w:sz w:val="20"/>
          <w:szCs w:val="20"/>
          <w:highlight w:val="none"/>
        </w:rPr>
        <w:fldChar w:fldCharType="begin"/>
      </w:r>
      <w:r>
        <w:rPr>
          <w:sz w:val="20"/>
          <w:szCs w:val="20"/>
          <w:highlight w:val="none"/>
        </w:rPr>
        <w:instrText xml:space="preserve"> SEQ 表 \* ARABIC </w:instrText>
      </w:r>
      <w:r>
        <w:rPr>
          <w:sz w:val="20"/>
          <w:szCs w:val="20"/>
          <w:highlight w:val="none"/>
        </w:rPr>
        <w:fldChar w:fldCharType="separate"/>
      </w:r>
      <w:r>
        <w:rPr>
          <w:sz w:val="20"/>
          <w:szCs w:val="20"/>
          <w:highlight w:val="none"/>
        </w:rPr>
        <w:t>1</w:t>
      </w:r>
      <w:r>
        <w:rPr>
          <w:sz w:val="20"/>
          <w:szCs w:val="20"/>
          <w:highlight w:val="none"/>
        </w:rPr>
        <w:fldChar w:fldCharType="end"/>
      </w:r>
      <w:r>
        <w:rPr>
          <w:rFonts w:hint="eastAsia"/>
          <w:sz w:val="20"/>
          <w:szCs w:val="20"/>
          <w:highlight w:val="none"/>
          <w:lang w:eastAsia="zh-CN"/>
        </w:rPr>
        <w:t>仪表监测</w:t>
      </w:r>
      <w:r>
        <w:rPr>
          <w:rFonts w:hint="eastAsia"/>
          <w:sz w:val="20"/>
          <w:szCs w:val="20"/>
          <w:highlight w:val="none"/>
          <w:lang w:val="en-US" w:eastAsia="zh-CN"/>
        </w:rPr>
        <w:t>参数（具体以实际需求为准）</w:t>
      </w:r>
    </w:p>
    <w:tbl>
      <w:tblPr>
        <w:tblStyle w:val="13"/>
        <w:tblW w:w="49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6"/>
        <w:gridCol w:w="2481"/>
        <w:gridCol w:w="3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194" w:type="pct"/>
            <w:shd w:val="clear" w:color="auto" w:fill="A4A4A4"/>
            <w:vAlign w:val="center"/>
          </w:tcPr>
          <w:p>
            <w:pPr>
              <w:spacing w:line="360" w:lineRule="auto"/>
              <w:jc w:val="center"/>
              <w:rPr>
                <w:rFonts w:ascii="Times New Roman Regular" w:hAnsi="Times New Roman Regular" w:eastAsia="方正仿宋_GB2312" w:cs="Times New Roman Regular"/>
                <w:b/>
                <w:bCs/>
                <w:sz w:val="21"/>
                <w:szCs w:val="21"/>
                <w:highlight w:val="none"/>
                <w:lang w:eastAsia="zh-CN"/>
              </w:rPr>
            </w:pPr>
            <w:r>
              <w:rPr>
                <w:rFonts w:ascii="Times New Roman Regular" w:hAnsi="Times New Roman Regular" w:eastAsia="方正仿宋_GB2312" w:cs="Times New Roman Regular"/>
                <w:b/>
                <w:bCs/>
                <w:sz w:val="21"/>
                <w:szCs w:val="21"/>
                <w:highlight w:val="none"/>
                <w:lang w:eastAsia="zh-CN"/>
              </w:rPr>
              <w:t>位置</w:t>
            </w:r>
          </w:p>
        </w:tc>
        <w:tc>
          <w:tcPr>
            <w:tcW w:w="1484" w:type="pct"/>
            <w:shd w:val="clear" w:color="auto" w:fill="A4A4A4"/>
            <w:vAlign w:val="center"/>
          </w:tcPr>
          <w:p>
            <w:pPr>
              <w:spacing w:line="360" w:lineRule="auto"/>
              <w:jc w:val="center"/>
              <w:rPr>
                <w:rFonts w:ascii="Times New Roman Regular" w:hAnsi="Times New Roman Regular" w:eastAsia="方正仿宋_GB2312" w:cs="Times New Roman Regular"/>
                <w:b/>
                <w:bCs/>
                <w:sz w:val="21"/>
                <w:szCs w:val="21"/>
                <w:highlight w:val="none"/>
                <w:lang w:eastAsia="zh-CN"/>
              </w:rPr>
            </w:pPr>
            <w:r>
              <w:rPr>
                <w:rFonts w:ascii="Times New Roman Regular" w:hAnsi="Times New Roman Regular" w:eastAsia="方正仿宋_GB2312" w:cs="Times New Roman Regular"/>
                <w:b/>
                <w:bCs/>
                <w:sz w:val="21"/>
                <w:szCs w:val="21"/>
                <w:highlight w:val="none"/>
                <w:lang w:eastAsia="zh-CN"/>
              </w:rPr>
              <w:t>工艺环节</w:t>
            </w:r>
          </w:p>
        </w:tc>
        <w:tc>
          <w:tcPr>
            <w:tcW w:w="2321" w:type="pct"/>
            <w:shd w:val="clear" w:color="auto" w:fill="A4A4A4"/>
            <w:vAlign w:val="center"/>
          </w:tcPr>
          <w:p>
            <w:pPr>
              <w:spacing w:line="360" w:lineRule="auto"/>
              <w:jc w:val="center"/>
              <w:rPr>
                <w:rFonts w:hint="default" w:ascii="Times New Roman Regular" w:hAnsi="Times New Roman Regular" w:eastAsia="方正仿宋_GB2312" w:cs="Times New Roman Regular"/>
                <w:b/>
                <w:bCs/>
                <w:sz w:val="21"/>
                <w:szCs w:val="21"/>
                <w:highlight w:val="none"/>
                <w:lang w:val="en-US" w:eastAsia="zh-CN"/>
              </w:rPr>
            </w:pPr>
            <w:r>
              <w:rPr>
                <w:rFonts w:ascii="Times New Roman Regular" w:hAnsi="Times New Roman Regular" w:eastAsia="方正仿宋_GB2312" w:cs="Times New Roman Regular"/>
                <w:b/>
                <w:bCs/>
                <w:sz w:val="21"/>
                <w:szCs w:val="21"/>
                <w:highlight w:val="none"/>
                <w:lang w:eastAsia="zh-CN"/>
              </w:rPr>
              <w:t>监测</w:t>
            </w:r>
            <w:r>
              <w:rPr>
                <w:rFonts w:hint="eastAsia" w:ascii="Times New Roman Regular" w:hAnsi="Times New Roman Regular" w:eastAsia="方正仿宋_GB2312" w:cs="Times New Roman Regular"/>
                <w:b/>
                <w:bCs/>
                <w:sz w:val="21"/>
                <w:szCs w:val="21"/>
                <w:highlight w:val="none"/>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导热油出口管线处</w:t>
            </w:r>
          </w:p>
        </w:tc>
        <w:tc>
          <w:tcPr>
            <w:tcW w:w="148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导热油炉加热输出环节</w:t>
            </w:r>
          </w:p>
        </w:tc>
        <w:tc>
          <w:tcPr>
            <w:tcW w:w="2321"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导热油出口温度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导热油进口管线处</w:t>
            </w:r>
          </w:p>
        </w:tc>
        <w:tc>
          <w:tcPr>
            <w:tcW w:w="148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导热油炉循环回油环节</w:t>
            </w:r>
          </w:p>
        </w:tc>
        <w:tc>
          <w:tcPr>
            <w:tcW w:w="2321"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导热油进口温度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加热炉烟囱排放口</w:t>
            </w:r>
          </w:p>
        </w:tc>
        <w:tc>
          <w:tcPr>
            <w:tcW w:w="148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烟气排放环节</w:t>
            </w:r>
          </w:p>
        </w:tc>
        <w:tc>
          <w:tcPr>
            <w:tcW w:w="2321"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val="en-US" w:eastAsia="zh-CN"/>
              </w:rPr>
              <w:t>排烟</w:t>
            </w:r>
            <w:r>
              <w:rPr>
                <w:rFonts w:hint="eastAsia" w:ascii="Times New Roman Regular" w:hAnsi="Times New Roman Regular" w:eastAsia="方正仿宋_GB2312" w:cs="Times New Roman Regular"/>
                <w:sz w:val="21"/>
                <w:szCs w:val="21"/>
                <w:highlight w:val="none"/>
                <w:lang w:eastAsia="zh-CN"/>
              </w:rPr>
              <w:t>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pct"/>
            <w:vAlign w:val="center"/>
          </w:tcPr>
          <w:p>
            <w:pPr>
              <w:spacing w:line="360" w:lineRule="auto"/>
              <w:jc w:val="center"/>
              <w:rPr>
                <w:rFonts w:hint="default" w:ascii="Times New Roman Regular" w:hAnsi="Times New Roman Regular" w:eastAsia="方正仿宋_GB2312" w:cs="Times New Roman Regular"/>
                <w:sz w:val="21"/>
                <w:szCs w:val="21"/>
                <w:highlight w:val="none"/>
                <w:lang w:val="en-US" w:eastAsia="zh-CN"/>
              </w:rPr>
            </w:pPr>
            <w:r>
              <w:rPr>
                <w:rFonts w:hint="eastAsia" w:ascii="Times New Roman Regular" w:hAnsi="Times New Roman Regular" w:eastAsia="方正仿宋_GB2312" w:cs="Times New Roman Regular"/>
                <w:sz w:val="21"/>
                <w:szCs w:val="21"/>
                <w:highlight w:val="none"/>
                <w:lang w:val="en-US" w:eastAsia="zh-CN"/>
              </w:rPr>
              <w:t>导热油进口管线处</w:t>
            </w:r>
          </w:p>
        </w:tc>
        <w:tc>
          <w:tcPr>
            <w:tcW w:w="1484" w:type="pct"/>
            <w:vAlign w:val="center"/>
          </w:tcPr>
          <w:p>
            <w:pPr>
              <w:spacing w:line="360" w:lineRule="auto"/>
              <w:jc w:val="center"/>
              <w:rPr>
                <w:rFonts w:hint="eastAsia"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导热油循环</w:t>
            </w:r>
            <w:r>
              <w:rPr>
                <w:rFonts w:hint="eastAsia" w:ascii="Times New Roman Regular" w:hAnsi="Times New Roman Regular" w:eastAsia="方正仿宋_GB2312" w:cs="Times New Roman Regular"/>
                <w:sz w:val="21"/>
                <w:szCs w:val="21"/>
                <w:highlight w:val="none"/>
                <w:lang w:val="en-US" w:eastAsia="zh-CN"/>
              </w:rPr>
              <w:t>回油</w:t>
            </w:r>
            <w:r>
              <w:rPr>
                <w:rFonts w:hint="eastAsia" w:ascii="Times New Roman Regular" w:hAnsi="Times New Roman Regular" w:eastAsia="方正仿宋_GB2312" w:cs="Times New Roman Regular"/>
                <w:sz w:val="21"/>
                <w:szCs w:val="21"/>
                <w:highlight w:val="none"/>
                <w:lang w:eastAsia="zh-CN"/>
              </w:rPr>
              <w:t>环节</w:t>
            </w:r>
          </w:p>
        </w:tc>
        <w:tc>
          <w:tcPr>
            <w:tcW w:w="2321"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val="en-US" w:eastAsia="zh-CN"/>
              </w:rPr>
              <w:t>导热油进口</w:t>
            </w:r>
            <w:r>
              <w:rPr>
                <w:rFonts w:ascii="Times New Roman Regular" w:hAnsi="Times New Roman Regular" w:eastAsia="方正仿宋_GB2312" w:cs="Times New Roman Regular"/>
                <w:sz w:val="21"/>
                <w:szCs w:val="21"/>
                <w:highlight w:val="none"/>
                <w:lang w:eastAsia="zh-CN"/>
              </w:rPr>
              <w:t>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导热油出口管线处</w:t>
            </w:r>
          </w:p>
        </w:tc>
        <w:tc>
          <w:tcPr>
            <w:tcW w:w="148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导热油循环输送环节</w:t>
            </w:r>
          </w:p>
        </w:tc>
        <w:tc>
          <w:tcPr>
            <w:tcW w:w="2321"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val="en-US" w:eastAsia="zh-CN"/>
              </w:rPr>
              <w:t>导热油出口</w:t>
            </w:r>
            <w:r>
              <w:rPr>
                <w:rFonts w:ascii="Times New Roman Regular" w:hAnsi="Times New Roman Regular" w:eastAsia="方正仿宋_GB2312" w:cs="Times New Roman Regular"/>
                <w:sz w:val="21"/>
                <w:szCs w:val="21"/>
                <w:highlight w:val="none"/>
                <w:lang w:eastAsia="zh-CN"/>
              </w:rPr>
              <w:t>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vAlign w:val="center"/>
          </w:tcPr>
          <w:p>
            <w:pPr>
              <w:spacing w:line="360" w:lineRule="auto"/>
              <w:jc w:val="center"/>
              <w:rPr>
                <w:rFonts w:hint="default" w:ascii="Times New Roman Regular" w:hAnsi="Times New Roman Regular" w:eastAsia="方正仿宋_GB2312" w:cs="Times New Roman Regular"/>
                <w:sz w:val="21"/>
                <w:szCs w:val="21"/>
                <w:highlight w:val="none"/>
                <w:lang w:val="en-US" w:eastAsia="zh-CN"/>
              </w:rPr>
            </w:pPr>
            <w:r>
              <w:rPr>
                <w:rFonts w:hint="eastAsia" w:ascii="Times New Roman Regular" w:hAnsi="Times New Roman Regular" w:eastAsia="方正仿宋_GB2312" w:cs="Times New Roman Regular"/>
                <w:sz w:val="21"/>
                <w:szCs w:val="21"/>
                <w:highlight w:val="none"/>
                <w:lang w:val="en-US" w:eastAsia="zh-CN"/>
              </w:rPr>
              <w:t>导热油进口管线处</w:t>
            </w:r>
          </w:p>
        </w:tc>
        <w:tc>
          <w:tcPr>
            <w:tcW w:w="2481" w:type="dxa"/>
            <w:vAlign w:val="center"/>
          </w:tcPr>
          <w:p>
            <w:pPr>
              <w:spacing w:line="360" w:lineRule="auto"/>
              <w:jc w:val="center"/>
              <w:rPr>
                <w:rFonts w:hint="eastAsia"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导热油循环</w:t>
            </w:r>
            <w:r>
              <w:rPr>
                <w:rFonts w:hint="eastAsia" w:ascii="Times New Roman Regular" w:hAnsi="Times New Roman Regular" w:eastAsia="方正仿宋_GB2312" w:cs="Times New Roman Regular"/>
                <w:sz w:val="21"/>
                <w:szCs w:val="21"/>
                <w:highlight w:val="none"/>
                <w:lang w:val="en-US" w:eastAsia="zh-CN"/>
              </w:rPr>
              <w:t>回油</w:t>
            </w:r>
            <w:r>
              <w:rPr>
                <w:rFonts w:hint="eastAsia" w:ascii="Times New Roman Regular" w:hAnsi="Times New Roman Regular" w:eastAsia="方正仿宋_GB2312" w:cs="Times New Roman Regular"/>
                <w:sz w:val="21"/>
                <w:szCs w:val="21"/>
                <w:highlight w:val="none"/>
                <w:lang w:eastAsia="zh-CN"/>
              </w:rPr>
              <w:t>环节</w:t>
            </w:r>
          </w:p>
        </w:tc>
        <w:tc>
          <w:tcPr>
            <w:tcW w:w="2321" w:type="pct"/>
            <w:vAlign w:val="center"/>
          </w:tcPr>
          <w:p>
            <w:pPr>
              <w:spacing w:line="360" w:lineRule="auto"/>
              <w:jc w:val="center"/>
              <w:rPr>
                <w:rFonts w:hint="default" w:ascii="Times New Roman Regular" w:hAnsi="Times New Roman Regular" w:eastAsia="方正仿宋_GB2312" w:cs="Times New Roman Regular"/>
                <w:sz w:val="21"/>
                <w:szCs w:val="21"/>
                <w:highlight w:val="none"/>
                <w:lang w:val="en-US" w:eastAsia="zh-CN"/>
              </w:rPr>
            </w:pPr>
            <w:r>
              <w:rPr>
                <w:rFonts w:hint="eastAsia" w:ascii="Times New Roman Regular" w:hAnsi="Times New Roman Regular" w:eastAsia="方正仿宋_GB2312" w:cs="Times New Roman Regular"/>
                <w:sz w:val="21"/>
                <w:szCs w:val="21"/>
                <w:highlight w:val="none"/>
                <w:lang w:val="en-US" w:eastAsia="zh-CN"/>
              </w:rPr>
              <w:t>导热油进口压力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vAlign w:val="center"/>
          </w:tcPr>
          <w:p>
            <w:pPr>
              <w:spacing w:line="360" w:lineRule="auto"/>
              <w:jc w:val="center"/>
              <w:rPr>
                <w:rFonts w:hint="eastAsia"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导热油出口管线处</w:t>
            </w:r>
          </w:p>
        </w:tc>
        <w:tc>
          <w:tcPr>
            <w:tcW w:w="2481" w:type="dxa"/>
            <w:vAlign w:val="center"/>
          </w:tcPr>
          <w:p>
            <w:pPr>
              <w:spacing w:line="360" w:lineRule="auto"/>
              <w:jc w:val="center"/>
              <w:rPr>
                <w:rFonts w:hint="eastAsia"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导热油循环输送环节</w:t>
            </w:r>
          </w:p>
        </w:tc>
        <w:tc>
          <w:tcPr>
            <w:tcW w:w="2321" w:type="pct"/>
            <w:vAlign w:val="center"/>
          </w:tcPr>
          <w:p>
            <w:pPr>
              <w:spacing w:line="360" w:lineRule="auto"/>
              <w:jc w:val="center"/>
              <w:rPr>
                <w:rFonts w:hint="default" w:ascii="Times New Roman Regular" w:hAnsi="Times New Roman Regular" w:eastAsia="方正仿宋_GB2312" w:cs="Times New Roman Regular"/>
                <w:sz w:val="21"/>
                <w:szCs w:val="21"/>
                <w:highlight w:val="none"/>
                <w:lang w:val="en-US" w:eastAsia="zh-CN"/>
              </w:rPr>
            </w:pPr>
            <w:r>
              <w:rPr>
                <w:rFonts w:hint="eastAsia" w:ascii="Times New Roman Regular" w:hAnsi="Times New Roman Regular" w:eastAsia="方正仿宋_GB2312" w:cs="Times New Roman Regular"/>
                <w:sz w:val="21"/>
                <w:szCs w:val="21"/>
                <w:highlight w:val="none"/>
                <w:lang w:val="en-US" w:eastAsia="zh-CN"/>
              </w:rPr>
              <w:t>导热油出口压力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val="en-US" w:eastAsia="zh-CN"/>
              </w:rPr>
              <w:t>燃料</w:t>
            </w:r>
            <w:r>
              <w:rPr>
                <w:rFonts w:hint="eastAsia" w:ascii="Times New Roman Regular" w:hAnsi="Times New Roman Regular" w:eastAsia="方正仿宋_GB2312" w:cs="Times New Roman Regular"/>
                <w:sz w:val="21"/>
                <w:szCs w:val="21"/>
                <w:highlight w:val="none"/>
                <w:lang w:eastAsia="zh-CN"/>
              </w:rPr>
              <w:t>输送管线处</w:t>
            </w:r>
          </w:p>
        </w:tc>
        <w:tc>
          <w:tcPr>
            <w:tcW w:w="1484"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eastAsia="zh-CN"/>
              </w:rPr>
              <w:t>燃料供应环节</w:t>
            </w:r>
          </w:p>
        </w:tc>
        <w:tc>
          <w:tcPr>
            <w:tcW w:w="2321" w:type="pct"/>
            <w:vAlign w:val="center"/>
          </w:tcPr>
          <w:p>
            <w:pPr>
              <w:spacing w:line="360" w:lineRule="auto"/>
              <w:jc w:val="center"/>
              <w:rPr>
                <w:rFonts w:ascii="Times New Roman Regular" w:hAnsi="Times New Roman Regular" w:eastAsia="方正仿宋_GB2312" w:cs="Times New Roman Regular"/>
                <w:sz w:val="21"/>
                <w:szCs w:val="21"/>
                <w:highlight w:val="none"/>
                <w:lang w:eastAsia="zh-CN"/>
              </w:rPr>
            </w:pPr>
            <w:r>
              <w:rPr>
                <w:rFonts w:hint="eastAsia" w:ascii="Times New Roman Regular" w:hAnsi="Times New Roman Regular" w:eastAsia="方正仿宋_GB2312" w:cs="Times New Roman Regular"/>
                <w:sz w:val="21"/>
                <w:szCs w:val="21"/>
                <w:highlight w:val="none"/>
                <w:lang w:val="en-US" w:eastAsia="zh-CN"/>
              </w:rPr>
              <w:t>（原油或燃料气）燃料瞬时和累计</w:t>
            </w:r>
            <w:r>
              <w:rPr>
                <w:rFonts w:hint="eastAsia" w:ascii="Times New Roman Regular" w:hAnsi="Times New Roman Regular" w:eastAsia="方正仿宋_GB2312" w:cs="Times New Roman Regular"/>
                <w:sz w:val="21"/>
                <w:szCs w:val="21"/>
                <w:highlight w:val="none"/>
                <w:lang w:eastAsia="zh-CN"/>
              </w:rPr>
              <w:t>流量</w:t>
            </w:r>
          </w:p>
        </w:tc>
      </w:tr>
    </w:tbl>
    <w:p>
      <w:pPr>
        <w:pStyle w:val="2"/>
        <w:spacing w:line="257" w:lineRule="auto"/>
        <w:ind w:firstLine="0" w:firstLineChars="0"/>
        <w:rPr>
          <w:rFonts w:hint="eastAsia"/>
          <w:highlight w:val="none"/>
          <w:lang w:eastAsia="zh-CN"/>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lang w:val="en-US" w:eastAsia="zh-CN"/>
        </w:rPr>
        <w:t>算法与模型研发服务</w:t>
      </w:r>
    </w:p>
    <w:p>
      <w:pPr>
        <w:pStyle w:val="2"/>
        <w:spacing w:line="257" w:lineRule="auto"/>
        <w:ind w:firstLine="420" w:firstLineChars="200"/>
        <w:rPr>
          <w:rFonts w:hint="eastAsia"/>
          <w:highlight w:val="none"/>
          <w:lang w:val="en-US" w:eastAsia="zh-CN"/>
        </w:rPr>
      </w:pPr>
      <w:r>
        <w:rPr>
          <w:rFonts w:hint="eastAsia"/>
          <w:highlight w:val="none"/>
          <w:lang w:val="en-US" w:eastAsia="zh-CN"/>
        </w:rPr>
        <w:t>提供系统全流程核心算法与模型的定制化研发技术服务，</w:t>
      </w:r>
      <w:r>
        <w:rPr>
          <w:rFonts w:hint="eastAsia"/>
          <w:highlight w:val="none"/>
          <w:lang w:eastAsia="zh-CN"/>
        </w:rPr>
        <w:t>所有算法与模型需紧密贴合现场导热油加热炉工艺特性，</w:t>
      </w:r>
      <w:r>
        <w:rPr>
          <w:rFonts w:hint="eastAsia"/>
          <w:highlight w:val="none"/>
          <w:lang w:val="en-US" w:eastAsia="zh-CN"/>
        </w:rPr>
        <w:t>并</w:t>
      </w:r>
      <w:r>
        <w:rPr>
          <w:rFonts w:hint="eastAsia"/>
          <w:highlight w:val="none"/>
          <w:lang w:eastAsia="zh-CN"/>
        </w:rPr>
        <w:t>基于现场采集的工艺参数仪表数据支撑系统各功能的实现。</w:t>
      </w:r>
      <w:r>
        <w:rPr>
          <w:rFonts w:hint="eastAsia"/>
          <w:highlight w:val="none"/>
          <w:lang w:val="en-US" w:eastAsia="zh-CN"/>
        </w:rPr>
        <w:t>需研发原始数据清洗和特征提取的数据质量与预处理算法；对加热炉整体运行状态量化评分或分级的健康度评估算法；设备状态异常、工艺参数超限等阈值监测与预警算法；支持生成可现场直接执行的开环调控建议的多目标约束优化与决策选择算法。同时，还要提供加热炉过程控制数学模型、热效率计算等模型的研发技术服务，实现对加热炉工艺机理与运行规律的精准刻画、热效率的实时精准计算与对标分析。具体服务工作量清单如下：</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6"/>
        <w:gridCol w:w="870"/>
        <w:gridCol w:w="4065"/>
        <w:gridCol w:w="100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vAlign w:val="center"/>
          </w:tcPr>
          <w:p>
            <w:pPr>
              <w:keepNext w:val="0"/>
              <w:keepLines w:val="0"/>
              <w:widowControl/>
              <w:suppressLineNumbers w:val="0"/>
              <w:spacing w:line="312" w:lineRule="auto"/>
              <w:jc w:val="center"/>
              <w:textAlignment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序号</w:t>
            </w:r>
          </w:p>
        </w:tc>
        <w:tc>
          <w:tcPr>
            <w:tcW w:w="870" w:type="dxa"/>
            <w:vAlign w:val="center"/>
          </w:tcPr>
          <w:p>
            <w:pPr>
              <w:keepNext w:val="0"/>
              <w:keepLines w:val="0"/>
              <w:widowControl/>
              <w:suppressLineNumbers w:val="0"/>
              <w:spacing w:line="312" w:lineRule="auto"/>
              <w:jc w:val="center"/>
              <w:textAlignment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类别</w:t>
            </w:r>
          </w:p>
        </w:tc>
        <w:tc>
          <w:tcPr>
            <w:tcW w:w="4065" w:type="dxa"/>
            <w:vAlign w:val="center"/>
          </w:tcPr>
          <w:p>
            <w:pPr>
              <w:keepNext w:val="0"/>
              <w:keepLines w:val="0"/>
              <w:widowControl/>
              <w:suppressLineNumbers w:val="0"/>
              <w:spacing w:line="312" w:lineRule="auto"/>
              <w:jc w:val="center"/>
              <w:textAlignment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明细</w:t>
            </w:r>
          </w:p>
        </w:tc>
        <w:tc>
          <w:tcPr>
            <w:tcW w:w="1006" w:type="dxa"/>
            <w:vAlign w:val="center"/>
          </w:tcPr>
          <w:p>
            <w:pPr>
              <w:keepNext w:val="0"/>
              <w:keepLines w:val="0"/>
              <w:widowControl/>
              <w:suppressLineNumbers w:val="0"/>
              <w:spacing w:line="312" w:lineRule="auto"/>
              <w:jc w:val="center"/>
              <w:textAlignment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单位</w:t>
            </w:r>
          </w:p>
        </w:tc>
        <w:tc>
          <w:tcPr>
            <w:tcW w:w="1705" w:type="dxa"/>
            <w:vAlign w:val="center"/>
          </w:tcPr>
          <w:p>
            <w:pPr>
              <w:keepNext w:val="0"/>
              <w:keepLines w:val="0"/>
              <w:widowControl/>
              <w:suppressLineNumbers w:val="0"/>
              <w:spacing w:line="312" w:lineRule="auto"/>
              <w:jc w:val="center"/>
              <w:textAlignment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数量/工作量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c>
          <w:tcPr>
            <w:tcW w:w="870" w:type="dxa"/>
            <w:vMerge w:val="restart"/>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算法</w:t>
            </w:r>
          </w:p>
        </w:tc>
        <w:tc>
          <w:tcPr>
            <w:tcW w:w="406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highlight w:val="none"/>
                <w:lang w:val="en-US" w:eastAsia="zh-CN"/>
              </w:rPr>
              <w:t>数据质量与预处理算法</w:t>
            </w:r>
          </w:p>
        </w:tc>
        <w:tc>
          <w:tcPr>
            <w:tcW w:w="100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vertAlign w:val="baseline"/>
                <w:lang w:val="en-US" w:eastAsia="zh-CN"/>
              </w:rPr>
              <w:t>个</w:t>
            </w:r>
          </w:p>
        </w:tc>
        <w:tc>
          <w:tcPr>
            <w:tcW w:w="170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2</w:t>
            </w:r>
          </w:p>
        </w:tc>
        <w:tc>
          <w:tcPr>
            <w:tcW w:w="870" w:type="dxa"/>
            <w:vMerge w:val="continue"/>
          </w:tcPr>
          <w:p>
            <w:pPr>
              <w:spacing w:line="312" w:lineRule="auto"/>
              <w:jc w:val="center"/>
              <w:rPr>
                <w:rFonts w:hint="default" w:ascii="Times New Roman" w:hAnsi="Times New Roman" w:eastAsia="宋体" w:cs="Times New Roman"/>
                <w:sz w:val="21"/>
                <w:szCs w:val="21"/>
                <w:vertAlign w:val="baseline"/>
                <w:lang w:val="en-US" w:eastAsia="zh-CN"/>
              </w:rPr>
            </w:pPr>
          </w:p>
        </w:tc>
        <w:tc>
          <w:tcPr>
            <w:tcW w:w="406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highlight w:val="none"/>
                <w:lang w:val="en-US" w:eastAsia="zh-CN"/>
              </w:rPr>
              <w:t>设备健康度分级算法</w:t>
            </w:r>
          </w:p>
        </w:tc>
        <w:tc>
          <w:tcPr>
            <w:tcW w:w="100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个</w:t>
            </w:r>
          </w:p>
        </w:tc>
        <w:tc>
          <w:tcPr>
            <w:tcW w:w="170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3</w:t>
            </w:r>
          </w:p>
        </w:tc>
        <w:tc>
          <w:tcPr>
            <w:tcW w:w="870" w:type="dxa"/>
            <w:vMerge w:val="continue"/>
          </w:tcPr>
          <w:p>
            <w:pPr>
              <w:spacing w:line="312" w:lineRule="auto"/>
              <w:jc w:val="center"/>
              <w:rPr>
                <w:rFonts w:hint="default" w:ascii="Times New Roman" w:hAnsi="Times New Roman" w:eastAsia="宋体" w:cs="Times New Roman"/>
                <w:sz w:val="21"/>
                <w:szCs w:val="21"/>
                <w:vertAlign w:val="baseline"/>
                <w:lang w:val="en-US" w:eastAsia="zh-CN"/>
              </w:rPr>
            </w:pPr>
          </w:p>
        </w:tc>
        <w:tc>
          <w:tcPr>
            <w:tcW w:w="406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highlight w:val="none"/>
                <w:lang w:val="en-US" w:eastAsia="zh-CN"/>
              </w:rPr>
              <w:t>设备监测与预警算法</w:t>
            </w:r>
          </w:p>
        </w:tc>
        <w:tc>
          <w:tcPr>
            <w:tcW w:w="100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个</w:t>
            </w:r>
          </w:p>
        </w:tc>
        <w:tc>
          <w:tcPr>
            <w:tcW w:w="170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4</w:t>
            </w:r>
          </w:p>
        </w:tc>
        <w:tc>
          <w:tcPr>
            <w:tcW w:w="870" w:type="dxa"/>
            <w:vMerge w:val="continue"/>
          </w:tcPr>
          <w:p>
            <w:pPr>
              <w:spacing w:line="312" w:lineRule="auto"/>
              <w:jc w:val="center"/>
              <w:rPr>
                <w:rFonts w:hint="default" w:ascii="Times New Roman" w:hAnsi="Times New Roman" w:eastAsia="宋体" w:cs="Times New Roman"/>
                <w:sz w:val="21"/>
                <w:szCs w:val="21"/>
                <w:vertAlign w:val="baseline"/>
                <w:lang w:val="en-US" w:eastAsia="zh-CN"/>
              </w:rPr>
            </w:pPr>
          </w:p>
        </w:tc>
        <w:tc>
          <w:tcPr>
            <w:tcW w:w="406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highlight w:val="none"/>
                <w:lang w:val="en-US" w:eastAsia="zh-CN"/>
              </w:rPr>
              <w:t>多目标约束优化与</w:t>
            </w:r>
            <w:r>
              <w:rPr>
                <w:rFonts w:hint="default" w:ascii="Times New Roman" w:hAnsi="Times New Roman" w:eastAsia="宋体" w:cs="Times New Roman"/>
                <w:sz w:val="21"/>
                <w:szCs w:val="21"/>
                <w:highlight w:val="none"/>
                <w:lang w:eastAsia="zh-CN"/>
              </w:rPr>
              <w:t>最优操作决策选择算法</w:t>
            </w:r>
          </w:p>
        </w:tc>
        <w:tc>
          <w:tcPr>
            <w:tcW w:w="100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个</w:t>
            </w:r>
          </w:p>
        </w:tc>
        <w:tc>
          <w:tcPr>
            <w:tcW w:w="170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5</w:t>
            </w:r>
          </w:p>
        </w:tc>
        <w:tc>
          <w:tcPr>
            <w:tcW w:w="870" w:type="dxa"/>
            <w:vMerge w:val="restart"/>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模型</w:t>
            </w:r>
          </w:p>
        </w:tc>
        <w:tc>
          <w:tcPr>
            <w:tcW w:w="406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eastAsia" w:ascii="Times New Roman" w:hAnsi="Times New Roman" w:eastAsia="宋体" w:cs="Times New Roman"/>
                <w:sz w:val="21"/>
                <w:szCs w:val="21"/>
                <w:highlight w:val="none"/>
                <w:lang w:val="en-US" w:eastAsia="zh-CN"/>
              </w:rPr>
              <w:t>控制</w:t>
            </w:r>
            <w:r>
              <w:rPr>
                <w:rFonts w:hint="default" w:ascii="Times New Roman" w:hAnsi="Times New Roman" w:eastAsia="宋体" w:cs="Times New Roman"/>
                <w:sz w:val="21"/>
                <w:szCs w:val="21"/>
                <w:highlight w:val="none"/>
                <w:lang w:val="en-US" w:eastAsia="zh-CN"/>
              </w:rPr>
              <w:t>模型</w:t>
            </w:r>
          </w:p>
        </w:tc>
        <w:tc>
          <w:tcPr>
            <w:tcW w:w="100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个</w:t>
            </w:r>
          </w:p>
        </w:tc>
        <w:tc>
          <w:tcPr>
            <w:tcW w:w="170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7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6</w:t>
            </w:r>
          </w:p>
        </w:tc>
        <w:tc>
          <w:tcPr>
            <w:tcW w:w="870" w:type="dxa"/>
            <w:vMerge w:val="continue"/>
          </w:tcPr>
          <w:p>
            <w:pPr>
              <w:spacing w:line="312" w:lineRule="auto"/>
              <w:jc w:val="center"/>
              <w:rPr>
                <w:rFonts w:hint="default" w:ascii="Times New Roman" w:hAnsi="Times New Roman" w:eastAsia="宋体" w:cs="Times New Roman"/>
                <w:sz w:val="21"/>
                <w:szCs w:val="21"/>
                <w:vertAlign w:val="baseline"/>
                <w:lang w:val="en-US" w:eastAsia="zh-CN"/>
              </w:rPr>
            </w:pPr>
          </w:p>
        </w:tc>
        <w:tc>
          <w:tcPr>
            <w:tcW w:w="406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highlight w:val="none"/>
                <w:lang w:val="en-US" w:eastAsia="zh-CN"/>
              </w:rPr>
              <w:t>热效率模型</w:t>
            </w:r>
          </w:p>
        </w:tc>
        <w:tc>
          <w:tcPr>
            <w:tcW w:w="1006"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个</w:t>
            </w:r>
          </w:p>
        </w:tc>
        <w:tc>
          <w:tcPr>
            <w:tcW w:w="1705" w:type="dxa"/>
          </w:tcPr>
          <w:p>
            <w:pPr>
              <w:spacing w:line="312" w:lineRule="auto"/>
              <w:jc w:val="center"/>
              <w:rPr>
                <w:rFonts w:hint="default" w:ascii="Times New Roman" w:hAnsi="Times New Roman" w:eastAsia="宋体" w:cs="Times New Roman"/>
                <w:sz w:val="21"/>
                <w:szCs w:val="21"/>
                <w:vertAlign w:val="baseline"/>
                <w:lang w:val="en-US" w:eastAsia="zh-CN"/>
              </w:rPr>
            </w:pPr>
            <w:r>
              <w:rPr>
                <w:rFonts w:hint="default" w:ascii="Times New Roman" w:hAnsi="Times New Roman" w:eastAsia="宋体" w:cs="Times New Roman"/>
                <w:sz w:val="21"/>
                <w:szCs w:val="21"/>
                <w:vertAlign w:val="baseline"/>
                <w:lang w:val="en-US" w:eastAsia="zh-CN"/>
              </w:rPr>
              <w:t>1</w:t>
            </w:r>
          </w:p>
        </w:tc>
      </w:tr>
    </w:tbl>
    <w:p>
      <w:pPr>
        <w:rPr>
          <w:rFonts w:hint="default"/>
          <w:lang w:val="en-US" w:eastAsia="zh-CN"/>
        </w:rPr>
      </w:pPr>
    </w:p>
    <w:p>
      <w:pPr>
        <w:pStyle w:val="2"/>
        <w:spacing w:line="257" w:lineRule="auto"/>
        <w:ind w:firstLine="0" w:firstLineChars="0"/>
        <w:rPr>
          <w:rFonts w:hint="eastAsia"/>
          <w:highlight w:val="none"/>
          <w:lang w:eastAsia="zh-CN"/>
        </w:rPr>
      </w:pPr>
      <w:r>
        <w:rPr>
          <w:rFonts w:hint="eastAsia"/>
          <w:highlight w:val="none"/>
          <w:lang w:eastAsia="zh-CN"/>
        </w:rPr>
        <w:t>（</w:t>
      </w:r>
      <w:r>
        <w:rPr>
          <w:rFonts w:hint="eastAsia"/>
          <w:highlight w:val="none"/>
          <w:lang w:val="en-US" w:eastAsia="zh-CN"/>
        </w:rPr>
        <w:t>3</w:t>
      </w:r>
      <w:r>
        <w:rPr>
          <w:rFonts w:hint="eastAsia"/>
          <w:highlight w:val="none"/>
          <w:lang w:eastAsia="zh-CN"/>
        </w:rPr>
        <w:t>）</w:t>
      </w:r>
      <w:r>
        <w:rPr>
          <w:rFonts w:hint="eastAsia"/>
          <w:highlight w:val="none"/>
          <w:lang w:val="en-US" w:eastAsia="zh-CN"/>
        </w:rPr>
        <w:t>功能</w:t>
      </w:r>
      <w:r>
        <w:rPr>
          <w:rFonts w:hint="eastAsia"/>
          <w:highlight w:val="none"/>
          <w:lang w:eastAsia="zh-CN"/>
        </w:rPr>
        <w:t>开发技术服务</w:t>
      </w:r>
    </w:p>
    <w:p>
      <w:pPr>
        <w:pStyle w:val="2"/>
        <w:spacing w:line="257" w:lineRule="auto"/>
        <w:ind w:firstLine="420"/>
        <w:rPr>
          <w:rFonts w:hint="eastAsia"/>
          <w:highlight w:val="none"/>
          <w:lang w:val="en-US" w:eastAsia="zh-CN"/>
        </w:rPr>
      </w:pPr>
      <w:r>
        <w:rPr>
          <w:rFonts w:hint="eastAsia"/>
          <w:highlight w:val="none"/>
          <w:lang w:val="en-US" w:eastAsia="zh-CN"/>
        </w:rPr>
        <w:t>引用《海上油气田能耗在线监测系统建设指南》(QHS 13035-2021)“9.0 系统功能”，完成软件开发。</w:t>
      </w:r>
    </w:p>
    <w:p>
      <w:pPr>
        <w:pStyle w:val="2"/>
        <w:spacing w:line="257" w:lineRule="auto"/>
        <w:ind w:firstLine="420"/>
        <w:rPr>
          <w:rFonts w:hint="default"/>
          <w:highlight w:val="none"/>
          <w:lang w:val="en-US" w:eastAsia="zh-CN"/>
        </w:rPr>
      </w:pPr>
      <w:r>
        <w:rPr>
          <w:rFonts w:hint="eastAsia"/>
          <w:highlight w:val="none"/>
          <w:lang w:eastAsia="zh-CN"/>
        </w:rPr>
        <w:t>提供系统模型算法工程化封装、架构设计、原型图设计、前端开发、后端开发、接口开发、系统测试、非功能开发等技术服务。</w:t>
      </w:r>
      <w:r>
        <w:rPr>
          <w:rFonts w:hint="eastAsia" w:ascii="Microsoft YaHei UI" w:hAnsi="Microsoft YaHei UI" w:eastAsia="Microsoft YaHei UI" w:cstheme="minorBidi"/>
          <w:sz w:val="21"/>
          <w:szCs w:val="21"/>
          <w:highlight w:val="none"/>
          <w:lang w:val="en-US" w:eastAsia="zh-CN" w:bidi="ar-SA"/>
        </w:rPr>
        <w:t>需将现有的导热油加热炉机理模型、控制模型、控制逻辑与算法技术解读，并进行封装和工业级</w:t>
      </w:r>
      <w:r>
        <w:rPr>
          <w:rFonts w:hint="eastAsia" w:cstheme="minorBidi"/>
          <w:sz w:val="21"/>
          <w:szCs w:val="21"/>
          <w:highlight w:val="none"/>
          <w:lang w:val="en-US" w:eastAsia="zh-CN" w:bidi="ar-SA"/>
        </w:rPr>
        <w:t>、</w:t>
      </w:r>
      <w:r>
        <w:rPr>
          <w:rFonts w:hint="eastAsia" w:ascii="Microsoft YaHei UI" w:hAnsi="Microsoft YaHei UI" w:eastAsia="Microsoft YaHei UI" w:cstheme="minorBidi"/>
          <w:sz w:val="21"/>
          <w:szCs w:val="21"/>
          <w:highlight w:val="none"/>
          <w:lang w:val="en-US" w:eastAsia="zh-CN" w:bidi="ar-SA"/>
        </w:rPr>
        <w:t>可集成代码的转化，并将专</w:t>
      </w:r>
      <w:r>
        <w:rPr>
          <w:rFonts w:hint="eastAsia" w:cstheme="minorBidi"/>
          <w:sz w:val="21"/>
          <w:szCs w:val="21"/>
          <w:highlight w:val="none"/>
          <w:lang w:val="en-US" w:eastAsia="zh-CN" w:bidi="ar-SA"/>
        </w:rPr>
        <w:t>业</w:t>
      </w:r>
      <w:r>
        <w:rPr>
          <w:rFonts w:hint="eastAsia" w:ascii="Microsoft YaHei UI" w:hAnsi="Microsoft YaHei UI" w:eastAsia="Microsoft YaHei UI" w:cstheme="minorBidi"/>
          <w:sz w:val="21"/>
          <w:szCs w:val="21"/>
          <w:highlight w:val="none"/>
          <w:lang w:val="en-US" w:eastAsia="zh-CN" w:bidi="ar-SA"/>
        </w:rPr>
        <w:t>仿真</w:t>
      </w:r>
      <w:r>
        <w:rPr>
          <w:rFonts w:hint="eastAsia" w:cstheme="minorBidi"/>
          <w:sz w:val="21"/>
          <w:szCs w:val="21"/>
          <w:highlight w:val="none"/>
          <w:lang w:val="en-US" w:eastAsia="zh-CN" w:bidi="ar-SA"/>
        </w:rPr>
        <w:t>软件集成至</w:t>
      </w:r>
      <w:r>
        <w:rPr>
          <w:rFonts w:hint="eastAsia" w:ascii="Microsoft YaHei UI" w:hAnsi="Microsoft YaHei UI" w:eastAsia="Microsoft YaHei UI" w:cstheme="minorBidi"/>
          <w:sz w:val="21"/>
          <w:szCs w:val="21"/>
          <w:highlight w:val="none"/>
          <w:lang w:val="en-US" w:eastAsia="zh-CN" w:bidi="ar-SA"/>
        </w:rPr>
        <w:t>系统，确保高效稳定运行。</w:t>
      </w:r>
      <w:r>
        <w:rPr>
          <w:rFonts w:hint="eastAsia" w:cstheme="minorBidi"/>
          <w:sz w:val="21"/>
          <w:szCs w:val="21"/>
          <w:highlight w:val="none"/>
          <w:lang w:val="en-US" w:eastAsia="zh-CN" w:bidi="ar-SA"/>
        </w:rPr>
        <w:t>系统需</w:t>
      </w:r>
      <w:r>
        <w:rPr>
          <w:rFonts w:hint="eastAsia" w:ascii="Microsoft YaHei UI" w:hAnsi="Microsoft YaHei UI" w:eastAsia="Microsoft YaHei UI" w:cstheme="minorBidi"/>
          <w:sz w:val="21"/>
          <w:szCs w:val="21"/>
          <w:highlight w:val="none"/>
          <w:lang w:val="en-US" w:eastAsia="zh-CN" w:bidi="ar-SA"/>
        </w:rPr>
        <w:t>支持在Windows</w:t>
      </w:r>
      <w:r>
        <w:rPr>
          <w:rFonts w:hint="eastAsia" w:cstheme="minorBidi"/>
          <w:sz w:val="21"/>
          <w:szCs w:val="21"/>
          <w:highlight w:val="none"/>
          <w:lang w:val="en-US" w:eastAsia="zh-CN" w:bidi="ar-SA"/>
        </w:rPr>
        <w:t>、</w:t>
      </w:r>
      <w:r>
        <w:rPr>
          <w:rFonts w:hint="eastAsia" w:ascii="Microsoft YaHei UI" w:hAnsi="Microsoft YaHei UI" w:eastAsia="Microsoft YaHei UI" w:cstheme="minorBidi"/>
          <w:sz w:val="21"/>
          <w:szCs w:val="21"/>
          <w:highlight w:val="none"/>
          <w:lang w:val="en-US" w:eastAsia="zh-CN" w:bidi="ar-SA"/>
        </w:rPr>
        <w:t>麒麟</w:t>
      </w:r>
      <w:r>
        <w:rPr>
          <w:rFonts w:hint="eastAsia" w:cstheme="minorBidi"/>
          <w:sz w:val="21"/>
          <w:szCs w:val="21"/>
          <w:highlight w:val="none"/>
          <w:lang w:val="en-US" w:eastAsia="zh-CN" w:bidi="ar-SA"/>
        </w:rPr>
        <w:t>等</w:t>
      </w:r>
      <w:r>
        <w:rPr>
          <w:rFonts w:hint="eastAsia" w:ascii="Microsoft YaHei UI" w:hAnsi="Microsoft YaHei UI" w:eastAsia="Microsoft YaHei UI" w:cstheme="minorBidi"/>
          <w:sz w:val="21"/>
          <w:szCs w:val="21"/>
          <w:highlight w:val="none"/>
          <w:lang w:val="en-US" w:eastAsia="zh-CN" w:bidi="ar-SA"/>
        </w:rPr>
        <w:t>操作系统下运行</w:t>
      </w:r>
      <w:r>
        <w:rPr>
          <w:rFonts w:hint="eastAsia" w:cstheme="minorBidi"/>
          <w:sz w:val="21"/>
          <w:szCs w:val="21"/>
          <w:highlight w:val="none"/>
          <w:lang w:val="en-US" w:eastAsia="zh-CN" w:bidi="ar-SA"/>
        </w:rPr>
        <w:t>，所有中间件需选用开源稳定版本，兼容公司现有信息化基础设施，确保数据库、中间件、服务器之间无冲突和可无缝集成，客户端支持在海油浏览器中正常访问，兼容IE、Chrome、Edge等主流浏览器，同时前端优先采用Vue框架开发，支持ECharts专业可视化图表库集成，UI组件库采用Element-UI，后端开发语言采用Java+Python，开发框架为SpringBoot，关系型数据库需统一采用人大金仓Kingbase（V8R6），支持HTTP/HTTPS/TCPIP协议，接口设计需严格遵循 RESTful API 设计规范，支持API二次开发接口，与其他信息管理系统可以无缝集成，并且应用服务器采用Nginx最新稳定版，编排工具需采用 Kubernetes（K8s），且整个系统设计需符合海油信息化项目建设规范。</w:t>
      </w:r>
    </w:p>
    <w:p>
      <w:pPr>
        <w:pStyle w:val="2"/>
        <w:spacing w:line="257" w:lineRule="auto"/>
        <w:ind w:firstLine="420"/>
        <w:rPr>
          <w:rFonts w:hint="eastAsia"/>
          <w:highlight w:val="none"/>
          <w:lang w:eastAsia="zh-CN"/>
        </w:rPr>
      </w:pPr>
      <w:r>
        <w:rPr>
          <w:rFonts w:hint="eastAsia"/>
          <w:highlight w:val="none"/>
          <w:lang w:eastAsia="zh-CN"/>
        </w:rPr>
        <w:t>具体软件功能要求如下：</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7"/>
        <w:gridCol w:w="1214"/>
        <w:gridCol w:w="1473"/>
        <w:gridCol w:w="5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 w:type="pct"/>
            <w:vAlign w:val="center"/>
          </w:tcPr>
          <w:p>
            <w:pPr>
              <w:widowControl/>
              <w:jc w:val="center"/>
              <w:rPr>
                <w:sz w:val="21"/>
                <w:szCs w:val="21"/>
                <w:highlight w:val="none"/>
              </w:rPr>
            </w:pPr>
            <w:r>
              <w:rPr>
                <w:rFonts w:hint="eastAsia"/>
                <w:sz w:val="21"/>
                <w:szCs w:val="21"/>
                <w:highlight w:val="none"/>
              </w:rPr>
              <w:t>序号</w:t>
            </w:r>
          </w:p>
        </w:tc>
        <w:tc>
          <w:tcPr>
            <w:tcW w:w="712" w:type="pct"/>
            <w:vAlign w:val="center"/>
          </w:tcPr>
          <w:p>
            <w:pPr>
              <w:widowControl/>
              <w:jc w:val="center"/>
              <w:rPr>
                <w:sz w:val="21"/>
                <w:szCs w:val="21"/>
                <w:highlight w:val="none"/>
              </w:rPr>
            </w:pPr>
            <w:r>
              <w:rPr>
                <w:rFonts w:hint="eastAsia"/>
                <w:sz w:val="21"/>
                <w:szCs w:val="21"/>
                <w:highlight w:val="none"/>
              </w:rPr>
              <w:t>功能模块</w:t>
            </w:r>
          </w:p>
        </w:tc>
        <w:tc>
          <w:tcPr>
            <w:tcW w:w="864" w:type="pct"/>
            <w:vAlign w:val="center"/>
          </w:tcPr>
          <w:p>
            <w:pPr>
              <w:widowControl/>
              <w:jc w:val="center"/>
              <w:rPr>
                <w:sz w:val="21"/>
                <w:szCs w:val="21"/>
                <w:highlight w:val="none"/>
              </w:rPr>
            </w:pPr>
            <w:r>
              <w:rPr>
                <w:rFonts w:hint="eastAsia"/>
                <w:sz w:val="21"/>
                <w:szCs w:val="21"/>
                <w:highlight w:val="none"/>
              </w:rPr>
              <w:t>子功能</w:t>
            </w:r>
          </w:p>
        </w:tc>
        <w:tc>
          <w:tcPr>
            <w:tcW w:w="3077" w:type="pct"/>
            <w:vAlign w:val="center"/>
          </w:tcPr>
          <w:p>
            <w:pPr>
              <w:widowControl/>
              <w:jc w:val="center"/>
              <w:rPr>
                <w:sz w:val="21"/>
                <w:szCs w:val="21"/>
                <w:highlight w:val="none"/>
                <w:lang w:eastAsia="zh-CN"/>
              </w:rPr>
            </w:pPr>
            <w:r>
              <w:rPr>
                <w:rFonts w:hint="eastAsia"/>
                <w:sz w:val="21"/>
                <w:szCs w:val="21"/>
                <w:highlight w:val="none"/>
                <w:lang w:eastAsia="zh-CN"/>
              </w:rPr>
              <w:t>功能简介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345" w:type="pct"/>
            <w:vAlign w:val="center"/>
          </w:tcPr>
          <w:p>
            <w:pPr>
              <w:widowControl/>
              <w:jc w:val="center"/>
              <w:rPr>
                <w:sz w:val="21"/>
                <w:szCs w:val="21"/>
                <w:highlight w:val="none"/>
                <w:lang w:eastAsia="zh-CN"/>
              </w:rPr>
            </w:pPr>
            <w:r>
              <w:rPr>
                <w:rFonts w:hint="eastAsia"/>
                <w:sz w:val="21"/>
                <w:szCs w:val="21"/>
                <w:highlight w:val="none"/>
                <w:lang w:eastAsia="zh-CN"/>
              </w:rPr>
              <w:t>1</w:t>
            </w:r>
          </w:p>
        </w:tc>
        <w:tc>
          <w:tcPr>
            <w:tcW w:w="712" w:type="pct"/>
            <w:vAlign w:val="center"/>
          </w:tcPr>
          <w:p>
            <w:pPr>
              <w:widowControl/>
              <w:jc w:val="center"/>
              <w:rPr>
                <w:sz w:val="21"/>
                <w:szCs w:val="21"/>
                <w:highlight w:val="none"/>
                <w:lang w:eastAsia="zh-CN"/>
              </w:rPr>
            </w:pPr>
            <w:r>
              <w:rPr>
                <w:rFonts w:hint="eastAsia"/>
                <w:sz w:val="21"/>
                <w:szCs w:val="21"/>
                <w:highlight w:val="none"/>
                <w:lang w:eastAsia="zh-CN"/>
              </w:rPr>
              <w:t>驾驶舱模块</w:t>
            </w:r>
          </w:p>
        </w:tc>
        <w:tc>
          <w:tcPr>
            <w:tcW w:w="864" w:type="pct"/>
            <w:vAlign w:val="center"/>
          </w:tcPr>
          <w:p>
            <w:pPr>
              <w:widowControl/>
              <w:jc w:val="center"/>
              <w:rPr>
                <w:rFonts w:hint="default"/>
                <w:sz w:val="21"/>
                <w:szCs w:val="21"/>
                <w:highlight w:val="none"/>
                <w:lang w:val="en-US" w:eastAsia="zh-CN"/>
              </w:rPr>
            </w:pPr>
            <w:r>
              <w:rPr>
                <w:rFonts w:hint="eastAsia"/>
                <w:sz w:val="21"/>
                <w:szCs w:val="21"/>
                <w:highlight w:val="none"/>
                <w:lang w:val="en-US" w:eastAsia="zh-CN"/>
              </w:rPr>
              <w:t>-</w:t>
            </w:r>
          </w:p>
        </w:tc>
        <w:tc>
          <w:tcPr>
            <w:tcW w:w="3077" w:type="pct"/>
            <w:vAlign w:val="center"/>
          </w:tcPr>
          <w:p>
            <w:pPr>
              <w:widowControl/>
              <w:rPr>
                <w:rFonts w:hint="default"/>
                <w:sz w:val="21"/>
                <w:szCs w:val="21"/>
                <w:highlight w:val="none"/>
                <w:lang w:val="en-US" w:eastAsia="zh-CN"/>
              </w:rPr>
            </w:pPr>
            <w:r>
              <w:rPr>
                <w:rFonts w:hint="eastAsia"/>
                <w:sz w:val="21"/>
                <w:szCs w:val="21"/>
                <w:highlight w:val="none"/>
                <w:lang w:val="en-US" w:eastAsia="zh-CN"/>
              </w:rPr>
              <w:t>基于加热炉设备运行健康度分析，实现对加热炉系统整体运行水平的监测和报警信息的动态跟踪，并展示简化的加热炉流程示意图，实现对加热炉系统核心能效指标数据、工艺参数数据以及约束设定值的实时展示，并可直观反映数据变化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45" w:type="pct"/>
            <w:vAlign w:val="center"/>
          </w:tcPr>
          <w:p>
            <w:pPr>
              <w:widowControl/>
              <w:jc w:val="center"/>
              <w:rPr>
                <w:rFonts w:hint="default"/>
                <w:sz w:val="21"/>
                <w:szCs w:val="21"/>
                <w:highlight w:val="none"/>
                <w:lang w:val="en-US" w:eastAsia="zh-CN"/>
              </w:rPr>
            </w:pPr>
            <w:r>
              <w:rPr>
                <w:rFonts w:hint="eastAsia"/>
                <w:sz w:val="21"/>
                <w:szCs w:val="21"/>
                <w:highlight w:val="none"/>
                <w:lang w:val="en-US" w:eastAsia="zh-CN"/>
              </w:rPr>
              <w:t>2</w:t>
            </w:r>
          </w:p>
        </w:tc>
        <w:tc>
          <w:tcPr>
            <w:tcW w:w="712" w:type="pct"/>
            <w:vAlign w:val="center"/>
          </w:tcPr>
          <w:p>
            <w:pPr>
              <w:widowControl/>
              <w:jc w:val="center"/>
              <w:rPr>
                <w:rFonts w:hint="default"/>
                <w:sz w:val="21"/>
                <w:szCs w:val="21"/>
                <w:highlight w:val="none"/>
                <w:lang w:val="en-US" w:eastAsia="zh-CN"/>
              </w:rPr>
            </w:pPr>
            <w:r>
              <w:rPr>
                <w:rFonts w:hint="eastAsia"/>
                <w:highlight w:val="none"/>
                <w:lang w:val="en-US" w:eastAsia="zh-CN"/>
              </w:rPr>
              <w:t>实时监测模块</w:t>
            </w:r>
          </w:p>
        </w:tc>
        <w:tc>
          <w:tcPr>
            <w:tcW w:w="864" w:type="pct"/>
            <w:vAlign w:val="center"/>
          </w:tcPr>
          <w:p>
            <w:pPr>
              <w:widowControl/>
              <w:jc w:val="center"/>
              <w:rPr>
                <w:rFonts w:hint="default"/>
                <w:sz w:val="21"/>
                <w:szCs w:val="21"/>
                <w:highlight w:val="none"/>
                <w:lang w:val="en-US" w:eastAsia="zh-CN"/>
              </w:rPr>
            </w:pPr>
            <w:r>
              <w:rPr>
                <w:rFonts w:hint="eastAsia"/>
                <w:sz w:val="21"/>
                <w:szCs w:val="21"/>
                <w:highlight w:val="none"/>
                <w:lang w:val="en-US" w:eastAsia="zh-CN"/>
              </w:rPr>
              <w:t>-</w:t>
            </w:r>
          </w:p>
        </w:tc>
        <w:tc>
          <w:tcPr>
            <w:tcW w:w="3077" w:type="pct"/>
            <w:vAlign w:val="center"/>
          </w:tcPr>
          <w:p>
            <w:pPr>
              <w:widowControl/>
              <w:rPr>
                <w:rFonts w:hint="default" w:eastAsia="宋体"/>
                <w:sz w:val="21"/>
                <w:szCs w:val="21"/>
                <w:highlight w:val="none"/>
                <w:lang w:val="en-US" w:eastAsia="zh-CN"/>
              </w:rPr>
            </w:pPr>
            <w:r>
              <w:rPr>
                <w:rFonts w:hint="eastAsia"/>
                <w:sz w:val="21"/>
                <w:szCs w:val="21"/>
                <w:highlight w:val="none"/>
                <w:lang w:val="en-US" w:eastAsia="zh-CN"/>
              </w:rPr>
              <w:t>实现加热炉3D可视化模型和管道仪表流程图动态切换展示，实现关键测点数值及数据状态等信息的实时监测和展示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45" w:type="pct"/>
            <w:vMerge w:val="restart"/>
            <w:vAlign w:val="center"/>
          </w:tcPr>
          <w:p>
            <w:pPr>
              <w:widowControl/>
              <w:jc w:val="center"/>
              <w:rPr>
                <w:rFonts w:hint="default"/>
                <w:sz w:val="21"/>
                <w:szCs w:val="21"/>
                <w:highlight w:val="none"/>
                <w:lang w:val="en-US" w:eastAsia="zh-CN"/>
              </w:rPr>
            </w:pPr>
            <w:r>
              <w:rPr>
                <w:rFonts w:hint="eastAsia"/>
                <w:sz w:val="21"/>
                <w:szCs w:val="21"/>
                <w:highlight w:val="none"/>
                <w:lang w:val="en-US" w:eastAsia="zh-CN"/>
              </w:rPr>
              <w:t>3</w:t>
            </w:r>
          </w:p>
        </w:tc>
        <w:tc>
          <w:tcPr>
            <w:tcW w:w="712" w:type="pct"/>
            <w:vMerge w:val="restart"/>
            <w:vAlign w:val="center"/>
          </w:tcPr>
          <w:p>
            <w:pPr>
              <w:widowControl/>
              <w:jc w:val="center"/>
              <w:rPr>
                <w:rFonts w:hint="eastAsia"/>
                <w:highlight w:val="none"/>
                <w:lang w:val="en-US" w:eastAsia="zh-CN"/>
              </w:rPr>
            </w:pPr>
            <w:r>
              <w:rPr>
                <w:rFonts w:hint="eastAsia"/>
                <w:highlight w:val="none"/>
                <w:lang w:val="en-US" w:eastAsia="zh-CN"/>
              </w:rPr>
              <w:t>能效分析与评估模块</w:t>
            </w:r>
          </w:p>
        </w:tc>
        <w:tc>
          <w:tcPr>
            <w:tcW w:w="864" w:type="pct"/>
            <w:vAlign w:val="center"/>
          </w:tcPr>
          <w:p>
            <w:pPr>
              <w:widowControl/>
              <w:jc w:val="center"/>
              <w:rPr>
                <w:rFonts w:hint="default"/>
                <w:sz w:val="21"/>
                <w:szCs w:val="21"/>
                <w:highlight w:val="none"/>
                <w:lang w:val="en-US" w:eastAsia="zh-CN"/>
              </w:rPr>
            </w:pPr>
            <w:r>
              <w:rPr>
                <w:rFonts w:hint="eastAsia"/>
                <w:sz w:val="21"/>
                <w:szCs w:val="21"/>
                <w:highlight w:val="none"/>
                <w:lang w:val="en-US" w:eastAsia="zh-CN"/>
              </w:rPr>
              <w:t>热效率实时计算</w:t>
            </w:r>
          </w:p>
        </w:tc>
        <w:tc>
          <w:tcPr>
            <w:tcW w:w="3077" w:type="pct"/>
            <w:vAlign w:val="center"/>
          </w:tcPr>
          <w:p>
            <w:pPr>
              <w:widowControl/>
              <w:rPr>
                <w:rFonts w:hint="default"/>
                <w:sz w:val="21"/>
                <w:szCs w:val="21"/>
                <w:highlight w:val="none"/>
                <w:lang w:val="en-US" w:eastAsia="zh-CN"/>
              </w:rPr>
            </w:pPr>
            <w:r>
              <w:rPr>
                <w:rFonts w:hint="default"/>
                <w:sz w:val="21"/>
                <w:szCs w:val="21"/>
                <w:highlight w:val="none"/>
                <w:lang w:val="en-US" w:eastAsia="zh-CN"/>
              </w:rPr>
              <w:t>支持反平衡 / 正平衡计算过程可视化，实时计算</w:t>
            </w:r>
            <w:r>
              <w:rPr>
                <w:rFonts w:hint="eastAsia"/>
                <w:sz w:val="21"/>
                <w:szCs w:val="21"/>
                <w:highlight w:val="none"/>
                <w:lang w:val="en-US" w:eastAsia="zh-CN"/>
              </w:rPr>
              <w:t>和</w:t>
            </w:r>
            <w:r>
              <w:rPr>
                <w:rFonts w:hint="default"/>
                <w:sz w:val="21"/>
                <w:szCs w:val="21"/>
                <w:highlight w:val="none"/>
                <w:lang w:val="en-US" w:eastAsia="zh-CN"/>
              </w:rPr>
              <w:t>展示热效率</w:t>
            </w:r>
            <w:r>
              <w:rPr>
                <w:rFonts w:hint="eastAsia"/>
                <w:sz w:val="21"/>
                <w:szCs w:val="21"/>
                <w:highlight w:val="none"/>
                <w:lang w:val="en-US" w:eastAsia="zh-CN"/>
              </w:rPr>
              <w:t>数据，并分析给出当下能效等级，且实现对各损失项的影响权重监测与对比分析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45" w:type="pct"/>
            <w:vMerge w:val="continue"/>
            <w:vAlign w:val="center"/>
          </w:tcPr>
          <w:p>
            <w:pPr>
              <w:widowControl/>
              <w:jc w:val="center"/>
              <w:rPr>
                <w:rFonts w:hint="eastAsia"/>
                <w:sz w:val="21"/>
                <w:szCs w:val="21"/>
                <w:highlight w:val="none"/>
                <w:lang w:val="en-US" w:eastAsia="zh-CN"/>
              </w:rPr>
            </w:pPr>
          </w:p>
        </w:tc>
        <w:tc>
          <w:tcPr>
            <w:tcW w:w="712" w:type="pct"/>
            <w:vMerge w:val="continue"/>
            <w:vAlign w:val="center"/>
          </w:tcPr>
          <w:p>
            <w:pPr>
              <w:widowControl/>
              <w:jc w:val="center"/>
              <w:rPr>
                <w:rFonts w:hint="eastAsia"/>
                <w:highlight w:val="none"/>
                <w:lang w:val="en-US" w:eastAsia="zh-CN"/>
              </w:rPr>
            </w:pPr>
          </w:p>
        </w:tc>
        <w:tc>
          <w:tcPr>
            <w:tcW w:w="864" w:type="pct"/>
            <w:vAlign w:val="center"/>
          </w:tcPr>
          <w:p>
            <w:pPr>
              <w:widowControl/>
              <w:jc w:val="center"/>
              <w:rPr>
                <w:rFonts w:hint="eastAsia"/>
                <w:sz w:val="21"/>
                <w:szCs w:val="21"/>
                <w:highlight w:val="none"/>
                <w:lang w:val="en-US" w:eastAsia="zh-CN"/>
              </w:rPr>
            </w:pPr>
            <w:r>
              <w:rPr>
                <w:rFonts w:hint="eastAsia"/>
                <w:highlight w:val="none"/>
                <w:lang w:val="en-US" w:eastAsia="zh-CN"/>
              </w:rPr>
              <w:t>统计分析</w:t>
            </w:r>
          </w:p>
        </w:tc>
        <w:tc>
          <w:tcPr>
            <w:tcW w:w="3077" w:type="pct"/>
            <w:vAlign w:val="center"/>
          </w:tcPr>
          <w:p>
            <w:pPr>
              <w:widowControl/>
              <w:rPr>
                <w:rFonts w:hint="default"/>
                <w:sz w:val="21"/>
                <w:szCs w:val="21"/>
                <w:highlight w:val="none"/>
                <w:lang w:val="en-US" w:eastAsia="zh-CN"/>
              </w:rPr>
            </w:pPr>
            <w:r>
              <w:rPr>
                <w:rFonts w:hint="eastAsia"/>
                <w:sz w:val="21"/>
                <w:szCs w:val="21"/>
                <w:highlight w:val="none"/>
                <w:lang w:val="en-US" w:eastAsia="zh-CN"/>
              </w:rPr>
              <w:t>以趋势曲线形式实现对导热油加热炉关键运行参数及核心能效指标进行动态跟踪，并支持时间维度查询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45" w:type="pct"/>
            <w:vMerge w:val="continue"/>
            <w:vAlign w:val="center"/>
          </w:tcPr>
          <w:p>
            <w:pPr>
              <w:widowControl/>
              <w:jc w:val="center"/>
              <w:rPr>
                <w:rFonts w:hint="eastAsia"/>
                <w:sz w:val="21"/>
                <w:szCs w:val="21"/>
                <w:highlight w:val="none"/>
                <w:lang w:val="en-US" w:eastAsia="zh-CN"/>
              </w:rPr>
            </w:pPr>
          </w:p>
        </w:tc>
        <w:tc>
          <w:tcPr>
            <w:tcW w:w="712" w:type="pct"/>
            <w:vMerge w:val="continue"/>
            <w:vAlign w:val="center"/>
          </w:tcPr>
          <w:p>
            <w:pPr>
              <w:widowControl/>
              <w:jc w:val="center"/>
              <w:rPr>
                <w:rFonts w:hint="eastAsia"/>
                <w:highlight w:val="none"/>
                <w:lang w:val="en-US" w:eastAsia="zh-CN"/>
              </w:rPr>
            </w:pPr>
          </w:p>
        </w:tc>
        <w:tc>
          <w:tcPr>
            <w:tcW w:w="864" w:type="pct"/>
            <w:vAlign w:val="center"/>
          </w:tcPr>
          <w:p>
            <w:pPr>
              <w:widowControl/>
              <w:jc w:val="center"/>
              <w:rPr>
                <w:rFonts w:hint="eastAsia"/>
                <w:sz w:val="21"/>
                <w:szCs w:val="21"/>
                <w:highlight w:val="none"/>
                <w:lang w:val="en-US" w:eastAsia="zh-CN"/>
              </w:rPr>
            </w:pPr>
            <w:r>
              <w:rPr>
                <w:rFonts w:hint="eastAsia"/>
                <w:highlight w:val="none"/>
                <w:lang w:val="en-US" w:eastAsia="zh-CN"/>
              </w:rPr>
              <w:t>报表管理</w:t>
            </w:r>
          </w:p>
        </w:tc>
        <w:tc>
          <w:tcPr>
            <w:tcW w:w="3077" w:type="pct"/>
            <w:vAlign w:val="center"/>
          </w:tcPr>
          <w:p>
            <w:pPr>
              <w:widowControl/>
              <w:rPr>
                <w:rFonts w:hint="eastAsia"/>
                <w:sz w:val="21"/>
                <w:szCs w:val="21"/>
                <w:highlight w:val="none"/>
                <w:lang w:eastAsia="zh-CN"/>
              </w:rPr>
            </w:pPr>
            <w:r>
              <w:rPr>
                <w:rFonts w:hint="eastAsia"/>
                <w:sz w:val="21"/>
                <w:szCs w:val="21"/>
                <w:highlight w:val="none"/>
                <w:lang w:eastAsia="zh-CN"/>
              </w:rPr>
              <w:t>对全量过程参数与控制参数进行结构化表格化呈现，表格搭载核心数据维度，清晰展示各参数信息；同时配置日期精准筛选、数据批量导出功能，高效支撑参数查阅与数据管理工作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45" w:type="pct"/>
            <w:vAlign w:val="center"/>
          </w:tcPr>
          <w:p>
            <w:pPr>
              <w:widowControl/>
              <w:jc w:val="center"/>
              <w:rPr>
                <w:rFonts w:hint="default"/>
                <w:sz w:val="21"/>
                <w:szCs w:val="21"/>
                <w:highlight w:val="none"/>
                <w:lang w:val="en-US" w:eastAsia="zh-CN"/>
              </w:rPr>
            </w:pPr>
            <w:r>
              <w:rPr>
                <w:rFonts w:hint="eastAsia"/>
                <w:sz w:val="21"/>
                <w:szCs w:val="21"/>
                <w:highlight w:val="none"/>
                <w:lang w:val="en-US" w:eastAsia="zh-CN"/>
              </w:rPr>
              <w:t>4</w:t>
            </w:r>
          </w:p>
        </w:tc>
        <w:tc>
          <w:tcPr>
            <w:tcW w:w="712" w:type="pct"/>
            <w:vAlign w:val="center"/>
          </w:tcPr>
          <w:p>
            <w:pPr>
              <w:widowControl/>
              <w:jc w:val="center"/>
              <w:rPr>
                <w:rFonts w:hint="default"/>
                <w:highlight w:val="none"/>
                <w:lang w:val="en-US" w:eastAsia="zh-CN"/>
              </w:rPr>
            </w:pPr>
            <w:r>
              <w:rPr>
                <w:rFonts w:hint="eastAsia"/>
                <w:highlight w:val="none"/>
                <w:lang w:val="en-US" w:eastAsia="zh-CN"/>
              </w:rPr>
              <w:t>控制与优化模块</w:t>
            </w:r>
          </w:p>
        </w:tc>
        <w:tc>
          <w:tcPr>
            <w:tcW w:w="864" w:type="pct"/>
            <w:vAlign w:val="center"/>
          </w:tcPr>
          <w:p>
            <w:pPr>
              <w:widowControl/>
              <w:jc w:val="center"/>
              <w:rPr>
                <w:rFonts w:hint="default"/>
                <w:sz w:val="21"/>
                <w:szCs w:val="21"/>
                <w:highlight w:val="none"/>
                <w:lang w:val="en-US" w:eastAsia="zh-CN"/>
              </w:rPr>
            </w:pPr>
            <w:r>
              <w:rPr>
                <w:rFonts w:hint="eastAsia"/>
                <w:highlight w:val="none"/>
                <w:lang w:val="en-US" w:eastAsia="zh-CN"/>
              </w:rPr>
              <w:t>-</w:t>
            </w:r>
          </w:p>
        </w:tc>
        <w:tc>
          <w:tcPr>
            <w:tcW w:w="3077" w:type="pct"/>
            <w:vAlign w:val="center"/>
          </w:tcPr>
          <w:p>
            <w:pPr>
              <w:widowControl/>
              <w:rPr>
                <w:rFonts w:hint="eastAsia"/>
                <w:sz w:val="21"/>
                <w:szCs w:val="21"/>
                <w:highlight w:val="none"/>
                <w:lang w:eastAsia="zh-CN"/>
              </w:rPr>
            </w:pPr>
            <w:r>
              <w:rPr>
                <w:rFonts w:hint="eastAsia"/>
                <w:sz w:val="21"/>
                <w:szCs w:val="21"/>
                <w:highlight w:val="none"/>
                <w:lang w:eastAsia="zh-CN"/>
              </w:rPr>
              <w:t>展示仿真逻辑架构图，</w:t>
            </w:r>
            <w:r>
              <w:rPr>
                <w:rFonts w:hint="eastAsia"/>
                <w:sz w:val="21"/>
                <w:szCs w:val="21"/>
                <w:highlight w:val="none"/>
                <w:lang w:val="en-US" w:eastAsia="zh-CN"/>
              </w:rPr>
              <w:t>基于现场实时的工艺数据、内置控制模型与算法的计算，可动态生成</w:t>
            </w:r>
            <w:r>
              <w:rPr>
                <w:rFonts w:hint="eastAsia"/>
                <w:sz w:val="21"/>
                <w:szCs w:val="21"/>
                <w:highlight w:val="none"/>
                <w:lang w:eastAsia="zh-CN"/>
              </w:rPr>
              <w:t>现场可直接执行的步骤化、量化操作</w:t>
            </w:r>
            <w:r>
              <w:rPr>
                <w:rFonts w:hint="eastAsia"/>
                <w:sz w:val="21"/>
                <w:szCs w:val="21"/>
                <w:highlight w:val="none"/>
                <w:lang w:val="en-US" w:eastAsia="zh-CN"/>
              </w:rPr>
              <w:t>建议</w:t>
            </w:r>
            <w:r>
              <w:rPr>
                <w:rFonts w:hint="eastAsia"/>
                <w:sz w:val="21"/>
                <w:szCs w:val="21"/>
                <w:highlight w:val="none"/>
                <w:lang w:eastAsia="zh-CN"/>
              </w:rPr>
              <w:t>，且</w:t>
            </w:r>
            <w:r>
              <w:rPr>
                <w:rFonts w:hint="eastAsia"/>
                <w:sz w:val="21"/>
                <w:szCs w:val="21"/>
                <w:highlight w:val="none"/>
                <w:lang w:val="en-US" w:eastAsia="zh-CN"/>
              </w:rPr>
              <w:t>生成的调优策略要</w:t>
            </w:r>
            <w:r>
              <w:rPr>
                <w:rFonts w:hint="eastAsia"/>
                <w:sz w:val="21"/>
                <w:szCs w:val="21"/>
                <w:highlight w:val="none"/>
                <w:lang w:eastAsia="zh-CN"/>
              </w:rPr>
              <w:t>支持执行反馈闭环，完全适配手动调控的场景需求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45" w:type="pct"/>
            <w:vMerge w:val="restart"/>
            <w:vAlign w:val="center"/>
          </w:tcPr>
          <w:p>
            <w:pPr>
              <w:widowControl/>
              <w:jc w:val="center"/>
              <w:rPr>
                <w:rFonts w:hint="default"/>
                <w:sz w:val="21"/>
                <w:szCs w:val="21"/>
                <w:highlight w:val="none"/>
                <w:lang w:val="en-US" w:eastAsia="zh-CN"/>
              </w:rPr>
            </w:pPr>
            <w:r>
              <w:rPr>
                <w:rFonts w:hint="eastAsia"/>
                <w:sz w:val="21"/>
                <w:szCs w:val="21"/>
                <w:highlight w:val="none"/>
                <w:lang w:val="en-US" w:eastAsia="zh-CN"/>
              </w:rPr>
              <w:t>5</w:t>
            </w:r>
          </w:p>
        </w:tc>
        <w:tc>
          <w:tcPr>
            <w:tcW w:w="712" w:type="pct"/>
            <w:vMerge w:val="restart"/>
            <w:vAlign w:val="center"/>
          </w:tcPr>
          <w:p>
            <w:pPr>
              <w:widowControl/>
              <w:jc w:val="center"/>
              <w:rPr>
                <w:rFonts w:hint="default"/>
                <w:highlight w:val="none"/>
                <w:lang w:val="en-US" w:eastAsia="zh-CN"/>
              </w:rPr>
            </w:pPr>
            <w:r>
              <w:rPr>
                <w:rFonts w:hint="eastAsia"/>
                <w:highlight w:val="none"/>
                <w:lang w:val="en-US" w:eastAsia="zh-CN"/>
              </w:rPr>
              <w:t>系统管理模块</w:t>
            </w:r>
          </w:p>
        </w:tc>
        <w:tc>
          <w:tcPr>
            <w:tcW w:w="864" w:type="pct"/>
            <w:vAlign w:val="center"/>
          </w:tcPr>
          <w:p>
            <w:pPr>
              <w:widowControl/>
              <w:jc w:val="center"/>
              <w:rPr>
                <w:rFonts w:hint="eastAsia"/>
                <w:highlight w:val="none"/>
                <w:lang w:eastAsia="zh-CN"/>
              </w:rPr>
            </w:pPr>
            <w:r>
              <w:rPr>
                <w:rFonts w:hint="eastAsia"/>
                <w:highlight w:val="none"/>
                <w:lang w:eastAsia="zh-CN"/>
              </w:rPr>
              <w:t>用户管理</w:t>
            </w:r>
          </w:p>
        </w:tc>
        <w:tc>
          <w:tcPr>
            <w:tcW w:w="3077" w:type="pct"/>
            <w:vAlign w:val="center"/>
          </w:tcPr>
          <w:p>
            <w:pPr>
              <w:widowControl/>
              <w:rPr>
                <w:rFonts w:hint="eastAsia"/>
                <w:sz w:val="21"/>
                <w:szCs w:val="21"/>
                <w:highlight w:val="none"/>
                <w:lang w:val="en-US" w:eastAsia="zh-CN"/>
              </w:rPr>
            </w:pPr>
            <w:r>
              <w:rPr>
                <w:rFonts w:hint="eastAsia"/>
                <w:sz w:val="21"/>
                <w:szCs w:val="21"/>
                <w:highlight w:val="none"/>
                <w:lang w:eastAsia="zh-CN"/>
              </w:rPr>
              <w:t>系统支持个人账号基础操作与安全管理，支持账号规范输入与密码修改，同时配备密码重置功能，全方位保障账号操作的便捷性与使用安全性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345" w:type="pct"/>
            <w:vMerge w:val="continue"/>
            <w:vAlign w:val="center"/>
          </w:tcPr>
          <w:p>
            <w:pPr>
              <w:widowControl/>
              <w:jc w:val="center"/>
              <w:rPr>
                <w:rFonts w:hint="eastAsia"/>
                <w:sz w:val="21"/>
                <w:szCs w:val="21"/>
                <w:highlight w:val="none"/>
                <w:lang w:val="en-US" w:eastAsia="zh-CN"/>
              </w:rPr>
            </w:pPr>
          </w:p>
        </w:tc>
        <w:tc>
          <w:tcPr>
            <w:tcW w:w="712" w:type="pct"/>
            <w:vMerge w:val="continue"/>
            <w:vAlign w:val="center"/>
          </w:tcPr>
          <w:p>
            <w:pPr>
              <w:widowControl/>
              <w:jc w:val="center"/>
              <w:rPr>
                <w:rFonts w:hint="eastAsia"/>
                <w:highlight w:val="none"/>
                <w:lang w:val="en-US" w:eastAsia="zh-CN"/>
              </w:rPr>
            </w:pPr>
          </w:p>
        </w:tc>
        <w:tc>
          <w:tcPr>
            <w:tcW w:w="864" w:type="pct"/>
            <w:vAlign w:val="center"/>
          </w:tcPr>
          <w:p>
            <w:pPr>
              <w:widowControl/>
              <w:jc w:val="center"/>
              <w:rPr>
                <w:rFonts w:hint="eastAsia"/>
                <w:highlight w:val="none"/>
                <w:lang w:eastAsia="zh-CN"/>
              </w:rPr>
            </w:pPr>
            <w:r>
              <w:rPr>
                <w:rFonts w:hint="eastAsia"/>
                <w:highlight w:val="none"/>
                <w:lang w:eastAsia="zh-CN"/>
              </w:rPr>
              <w:t>预警阈值管理</w:t>
            </w:r>
          </w:p>
        </w:tc>
        <w:tc>
          <w:tcPr>
            <w:tcW w:w="3077" w:type="pct"/>
            <w:vAlign w:val="center"/>
          </w:tcPr>
          <w:p>
            <w:pPr>
              <w:widowControl/>
              <w:rPr>
                <w:rFonts w:hint="eastAsia"/>
                <w:sz w:val="21"/>
                <w:szCs w:val="21"/>
                <w:highlight w:val="none"/>
                <w:lang w:val="en-US" w:eastAsia="zh-CN"/>
              </w:rPr>
            </w:pPr>
            <w:r>
              <w:rPr>
                <w:rFonts w:hint="eastAsia"/>
                <w:sz w:val="21"/>
                <w:szCs w:val="21"/>
                <w:highlight w:val="none"/>
                <w:lang w:eastAsia="zh-CN"/>
              </w:rPr>
              <w:t>针对</w:t>
            </w:r>
            <w:r>
              <w:rPr>
                <w:rFonts w:hint="eastAsia"/>
                <w:sz w:val="21"/>
                <w:szCs w:val="21"/>
                <w:highlight w:val="none"/>
                <w:lang w:val="en-US" w:eastAsia="zh-CN"/>
              </w:rPr>
              <w:t>加热炉核心实时</w:t>
            </w:r>
            <w:r>
              <w:rPr>
                <w:rFonts w:hint="eastAsia"/>
                <w:sz w:val="21"/>
                <w:szCs w:val="21"/>
                <w:highlight w:val="none"/>
                <w:lang w:eastAsia="zh-CN"/>
              </w:rPr>
              <w:t>数据开展阈值定制设计，可清晰展示各参数的阈值数值及对应计量单位，同时支持单参数阈值的独立修改与阈值的一键重置操作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5000" w:type="pct"/>
            <w:gridSpan w:val="4"/>
            <w:vAlign w:val="center"/>
          </w:tcPr>
          <w:p>
            <w:pPr>
              <w:numPr>
                <w:ilvl w:val="255"/>
                <w:numId w:val="0"/>
              </w:numPr>
              <w:rPr>
                <w:sz w:val="21"/>
                <w:szCs w:val="21"/>
                <w:highlight w:val="none"/>
                <w:lang w:eastAsia="zh-CN"/>
              </w:rPr>
            </w:pPr>
            <w:r>
              <w:rPr>
                <w:rFonts w:ascii="Times New Roman" w:hAnsi="Times New Roman" w:cs="Times New Roman"/>
                <w:highlight w:val="none"/>
                <w:lang w:eastAsia="zh-CN"/>
              </w:rPr>
              <w:t>备注：最终的功能开发以实际蓝图方案为准。</w:t>
            </w:r>
          </w:p>
        </w:tc>
      </w:tr>
      <w:bookmarkEnd w:id="3"/>
    </w:tbl>
    <w:p>
      <w:pPr>
        <w:pStyle w:val="2"/>
        <w:ind w:left="0" w:leftChars="0" w:firstLine="0" w:firstLineChars="0"/>
        <w:rPr>
          <w:rFonts w:hint="eastAsia"/>
          <w:highlight w:val="none"/>
          <w:lang w:eastAsia="zh-CN"/>
        </w:rPr>
      </w:pPr>
    </w:p>
    <w:p>
      <w:pPr>
        <w:jc w:val="both"/>
        <w:rPr>
          <w:rFonts w:hint="eastAsia" w:ascii="微软雅黑" w:hAnsi="微软雅黑" w:eastAsia="微软雅黑" w:cs="微软雅黑"/>
          <w:bCs/>
          <w:highlight w:val="none"/>
          <w:lang w:eastAsia="zh-CN"/>
        </w:rPr>
      </w:pPr>
      <w:r>
        <w:rPr>
          <w:rFonts w:hint="eastAsia" w:ascii="Microsoft YaHei UI" w:hAnsi="Microsoft YaHei UI" w:eastAsia="Microsoft YaHei UI"/>
          <w:sz w:val="21"/>
          <w:szCs w:val="21"/>
          <w:highlight w:val="none"/>
          <w:lang w:eastAsia="zh-CN"/>
        </w:rPr>
        <w:t>（</w:t>
      </w:r>
      <w:r>
        <w:rPr>
          <w:rFonts w:hint="eastAsia" w:ascii="Microsoft YaHei UI" w:hAnsi="Microsoft YaHei UI" w:eastAsia="Microsoft YaHei UI"/>
          <w:sz w:val="21"/>
          <w:szCs w:val="21"/>
          <w:highlight w:val="none"/>
          <w:lang w:val="en-US" w:eastAsia="zh-CN"/>
        </w:rPr>
        <w:t>4</w:t>
      </w:r>
      <w:r>
        <w:rPr>
          <w:rFonts w:hint="eastAsia" w:ascii="Microsoft YaHei UI" w:hAnsi="Microsoft YaHei UI" w:eastAsia="Microsoft YaHei UI"/>
          <w:sz w:val="21"/>
          <w:szCs w:val="21"/>
          <w:highlight w:val="none"/>
          <w:lang w:eastAsia="zh-CN"/>
        </w:rPr>
        <w:t>）部署实施服务</w:t>
      </w:r>
    </w:p>
    <w:p>
      <w:pPr>
        <w:ind w:firstLine="420" w:firstLineChars="200"/>
        <w:jc w:val="both"/>
        <w:rPr>
          <w:rFonts w:hint="eastAsia" w:ascii="Microsoft YaHei UI" w:hAnsi="Microsoft YaHei UI" w:eastAsia="Microsoft YaHei UI"/>
          <w:sz w:val="21"/>
          <w:szCs w:val="21"/>
          <w:highlight w:val="none"/>
          <w:lang w:eastAsia="zh-CN"/>
        </w:rPr>
      </w:pPr>
      <w:r>
        <w:rPr>
          <w:rFonts w:hint="eastAsia" w:ascii="Microsoft YaHei UI" w:hAnsi="Microsoft YaHei UI" w:eastAsia="Microsoft YaHei UI"/>
          <w:sz w:val="21"/>
          <w:szCs w:val="21"/>
          <w:highlight w:val="none"/>
          <w:lang w:eastAsia="zh-CN"/>
        </w:rPr>
        <w:t>系统完成开发后，需要在本地服务部署一套海上加热炉智能优化控制系统，在安全环保服务平台</w:t>
      </w:r>
      <w:r>
        <w:rPr>
          <w:rFonts w:hint="eastAsia" w:ascii="Microsoft YaHei UI" w:hAnsi="Microsoft YaHei UI" w:eastAsia="Microsoft YaHei UI"/>
          <w:sz w:val="21"/>
          <w:szCs w:val="21"/>
          <w:highlight w:val="none"/>
          <w:lang w:val="en-US" w:eastAsia="zh-CN"/>
        </w:rPr>
        <w:t>上</w:t>
      </w:r>
      <w:r>
        <w:rPr>
          <w:rFonts w:hint="eastAsia" w:ascii="Microsoft YaHei UI" w:hAnsi="Microsoft YaHei UI" w:eastAsia="Microsoft YaHei UI"/>
          <w:sz w:val="21"/>
          <w:szCs w:val="21"/>
          <w:highlight w:val="none"/>
          <w:lang w:eastAsia="zh-CN"/>
        </w:rPr>
        <w:t>部署一套可视化系统。部署需符合《海油发展安全环保公司信息化技术规范》，符合中海油能源发展股份有限公司统一技术路线规定。</w:t>
      </w:r>
    </w:p>
    <w:p>
      <w:pPr>
        <w:numPr>
          <w:ilvl w:val="0"/>
          <w:numId w:val="3"/>
        </w:numPr>
        <w:jc w:val="both"/>
        <w:rPr>
          <w:rFonts w:hint="eastAsia" w:ascii="Microsoft YaHei UI" w:hAnsi="Microsoft YaHei UI" w:eastAsia="Microsoft YaHei UI"/>
          <w:sz w:val="21"/>
          <w:szCs w:val="21"/>
          <w:highlight w:val="none"/>
          <w:lang w:eastAsia="zh-CN"/>
        </w:rPr>
      </w:pPr>
      <w:r>
        <w:rPr>
          <w:rFonts w:hint="eastAsia" w:ascii="Microsoft YaHei UI" w:hAnsi="Microsoft YaHei UI" w:eastAsia="Microsoft YaHei UI"/>
          <w:sz w:val="21"/>
          <w:szCs w:val="21"/>
          <w:highlight w:val="none"/>
          <w:lang w:eastAsia="zh-CN"/>
        </w:rPr>
        <w:t>乙方根据甲方安排到</w:t>
      </w:r>
      <w:r>
        <w:rPr>
          <w:rFonts w:hint="eastAsia" w:ascii="Microsoft YaHei UI" w:hAnsi="Microsoft YaHei UI" w:eastAsia="Microsoft YaHei UI"/>
          <w:sz w:val="21"/>
          <w:szCs w:val="21"/>
          <w:highlight w:val="none"/>
          <w:lang w:val="en-US" w:eastAsia="zh-CN"/>
        </w:rPr>
        <w:t>海上</w:t>
      </w:r>
      <w:r>
        <w:rPr>
          <w:rFonts w:hint="eastAsia" w:ascii="Microsoft YaHei UI" w:hAnsi="Microsoft YaHei UI" w:eastAsia="Microsoft YaHei UI"/>
          <w:sz w:val="21"/>
          <w:szCs w:val="21"/>
          <w:highlight w:val="none"/>
          <w:lang w:eastAsia="zh-CN"/>
        </w:rPr>
        <w:t>目标设施，</w:t>
      </w:r>
      <w:r>
        <w:rPr>
          <w:rFonts w:hint="eastAsia" w:ascii="Microsoft YaHei UI" w:hAnsi="Microsoft YaHei UI" w:eastAsia="Microsoft YaHei UI"/>
          <w:sz w:val="21"/>
          <w:szCs w:val="21"/>
          <w:highlight w:val="none"/>
          <w:lang w:val="en-US" w:eastAsia="zh-CN"/>
        </w:rPr>
        <w:t>采用局域网形式和前后端分离模式</w:t>
      </w:r>
      <w:r>
        <w:rPr>
          <w:rFonts w:hint="eastAsia" w:ascii="Microsoft YaHei UI" w:hAnsi="Microsoft YaHei UI" w:eastAsia="Microsoft YaHei UI"/>
          <w:sz w:val="21"/>
          <w:szCs w:val="21"/>
          <w:highlight w:val="none"/>
          <w:lang w:eastAsia="zh-CN"/>
        </w:rPr>
        <w:t>实施部署、</w:t>
      </w:r>
      <w:r>
        <w:rPr>
          <w:rFonts w:hint="eastAsia" w:ascii="Microsoft YaHei UI" w:hAnsi="Microsoft YaHei UI" w:eastAsia="Microsoft YaHei UI"/>
          <w:sz w:val="21"/>
          <w:szCs w:val="21"/>
          <w:highlight w:val="none"/>
          <w:lang w:val="en-US" w:eastAsia="zh-CN"/>
        </w:rPr>
        <w:t>调试与投用</w:t>
      </w:r>
      <w:r>
        <w:rPr>
          <w:rFonts w:hint="eastAsia" w:ascii="Microsoft YaHei UI" w:hAnsi="Microsoft YaHei UI" w:eastAsia="Microsoft YaHei UI"/>
          <w:sz w:val="21"/>
          <w:szCs w:val="21"/>
          <w:highlight w:val="none"/>
          <w:lang w:eastAsia="zh-CN"/>
        </w:rPr>
        <w:t>，提供服务包括</w:t>
      </w:r>
      <w:r>
        <w:rPr>
          <w:rFonts w:hint="eastAsia" w:ascii="Microsoft YaHei UI" w:hAnsi="Microsoft YaHei UI" w:eastAsia="Microsoft YaHei UI"/>
          <w:sz w:val="21"/>
          <w:szCs w:val="21"/>
          <w:highlight w:val="none"/>
          <w:lang w:val="en-US" w:eastAsia="zh-CN"/>
        </w:rPr>
        <w:t>现场硬件通讯调试、</w:t>
      </w:r>
      <w:r>
        <w:rPr>
          <w:rFonts w:hint="eastAsia" w:ascii="Microsoft YaHei UI" w:hAnsi="Microsoft YaHei UI" w:eastAsia="Microsoft YaHei UI"/>
          <w:sz w:val="21"/>
          <w:szCs w:val="21"/>
          <w:highlight w:val="none"/>
          <w:lang w:eastAsia="zh-CN"/>
        </w:rPr>
        <w:t>系统部署、联调测试、</w:t>
      </w:r>
      <w:r>
        <w:rPr>
          <w:rFonts w:hint="eastAsia" w:ascii="Microsoft YaHei UI" w:hAnsi="Microsoft YaHei UI" w:eastAsia="Microsoft YaHei UI"/>
          <w:sz w:val="21"/>
          <w:szCs w:val="21"/>
          <w:highlight w:val="none"/>
          <w:lang w:val="en-US" w:eastAsia="zh-CN"/>
        </w:rPr>
        <w:t>投运使用、</w:t>
      </w:r>
      <w:r>
        <w:rPr>
          <w:rFonts w:hint="eastAsia" w:ascii="Microsoft YaHei UI" w:hAnsi="Microsoft YaHei UI" w:eastAsia="Microsoft YaHei UI"/>
          <w:sz w:val="21"/>
          <w:szCs w:val="21"/>
          <w:highlight w:val="none"/>
          <w:lang w:eastAsia="zh-CN"/>
        </w:rPr>
        <w:t>数据接入指导与对接、系统操作培训等；调试设备不限于服务器和网闸的配套支持设备，确保数据采集、数据传输以及系统正常运行。</w:t>
      </w:r>
    </w:p>
    <w:p>
      <w:pPr>
        <w:numPr>
          <w:ilvl w:val="0"/>
          <w:numId w:val="3"/>
        </w:numPr>
        <w:jc w:val="both"/>
        <w:rPr>
          <w:highlight w:val="none"/>
          <w:lang w:eastAsia="zh-CN"/>
        </w:rPr>
      </w:pPr>
      <w:r>
        <w:rPr>
          <w:rFonts w:hint="eastAsia" w:ascii="Microsoft YaHei UI" w:hAnsi="Microsoft YaHei UI" w:eastAsia="Microsoft YaHei UI"/>
          <w:sz w:val="21"/>
          <w:szCs w:val="21"/>
          <w:highlight w:val="none"/>
          <w:lang w:val="en-US" w:eastAsia="zh-CN"/>
        </w:rPr>
        <w:t>系统的模型与算法，以“模块化”形式</w:t>
      </w:r>
      <w:r>
        <w:rPr>
          <w:rFonts w:hint="eastAsia" w:ascii="Microsoft YaHei UI" w:hAnsi="Microsoft YaHei UI" w:eastAsia="Microsoft YaHei UI"/>
          <w:sz w:val="21"/>
          <w:szCs w:val="21"/>
          <w:highlight w:val="none"/>
          <w:lang w:eastAsia="zh-CN"/>
        </w:rPr>
        <w:t>部署至安全环保服务平台-智能</w:t>
      </w:r>
      <w:r>
        <w:rPr>
          <w:rFonts w:hint="eastAsia" w:ascii="Microsoft YaHei UI" w:hAnsi="Microsoft YaHei UI" w:eastAsia="Microsoft YaHei UI"/>
          <w:sz w:val="21"/>
          <w:szCs w:val="21"/>
          <w:highlight w:val="none"/>
          <w:lang w:val="en-US" w:eastAsia="zh-CN"/>
        </w:rPr>
        <w:t>双碳</w:t>
      </w:r>
      <w:r>
        <w:rPr>
          <w:rFonts w:hint="eastAsia" w:ascii="Microsoft YaHei UI" w:hAnsi="Microsoft YaHei UI" w:eastAsia="Microsoft YaHei UI"/>
          <w:sz w:val="21"/>
          <w:szCs w:val="21"/>
          <w:highlight w:val="none"/>
          <w:lang w:eastAsia="zh-CN"/>
        </w:rPr>
        <w:t>场景-</w:t>
      </w:r>
      <w:r>
        <w:rPr>
          <w:rFonts w:hint="eastAsia" w:ascii="Microsoft YaHei UI" w:hAnsi="Microsoft YaHei UI" w:eastAsia="Microsoft YaHei UI"/>
          <w:sz w:val="21"/>
          <w:szCs w:val="21"/>
          <w:highlight w:val="none"/>
          <w:lang w:val="en-US" w:eastAsia="zh-CN"/>
        </w:rPr>
        <w:t>双碳智控</w:t>
      </w:r>
      <w:r>
        <w:rPr>
          <w:rFonts w:hint="eastAsia" w:ascii="Microsoft YaHei UI" w:hAnsi="Microsoft YaHei UI" w:eastAsia="Microsoft YaHei UI"/>
          <w:sz w:val="21"/>
          <w:szCs w:val="21"/>
          <w:highlight w:val="none"/>
          <w:lang w:eastAsia="zh-CN"/>
        </w:rPr>
        <w:t>-</w:t>
      </w:r>
      <w:r>
        <w:rPr>
          <w:rFonts w:hint="eastAsia" w:ascii="Microsoft YaHei UI" w:hAnsi="Microsoft YaHei UI" w:eastAsia="Microsoft YaHei UI"/>
          <w:sz w:val="21"/>
          <w:szCs w:val="21"/>
          <w:highlight w:val="none"/>
          <w:lang w:val="en-US" w:eastAsia="zh-CN"/>
        </w:rPr>
        <w:t>优化控制模块，并实现单点登录集成</w:t>
      </w:r>
      <w:r>
        <w:rPr>
          <w:rFonts w:hint="eastAsia" w:ascii="Microsoft YaHei UI" w:hAnsi="Microsoft YaHei UI" w:eastAsia="Microsoft YaHei UI"/>
          <w:sz w:val="21"/>
          <w:szCs w:val="21"/>
          <w:highlight w:val="none"/>
          <w:lang w:eastAsia="zh-CN"/>
        </w:rPr>
        <w:t>。</w:t>
      </w:r>
    </w:p>
    <w:p>
      <w:pPr>
        <w:pStyle w:val="2"/>
        <w:numPr>
          <w:ilvl w:val="0"/>
          <w:numId w:val="0"/>
        </w:numPr>
        <w:spacing w:line="257" w:lineRule="auto"/>
        <w:ind w:right="121" w:rightChars="55" w:firstLine="210" w:firstLineChars="100"/>
        <w:rPr>
          <w:rFonts w:hint="eastAsia"/>
          <w:highlight w:val="none"/>
          <w:lang w:eastAsia="zh-CN"/>
        </w:rPr>
      </w:pPr>
      <w:r>
        <w:rPr>
          <w:rFonts w:hint="eastAsia"/>
          <w:highlight w:val="none"/>
          <w:lang w:eastAsia="zh-CN"/>
        </w:rPr>
        <w:t>（</w:t>
      </w:r>
      <w:r>
        <w:rPr>
          <w:rFonts w:hint="eastAsia"/>
          <w:highlight w:val="none"/>
          <w:lang w:val="en-US" w:eastAsia="zh-CN"/>
        </w:rPr>
        <w:t>4</w:t>
      </w:r>
      <w:r>
        <w:rPr>
          <w:rFonts w:hint="eastAsia"/>
          <w:highlight w:val="none"/>
          <w:lang w:eastAsia="zh-CN"/>
        </w:rPr>
        <w:t>）</w:t>
      </w:r>
      <w:r>
        <w:rPr>
          <w:rFonts w:hint="eastAsia"/>
          <w:highlight w:val="none"/>
          <w:lang w:val="en-US" w:eastAsia="zh-CN"/>
        </w:rPr>
        <w:t>数据架构及数据资产目录要求：基于本项目业务与应用场景，结合甲方现有业务系统架构、数据流转流程，输出可落地、可扩展的数据架构方案，覆盖数据来源、流转、存储分层、数据应用核心内容，确保架构与业务深度适配。配合甲方完成数据资产目录L4、L5层级精细化梳理，输出标准化数据资产目录；同步完成数据“五定”（定可信源、定标准、定质量、定安全、定共享）工作，从业务、技术、管理三维度制定数据标准，围绕完整性、准确性等六大核心维度制定质量规则，明确数据安全与共享分级，输出完整“五定”治理成果。项目上线前配合甲方完成数据上云与落标工作，运维期内持续更新优化数据资产目录与“五定”成果，为甲方后续数据治理与应用提供技术支持。</w:t>
      </w:r>
    </w:p>
    <w:p>
      <w:pPr>
        <w:pStyle w:val="2"/>
        <w:spacing w:line="257" w:lineRule="auto"/>
        <w:ind w:right="121" w:rightChars="55" w:firstLine="210" w:firstLineChars="100"/>
        <w:rPr>
          <w:rFonts w:hint="eastAsia"/>
          <w:color w:val="auto"/>
          <w:highlight w:val="none"/>
          <w:lang w:val="en-US" w:eastAsia="zh-CN"/>
        </w:rPr>
      </w:pPr>
      <w:r>
        <w:rPr>
          <w:rFonts w:hint="eastAsia"/>
          <w:color w:val="auto"/>
          <w:highlight w:val="none"/>
          <w:lang w:val="en-US" w:eastAsia="zh-CN"/>
        </w:rPr>
        <w:t>3、工作界面及进度要求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Microsoft YaHei UI" w:hAnsi="Microsoft YaHei UI" w:eastAsia="Microsoft YaHei UI" w:cstheme="minorBidi"/>
          <w:sz w:val="21"/>
          <w:szCs w:val="21"/>
          <w:highlight w:val="none"/>
          <w:lang w:val="en-US" w:eastAsia="zh-CN" w:bidi="ar-SA"/>
        </w:rPr>
      </w:pPr>
      <w:r>
        <w:rPr>
          <w:rFonts w:hint="default" w:ascii="Microsoft YaHei UI" w:hAnsi="Microsoft YaHei UI" w:eastAsia="Microsoft YaHei UI" w:cstheme="minorBidi"/>
          <w:sz w:val="21"/>
          <w:szCs w:val="21"/>
          <w:highlight w:val="none"/>
          <w:lang w:val="en-US" w:eastAsia="zh-CN" w:bidi="ar-SA"/>
        </w:rPr>
        <w:t>乙方需与甲方保持定期沟通，报告项目进展。</w:t>
      </w:r>
    </w:p>
    <w:p>
      <w:pPr>
        <w:pStyle w:val="2"/>
        <w:spacing w:line="257" w:lineRule="auto"/>
        <w:ind w:right="121" w:rightChars="55" w:firstLine="210" w:firstLineChars="100"/>
        <w:rPr>
          <w:rFonts w:hint="eastAsia"/>
          <w:color w:val="auto"/>
          <w:highlight w:val="none"/>
          <w:lang w:val="en-US" w:eastAsia="zh-CN"/>
        </w:rPr>
      </w:pPr>
      <w:r>
        <w:rPr>
          <w:rFonts w:hint="eastAsia"/>
          <w:color w:val="auto"/>
          <w:highlight w:val="none"/>
          <w:lang w:val="en-US" w:eastAsia="zh-CN"/>
        </w:rPr>
        <w:t>4、工作界面及进度要求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Microsoft YaHei UI" w:hAnsi="Microsoft YaHei UI" w:eastAsia="Microsoft YaHei UI" w:cstheme="minorBidi"/>
          <w:sz w:val="21"/>
          <w:szCs w:val="21"/>
          <w:highlight w:val="none"/>
          <w:lang w:val="en-US" w:eastAsia="zh-CN" w:bidi="ar-SA"/>
        </w:rPr>
      </w:pPr>
      <w:r>
        <w:rPr>
          <w:rFonts w:hint="default" w:ascii="Microsoft YaHei UI" w:hAnsi="Microsoft YaHei UI" w:eastAsia="Microsoft YaHei UI" w:cstheme="minorBidi"/>
          <w:sz w:val="21"/>
          <w:szCs w:val="21"/>
          <w:highlight w:val="none"/>
          <w:lang w:val="en-US" w:eastAsia="zh-CN" w:bidi="ar-SA"/>
        </w:rPr>
        <w:t>双方在本项目执行过程中所产生的所有技术资料及一切相关的技术和商业信息负有严格、永久的保密义务，并严格控制接触人员的范围。</w:t>
      </w:r>
    </w:p>
    <w:p>
      <w:pPr>
        <w:pStyle w:val="2"/>
        <w:spacing w:line="257" w:lineRule="auto"/>
        <w:ind w:right="121" w:rightChars="55" w:firstLine="210" w:firstLineChars="100"/>
        <w:rPr>
          <w:rFonts w:hint="default"/>
          <w:color w:val="auto"/>
          <w:highlight w:val="none"/>
          <w:lang w:val="en-US" w:eastAsia="zh-CN"/>
        </w:rPr>
      </w:pPr>
      <w:r>
        <w:rPr>
          <w:rFonts w:hint="eastAsia"/>
          <w:color w:val="auto"/>
          <w:highlight w:val="none"/>
          <w:lang w:val="en-US" w:eastAsia="zh-CN"/>
        </w:rPr>
        <w:t>5、培训要求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Microsoft YaHei UI" w:hAnsi="Microsoft YaHei UI" w:eastAsia="Microsoft YaHei UI" w:cstheme="minorBidi"/>
          <w:sz w:val="21"/>
          <w:szCs w:val="21"/>
          <w:highlight w:val="none"/>
          <w:lang w:val="en-US" w:eastAsia="zh-CN" w:bidi="ar-SA"/>
        </w:rPr>
      </w:pPr>
      <w:r>
        <w:rPr>
          <w:rFonts w:hint="default" w:ascii="Microsoft YaHei UI" w:hAnsi="Microsoft YaHei UI" w:eastAsia="Microsoft YaHei UI" w:cstheme="minorBidi"/>
          <w:sz w:val="21"/>
          <w:szCs w:val="21"/>
          <w:highlight w:val="none"/>
          <w:lang w:val="en-US" w:eastAsia="zh-CN" w:bidi="ar-SA"/>
        </w:rPr>
        <w:t>乙方为甲方提供</w:t>
      </w:r>
      <w:r>
        <w:rPr>
          <w:rFonts w:hint="eastAsia" w:ascii="Microsoft YaHei UI" w:hAnsi="Microsoft YaHei UI" w:eastAsia="Microsoft YaHei UI" w:cstheme="minorBidi"/>
          <w:sz w:val="21"/>
          <w:szCs w:val="21"/>
          <w:highlight w:val="none"/>
          <w:lang w:val="en-US" w:eastAsia="zh-CN" w:bidi="ar-SA"/>
        </w:rPr>
        <w:t>系统</w:t>
      </w:r>
      <w:r>
        <w:rPr>
          <w:rFonts w:hint="default" w:ascii="Microsoft YaHei UI" w:hAnsi="Microsoft YaHei UI" w:eastAsia="Microsoft YaHei UI" w:cstheme="minorBidi"/>
          <w:sz w:val="21"/>
          <w:szCs w:val="21"/>
          <w:highlight w:val="none"/>
          <w:lang w:val="en-US" w:eastAsia="zh-CN" w:bidi="ar-SA"/>
        </w:rPr>
        <w:t>使用培训，并提供</w:t>
      </w:r>
      <w:r>
        <w:rPr>
          <w:rFonts w:hint="eastAsia" w:ascii="Microsoft YaHei UI" w:hAnsi="Microsoft YaHei UI" w:eastAsia="Microsoft YaHei UI" w:cstheme="minorBidi"/>
          <w:sz w:val="21"/>
          <w:szCs w:val="21"/>
          <w:highlight w:val="none"/>
          <w:lang w:val="en-US" w:eastAsia="zh-CN" w:bidi="ar-SA"/>
        </w:rPr>
        <w:t>系统使用</w:t>
      </w:r>
      <w:r>
        <w:rPr>
          <w:rFonts w:hint="default" w:ascii="Microsoft YaHei UI" w:hAnsi="Microsoft YaHei UI" w:eastAsia="Microsoft YaHei UI" w:cstheme="minorBidi"/>
          <w:sz w:val="21"/>
          <w:szCs w:val="21"/>
          <w:highlight w:val="none"/>
          <w:lang w:val="en-US" w:eastAsia="zh-CN" w:bidi="ar-SA"/>
        </w:rPr>
        <w:t>指南。</w:t>
      </w:r>
    </w:p>
    <w:p>
      <w:pPr>
        <w:pStyle w:val="2"/>
        <w:spacing w:line="257" w:lineRule="auto"/>
        <w:ind w:right="121" w:rightChars="55" w:firstLine="210" w:firstLineChars="100"/>
        <w:rPr>
          <w:rFonts w:hint="default"/>
          <w:color w:val="auto"/>
          <w:highlight w:val="none"/>
          <w:lang w:val="en-US" w:eastAsia="zh-CN"/>
        </w:rPr>
      </w:pPr>
      <w:r>
        <w:rPr>
          <w:rFonts w:hint="eastAsia"/>
          <w:color w:val="auto"/>
          <w:highlight w:val="none"/>
          <w:lang w:val="en-US" w:eastAsia="zh-CN"/>
        </w:rPr>
        <w:t>6、其他要求</w:t>
      </w:r>
      <w:bookmarkStart w:id="6" w:name="_GoBack"/>
      <w:bookmarkEnd w:id="6"/>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color w:val="auto"/>
          <w:highlight w:val="none"/>
          <w:lang w:eastAsia="zh-CN"/>
        </w:rPr>
      </w:pPr>
      <w:r>
        <w:rPr>
          <w:rFonts w:hint="default" w:ascii="Microsoft YaHei UI" w:hAnsi="Microsoft YaHei UI" w:eastAsia="Microsoft YaHei UI" w:cstheme="minorBidi"/>
          <w:sz w:val="21"/>
          <w:szCs w:val="21"/>
          <w:highlight w:val="none"/>
          <w:lang w:val="en-US" w:eastAsia="zh-CN" w:bidi="ar-SA"/>
        </w:rPr>
        <w:t>乙方应将合同在当地科技主管部门进行登记，原则上合同应登记为技术开发合同。</w:t>
      </w:r>
    </w:p>
    <w:p>
      <w:pPr>
        <w:pStyle w:val="4"/>
        <w:spacing w:line="600" w:lineRule="auto"/>
        <w:rPr>
          <w:rFonts w:ascii="黑体" w:hAnsi="黑体" w:eastAsia="黑体"/>
          <w:highlight w:val="none"/>
        </w:rPr>
      </w:pPr>
      <w:bookmarkStart w:id="4" w:name="_Toc13248928"/>
      <w:bookmarkStart w:id="5" w:name="_Toc13249325"/>
      <w:r>
        <w:rPr>
          <w:rFonts w:hint="eastAsia" w:ascii="黑体" w:hAnsi="黑体" w:eastAsia="黑体"/>
          <w:highlight w:val="none"/>
          <w:lang w:val="en-US" w:eastAsia="zh-CN"/>
        </w:rPr>
        <w:t>五</w:t>
      </w:r>
      <w:r>
        <w:rPr>
          <w:rFonts w:ascii="黑体" w:hAnsi="黑体" w:eastAsia="黑体"/>
          <w:highlight w:val="none"/>
        </w:rPr>
        <w:t>、</w:t>
      </w:r>
      <w:bookmarkEnd w:id="4"/>
      <w:bookmarkEnd w:id="5"/>
      <w:r>
        <w:rPr>
          <w:rFonts w:hint="eastAsia" w:ascii="微软雅黑" w:hAnsi="微软雅黑" w:eastAsia="微软雅黑"/>
          <w:bCs/>
          <w:color w:val="auto"/>
          <w:sz w:val="32"/>
          <w:szCs w:val="32"/>
          <w:highlight w:val="none"/>
        </w:rPr>
        <w:t>服务进度跟踪</w:t>
      </w:r>
    </w:p>
    <w:p>
      <w:pPr>
        <w:pStyle w:val="4"/>
        <w:spacing w:line="240" w:lineRule="auto"/>
        <w:ind w:firstLine="420" w:firstLineChars="200"/>
        <w:jc w:val="both"/>
        <w:rPr>
          <w:rFonts w:hint="eastAsia"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乙方须在2026年10月31日之前完成工作量清单规定的所有工作内容</w:t>
      </w:r>
      <w:r>
        <w:rPr>
          <w:rFonts w:hint="eastAsia" w:ascii="微软雅黑" w:hAnsi="微软雅黑" w:eastAsia="微软雅黑" w:cs="微软雅黑"/>
          <w:color w:val="auto"/>
          <w:sz w:val="21"/>
          <w:szCs w:val="21"/>
          <w:highlight w:val="none"/>
          <w:lang w:val="en-US" w:eastAsia="zh-CN" w:bidi="ar-SA"/>
        </w:rPr>
        <w:t>（经甲方同意可适当延后，延后时间由甲方指定），</w:t>
      </w:r>
      <w:r>
        <w:rPr>
          <w:rFonts w:hint="eastAsia" w:ascii="微软雅黑" w:hAnsi="微软雅黑" w:eastAsia="微软雅黑" w:cs="微软雅黑"/>
          <w:color w:val="auto"/>
          <w:spacing w:val="0"/>
          <w:sz w:val="21"/>
          <w:szCs w:val="21"/>
          <w:highlight w:val="none"/>
          <w:lang w:val="en-US" w:eastAsia="zh-CN"/>
        </w:rPr>
        <w:t>保证交付后模块能够按照甲方技术要求书内要求平稳运行，</w:t>
      </w:r>
      <w:r>
        <w:rPr>
          <w:rFonts w:hint="eastAsia" w:ascii="微软雅黑" w:hAnsi="微软雅黑" w:eastAsia="微软雅黑" w:cs="微软雅黑"/>
          <w:color w:val="auto"/>
          <w:sz w:val="21"/>
          <w:szCs w:val="21"/>
          <w:highlight w:val="none"/>
          <w:lang w:val="en-US" w:eastAsia="zh-CN" w:bidi="ar-SA"/>
        </w:rPr>
        <w:t>并通过甲方验收合格。</w:t>
      </w:r>
    </w:p>
    <w:p>
      <w:pPr>
        <w:pStyle w:val="6"/>
        <w:ind w:left="0"/>
        <w:outlineLvl w:val="0"/>
        <w:rPr>
          <w:rFonts w:hint="eastAsia" w:ascii="黑体" w:hAnsi="黑体" w:eastAsia="黑体" w:cstheme="minorBidi"/>
          <w:spacing w:val="2"/>
          <w:sz w:val="32"/>
          <w:szCs w:val="32"/>
          <w:highlight w:val="none"/>
          <w:lang w:val="en-US" w:eastAsia="zh-CN" w:bidi="ar-SA"/>
        </w:rPr>
      </w:pPr>
      <w:r>
        <w:rPr>
          <w:rFonts w:hint="eastAsia" w:ascii="黑体" w:hAnsi="黑体" w:eastAsia="黑体" w:cstheme="minorBidi"/>
          <w:spacing w:val="2"/>
          <w:sz w:val="32"/>
          <w:szCs w:val="32"/>
          <w:highlight w:val="none"/>
          <w:lang w:val="en-US" w:eastAsia="zh-CN" w:bidi="ar-SA"/>
        </w:rPr>
        <w:t>六、提交成果</w:t>
      </w:r>
      <w:r>
        <w:rPr>
          <w:rFonts w:hint="eastAsia" w:ascii="微软雅黑" w:hAnsi="微软雅黑" w:eastAsia="微软雅黑" w:cs="微软雅黑"/>
          <w:color w:val="auto"/>
          <w:sz w:val="32"/>
          <w:szCs w:val="32"/>
          <w:highlight w:val="none"/>
        </w:rPr>
        <w:t>及验收标准</w:t>
      </w:r>
    </w:p>
    <w:p>
      <w:pPr>
        <w:pStyle w:val="4"/>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rPr>
      </w:pPr>
      <w:r>
        <w:rPr>
          <w:rFonts w:ascii="微软雅黑" w:hAnsi="微软雅黑" w:eastAsia="微软雅黑" w:cs="微软雅黑"/>
          <w:color w:val="auto"/>
          <w:spacing w:val="0"/>
          <w:sz w:val="21"/>
          <w:szCs w:val="21"/>
          <w:highlight w:val="none"/>
        </w:rPr>
        <w:t>1</w:t>
      </w:r>
      <w:r>
        <w:rPr>
          <w:rFonts w:hint="eastAsia" w:ascii="微软雅黑" w:hAnsi="微软雅黑" w:eastAsia="微软雅黑" w:cs="微软雅黑"/>
          <w:color w:val="auto"/>
          <w:spacing w:val="0"/>
          <w:sz w:val="21"/>
          <w:szCs w:val="21"/>
          <w:highlight w:val="none"/>
        </w:rPr>
        <w:t>、</w:t>
      </w:r>
      <w:r>
        <w:rPr>
          <w:rFonts w:hint="eastAsia" w:ascii="微软雅黑" w:hAnsi="微软雅黑" w:eastAsia="微软雅黑" w:cs="微软雅黑"/>
          <w:color w:val="auto"/>
          <w:spacing w:val="0"/>
          <w:sz w:val="21"/>
          <w:szCs w:val="21"/>
          <w:highlight w:val="none"/>
          <w:lang w:val="en-US" w:eastAsia="zh-CN"/>
        </w:rPr>
        <w:t>提交成果</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微软雅黑" w:hAnsi="微软雅黑" w:eastAsia="微软雅黑" w:cs="微软雅黑"/>
          <w:color w:val="auto"/>
          <w:spacing w:val="0"/>
          <w:sz w:val="21"/>
          <w:szCs w:val="21"/>
          <w:highlight w:val="none"/>
          <w:lang w:eastAsia="zh-CN"/>
        </w:rPr>
      </w:pPr>
      <w:r>
        <w:rPr>
          <w:rFonts w:hint="eastAsia" w:ascii="微软雅黑" w:hAnsi="微软雅黑" w:eastAsia="微软雅黑" w:cs="微软雅黑"/>
          <w:color w:val="auto"/>
          <w:spacing w:val="0"/>
          <w:sz w:val="21"/>
          <w:szCs w:val="21"/>
          <w:highlight w:val="none"/>
        </w:rPr>
        <w:t>甲方享有本项目专属定制成果的全部知识产权，乙方不得将甲方专有工艺数据对外披露，通用性算法/框架可申请自有知识产权，但不得侵犯甲方权益</w:t>
      </w:r>
      <w:r>
        <w:rPr>
          <w:rFonts w:hint="eastAsia" w:ascii="微软雅黑" w:hAnsi="微软雅黑" w:eastAsia="微软雅黑" w:cs="微软雅黑"/>
          <w:color w:val="auto"/>
          <w:spacing w:val="0"/>
          <w:sz w:val="21"/>
          <w:szCs w:val="21"/>
          <w:highlight w:val="none"/>
          <w:lang w:eastAsia="zh-CN"/>
        </w:rPr>
        <w:t>。</w:t>
      </w:r>
    </w:p>
    <w:p>
      <w:pPr>
        <w:pStyle w:val="4"/>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rPr>
        <w:t>乙方向甲方提交的文件、资料包括但不限于：</w:t>
      </w:r>
    </w:p>
    <w:p>
      <w:pPr>
        <w:pStyle w:val="4"/>
        <w:numPr>
          <w:ilvl w:val="0"/>
          <w:numId w:val="4"/>
        </w:numPr>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bidi="ar-SA"/>
        </w:rPr>
      </w:pPr>
      <w:r>
        <w:rPr>
          <w:rFonts w:hint="eastAsia" w:ascii="微软雅黑" w:hAnsi="微软雅黑" w:eastAsia="微软雅黑" w:cs="微软雅黑"/>
          <w:color w:val="auto"/>
          <w:spacing w:val="0"/>
          <w:sz w:val="21"/>
          <w:szCs w:val="21"/>
          <w:highlight w:val="none"/>
          <w:lang w:eastAsia="zh-CN"/>
        </w:rPr>
        <w:t>提交</w:t>
      </w:r>
      <w:r>
        <w:rPr>
          <w:rFonts w:hint="eastAsia" w:ascii="微软雅黑" w:hAnsi="微软雅黑" w:eastAsia="微软雅黑" w:cs="微软雅黑"/>
          <w:color w:val="auto"/>
          <w:spacing w:val="0"/>
          <w:sz w:val="21"/>
          <w:szCs w:val="21"/>
          <w:highlight w:val="none"/>
          <w:lang w:val="en-US" w:eastAsia="zh-CN"/>
        </w:rPr>
        <w:t>加热炉智能优化控制系统全部</w:t>
      </w:r>
      <w:r>
        <w:rPr>
          <w:rFonts w:hint="eastAsia" w:ascii="微软雅黑" w:hAnsi="微软雅黑" w:eastAsia="微软雅黑" w:cs="微软雅黑"/>
          <w:color w:val="auto"/>
          <w:spacing w:val="0"/>
          <w:sz w:val="21"/>
          <w:szCs w:val="21"/>
          <w:highlight w:val="none"/>
          <w:lang w:eastAsia="zh-CN"/>
        </w:rPr>
        <w:t>源代码、</w:t>
      </w:r>
      <w:r>
        <w:rPr>
          <w:rFonts w:hint="eastAsia" w:ascii="微软雅黑" w:hAnsi="微软雅黑" w:eastAsia="微软雅黑" w:cs="微软雅黑"/>
          <w:color w:val="auto"/>
          <w:spacing w:val="0"/>
          <w:sz w:val="21"/>
          <w:szCs w:val="21"/>
          <w:highlight w:val="none"/>
          <w:lang w:val="en-US" w:eastAsia="zh-CN"/>
        </w:rPr>
        <w:t>全部开发文档、全部相关模型和算法；</w:t>
      </w:r>
    </w:p>
    <w:p>
      <w:pPr>
        <w:pStyle w:val="4"/>
        <w:numPr>
          <w:ilvl w:val="0"/>
          <w:numId w:val="4"/>
        </w:numPr>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rPr>
      </w:pPr>
      <w:r>
        <w:rPr>
          <w:rFonts w:hint="default" w:ascii="微软雅黑" w:hAnsi="微软雅黑" w:eastAsia="微软雅黑" w:cs="微软雅黑"/>
          <w:color w:val="auto"/>
          <w:spacing w:val="0"/>
          <w:sz w:val="21"/>
          <w:szCs w:val="21"/>
          <w:highlight w:val="none"/>
          <w:lang w:val="en-US" w:eastAsia="zh-CN"/>
        </w:rPr>
        <w:t>API接口服务：将</w:t>
      </w:r>
      <w:r>
        <w:rPr>
          <w:rFonts w:hint="eastAsia" w:ascii="微软雅黑" w:hAnsi="微软雅黑" w:eastAsia="微软雅黑" w:cs="微软雅黑"/>
          <w:color w:val="auto"/>
          <w:spacing w:val="0"/>
          <w:sz w:val="21"/>
          <w:szCs w:val="21"/>
          <w:highlight w:val="none"/>
          <w:lang w:val="en-US" w:eastAsia="zh-CN"/>
        </w:rPr>
        <w:t>相关分析算法</w:t>
      </w:r>
      <w:r>
        <w:rPr>
          <w:rFonts w:hint="default" w:ascii="微软雅黑" w:hAnsi="微软雅黑" w:eastAsia="微软雅黑" w:cs="微软雅黑"/>
          <w:color w:val="auto"/>
          <w:spacing w:val="0"/>
          <w:sz w:val="21"/>
          <w:szCs w:val="21"/>
          <w:highlight w:val="none"/>
          <w:lang w:val="en-US" w:eastAsia="zh-CN"/>
        </w:rPr>
        <w:t>封装成稳定的RESTful API接口，提供HTTPS支持，并保证其性能与稳定性满足双方约定的指标</w:t>
      </w:r>
      <w:r>
        <w:rPr>
          <w:rFonts w:hint="eastAsia" w:ascii="微软雅黑" w:hAnsi="微软雅黑" w:eastAsia="微软雅黑" w:cs="微软雅黑"/>
          <w:color w:val="auto"/>
          <w:spacing w:val="0"/>
          <w:sz w:val="21"/>
          <w:szCs w:val="21"/>
          <w:highlight w:val="none"/>
          <w:lang w:val="en-US" w:eastAsia="zh-CN"/>
        </w:rPr>
        <w:t>；</w:t>
      </w:r>
    </w:p>
    <w:p>
      <w:pPr>
        <w:pStyle w:val="4"/>
        <w:numPr>
          <w:ilvl w:val="0"/>
          <w:numId w:val="4"/>
        </w:numPr>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接口调用文档：提供完整的API文档，涵盖请求/响应示例、参数说明及业务逻辑说明。</w:t>
      </w:r>
    </w:p>
    <w:p>
      <w:pPr>
        <w:pStyle w:val="4"/>
        <w:numPr>
          <w:ilvl w:val="0"/>
          <w:numId w:val="4"/>
        </w:numPr>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若算法实现中，包含并使用了基于深度学习框架训练、且推理过程需要专用加速库的复杂机器学习/深度学习模型，则乙方需额外提供模型标准化文件、模型调用代码、说明文档、模型部署环境及驱动版本，以确保模型在甲方环境中的可部署性与可复现性；</w:t>
      </w:r>
    </w:p>
    <w:p>
      <w:pPr>
        <w:pStyle w:val="4"/>
        <w:numPr>
          <w:ilvl w:val="0"/>
          <w:numId w:val="4"/>
        </w:numPr>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《加热炉智能优化控制系统开发蓝图设计方案》（纸质版1份（盖章）、电子版1份）；</w:t>
      </w:r>
    </w:p>
    <w:p>
      <w:pPr>
        <w:pStyle w:val="4"/>
        <w:numPr>
          <w:ilvl w:val="0"/>
          <w:numId w:val="4"/>
        </w:numPr>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数据架构蓝图、数据模型设计文档、数据资产目录（电子版1份）；</w:t>
      </w:r>
    </w:p>
    <w:p>
      <w:pPr>
        <w:pStyle w:val="4"/>
        <w:numPr>
          <w:ilvl w:val="0"/>
          <w:numId w:val="4"/>
        </w:numPr>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《加热炉智能优化控制系统需求规格说明书》（电子版1份）</w:t>
      </w:r>
    </w:p>
    <w:p>
      <w:pPr>
        <w:pStyle w:val="4"/>
        <w:numPr>
          <w:ilvl w:val="0"/>
          <w:numId w:val="4"/>
        </w:numPr>
        <w:spacing w:line="240" w:lineRule="auto"/>
        <w:ind w:firstLine="210" w:firstLineChars="100"/>
        <w:jc w:val="both"/>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lang w:val="en-US" w:eastAsia="zh-CN"/>
        </w:rPr>
        <w:t>《加热炉智能优化控制系统测试报告》（</w:t>
      </w:r>
      <w:r>
        <w:rPr>
          <w:rFonts w:hint="eastAsia" w:ascii="微软雅黑" w:hAnsi="微软雅黑" w:eastAsia="微软雅黑" w:cs="微软雅黑"/>
          <w:color w:val="auto"/>
          <w:sz w:val="21"/>
          <w:szCs w:val="21"/>
          <w:highlight w:val="none"/>
          <w:lang w:val="en-US" w:eastAsia="zh-CN" w:bidi="ar-SA"/>
        </w:rPr>
        <w:t>纸质版1份（盖章）、电子版1份</w:t>
      </w:r>
      <w:r>
        <w:rPr>
          <w:rFonts w:hint="eastAsia" w:ascii="微软雅黑" w:hAnsi="微软雅黑" w:eastAsia="微软雅黑" w:cs="微软雅黑"/>
          <w:color w:val="auto"/>
          <w:spacing w:val="0"/>
          <w:sz w:val="21"/>
          <w:szCs w:val="21"/>
          <w:highlight w:val="none"/>
          <w:lang w:val="en-US" w:eastAsia="zh-CN"/>
        </w:rPr>
        <w:t>）</w:t>
      </w:r>
    </w:p>
    <w:p>
      <w:pPr>
        <w:pStyle w:val="4"/>
        <w:numPr>
          <w:ilvl w:val="0"/>
          <w:numId w:val="4"/>
        </w:numPr>
        <w:spacing w:line="240" w:lineRule="auto"/>
        <w:ind w:firstLine="210" w:firstLineChars="100"/>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《加热炉智能优化控制系统用户操作手册》（电子版1份）</w:t>
      </w:r>
    </w:p>
    <w:p>
      <w:pPr>
        <w:pStyle w:val="2"/>
        <w:numPr>
          <w:ilvl w:val="0"/>
          <w:numId w:val="0"/>
        </w:numPr>
        <w:ind w:firstLine="210" w:firstLineChars="100"/>
        <w:rPr>
          <w:rFonts w:hint="default" w:ascii="微软雅黑" w:hAnsi="微软雅黑" w:eastAsia="微软雅黑" w:cs="微软雅黑"/>
          <w:color w:val="auto"/>
          <w:spacing w:val="0"/>
          <w:sz w:val="21"/>
          <w:szCs w:val="21"/>
          <w:highlight w:val="none"/>
          <w:lang w:val="en-US" w:eastAsia="zh-CN"/>
        </w:rPr>
      </w:pPr>
      <w:r>
        <w:rPr>
          <w:rFonts w:hint="eastAsia" w:ascii="微软雅黑" w:hAnsi="微软雅黑" w:eastAsia="微软雅黑" w:cs="微软雅黑"/>
          <w:color w:val="auto"/>
          <w:spacing w:val="0"/>
          <w:sz w:val="21"/>
          <w:szCs w:val="21"/>
          <w:highlight w:val="none"/>
        </w:rPr>
        <w:t>2、</w:t>
      </w:r>
      <w:r>
        <w:rPr>
          <w:rFonts w:hint="eastAsia" w:ascii="微软雅黑" w:hAnsi="微软雅黑" w:eastAsia="微软雅黑" w:cs="微软雅黑"/>
          <w:color w:val="auto"/>
          <w:spacing w:val="0"/>
          <w:sz w:val="21"/>
          <w:szCs w:val="21"/>
          <w:highlight w:val="none"/>
          <w:lang w:val="en-US" w:eastAsia="zh-CN"/>
        </w:rPr>
        <w:t>验收形式</w:t>
      </w:r>
    </w:p>
    <w:p>
      <w:pPr>
        <w:pStyle w:val="4"/>
        <w:spacing w:line="240" w:lineRule="auto"/>
        <w:ind w:firstLine="420" w:firstLineChars="200"/>
        <w:jc w:val="both"/>
        <w:rPr>
          <w:rFonts w:hint="eastAsia" w:ascii="微软雅黑" w:hAnsi="微软雅黑" w:eastAsia="微软雅黑" w:cs="微软雅黑"/>
          <w:color w:val="auto"/>
          <w:spacing w:val="0"/>
          <w:sz w:val="21"/>
          <w:szCs w:val="21"/>
          <w:highlight w:val="none"/>
        </w:rPr>
      </w:pPr>
      <w:r>
        <w:rPr>
          <w:rFonts w:hint="eastAsia" w:ascii="微软雅黑" w:hAnsi="微软雅黑" w:eastAsia="微软雅黑" w:cs="微软雅黑"/>
          <w:color w:val="auto"/>
          <w:spacing w:val="0"/>
          <w:sz w:val="21"/>
          <w:szCs w:val="21"/>
          <w:highlight w:val="none"/>
          <w:lang w:val="en-US" w:eastAsia="zh-CN"/>
        </w:rPr>
        <w:t>本次采购采用一次性验收的形式</w:t>
      </w:r>
      <w:r>
        <w:rPr>
          <w:rFonts w:hint="eastAsia" w:ascii="微软雅黑" w:hAnsi="微软雅黑" w:eastAsia="微软雅黑" w:cs="微软雅黑"/>
          <w:color w:val="auto"/>
          <w:spacing w:val="0"/>
          <w:sz w:val="21"/>
          <w:szCs w:val="21"/>
          <w:highlight w:val="none"/>
        </w:rPr>
        <w:t>。</w:t>
      </w:r>
    </w:p>
    <w:p>
      <w:pPr>
        <w:pStyle w:val="2"/>
        <w:spacing w:line="257" w:lineRule="auto"/>
        <w:ind w:right="121" w:rightChars="55" w:firstLineChars="0"/>
        <w:rPr>
          <w:rFonts w:hint="eastAsia"/>
          <w:color w:val="auto"/>
          <w:highlight w:val="none"/>
          <w:lang w:eastAsia="zh-CN"/>
        </w:rPr>
      </w:pPr>
      <w:r>
        <w:rPr>
          <w:rFonts w:hint="eastAsia"/>
          <w:color w:val="auto"/>
          <w:highlight w:val="none"/>
          <w:lang w:eastAsia="zh-CN"/>
        </w:rPr>
        <w:t>3、验收标准</w:t>
      </w:r>
    </w:p>
    <w:p>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28" w:firstLineChars="200"/>
        <w:jc w:val="both"/>
        <w:textAlignment w:val="auto"/>
        <w:rPr>
          <w:rFonts w:hint="eastAsia"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z w:val="21"/>
          <w:szCs w:val="21"/>
          <w:highlight w:val="none"/>
          <w:lang w:val="en-US" w:eastAsia="zh-CN"/>
        </w:rPr>
        <w:t>1</w:t>
      </w:r>
      <w:r>
        <w:rPr>
          <w:rFonts w:hint="eastAsia" w:ascii="微软雅黑" w:hAnsi="微软雅黑" w:eastAsia="微软雅黑" w:cs="微软雅黑"/>
          <w:color w:val="auto"/>
          <w:sz w:val="21"/>
          <w:szCs w:val="21"/>
          <w:highlight w:val="none"/>
          <w:lang w:eastAsia="zh-CN"/>
        </w:rPr>
        <w:t>）</w:t>
      </w:r>
      <w:r>
        <w:rPr>
          <w:rFonts w:hint="eastAsia" w:ascii="微软雅黑" w:hAnsi="微软雅黑" w:eastAsia="微软雅黑" w:cs="微软雅黑"/>
          <w:color w:val="auto"/>
          <w:spacing w:val="2"/>
          <w:sz w:val="21"/>
          <w:szCs w:val="21"/>
          <w:highlight w:val="none"/>
          <w:lang w:val="en-US" w:eastAsia="zh-CN" w:bidi="ar-SA"/>
        </w:rPr>
        <w:t>加热炉智能优化控制系统具备服务要求中所有功能，且功能模块间数据流转正常，集成的专业仿真软件在系统内可稳定运行；</w:t>
      </w:r>
    </w:p>
    <w:p>
      <w:pPr>
        <w:ind w:firstLine="428" w:firstLineChars="200"/>
        <w:rPr>
          <w:rFonts w:hint="eastAsia" w:ascii="微软雅黑" w:hAnsi="微软雅黑" w:eastAsia="微软雅黑" w:cs="微软雅黑"/>
          <w:color w:val="auto"/>
          <w:spacing w:val="2"/>
          <w:sz w:val="21"/>
          <w:szCs w:val="21"/>
          <w:highlight w:val="none"/>
          <w:lang w:val="en-US" w:eastAsia="zh-CN" w:bidi="ar-SA"/>
        </w:rPr>
      </w:pPr>
      <w:r>
        <w:rPr>
          <w:rFonts w:hint="eastAsia" w:ascii="微软雅黑" w:hAnsi="微软雅黑" w:eastAsia="微软雅黑" w:cs="微软雅黑"/>
          <w:color w:val="auto"/>
          <w:spacing w:val="2"/>
          <w:sz w:val="21"/>
          <w:szCs w:val="21"/>
          <w:highlight w:val="none"/>
          <w:lang w:val="en-US" w:eastAsia="zh-CN" w:bidi="ar-SA"/>
        </w:rPr>
        <w:t>（2）加热炉智能优化控制系统操作界面响应时间≤3s，且关键被控变量的控制稳态误差在±10%内；</w:t>
      </w:r>
    </w:p>
    <w:p>
      <w:pPr>
        <w:pStyle w:val="2"/>
        <w:rPr>
          <w:rFonts w:hint="default"/>
          <w:highlight w:val="none"/>
          <w:lang w:val="en-US" w:eastAsia="zh-CN"/>
        </w:rPr>
      </w:pPr>
      <w:r>
        <w:rPr>
          <w:rFonts w:hint="eastAsia" w:ascii="微软雅黑" w:hAnsi="微软雅黑" w:eastAsia="微软雅黑" w:cs="微软雅黑"/>
          <w:color w:val="auto"/>
          <w:spacing w:val="2"/>
          <w:sz w:val="21"/>
          <w:szCs w:val="21"/>
          <w:highlight w:val="none"/>
          <w:lang w:val="en-US" w:eastAsia="zh-CN" w:bidi="ar-SA"/>
        </w:rPr>
        <w:t>（3）加热炉智能优化控制系统分别在海上目标设施和安环平台优化控制模块完成部署，并通过甲方组织的现场效果测评验收。</w:t>
      </w:r>
    </w:p>
    <w:p>
      <w:pPr>
        <w:pStyle w:val="6"/>
        <w:ind w:left="0"/>
        <w:outlineLvl w:val="0"/>
        <w:rPr>
          <w:rFonts w:hint="eastAsia" w:ascii="黑体" w:hAnsi="黑体" w:eastAsia="黑体" w:cstheme="minorBidi"/>
          <w:spacing w:val="2"/>
          <w:sz w:val="32"/>
          <w:szCs w:val="32"/>
          <w:highlight w:val="none"/>
          <w:lang w:val="en-US" w:eastAsia="zh-CN" w:bidi="ar-SA"/>
        </w:rPr>
      </w:pPr>
      <w:r>
        <w:rPr>
          <w:rFonts w:hint="eastAsia" w:ascii="黑体" w:hAnsi="黑体" w:eastAsia="黑体" w:cstheme="minorBidi"/>
          <w:spacing w:val="2"/>
          <w:sz w:val="32"/>
          <w:szCs w:val="32"/>
          <w:highlight w:val="none"/>
          <w:lang w:val="en-US" w:eastAsia="zh-CN" w:bidi="ar-SA"/>
        </w:rPr>
        <w:t>七、</w:t>
      </w:r>
      <w:r>
        <w:rPr>
          <w:rFonts w:hint="eastAsia" w:ascii="微软雅黑" w:hAnsi="微软雅黑" w:eastAsia="微软雅黑"/>
          <w:bCs/>
          <w:color w:val="auto"/>
          <w:sz w:val="32"/>
          <w:szCs w:val="32"/>
          <w:highlight w:val="none"/>
        </w:rPr>
        <w:t>质量保证</w:t>
      </w:r>
    </w:p>
    <w:p>
      <w:pPr>
        <w:pStyle w:val="21"/>
        <w:ind w:firstLine="420" w:firstLineChars="200"/>
        <w:jc w:val="both"/>
        <w:outlineLvl w:val="0"/>
        <w:rPr>
          <w:rFonts w:hint="eastAsia" w:ascii="微软雅黑" w:hAnsi="微软雅黑" w:eastAsia="微软雅黑" w:cs="宋体"/>
          <w:color w:val="auto"/>
          <w:sz w:val="21"/>
          <w:szCs w:val="21"/>
          <w:highlight w:val="none"/>
          <w:lang w:eastAsia="zh-CN"/>
        </w:rPr>
      </w:pPr>
      <w:r>
        <w:rPr>
          <w:rFonts w:hint="eastAsia" w:ascii="微软雅黑" w:hAnsi="微软雅黑" w:eastAsia="微软雅黑" w:cs="宋体"/>
          <w:color w:val="auto"/>
          <w:sz w:val="21"/>
          <w:szCs w:val="21"/>
          <w:highlight w:val="none"/>
          <w:lang w:val="en-US" w:eastAsia="zh-CN"/>
        </w:rPr>
        <w:t>1</w:t>
      </w:r>
      <w:r>
        <w:rPr>
          <w:rFonts w:hint="eastAsia" w:ascii="微软雅黑" w:hAnsi="微软雅黑" w:eastAsia="微软雅黑" w:cs="宋体"/>
          <w:color w:val="auto"/>
          <w:sz w:val="21"/>
          <w:szCs w:val="21"/>
          <w:highlight w:val="none"/>
        </w:rPr>
        <w:t>、乙方需承诺，其任何工作和交付的工作成果符合本技术文件、基础资料、法律法规、行业规范、标准和合理审慎服务商标准的要求，不存在任何缺陷。服务期限内，如因其执行的工作或工作成果存在任何缺陷或违反前述质保承诺，乙方应承担质保责任，并应采取修复措施或重新实施相关工作，直至消除该等缺陷</w:t>
      </w:r>
      <w:r>
        <w:rPr>
          <w:rFonts w:hint="eastAsia" w:ascii="微软雅黑" w:hAnsi="微软雅黑" w:eastAsia="微软雅黑" w:cs="宋体"/>
          <w:color w:val="auto"/>
          <w:sz w:val="21"/>
          <w:szCs w:val="21"/>
          <w:highlight w:val="none"/>
          <w:lang w:eastAsia="zh-CN"/>
        </w:rPr>
        <w:t>；</w:t>
      </w:r>
    </w:p>
    <w:p>
      <w:pPr>
        <w:pStyle w:val="21"/>
        <w:ind w:firstLine="420" w:firstLineChars="200"/>
        <w:jc w:val="both"/>
        <w:outlineLvl w:val="0"/>
        <w:rPr>
          <w:rFonts w:hint="eastAsia" w:ascii="微软雅黑" w:hAnsi="微软雅黑" w:eastAsia="微软雅黑" w:cs="宋体"/>
          <w:color w:val="auto"/>
          <w:sz w:val="21"/>
          <w:szCs w:val="21"/>
          <w:highlight w:val="none"/>
        </w:rPr>
      </w:pPr>
      <w:r>
        <w:rPr>
          <w:rFonts w:hint="eastAsia" w:ascii="微软雅黑" w:hAnsi="微软雅黑" w:eastAsia="微软雅黑" w:cs="宋体"/>
          <w:color w:val="auto"/>
          <w:sz w:val="21"/>
          <w:szCs w:val="21"/>
          <w:highlight w:val="none"/>
          <w:lang w:val="en-US" w:eastAsia="zh-CN"/>
        </w:rPr>
        <w:t>2、</w:t>
      </w:r>
      <w:r>
        <w:rPr>
          <w:rFonts w:hint="eastAsia" w:ascii="微软雅黑" w:hAnsi="微软雅黑" w:eastAsia="微软雅黑" w:cs="宋体"/>
          <w:color w:val="auto"/>
          <w:sz w:val="21"/>
          <w:szCs w:val="21"/>
          <w:highlight w:val="none"/>
        </w:rPr>
        <w:t>项目</w:t>
      </w:r>
      <w:r>
        <w:rPr>
          <w:rFonts w:hint="eastAsia" w:ascii="微软雅黑" w:hAnsi="微软雅黑" w:eastAsia="微软雅黑" w:cs="宋体"/>
          <w:color w:val="auto"/>
          <w:sz w:val="21"/>
          <w:szCs w:val="21"/>
          <w:highlight w:val="none"/>
          <w:lang w:val="en-US" w:eastAsia="zh-CN"/>
        </w:rPr>
        <w:t>通过最终</w:t>
      </w:r>
      <w:r>
        <w:rPr>
          <w:rFonts w:hint="eastAsia" w:ascii="微软雅黑" w:hAnsi="微软雅黑" w:eastAsia="微软雅黑" w:cs="宋体"/>
          <w:color w:val="auto"/>
          <w:sz w:val="21"/>
          <w:szCs w:val="21"/>
          <w:highlight w:val="none"/>
        </w:rPr>
        <w:t>验收后进入质量保证期，</w:t>
      </w:r>
      <w:r>
        <w:rPr>
          <w:rFonts w:hint="eastAsia" w:ascii="微软雅黑" w:hAnsi="微软雅黑" w:eastAsia="微软雅黑" w:cs="宋体"/>
          <w:color w:val="auto"/>
          <w:sz w:val="21"/>
          <w:szCs w:val="21"/>
          <w:highlight w:val="none"/>
          <w:lang w:val="en-US" w:eastAsia="zh-CN"/>
        </w:rPr>
        <w:t>质保期为2年</w:t>
      </w:r>
      <w:r>
        <w:rPr>
          <w:rFonts w:hint="eastAsia" w:ascii="微软雅黑" w:hAnsi="微软雅黑" w:eastAsia="微软雅黑" w:cs="宋体"/>
          <w:color w:val="auto"/>
          <w:sz w:val="21"/>
          <w:szCs w:val="21"/>
          <w:highlight w:val="none"/>
        </w:rPr>
        <w:t>。</w:t>
      </w:r>
    </w:p>
    <w:p>
      <w:pPr>
        <w:pStyle w:val="21"/>
        <w:ind w:firstLine="420" w:firstLineChars="200"/>
        <w:jc w:val="both"/>
        <w:outlineLvl w:val="0"/>
        <w:rPr>
          <w:rFonts w:hint="eastAsia" w:ascii="仿宋" w:hAnsi="仿宋" w:eastAsia="仿宋" w:cstheme="minorBidi"/>
          <w:sz w:val="24"/>
          <w:szCs w:val="24"/>
          <w:highlight w:val="none"/>
          <w:lang w:val="en-US" w:eastAsia="zh-CN" w:bidi="ar-SA"/>
        </w:rPr>
      </w:pPr>
      <w:r>
        <w:rPr>
          <w:rFonts w:hint="eastAsia" w:ascii="微软雅黑" w:hAnsi="微软雅黑" w:eastAsia="微软雅黑" w:cs="宋体"/>
          <w:color w:val="auto"/>
          <w:sz w:val="21"/>
          <w:szCs w:val="21"/>
          <w:highlight w:val="none"/>
          <w:lang w:val="en-US" w:eastAsia="zh-CN"/>
        </w:rPr>
        <w:t>3</w:t>
      </w:r>
      <w:r>
        <w:rPr>
          <w:rFonts w:hint="eastAsia" w:ascii="微软雅黑" w:hAnsi="微软雅黑" w:eastAsia="微软雅黑" w:cs="宋体"/>
          <w:color w:val="auto"/>
          <w:sz w:val="21"/>
          <w:szCs w:val="21"/>
          <w:highlight w:val="none"/>
        </w:rPr>
        <w:t>、乙方需负责</w:t>
      </w:r>
      <w:r>
        <w:rPr>
          <w:rFonts w:hint="eastAsia" w:ascii="微软雅黑" w:hAnsi="微软雅黑" w:eastAsia="微软雅黑" w:cs="宋体"/>
          <w:color w:val="auto"/>
          <w:sz w:val="21"/>
          <w:szCs w:val="21"/>
          <w:highlight w:val="none"/>
          <w:lang w:val="en-US" w:eastAsia="zh-CN"/>
        </w:rPr>
        <w:t>加热炉智能优化控制系统</w:t>
      </w:r>
      <w:r>
        <w:rPr>
          <w:rFonts w:hint="eastAsia" w:ascii="微软雅黑" w:hAnsi="微软雅黑" w:eastAsia="微软雅黑" w:cs="宋体"/>
          <w:color w:val="auto"/>
          <w:sz w:val="21"/>
          <w:szCs w:val="21"/>
          <w:highlight w:val="none"/>
        </w:rPr>
        <w:t>正式运行之日起，两年内的运维工作，保证模块稳定运行。</w:t>
      </w:r>
    </w:p>
    <w:p>
      <w:pPr>
        <w:pStyle w:val="6"/>
        <w:ind w:left="0"/>
        <w:outlineLvl w:val="0"/>
        <w:rPr>
          <w:rFonts w:hint="eastAsia" w:ascii="黑体" w:hAnsi="黑体" w:eastAsia="黑体" w:cstheme="minorBidi"/>
          <w:spacing w:val="2"/>
          <w:sz w:val="32"/>
          <w:szCs w:val="32"/>
          <w:highlight w:val="none"/>
          <w:lang w:val="en-US" w:eastAsia="zh-CN" w:bidi="ar-SA"/>
        </w:rPr>
      </w:pPr>
      <w:r>
        <w:rPr>
          <w:rFonts w:hint="eastAsia" w:ascii="黑体" w:hAnsi="黑体" w:eastAsia="黑体" w:cstheme="minorBidi"/>
          <w:spacing w:val="2"/>
          <w:sz w:val="32"/>
          <w:szCs w:val="32"/>
          <w:highlight w:val="none"/>
          <w:lang w:val="en-US" w:eastAsia="zh-CN" w:bidi="ar-SA"/>
        </w:rPr>
        <w:t>九、</w:t>
      </w:r>
      <w:r>
        <w:rPr>
          <w:rFonts w:hint="eastAsia" w:ascii="微软雅黑" w:hAnsi="微软雅黑" w:eastAsia="微软雅黑" w:cs="Times New Roman"/>
          <w:bCs/>
          <w:color w:val="auto"/>
          <w:sz w:val="32"/>
          <w:szCs w:val="32"/>
          <w:highlight w:val="none"/>
        </w:rPr>
        <w:t>其他要求</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jc w:val="both"/>
        <w:textAlignment w:val="auto"/>
        <w:rPr>
          <w:rFonts w:hint="default"/>
          <w:highlight w:val="none"/>
          <w:lang w:val="en-US" w:eastAsia="zh-CN"/>
        </w:rPr>
      </w:pPr>
      <w:r>
        <w:rPr>
          <w:rFonts w:hint="eastAsia" w:ascii="微软雅黑" w:hAnsi="微软雅黑" w:eastAsia="微软雅黑" w:cs="宋体"/>
          <w:color w:val="auto"/>
          <w:sz w:val="21"/>
          <w:szCs w:val="21"/>
          <w:highlight w:val="none"/>
          <w:lang w:val="en-US" w:eastAsia="zh-CN" w:bidi="ar-SA"/>
        </w:rPr>
        <w:t>1、 技术联系人：张兴旺 17526696950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Times New Roman Regular">
    <w:altName w:val="Times New Roman"/>
    <w:panose1 w:val="00000000000000000000"/>
    <w:charset w:val="00"/>
    <w:family w:val="auto"/>
    <w:pitch w:val="default"/>
    <w:sig w:usb0="00000000" w:usb1="00000000" w:usb2="00000001" w:usb3="00000000" w:csb0="400001BF" w:csb1="DFF70000"/>
  </w:font>
  <w:font w:name="方正仿宋_GB2312">
    <w:altName w:val="仿宋"/>
    <w:panose1 w:val="00000000000000000000"/>
    <w:charset w:val="86"/>
    <w:family w:val="auto"/>
    <w:pitch w:val="default"/>
    <w:sig w:usb0="00000000" w:usb1="00000000" w:usb2="00000012"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E22F03"/>
    <w:multiLevelType w:val="singleLevel"/>
    <w:tmpl w:val="ABE22F03"/>
    <w:lvl w:ilvl="0" w:tentative="0">
      <w:start w:val="2"/>
      <w:numFmt w:val="decimal"/>
      <w:suff w:val="space"/>
      <w:lvlText w:val="%1、"/>
      <w:lvlJc w:val="left"/>
    </w:lvl>
  </w:abstractNum>
  <w:abstractNum w:abstractNumId="1">
    <w:nsid w:val="00000001"/>
    <w:multiLevelType w:val="singleLevel"/>
    <w:tmpl w:val="00000001"/>
    <w:lvl w:ilvl="0" w:tentative="0">
      <w:start w:val="1"/>
      <w:numFmt w:val="bullet"/>
      <w:lvlText w:val=""/>
      <w:lvlJc w:val="left"/>
      <w:pPr>
        <w:tabs>
          <w:tab w:val="left" w:pos="420"/>
        </w:tabs>
        <w:ind w:left="840" w:hanging="420"/>
      </w:pPr>
      <w:rPr>
        <w:rFonts w:hint="default" w:ascii="Wingdings" w:hAnsi="Wingdings"/>
      </w:rPr>
    </w:lvl>
  </w:abstractNum>
  <w:abstractNum w:abstractNumId="2">
    <w:nsid w:val="64E770A6"/>
    <w:multiLevelType w:val="singleLevel"/>
    <w:tmpl w:val="64E770A6"/>
    <w:lvl w:ilvl="0" w:tentative="0">
      <w:start w:val="1"/>
      <w:numFmt w:val="decimal"/>
      <w:suff w:val="nothing"/>
      <w:lvlText w:val="（%1）"/>
      <w:lvlJc w:val="left"/>
    </w:lvl>
  </w:abstractNum>
  <w:abstractNum w:abstractNumId="3">
    <w:nsid w:val="745E0FAD"/>
    <w:multiLevelType w:val="multilevel"/>
    <w:tmpl w:val="745E0FAD"/>
    <w:lvl w:ilvl="0" w:tentative="0">
      <w:start w:val="1"/>
      <w:numFmt w:val="chineseCountingThousand"/>
      <w:pStyle w:val="3"/>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CF"/>
    <w:rsid w:val="00012E4F"/>
    <w:rsid w:val="00033D12"/>
    <w:rsid w:val="00045459"/>
    <w:rsid w:val="00070B36"/>
    <w:rsid w:val="000C3CDF"/>
    <w:rsid w:val="000D43A5"/>
    <w:rsid w:val="00110ABB"/>
    <w:rsid w:val="00151FF6"/>
    <w:rsid w:val="001644CF"/>
    <w:rsid w:val="001B3054"/>
    <w:rsid w:val="002217C9"/>
    <w:rsid w:val="002979DA"/>
    <w:rsid w:val="002B756F"/>
    <w:rsid w:val="003B72BE"/>
    <w:rsid w:val="003F3035"/>
    <w:rsid w:val="004343E3"/>
    <w:rsid w:val="004A3192"/>
    <w:rsid w:val="004C68A8"/>
    <w:rsid w:val="00504168"/>
    <w:rsid w:val="0050756C"/>
    <w:rsid w:val="005560B6"/>
    <w:rsid w:val="00571B42"/>
    <w:rsid w:val="00612CE5"/>
    <w:rsid w:val="00634842"/>
    <w:rsid w:val="006C2FB3"/>
    <w:rsid w:val="00723A5A"/>
    <w:rsid w:val="007B38F7"/>
    <w:rsid w:val="007C40C7"/>
    <w:rsid w:val="007E114E"/>
    <w:rsid w:val="0081241A"/>
    <w:rsid w:val="00834BD4"/>
    <w:rsid w:val="008951A5"/>
    <w:rsid w:val="00986ABC"/>
    <w:rsid w:val="009A2D10"/>
    <w:rsid w:val="009B442A"/>
    <w:rsid w:val="009C2FD5"/>
    <w:rsid w:val="00A63F5D"/>
    <w:rsid w:val="00AB5566"/>
    <w:rsid w:val="00AF7529"/>
    <w:rsid w:val="00B101E8"/>
    <w:rsid w:val="00B15418"/>
    <w:rsid w:val="00B34B78"/>
    <w:rsid w:val="00B46A5C"/>
    <w:rsid w:val="00B71963"/>
    <w:rsid w:val="00B82355"/>
    <w:rsid w:val="00BC2863"/>
    <w:rsid w:val="00BE4441"/>
    <w:rsid w:val="00C04090"/>
    <w:rsid w:val="00C855ED"/>
    <w:rsid w:val="00C962B5"/>
    <w:rsid w:val="00CB4728"/>
    <w:rsid w:val="00CD1F7B"/>
    <w:rsid w:val="00CD3A48"/>
    <w:rsid w:val="00CF7FFB"/>
    <w:rsid w:val="00D42B37"/>
    <w:rsid w:val="00D75ECA"/>
    <w:rsid w:val="00DD112D"/>
    <w:rsid w:val="00DD495F"/>
    <w:rsid w:val="00DD75E0"/>
    <w:rsid w:val="00E53CCA"/>
    <w:rsid w:val="00E93769"/>
    <w:rsid w:val="00EE6793"/>
    <w:rsid w:val="00F84DC2"/>
    <w:rsid w:val="012E69F9"/>
    <w:rsid w:val="02052C9E"/>
    <w:rsid w:val="0381704D"/>
    <w:rsid w:val="039917D6"/>
    <w:rsid w:val="04111C6D"/>
    <w:rsid w:val="05AB38EF"/>
    <w:rsid w:val="06BD119E"/>
    <w:rsid w:val="07567CB6"/>
    <w:rsid w:val="07921275"/>
    <w:rsid w:val="08993AD5"/>
    <w:rsid w:val="0A714226"/>
    <w:rsid w:val="0B28566C"/>
    <w:rsid w:val="0B381347"/>
    <w:rsid w:val="0D375213"/>
    <w:rsid w:val="0D7C2C4E"/>
    <w:rsid w:val="0EDF2805"/>
    <w:rsid w:val="0F1964BE"/>
    <w:rsid w:val="109D5C3A"/>
    <w:rsid w:val="10CE6003"/>
    <w:rsid w:val="10F61AC7"/>
    <w:rsid w:val="13124457"/>
    <w:rsid w:val="13AF42C2"/>
    <w:rsid w:val="151B1560"/>
    <w:rsid w:val="15582F73"/>
    <w:rsid w:val="16327049"/>
    <w:rsid w:val="16D4259A"/>
    <w:rsid w:val="18437F34"/>
    <w:rsid w:val="18877F4D"/>
    <w:rsid w:val="1940737B"/>
    <w:rsid w:val="1ADF74C3"/>
    <w:rsid w:val="1C117199"/>
    <w:rsid w:val="201C2123"/>
    <w:rsid w:val="210A64C4"/>
    <w:rsid w:val="213E2E90"/>
    <w:rsid w:val="21545EBF"/>
    <w:rsid w:val="232A167F"/>
    <w:rsid w:val="23E96EFB"/>
    <w:rsid w:val="24B31941"/>
    <w:rsid w:val="24D933C6"/>
    <w:rsid w:val="250845FE"/>
    <w:rsid w:val="252B3991"/>
    <w:rsid w:val="25BC6278"/>
    <w:rsid w:val="265D6B65"/>
    <w:rsid w:val="26ED2085"/>
    <w:rsid w:val="26F373D6"/>
    <w:rsid w:val="29451F54"/>
    <w:rsid w:val="29C57E0A"/>
    <w:rsid w:val="2A81111E"/>
    <w:rsid w:val="2AB73333"/>
    <w:rsid w:val="2D5630BD"/>
    <w:rsid w:val="2DC7130D"/>
    <w:rsid w:val="2DC77306"/>
    <w:rsid w:val="30FD3B91"/>
    <w:rsid w:val="31600742"/>
    <w:rsid w:val="33D678A3"/>
    <w:rsid w:val="34584CB7"/>
    <w:rsid w:val="34970FD7"/>
    <w:rsid w:val="34C418DC"/>
    <w:rsid w:val="36117F77"/>
    <w:rsid w:val="36164D20"/>
    <w:rsid w:val="3634101C"/>
    <w:rsid w:val="36E63C66"/>
    <w:rsid w:val="379E6291"/>
    <w:rsid w:val="38281875"/>
    <w:rsid w:val="388046A6"/>
    <w:rsid w:val="392D25B3"/>
    <w:rsid w:val="3AFA5B44"/>
    <w:rsid w:val="3B843EF4"/>
    <w:rsid w:val="3C834C08"/>
    <w:rsid w:val="40B70011"/>
    <w:rsid w:val="43307CCC"/>
    <w:rsid w:val="450A649F"/>
    <w:rsid w:val="452A0987"/>
    <w:rsid w:val="453577DA"/>
    <w:rsid w:val="4575031A"/>
    <w:rsid w:val="46B3080E"/>
    <w:rsid w:val="490673F8"/>
    <w:rsid w:val="4AA7406B"/>
    <w:rsid w:val="4B673DD3"/>
    <w:rsid w:val="4B775A57"/>
    <w:rsid w:val="4CCB7B7A"/>
    <w:rsid w:val="4E39612D"/>
    <w:rsid w:val="4FA43404"/>
    <w:rsid w:val="50152C65"/>
    <w:rsid w:val="50EA7B28"/>
    <w:rsid w:val="51ED2C7A"/>
    <w:rsid w:val="52041124"/>
    <w:rsid w:val="52F8079E"/>
    <w:rsid w:val="52FB7F7E"/>
    <w:rsid w:val="53A17D41"/>
    <w:rsid w:val="540A3A96"/>
    <w:rsid w:val="5450471F"/>
    <w:rsid w:val="547953A3"/>
    <w:rsid w:val="553F37EE"/>
    <w:rsid w:val="56D30F51"/>
    <w:rsid w:val="57EB75B9"/>
    <w:rsid w:val="58A478F9"/>
    <w:rsid w:val="5A383CD2"/>
    <w:rsid w:val="5A8B3ACA"/>
    <w:rsid w:val="5A9B2C67"/>
    <w:rsid w:val="5B1146F6"/>
    <w:rsid w:val="5B305B83"/>
    <w:rsid w:val="5CBF559E"/>
    <w:rsid w:val="5CC264A9"/>
    <w:rsid w:val="5EAB3986"/>
    <w:rsid w:val="5FB15E49"/>
    <w:rsid w:val="5FD71A4F"/>
    <w:rsid w:val="5FFD476D"/>
    <w:rsid w:val="61464877"/>
    <w:rsid w:val="620F495A"/>
    <w:rsid w:val="62BD45B9"/>
    <w:rsid w:val="635B00C8"/>
    <w:rsid w:val="648A0C7C"/>
    <w:rsid w:val="64A54C9B"/>
    <w:rsid w:val="65034F05"/>
    <w:rsid w:val="66D72B01"/>
    <w:rsid w:val="671B64A8"/>
    <w:rsid w:val="67A1302A"/>
    <w:rsid w:val="68172955"/>
    <w:rsid w:val="69066AC7"/>
    <w:rsid w:val="69527594"/>
    <w:rsid w:val="69F41E1B"/>
    <w:rsid w:val="6D054D7A"/>
    <w:rsid w:val="6F3A6AA3"/>
    <w:rsid w:val="6F7E06AF"/>
    <w:rsid w:val="700C0D54"/>
    <w:rsid w:val="703B006B"/>
    <w:rsid w:val="70C514F9"/>
    <w:rsid w:val="71B8225F"/>
    <w:rsid w:val="72036C99"/>
    <w:rsid w:val="72AD05AC"/>
    <w:rsid w:val="73213977"/>
    <w:rsid w:val="74BF7061"/>
    <w:rsid w:val="768D6290"/>
    <w:rsid w:val="77364BD7"/>
    <w:rsid w:val="77DF15DC"/>
    <w:rsid w:val="77E57CC4"/>
    <w:rsid w:val="78F63F8C"/>
    <w:rsid w:val="79904ACD"/>
    <w:rsid w:val="79F64A11"/>
    <w:rsid w:val="7A6B75C2"/>
    <w:rsid w:val="7A850293"/>
    <w:rsid w:val="7AD645EB"/>
    <w:rsid w:val="7B1E1EA0"/>
    <w:rsid w:val="7B2B4E43"/>
    <w:rsid w:val="7CBF2F1A"/>
    <w:rsid w:val="7D3D4D19"/>
    <w:rsid w:val="7DD42492"/>
    <w:rsid w:val="7EF72660"/>
    <w:rsid w:val="7EFD4598"/>
    <w:rsid w:val="7FCD24E3"/>
    <w:rsid w:val="7FEA4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sz w:val="22"/>
      <w:szCs w:val="22"/>
      <w:lang w:val="en-US" w:eastAsia="en-US" w:bidi="ar-SA"/>
    </w:rPr>
  </w:style>
  <w:style w:type="paragraph" w:styleId="3">
    <w:name w:val="heading 1"/>
    <w:basedOn w:val="1"/>
    <w:next w:val="1"/>
    <w:qFormat/>
    <w:uiPriority w:val="0"/>
    <w:pPr>
      <w:keepNext/>
      <w:keepLines/>
      <w:numPr>
        <w:ilvl w:val="0"/>
        <w:numId w:val="1"/>
      </w:numPr>
      <w:spacing w:before="50" w:beforeLines="50" w:after="50" w:afterLines="50"/>
      <w:ind w:left="0" w:firstLine="0" w:firstLineChars="0"/>
      <w:outlineLvl w:val="0"/>
    </w:pPr>
    <w:rPr>
      <w:rFonts w:eastAsia="黑体" w:cs="Times New Roman"/>
      <w:bCs/>
      <w:kern w:val="44"/>
      <w:sz w:val="32"/>
      <w:szCs w:val="44"/>
      <w:lang w:val="zh-CN" w:eastAsia="zh-CN"/>
    </w:rPr>
  </w:style>
  <w:style w:type="paragraph" w:styleId="4">
    <w:name w:val="heading 2"/>
    <w:basedOn w:val="1"/>
    <w:next w:val="1"/>
    <w:link w:val="16"/>
    <w:qFormat/>
    <w:uiPriority w:val="1"/>
    <w:pPr>
      <w:spacing w:line="479" w:lineRule="exact"/>
      <w:outlineLvl w:val="1"/>
    </w:pPr>
    <w:rPr>
      <w:rFonts w:ascii="Microsoft YaHei UI" w:hAnsi="Microsoft YaHei UI" w:eastAsia="Microsoft YaHei UI"/>
      <w:spacing w:val="2"/>
      <w:sz w:val="32"/>
      <w:szCs w:val="32"/>
      <w:lang w:eastAsia="zh-CN"/>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8"/>
    <w:qFormat/>
    <w:uiPriority w:val="1"/>
    <w:pPr>
      <w:ind w:firstLine="200" w:firstLineChars="200"/>
      <w:jc w:val="both"/>
    </w:pPr>
    <w:rPr>
      <w:rFonts w:ascii="Microsoft YaHei UI" w:hAnsi="Microsoft YaHei UI" w:eastAsia="Microsoft YaHei UI"/>
      <w:sz w:val="21"/>
      <w:szCs w:val="21"/>
    </w:rPr>
  </w:style>
  <w:style w:type="paragraph" w:styleId="5">
    <w:name w:val="annotation text"/>
    <w:basedOn w:val="1"/>
    <w:semiHidden/>
    <w:unhideWhenUsed/>
    <w:qFormat/>
    <w:uiPriority w:val="99"/>
  </w:style>
  <w:style w:type="paragraph" w:styleId="6">
    <w:name w:val="toc 3"/>
    <w:basedOn w:val="1"/>
    <w:next w:val="1"/>
    <w:unhideWhenUsed/>
    <w:qFormat/>
    <w:uiPriority w:val="39"/>
    <w:pPr>
      <w:widowControl/>
      <w:spacing w:after="100" w:line="259" w:lineRule="auto"/>
      <w:ind w:left="440"/>
    </w:pPr>
    <w:rPr>
      <w:rFonts w:cs="Times New Roman"/>
      <w:lang w:eastAsia="zh-CN"/>
    </w:rPr>
  </w:style>
  <w:style w:type="paragraph" w:styleId="7">
    <w:name w:val="footer"/>
    <w:basedOn w:val="1"/>
    <w:link w:val="23"/>
    <w:unhideWhenUsed/>
    <w:qFormat/>
    <w:uiPriority w:val="99"/>
    <w:pPr>
      <w:tabs>
        <w:tab w:val="center" w:pos="4153"/>
        <w:tab w:val="right" w:pos="8306"/>
      </w:tabs>
      <w:snapToGrid w:val="0"/>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59" w:lineRule="auto"/>
    </w:pPr>
    <w:rPr>
      <w:rFonts w:cs="Times New Roman"/>
      <w:lang w:eastAsia="zh-CN"/>
    </w:rPr>
  </w:style>
  <w:style w:type="paragraph" w:styleId="10">
    <w:name w:val="toc 2"/>
    <w:basedOn w:val="1"/>
    <w:next w:val="1"/>
    <w:semiHidden/>
    <w:unhideWhenUsed/>
    <w:qFormat/>
    <w:uiPriority w:val="39"/>
    <w:pPr>
      <w:ind w:left="420" w:leftChars="200"/>
    </w:pPr>
  </w:style>
  <w:style w:type="paragraph" w:styleId="11">
    <w:name w:val="Normal (Web)"/>
    <w:basedOn w:val="1"/>
    <w:semiHidden/>
    <w:unhideWhenUsed/>
    <w:qFormat/>
    <w:uiPriority w:val="99"/>
    <w:pPr>
      <w:spacing w:beforeAutospacing="1" w:afterAutospacing="1"/>
    </w:pPr>
    <w:rPr>
      <w:rFonts w:cs="Times New Roman"/>
      <w:sz w:val="24"/>
      <w:lang w:eastAsia="zh-CN"/>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semiHidden/>
    <w:unhideWhenUsed/>
    <w:qFormat/>
    <w:uiPriority w:val="99"/>
    <w:rPr>
      <w:color w:val="0000FF"/>
      <w:u w:val="single"/>
    </w:rPr>
  </w:style>
  <w:style w:type="character" w:customStyle="1" w:styleId="16">
    <w:name w:val="标题 2 字符"/>
    <w:basedOn w:val="14"/>
    <w:link w:val="4"/>
    <w:qFormat/>
    <w:uiPriority w:val="1"/>
    <w:rPr>
      <w:rFonts w:ascii="Microsoft YaHei UI" w:hAnsi="Microsoft YaHei UI" w:eastAsia="Microsoft YaHei UI"/>
      <w:spacing w:val="2"/>
      <w:kern w:val="0"/>
      <w:sz w:val="32"/>
      <w:szCs w:val="32"/>
    </w:rPr>
  </w:style>
  <w:style w:type="table" w:customStyle="1" w:styleId="17">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character" w:customStyle="1" w:styleId="18">
    <w:name w:val="正文文本 字符"/>
    <w:basedOn w:val="14"/>
    <w:link w:val="2"/>
    <w:qFormat/>
    <w:uiPriority w:val="1"/>
    <w:rPr>
      <w:rFonts w:ascii="Microsoft YaHei UI" w:hAnsi="Microsoft YaHei UI" w:eastAsia="Microsoft YaHei UI"/>
      <w:kern w:val="0"/>
      <w:szCs w:val="21"/>
      <w:lang w:eastAsia="en-US"/>
    </w:rPr>
  </w:style>
  <w:style w:type="paragraph" w:customStyle="1" w:styleId="1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Table Paragraph"/>
    <w:basedOn w:val="1"/>
    <w:qFormat/>
    <w:uiPriority w:val="1"/>
  </w:style>
  <w:style w:type="paragraph" w:customStyle="1" w:styleId="2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22">
    <w:name w:val="页眉 字符"/>
    <w:basedOn w:val="14"/>
    <w:link w:val="8"/>
    <w:qFormat/>
    <w:uiPriority w:val="99"/>
    <w:rPr>
      <w:kern w:val="0"/>
      <w:sz w:val="18"/>
      <w:szCs w:val="18"/>
      <w:lang w:eastAsia="en-US"/>
    </w:rPr>
  </w:style>
  <w:style w:type="character" w:customStyle="1" w:styleId="23">
    <w:name w:val="页脚 字符"/>
    <w:basedOn w:val="14"/>
    <w:link w:val="7"/>
    <w:qFormat/>
    <w:uiPriority w:val="99"/>
    <w:rPr>
      <w:kern w:val="0"/>
      <w:sz w:val="18"/>
      <w:szCs w:val="18"/>
      <w:lang w:eastAsia="en-US"/>
    </w:rPr>
  </w:style>
  <w:style w:type="paragraph" w:styleId="24">
    <w:name w:val="List Paragraph"/>
    <w:basedOn w:val="1"/>
    <w:qFormat/>
    <w:uiPriority w:val="34"/>
    <w:pPr>
      <w:ind w:firstLine="420" w:firstLineChars="200"/>
      <w:jc w:val="both"/>
    </w:pPr>
    <w:rPr>
      <w:kern w:val="2"/>
      <w:sz w:val="21"/>
      <w:lang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462</Words>
  <Characters>2640</Characters>
  <Lines>22</Lines>
  <Paragraphs>6</Paragraphs>
  <TotalTime>3</TotalTime>
  <ScaleCrop>false</ScaleCrop>
  <LinksUpToDate>false</LinksUpToDate>
  <CharactersWithSpaces>3096</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2025-07-15T04:06:00Z</dcterms:created>
  <dc:creator>王琴</dc:creator>
  <cp:lastModifiedBy>wangqq1-L</cp:lastModifiedBy>
  <cp:lastPrinted>2026-04-23T01:21:00Z</cp:lastPrinted>
  <dcterms:modified xsi:type="dcterms:W3CDTF">2026-05-27T08:03:55Z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F0982A2958864715B588CFD912237F0B</vt:lpwstr>
  </property>
</Properties>
</file>