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微软雅黑" w:hAnsi="微软雅黑" w:eastAsia="微软雅黑" w:cs="微软雅黑"/>
          <w:b/>
          <w:bCs/>
          <w:sz w:val="44"/>
          <w:szCs w:val="44"/>
          <w:lang w:val="en-US" w:eastAsia="zh-CN"/>
        </w:rPr>
      </w:pPr>
      <w:r>
        <w:rPr>
          <w:rFonts w:hint="eastAsia" w:ascii="微软雅黑" w:hAnsi="微软雅黑" w:eastAsia="微软雅黑" w:cs="微软雅黑"/>
          <w:b/>
          <w:bCs/>
          <w:sz w:val="44"/>
          <w:szCs w:val="44"/>
          <w:lang w:val="en-US" w:eastAsia="zh-CN"/>
        </w:rPr>
        <w:t>商务建议书</w:t>
      </w:r>
    </w:p>
    <w:p>
      <w:pPr>
        <w:pStyle w:val="8"/>
        <w:keepNext w:val="0"/>
        <w:keepLines w:val="0"/>
        <w:pageBreakBefore w:val="0"/>
        <w:widowControl w:val="0"/>
        <w:numPr>
          <w:ilvl w:val="0"/>
          <w:numId w:val="0"/>
        </w:numPr>
        <w:kinsoku/>
        <w:wordWrap/>
        <w:overflowPunct/>
        <w:topLinePunct w:val="0"/>
        <w:autoSpaceDE w:val="0"/>
        <w:autoSpaceDN w:val="0"/>
        <w:bidi w:val="0"/>
        <w:adjustRightInd w:val="0"/>
        <w:snapToGrid/>
        <w:spacing w:before="120" w:after="120"/>
        <w:textAlignment w:val="auto"/>
        <w:outlineLvl w:val="0"/>
        <w:rPr>
          <w:rFonts w:hint="default" w:ascii="微软雅黑" w:hAnsi="微软雅黑" w:eastAsia="微软雅黑"/>
          <w:b/>
          <w:bCs/>
          <w:color w:val="auto"/>
          <w:sz w:val="28"/>
          <w:szCs w:val="28"/>
          <w:highlight w:val="none"/>
          <w:lang w:val="en-US" w:eastAsia="zh-CN"/>
        </w:rPr>
      </w:pPr>
      <w:r>
        <w:rPr>
          <w:rFonts w:hint="eastAsia" w:ascii="微软雅黑" w:hAnsi="微软雅黑" w:eastAsia="微软雅黑"/>
          <w:b/>
          <w:bCs/>
          <w:color w:val="auto"/>
          <w:sz w:val="28"/>
          <w:szCs w:val="28"/>
          <w:highlight w:val="none"/>
          <w:lang w:val="en-US" w:eastAsia="zh-CN"/>
        </w:rPr>
        <w:t>商务标准应用概述</w:t>
      </w:r>
    </w:p>
    <w:p>
      <w:pPr>
        <w:pStyle w:val="8"/>
        <w:keepNext w:val="0"/>
        <w:keepLines w:val="0"/>
        <w:pageBreakBefore w:val="0"/>
        <w:widowControl w:val="0"/>
        <w:numPr>
          <w:ilvl w:val="0"/>
          <w:numId w:val="0"/>
        </w:numPr>
        <w:kinsoku/>
        <w:wordWrap/>
        <w:overflowPunct/>
        <w:topLinePunct w:val="0"/>
        <w:autoSpaceDE w:val="0"/>
        <w:autoSpaceDN w:val="0"/>
        <w:bidi w:val="0"/>
        <w:adjustRightInd w:val="0"/>
        <w:snapToGrid/>
        <w:spacing w:before="120" w:after="120"/>
        <w:ind w:firstLine="420" w:firstLineChars="200"/>
        <w:textAlignment w:val="auto"/>
        <w:outlineLvl w:val="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本需求完全应用CGBZ-ⅡHF0635-2025 套管护丝采购技术标准</w:t>
      </w:r>
      <w:bookmarkStart w:id="0" w:name="_GoBack"/>
      <w:bookmarkEnd w:id="0"/>
    </w:p>
    <w:tbl>
      <w:tblPr>
        <w:tblStyle w:val="6"/>
        <w:tblW w:w="823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66"/>
        <w:gridCol w:w="1058"/>
        <w:gridCol w:w="60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标准编号：</w:t>
            </w:r>
          </w:p>
        </w:tc>
        <w:tc>
          <w:tcPr>
            <w:tcW w:w="70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装备技术公司南海地区套管护罩、护丝采购专有协议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品类名称：</w:t>
            </w:r>
          </w:p>
        </w:tc>
        <w:tc>
          <w:tcPr>
            <w:tcW w:w="70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护丝护罩采购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2224"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lang w:val="en-US"/>
              </w:rPr>
            </w:pPr>
            <w:r>
              <w:rPr>
                <w:rFonts w:hint="eastAsia" w:ascii="宋体" w:hAnsi="宋体" w:eastAsia="宋体" w:cs="宋体"/>
                <w:b/>
                <w:bCs/>
                <w:i w:val="0"/>
                <w:iCs w:val="0"/>
                <w:color w:val="000000"/>
                <w:kern w:val="0"/>
                <w:sz w:val="21"/>
                <w:szCs w:val="21"/>
                <w:u w:val="none"/>
                <w:lang w:val="en-US" w:eastAsia="zh-CN" w:bidi="ar"/>
              </w:rPr>
              <w:t>评审因素</w:t>
            </w:r>
          </w:p>
        </w:tc>
        <w:tc>
          <w:tcPr>
            <w:tcW w:w="6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评审标准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jc w:val="center"/>
        </w:trPr>
        <w:tc>
          <w:tcPr>
            <w:tcW w:w="1166" w:type="dxa"/>
            <w:vMerge w:val="restart"/>
            <w:tcBorders>
              <w:top w:val="single" w:color="auto" w:sz="4" w:space="0"/>
              <w:left w:val="single" w:color="auto"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商务</w:t>
            </w:r>
          </w:p>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评审项</w:t>
            </w:r>
          </w:p>
        </w:tc>
        <w:tc>
          <w:tcPr>
            <w:tcW w:w="1058" w:type="dxa"/>
            <w:tcBorders>
              <w:top w:val="single" w:color="auto" w:sz="4" w:space="0"/>
              <w:left w:val="single" w:color="000000" w:sz="4" w:space="0"/>
              <w:bottom w:val="single" w:color="000000" w:sz="4" w:space="0"/>
              <w:right w:val="single" w:color="auto"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资质要求</w:t>
            </w:r>
          </w:p>
        </w:tc>
        <w:tc>
          <w:tcPr>
            <w:tcW w:w="6015" w:type="dxa"/>
            <w:tcBorders>
              <w:top w:val="single" w:color="000000" w:sz="4" w:space="0"/>
              <w:left w:val="single" w:color="auto" w:sz="4" w:space="0"/>
              <w:bottom w:val="single" w:color="000000" w:sz="4" w:space="0"/>
              <w:right w:val="single" w:color="000000" w:sz="4" w:space="0"/>
            </w:tcBorders>
            <w:shd w:val="clear" w:color="auto" w:fill="auto"/>
            <w:vAlign w:val="center"/>
          </w:tcPr>
          <w:p>
            <w:pPr>
              <w:rPr>
                <w:rFonts w:hint="default" w:eastAsia="Microsoft YaHei UI"/>
                <w:lang w:val="en-US" w:eastAsia="zh-CN"/>
              </w:rPr>
            </w:pPr>
            <w:r>
              <w:rPr>
                <w:rFonts w:hint="eastAsia" w:ascii="宋体" w:hAnsi="宋体" w:eastAsia="宋体" w:cs="宋体"/>
                <w:i w:val="0"/>
                <w:iCs w:val="0"/>
                <w:color w:val="000000"/>
                <w:kern w:val="0"/>
                <w:sz w:val="21"/>
                <w:szCs w:val="21"/>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6" w:hRule="atLeast"/>
          <w:jc w:val="center"/>
        </w:trPr>
        <w:tc>
          <w:tcPr>
            <w:tcW w:w="1166" w:type="dxa"/>
            <w:vMerge w:val="continue"/>
            <w:tcBorders>
              <w:left w:val="single" w:color="auto"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058" w:type="dxa"/>
            <w:tcBorders>
              <w:top w:val="single" w:color="000000" w:sz="4" w:space="0"/>
              <w:left w:val="single" w:color="000000" w:sz="4" w:space="0"/>
              <w:bottom w:val="single" w:color="000000" w:sz="4" w:space="0"/>
              <w:right w:val="single" w:color="auto"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资格条件</w:t>
            </w:r>
          </w:p>
        </w:tc>
        <w:tc>
          <w:tcPr>
            <w:tcW w:w="6015" w:type="dxa"/>
            <w:tcBorders>
              <w:top w:val="single" w:color="000000" w:sz="4" w:space="0"/>
              <w:left w:val="single" w:color="auto" w:sz="4" w:space="0"/>
              <w:bottom w:val="single" w:color="000000" w:sz="4" w:space="0"/>
              <w:right w:val="single" w:color="000000" w:sz="4" w:space="0"/>
            </w:tcBorders>
            <w:shd w:val="clear" w:color="auto" w:fill="auto"/>
            <w:vAlign w:val="center"/>
          </w:tcPr>
          <w:p>
            <w:pPr>
              <w:rPr>
                <w:rFonts w:hint="eastAsia" w:ascii="宋体" w:hAnsi="宋体" w:eastAsia="宋体" w:cs="宋体"/>
                <w:b w:val="0"/>
                <w:bCs w:val="0"/>
                <w:color w:val="auto"/>
                <w:kern w:val="44"/>
                <w:sz w:val="21"/>
                <w:szCs w:val="21"/>
                <w:highlight w:val="none"/>
                <w:lang w:val="en-US" w:eastAsia="zh-CN" w:bidi="ar-SA"/>
              </w:rPr>
            </w:pPr>
            <w:r>
              <w:rPr>
                <w:rFonts w:hint="eastAsia"/>
                <w:sz w:val="21"/>
                <w:szCs w:val="21"/>
                <w:lang w:val="en-US" w:eastAsia="zh-CN"/>
              </w:rPr>
              <w:t>具备并提供有效期内的有效期内的GB/T19001-2016或ISO9001:2015质量管理体系，GB/T24001-2016或IS14001:2015环境管理体系，GB/T45001-2020或IS45001:2018职业健康安全管理体系认证证书。</w:t>
            </w:r>
            <w:r>
              <w:rPr>
                <w:rFonts w:hint="eastAsia" w:ascii="宋体" w:hAnsi="宋体" w:eastAsia="宋体" w:cs="宋体"/>
                <w:b w:val="0"/>
                <w:bCs w:val="0"/>
                <w:color w:val="auto"/>
                <w:kern w:val="44"/>
                <w:sz w:val="21"/>
                <w:szCs w:val="21"/>
                <w:highlight w:val="none"/>
                <w:lang w:val="en-US" w:eastAsia="zh-CN" w:bidi="ar-SA"/>
              </w:rPr>
              <w:t>且证书应在中国国家认证认可监督管理委员会网站(http://www.cnca.gov.cn)核实。</w:t>
            </w:r>
          </w:p>
          <w:p>
            <w:pPr>
              <w:keepNext w:val="0"/>
              <w:keepLines w:val="0"/>
              <w:widowControl/>
              <w:suppressLineNumbers w:val="0"/>
              <w:jc w:val="left"/>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提供</w:t>
            </w:r>
            <w:r>
              <w:rPr>
                <w:rFonts w:hint="eastAsia" w:ascii="宋体" w:hAnsi="宋体" w:eastAsia="宋体" w:cs="宋体"/>
                <w:i w:val="0"/>
                <w:iCs w:val="0"/>
                <w:color w:val="000000"/>
                <w:sz w:val="21"/>
                <w:szCs w:val="21"/>
                <w:u w:val="none"/>
              </w:rPr>
              <w:t>有效期内的</w:t>
            </w:r>
            <w:r>
              <w:rPr>
                <w:rFonts w:hint="eastAsia" w:ascii="宋体" w:hAnsi="宋体" w:eastAsia="宋体" w:cs="宋体"/>
                <w:i w:val="0"/>
                <w:iCs w:val="0"/>
                <w:color w:val="000000"/>
                <w:sz w:val="21"/>
                <w:szCs w:val="21"/>
                <w:u w:val="none"/>
                <w:lang w:val="en-US" w:eastAsia="zh-CN"/>
              </w:rPr>
              <w:t xml:space="preserve">企业法人营业执照、税务登记证及组织机构代码证或证照合一的营业执照，投标时需提供原件扫描件（原件备查）。营业执照经营范围包括：螺纹保护器的生产、销售。 </w:t>
            </w:r>
          </w:p>
          <w:p>
            <w:pPr>
              <w:keepNext w:val="0"/>
              <w:keepLines w:val="0"/>
              <w:widowControl/>
              <w:suppressLineNumbers w:val="0"/>
              <w:jc w:val="left"/>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投标人需为投标货物的制造商，不接受代理商、贸易商参与投标。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5" w:hRule="atLeast"/>
          <w:jc w:val="center"/>
        </w:trPr>
        <w:tc>
          <w:tcPr>
            <w:tcW w:w="1166" w:type="dxa"/>
            <w:vMerge w:val="continue"/>
            <w:tcBorders>
              <w:left w:val="single" w:color="auto"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058" w:type="dxa"/>
            <w:tcBorders>
              <w:top w:val="single" w:color="000000" w:sz="4" w:space="0"/>
              <w:left w:val="single" w:color="000000" w:sz="4" w:space="0"/>
              <w:bottom w:val="single" w:color="000000" w:sz="4" w:space="0"/>
              <w:right w:val="single" w:color="auto"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业绩要求</w:t>
            </w:r>
          </w:p>
        </w:tc>
        <w:tc>
          <w:tcPr>
            <w:tcW w:w="6015" w:type="dxa"/>
            <w:tcBorders>
              <w:top w:val="single" w:color="000000" w:sz="4" w:space="0"/>
              <w:left w:val="single" w:color="auto"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（1）投标人自2023年1月1日至投标截止日（以合同签署时间为准），至少完成1项护丝或护罩的业绩合同，并提供相应业绩证明文件；</w:t>
            </w:r>
            <w:r>
              <w:rPr>
                <w:rFonts w:hint="eastAsia" w:ascii="宋体" w:hAnsi="宋体" w:eastAsia="宋体" w:cs="宋体"/>
                <w:i w:val="0"/>
                <w:iCs w:val="0"/>
                <w:color w:val="000000"/>
                <w:sz w:val="21"/>
                <w:szCs w:val="21"/>
                <w:u w:val="none"/>
                <w:lang w:val="en-US" w:eastAsia="zh-CN"/>
              </w:rPr>
              <w:br w:type="textWrapping"/>
            </w:r>
            <w:r>
              <w:rPr>
                <w:rFonts w:hint="eastAsia" w:ascii="宋体" w:hAnsi="宋体" w:eastAsia="宋体" w:cs="宋体"/>
                <w:i w:val="0"/>
                <w:iCs w:val="0"/>
                <w:color w:val="000000"/>
                <w:sz w:val="21"/>
                <w:szCs w:val="21"/>
                <w:u w:val="none"/>
                <w:lang w:val="en-US" w:eastAsia="zh-CN"/>
              </w:rPr>
              <w:t>（2）投标人提供的业绩证明文件包括：业绩合同、完工验收报告或结算明细单或结算发票。业绩合同应至少涵盖合同首页、合同签署页（具有签字和盖章）、服务内容等内容；完工验收报告或结算明细单应有合同双方签字或盖章，以及确认时间。注：合同数量（金额）与完工报告、结算单（结算发票）的内容和金额须一致。</w:t>
            </w:r>
            <w:r>
              <w:rPr>
                <w:rFonts w:hint="eastAsia" w:ascii="宋体" w:hAnsi="宋体" w:eastAsia="宋体" w:cs="宋体"/>
                <w:i w:val="0"/>
                <w:iCs w:val="0"/>
                <w:color w:val="000000"/>
                <w:sz w:val="21"/>
                <w:szCs w:val="21"/>
                <w:u w:val="none"/>
                <w:lang w:val="en-US" w:eastAsia="zh-CN"/>
              </w:rPr>
              <w:br w:type="textWrapping"/>
            </w:r>
            <w:r>
              <w:rPr>
                <w:rFonts w:hint="eastAsia" w:ascii="宋体" w:hAnsi="宋体" w:eastAsia="宋体" w:cs="宋体"/>
                <w:i w:val="0"/>
                <w:iCs w:val="0"/>
                <w:color w:val="000000"/>
                <w:sz w:val="21"/>
                <w:szCs w:val="21"/>
                <w:u w:val="none"/>
                <w:lang w:val="en-US" w:eastAsia="zh-CN"/>
              </w:rPr>
              <w:t>（3）若业绩合同为长期协议，还应提供1项已完成的订单相应的完工验收文件（完工验收报告或结算明细单或结算发票），同一个年度合同提供1项及以上订单的均视为1个有效业绩；</w:t>
            </w:r>
            <w:r>
              <w:rPr>
                <w:rFonts w:hint="eastAsia" w:ascii="宋体" w:hAnsi="宋体" w:eastAsia="宋体" w:cs="宋体"/>
                <w:i w:val="0"/>
                <w:iCs w:val="0"/>
                <w:color w:val="000000"/>
                <w:sz w:val="21"/>
                <w:szCs w:val="21"/>
                <w:u w:val="none"/>
                <w:lang w:val="en-US" w:eastAsia="zh-CN"/>
              </w:rPr>
              <w:br w:type="textWrapping"/>
            </w:r>
            <w:r>
              <w:rPr>
                <w:rFonts w:hint="eastAsia" w:ascii="宋体" w:hAnsi="宋体" w:eastAsia="宋体" w:cs="宋体"/>
                <w:i w:val="0"/>
                <w:iCs w:val="0"/>
                <w:color w:val="000000"/>
                <w:sz w:val="21"/>
                <w:szCs w:val="21"/>
                <w:u w:val="none"/>
                <w:lang w:val="en-US" w:eastAsia="zh-CN"/>
              </w:rPr>
              <w:t>（4）未提供业绩证明文件或提供的业绩证明文件无法认定上述业绩要求的，视为无效业绩。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36" w:hRule="atLeast"/>
          <w:jc w:val="center"/>
        </w:trPr>
        <w:tc>
          <w:tcPr>
            <w:tcW w:w="1166" w:type="dxa"/>
            <w:vMerge w:val="continue"/>
            <w:tcBorders>
              <w:left w:val="single" w:color="auto" w:sz="4" w:space="0"/>
              <w:bottom w:val="single" w:color="auto"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1058" w:type="dxa"/>
            <w:tcBorders>
              <w:top w:val="single" w:color="000000" w:sz="4" w:space="0"/>
              <w:left w:val="single" w:color="000000" w:sz="4" w:space="0"/>
              <w:bottom w:val="single" w:color="auto" w:sz="4" w:space="0"/>
              <w:right w:val="single" w:color="auto" w:sz="4" w:space="0"/>
            </w:tcBorders>
            <w:shd w:val="clear" w:color="auto" w:fill="FFFFFF"/>
            <w:vAlign w:val="center"/>
          </w:tcPr>
          <w:p>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0"/>
                <w:szCs w:val="20"/>
                <w:u w:val="none"/>
                <w:lang w:val="en-US" w:eastAsia="zh-CN" w:bidi="ar"/>
              </w:rPr>
              <w:t>验证考察</w:t>
            </w:r>
          </w:p>
        </w:tc>
        <w:tc>
          <w:tcPr>
            <w:tcW w:w="6015"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中标公示发出后，甲方或甲方委托的第三方机构有权对乙方生产现场进行实地考察。考察内容：</w:t>
            </w:r>
          </w:p>
          <w:p>
            <w:pPr>
              <w:keepNext w:val="0"/>
              <w:keepLines w:val="0"/>
              <w:widowControl/>
              <w:suppressLineNumbers w:val="0"/>
              <w:jc w:val="left"/>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1、投标时，提供的生产螺纹保护器的设备。</w:t>
            </w:r>
          </w:p>
          <w:p>
            <w:pPr>
              <w:keepNext w:val="0"/>
              <w:keepLines w:val="0"/>
              <w:widowControl/>
              <w:suppressLineNumbers w:val="0"/>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2、原材料购买协议或合同。</w:t>
            </w:r>
          </w:p>
          <w:p>
            <w:pPr>
              <w:keepNext w:val="0"/>
              <w:keepLines w:val="0"/>
              <w:widowControl/>
              <w:suppressLineNumbers w:val="0"/>
              <w:jc w:val="left"/>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3、场地租赁合同或者工业用地使用证明。</w:t>
            </w:r>
          </w:p>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highlight w:val="none"/>
                <w:u w:val="none"/>
                <w:lang w:val="en-US" w:eastAsia="zh-CN" w:bidi="ar"/>
              </w:rPr>
              <w:t>以上</w:t>
            </w:r>
            <w:r>
              <w:rPr>
                <w:rFonts w:hint="default" w:ascii="宋体" w:hAnsi="宋体" w:eastAsia="宋体" w:cs="宋体"/>
                <w:i w:val="0"/>
                <w:iCs w:val="0"/>
                <w:color w:val="000000"/>
                <w:kern w:val="0"/>
                <w:sz w:val="21"/>
                <w:szCs w:val="21"/>
                <w:highlight w:val="none"/>
                <w:u w:val="none"/>
                <w:lang w:val="en-US" w:eastAsia="zh-CN" w:bidi="ar"/>
              </w:rPr>
              <w:t>全部满足</w:t>
            </w:r>
            <w:r>
              <w:rPr>
                <w:rFonts w:hint="eastAsia" w:ascii="宋体" w:hAnsi="宋体" w:eastAsia="宋体" w:cs="宋体"/>
                <w:i w:val="0"/>
                <w:iCs w:val="0"/>
                <w:color w:val="000000"/>
                <w:kern w:val="0"/>
                <w:sz w:val="21"/>
                <w:szCs w:val="21"/>
                <w:highlight w:val="none"/>
                <w:u w:val="none"/>
                <w:lang w:val="en-US" w:eastAsia="zh-CN" w:bidi="ar"/>
              </w:rPr>
              <w:t>招标文件</w:t>
            </w:r>
            <w:r>
              <w:rPr>
                <w:rFonts w:hint="default" w:ascii="宋体" w:hAnsi="宋体" w:eastAsia="宋体" w:cs="宋体"/>
                <w:i w:val="0"/>
                <w:iCs w:val="0"/>
                <w:color w:val="000000"/>
                <w:kern w:val="0"/>
                <w:sz w:val="21"/>
                <w:szCs w:val="21"/>
                <w:highlight w:val="none"/>
                <w:u w:val="none"/>
                <w:lang w:val="en-US" w:eastAsia="zh-CN" w:bidi="ar"/>
              </w:rPr>
              <w:t>要求</w:t>
            </w:r>
            <w:r>
              <w:rPr>
                <w:rFonts w:hint="eastAsia" w:ascii="宋体" w:hAnsi="宋体" w:eastAsia="宋体" w:cs="宋体"/>
                <w:i w:val="0"/>
                <w:iCs w:val="0"/>
                <w:color w:val="000000"/>
                <w:kern w:val="0"/>
                <w:sz w:val="21"/>
                <w:szCs w:val="21"/>
                <w:highlight w:val="none"/>
                <w:u w:val="none"/>
                <w:lang w:val="en-US" w:eastAsia="zh-CN" w:bidi="ar"/>
              </w:rPr>
              <w:t>并</w:t>
            </w:r>
            <w:r>
              <w:rPr>
                <w:rFonts w:hint="default" w:ascii="宋体" w:hAnsi="宋体" w:eastAsia="宋体" w:cs="宋体"/>
                <w:i w:val="0"/>
                <w:iCs w:val="0"/>
                <w:color w:val="000000"/>
                <w:kern w:val="0"/>
                <w:sz w:val="21"/>
                <w:szCs w:val="21"/>
                <w:highlight w:val="none"/>
                <w:u w:val="none"/>
                <w:lang w:val="en-US" w:eastAsia="zh-CN" w:bidi="ar"/>
              </w:rPr>
              <w:t>通过验证</w:t>
            </w:r>
            <w:r>
              <w:rPr>
                <w:rFonts w:hint="eastAsia" w:ascii="宋体" w:hAnsi="宋体" w:eastAsia="宋体" w:cs="宋体"/>
                <w:i w:val="0"/>
                <w:iCs w:val="0"/>
                <w:color w:val="000000"/>
                <w:kern w:val="0"/>
                <w:sz w:val="21"/>
                <w:szCs w:val="21"/>
                <w:highlight w:val="none"/>
                <w:u w:val="none"/>
                <w:lang w:val="en-US" w:eastAsia="zh-CN" w:bidi="ar"/>
              </w:rPr>
              <w:t>，若不满足，甲方有权废除中标结果。</w:t>
            </w:r>
          </w:p>
        </w:tc>
      </w:tr>
    </w:tbl>
    <w:p>
      <w:pPr>
        <w:pStyle w:val="8"/>
        <w:keepNext w:val="0"/>
        <w:keepLines w:val="0"/>
        <w:pageBreakBefore w:val="0"/>
        <w:widowControl w:val="0"/>
        <w:numPr>
          <w:ilvl w:val="0"/>
          <w:numId w:val="0"/>
        </w:numPr>
        <w:kinsoku/>
        <w:wordWrap/>
        <w:overflowPunct/>
        <w:topLinePunct w:val="0"/>
        <w:autoSpaceDE w:val="0"/>
        <w:autoSpaceDN w:val="0"/>
        <w:bidi w:val="0"/>
        <w:adjustRightInd w:val="0"/>
        <w:snapToGrid/>
        <w:spacing w:before="120" w:after="120"/>
        <w:textAlignment w:val="auto"/>
        <w:outlineLvl w:val="0"/>
        <w:rPr>
          <w:rFonts w:hint="default" w:ascii="微软雅黑" w:hAnsi="微软雅黑" w:eastAsia="微软雅黑"/>
          <w:color w:val="C00000"/>
          <w:highlight w:val="yellow"/>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712E1F"/>
    <w:rsid w:val="05712E1F"/>
    <w:rsid w:val="08E32F49"/>
    <w:rsid w:val="08F12150"/>
    <w:rsid w:val="0B705F30"/>
    <w:rsid w:val="167417E7"/>
    <w:rsid w:val="22CC47C3"/>
    <w:rsid w:val="34A07BE8"/>
    <w:rsid w:val="3D162EFA"/>
    <w:rsid w:val="3F061781"/>
    <w:rsid w:val="401941FE"/>
    <w:rsid w:val="43122A4F"/>
    <w:rsid w:val="4D0E654A"/>
    <w:rsid w:val="53DD0C39"/>
    <w:rsid w:val="546B1C30"/>
    <w:rsid w:val="57306C55"/>
    <w:rsid w:val="59FA23F0"/>
    <w:rsid w:val="5EA163DB"/>
    <w:rsid w:val="617607E6"/>
    <w:rsid w:val="633A63CA"/>
    <w:rsid w:val="6868774C"/>
    <w:rsid w:val="6E5C25D1"/>
    <w:rsid w:val="735A05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pPr>
      <w:ind w:firstLine="200" w:firstLineChars="200"/>
      <w:jc w:val="both"/>
    </w:pPr>
    <w:rPr>
      <w:rFonts w:ascii="Microsoft YaHei UI" w:hAnsi="Microsoft YaHei UI" w:eastAsia="Microsoft YaHei UI"/>
      <w:sz w:val="21"/>
      <w:szCs w:val="21"/>
    </w:rPr>
  </w:style>
  <w:style w:type="paragraph" w:styleId="3">
    <w:name w:val="annotation text"/>
    <w:basedOn w:val="1"/>
    <w:qFormat/>
    <w:uiPriority w:val="0"/>
    <w:pPr>
      <w:jc w:val="left"/>
    </w:pPr>
  </w:style>
  <w:style w:type="paragraph" w:styleId="4">
    <w:name w:val="footer"/>
    <w:basedOn w:val="1"/>
    <w:unhideWhenUsed/>
    <w:qFormat/>
    <w:uiPriority w:val="99"/>
    <w:pPr>
      <w:tabs>
        <w:tab w:val="center" w:pos="4153"/>
        <w:tab w:val="right" w:pos="8306"/>
      </w:tabs>
      <w:snapToGrid w:val="0"/>
    </w:pPr>
    <w:rPr>
      <w:sz w:val="18"/>
      <w:szCs w:val="18"/>
    </w:rPr>
  </w:style>
  <w:style w:type="paragraph" w:styleId="5">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8">
    <w:name w:val="Default"/>
    <w:qFormat/>
    <w:uiPriority w:val="0"/>
    <w:pPr>
      <w:widowControl w:val="0"/>
      <w:autoSpaceDE w:val="0"/>
      <w:autoSpaceDN w:val="0"/>
      <w:adjustRightInd w:val="0"/>
    </w:pPr>
    <w:rPr>
      <w:rFonts w:ascii="宋体" w:hAnsi="Calibri" w:eastAsia="宋体" w:cs="宋体"/>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TotalTime>
  <ScaleCrop>false</ScaleCrop>
  <LinksUpToDate>false</LinksUpToDate>
  <CharactersWithSpaces>0</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2025-03-03T08:13:00Z</dcterms:created>
  <dc:creator>刘洁</dc:creator>
  <cp:lastModifiedBy>Administrator</cp:lastModifiedBy>
  <cp:lastPrinted>2025-12-10T03:56:00Z</cp:lastPrinted>
  <dcterms:modified xsi:type="dcterms:W3CDTF">2026-05-11T06:58:46Z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C7963170C7A4446EA81312A8AEA9885C</vt:lpwstr>
  </property>
  <property fmtid="{D5CDD505-2E9C-101B-9397-08002B2CF9AE}" pid="4" name="KSOTemplateDocerSaveRecord">
    <vt:lpwstr>eyJoZGlkIjoiM2UyODkxNWVmMzQzYTc4YTM0ZGNhMjA2ZThhMzQxNDAiLCJ1c2VySWQiOiI0MDY1MjE2OTEifQ==</vt:lpwstr>
  </property>
</Properties>
</file>