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val="0"/>
          <w:i w:val="0"/>
          <w:color w:val="000000"/>
          <w:sz w:val="24"/>
        </w:rPr>
      </w:pPr>
      <w:r>
        <w:rPr>
          <w:rFonts w:hint="eastAsia" w:ascii="宋体" w:hAnsi="宋体" w:eastAsia="宋体" w:cs="宋体"/>
        </w:rPr>
        <w:drawing>
          <wp:inline distT="0" distB="0" distL="0" distR="0">
            <wp:extent cx="1753235" cy="1577340"/>
            <wp:effectExtent l="0" t="0" r="1841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753235" cy="1577340"/>
                    </a:xfrm>
                    <a:prstGeom prst="rect">
                      <a:avLst/>
                    </a:prstGeom>
                  </pic:spPr>
                </pic:pic>
              </a:graphicData>
            </a:graphic>
          </wp:inline>
        </w:drawing>
      </w:r>
      <w:r>
        <w:rPr>
          <w:rFonts w:hint="eastAsia" w:ascii="宋体" w:hAnsi="宋体" w:eastAsia="宋体" w:cs="宋体"/>
          <w:b w:val="0"/>
          <w:i w:val="0"/>
          <w:color w:val="000000"/>
          <w:sz w:val="24"/>
        </w:rPr>
        <w:t xml:space="preserve"> </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6"/>
        </w:rPr>
        <w:t xml:space="preserve"> 采购技术要求书 </w:t>
      </w:r>
    </w:p>
    <w:p>
      <w:pPr>
        <w:pStyle w:val="10"/>
        <w:pageBreakBefore w:val="0"/>
        <w:kinsoku/>
        <w:wordWrap/>
        <w:overflowPunct/>
        <w:topLinePunct w:val="0"/>
        <w:bidi w:val="0"/>
        <w:spacing w:after="0" w:line="360" w:lineRule="auto"/>
        <w:ind w:left="0" w:leftChars="0" w:right="0" w:rightChars="0"/>
        <w:jc w:val="center"/>
        <w:outlineLvl w:val="9"/>
        <w:rPr>
          <w:rFonts w:hint="eastAsia" w:ascii="宋体" w:hAnsi="宋体" w:eastAsia="宋体" w:cs="宋体"/>
          <w:color w:val="auto"/>
          <w:spacing w:val="2"/>
          <w:w w:val="99"/>
          <w:sz w:val="52"/>
          <w:szCs w:val="52"/>
          <w:highlight w:val="none"/>
          <w:u w:val="single"/>
          <w:lang w:val="en-US" w:eastAsia="zh-CN"/>
        </w:rPr>
      </w:pPr>
      <w:r>
        <w:rPr>
          <w:rFonts w:hint="eastAsia" w:ascii="宋体" w:hAnsi="宋体" w:eastAsia="宋体" w:cs="宋体"/>
          <w:color w:val="auto"/>
          <w:spacing w:val="2"/>
          <w:w w:val="99"/>
          <w:sz w:val="52"/>
          <w:szCs w:val="52"/>
          <w:highlight w:val="none"/>
          <w:u w:val="single"/>
          <w:lang w:val="en-US" w:eastAsia="zh-CN"/>
        </w:rPr>
        <w:t>装备技术公司渤海区域平台生活区适应性新增集成单元设施作业服务</w:t>
      </w:r>
    </w:p>
    <w:p>
      <w:pPr>
        <w:pStyle w:val="10"/>
        <w:pageBreakBefore w:val="0"/>
        <w:kinsoku/>
        <w:wordWrap/>
        <w:overflowPunct/>
        <w:topLinePunct w:val="0"/>
        <w:bidi w:val="0"/>
        <w:spacing w:after="0" w:line="360" w:lineRule="auto"/>
        <w:ind w:left="0" w:leftChars="0" w:right="0" w:rightChars="0"/>
        <w:jc w:val="center"/>
        <w:outlineLvl w:val="9"/>
        <w:rPr>
          <w:rFonts w:hint="eastAsia" w:ascii="宋体" w:hAnsi="宋体" w:eastAsia="宋体" w:cs="宋体"/>
          <w:color w:val="auto"/>
          <w:spacing w:val="2"/>
          <w:w w:val="99"/>
          <w:sz w:val="52"/>
          <w:szCs w:val="52"/>
          <w:highlight w:val="none"/>
          <w:u w:val="single"/>
          <w:lang w:val="en-US" w:eastAsia="zh-CN"/>
        </w:rPr>
      </w:pPr>
      <w:r>
        <w:rPr>
          <w:rFonts w:hint="eastAsia" w:ascii="宋体" w:hAnsi="宋体" w:eastAsia="宋体" w:cs="宋体"/>
          <w:color w:val="auto"/>
          <w:spacing w:val="2"/>
          <w:w w:val="99"/>
          <w:sz w:val="52"/>
          <w:szCs w:val="52"/>
          <w:highlight w:val="none"/>
          <w:u w:val="single"/>
          <w:lang w:val="en-US" w:eastAsia="zh-CN"/>
        </w:rPr>
        <w:t>专有协议</w:t>
      </w:r>
    </w:p>
    <w:p>
      <w:pPr>
        <w:pStyle w:val="10"/>
        <w:pageBreakBefore w:val="0"/>
        <w:kinsoku/>
        <w:wordWrap/>
        <w:overflowPunct/>
        <w:topLinePunct w:val="0"/>
        <w:bidi w:val="0"/>
        <w:spacing w:after="0" w:line="360" w:lineRule="auto"/>
        <w:ind w:left="0" w:leftChars="0" w:right="0" w:rightChars="0"/>
        <w:jc w:val="center"/>
        <w:outlineLvl w:val="9"/>
        <w:rPr>
          <w:rFonts w:hint="eastAsia" w:ascii="宋体" w:hAnsi="宋体" w:eastAsia="宋体" w:cs="宋体"/>
          <w:lang w:val="en-US" w:eastAsia="zh-CN"/>
        </w:rPr>
      </w:pPr>
      <w:bookmarkStart w:id="5" w:name="_GoBack"/>
      <w:r>
        <w:rPr>
          <w:rFonts w:hint="eastAsia" w:ascii="宋体" w:hAnsi="宋体" w:eastAsia="宋体" w:cs="宋体"/>
          <w:b w:val="0"/>
          <w:i w:val="0"/>
          <w:color w:val="000000"/>
          <w:sz w:val="28"/>
        </w:rPr>
        <w:t>装备技术有限公司工业防护工程中心</w:t>
      </w:r>
    </w:p>
    <w:bookmarkEnd w:id="5"/>
    <w:p>
      <w:pPr>
        <w:pageBreakBefore w:val="0"/>
        <w:kinsoku/>
        <w:wordWrap/>
        <w:overflowPunct/>
        <w:topLinePunct w:val="0"/>
        <w:autoSpaceDE w:val="0"/>
        <w:autoSpaceDN w:val="0"/>
        <w:bidi w:val="0"/>
        <w:spacing w:after="0" w:line="360" w:lineRule="auto"/>
        <w:ind w:left="0" w:leftChars="0" w:right="0" w:rightChars="0" w:firstLine="640" w:firstLineChars="200"/>
        <w:jc w:val="both"/>
        <w:outlineLvl w:val="9"/>
        <w:rPr>
          <w:rFonts w:hint="eastAsia" w:ascii="宋体" w:hAnsi="宋体" w:eastAsia="宋体" w:cs="宋体"/>
          <w:spacing w:val="2"/>
          <w:w w:val="99"/>
          <w:sz w:val="32"/>
          <w:szCs w:val="32"/>
          <w:lang w:eastAsia="zh-CN"/>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32"/>
        </w:rPr>
      </w:pP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2"/>
        </w:rPr>
        <w:t>一、项目概况及总体要求</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26"/>
        </w:rPr>
        <w:t>1.项目概况</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装备技术公司渤海区域平台生活区适应性新增集成单元设施作业服务专有协议主要工作</w:t>
      </w:r>
      <w:r>
        <w:rPr>
          <w:rFonts w:hint="eastAsia" w:ascii="宋体" w:hAnsi="宋体" w:eastAsia="宋体" w:cs="宋体"/>
          <w:sz w:val="21"/>
          <w:szCs w:val="21"/>
          <w:lang w:val="en-US" w:eastAsia="zh-CN"/>
        </w:rPr>
        <w:t>涵盖</w:t>
      </w:r>
      <w:r>
        <w:rPr>
          <w:rFonts w:hint="eastAsia" w:ascii="宋体" w:hAnsi="宋体" w:eastAsia="宋体" w:cs="宋体"/>
          <w:sz w:val="21"/>
          <w:szCs w:val="21"/>
        </w:rPr>
        <w:t>结构、配管、暖通、电气仪表通讯、机械设备、舾装、安全专业</w:t>
      </w:r>
      <w:r>
        <w:rPr>
          <w:rFonts w:hint="eastAsia" w:ascii="宋体" w:hAnsi="宋体" w:eastAsia="宋体" w:cs="宋体"/>
          <w:sz w:val="21"/>
          <w:szCs w:val="21"/>
          <w:lang w:val="en-US" w:eastAsia="zh-CN"/>
        </w:rPr>
        <w:t>施工</w:t>
      </w:r>
      <w:r>
        <w:rPr>
          <w:rFonts w:hint="eastAsia" w:ascii="宋体" w:hAnsi="宋体" w:eastAsia="宋体" w:cs="宋体"/>
          <w:sz w:val="21"/>
          <w:szCs w:val="21"/>
        </w:rPr>
        <w:t>。此类工作一般项目规模较小，</w:t>
      </w:r>
      <w:r>
        <w:rPr>
          <w:rFonts w:hint="eastAsia" w:ascii="宋体" w:hAnsi="宋体" w:eastAsia="宋体" w:cs="宋体"/>
          <w:sz w:val="21"/>
          <w:szCs w:val="21"/>
          <w:lang w:val="en-US" w:eastAsia="zh-CN"/>
        </w:rPr>
        <w:t>具</w:t>
      </w:r>
      <w:r>
        <w:rPr>
          <w:rFonts w:hint="eastAsia" w:ascii="宋体" w:hAnsi="宋体" w:eastAsia="宋体" w:cs="宋体"/>
          <w:sz w:val="21"/>
          <w:szCs w:val="21"/>
        </w:rPr>
        <w:t>有启动急、工期紧、见效快的特点，为了满足海上平台/终端生产需要，缩短采办周期，提升服务质量，增强市场竞争力，打造出具有特色的品牌服务</w:t>
      </w:r>
      <w:r>
        <w:rPr>
          <w:rFonts w:hint="eastAsia" w:ascii="宋体" w:hAnsi="宋体" w:eastAsia="宋体" w:cs="宋体"/>
          <w:sz w:val="21"/>
          <w:szCs w:val="21"/>
          <w:lang w:eastAsia="zh-CN"/>
        </w:rPr>
        <w:t>。</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26"/>
        </w:rPr>
        <w:t>2.服务内容和范围</w:t>
      </w:r>
    </w:p>
    <w:p>
      <w:pPr>
        <w:pStyle w:val="9"/>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right="0" w:rightChars="0"/>
        <w:jc w:val="both"/>
        <w:textAlignment w:val="auto"/>
        <w:outlineLvl w:val="9"/>
        <w:rPr>
          <w:rFonts w:hint="eastAsia" w:ascii="宋体" w:hAnsi="宋体" w:eastAsia="宋体" w:cs="宋体"/>
          <w:b/>
          <w:bCs/>
          <w:sz w:val="24"/>
          <w:szCs w:val="24"/>
          <w:highlight w:val="none"/>
          <w:lang w:eastAsia="zh-CN"/>
        </w:rPr>
      </w:pPr>
      <w:r>
        <w:rPr>
          <w:rFonts w:hint="eastAsia" w:ascii="宋体" w:hAnsi="宋体" w:eastAsia="宋体" w:cs="宋体"/>
          <w:b/>
          <w:bCs/>
          <w:i w:val="0"/>
          <w:color w:val="000000"/>
          <w:sz w:val="24"/>
          <w:lang w:val="en-US" w:eastAsia="zh-CN"/>
        </w:rPr>
        <w:t>2.1</w:t>
      </w:r>
      <w:r>
        <w:rPr>
          <w:rFonts w:hint="eastAsia" w:ascii="宋体" w:hAnsi="宋体" w:eastAsia="宋体" w:cs="宋体"/>
          <w:b/>
          <w:bCs/>
          <w:i w:val="0"/>
          <w:color w:val="000000"/>
          <w:sz w:val="24"/>
        </w:rPr>
        <w:t xml:space="preserve"> </w:t>
      </w:r>
      <w:r>
        <w:rPr>
          <w:rFonts w:hint="eastAsia" w:ascii="宋体" w:hAnsi="宋体" w:eastAsia="宋体" w:cs="宋体"/>
          <w:b/>
          <w:bCs/>
          <w:sz w:val="24"/>
          <w:szCs w:val="24"/>
          <w:highlight w:val="none"/>
          <w:lang w:eastAsia="zh-CN"/>
        </w:rPr>
        <w:t>服务内容：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甲</w:t>
      </w:r>
      <w:r>
        <w:rPr>
          <w:rFonts w:hint="eastAsia" w:ascii="宋体" w:hAnsi="宋体" w:eastAsia="宋体" w:cs="宋体"/>
          <w:b w:val="0"/>
          <w:i w:val="0"/>
          <w:color w:val="000000"/>
          <w:sz w:val="21"/>
          <w:szCs w:val="21"/>
          <w:lang w:val="en-US" w:eastAsia="en-US"/>
        </w:rPr>
        <w:t>方：</w:t>
      </w:r>
      <w:r>
        <w:rPr>
          <w:rFonts w:hint="eastAsia" w:ascii="宋体" w:hAnsi="宋体" w:eastAsia="宋体" w:cs="宋体"/>
          <w:b w:val="0"/>
          <w:i w:val="0"/>
          <w:color w:val="000000"/>
          <w:sz w:val="21"/>
          <w:szCs w:val="21"/>
          <w:lang w:val="en-US" w:eastAsia="zh-CN"/>
        </w:rPr>
        <w:t>中海油能源发展装备技术有限公司；</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en-US"/>
        </w:rPr>
      </w:pPr>
      <w:r>
        <w:rPr>
          <w:rFonts w:hint="eastAsia" w:ascii="宋体" w:hAnsi="宋体" w:eastAsia="宋体" w:cs="宋体"/>
          <w:b w:val="0"/>
          <w:i w:val="0"/>
          <w:color w:val="000000"/>
          <w:sz w:val="21"/>
          <w:szCs w:val="21"/>
          <w:lang w:val="en-US" w:eastAsia="zh-CN"/>
        </w:rPr>
        <w:t>乙</w:t>
      </w:r>
      <w:r>
        <w:rPr>
          <w:rFonts w:hint="eastAsia" w:ascii="宋体" w:hAnsi="宋体" w:eastAsia="宋体" w:cs="宋体"/>
          <w:b w:val="0"/>
          <w:i w:val="0"/>
          <w:color w:val="000000"/>
          <w:sz w:val="21"/>
          <w:szCs w:val="21"/>
          <w:lang w:val="en-US" w:eastAsia="en-US"/>
        </w:rPr>
        <w:t>方：必须具备完成本工作包规定工作内容的相应能力；</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甲方全面负责实施项目的全过程管理，包括施工主材、方案制定、项目管理、技术服务、安全与质量控制等核心环节。</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bCs w:val="0"/>
          <w:i w:val="0"/>
          <w:color w:val="000000"/>
          <w:sz w:val="21"/>
          <w:szCs w:val="21"/>
          <w:lang w:val="en-US" w:eastAsia="zh-CN"/>
        </w:rPr>
        <w:t>乙方负责提供符合施工要求的人员、机具及所需低值易耗辅材等，</w:t>
      </w:r>
      <w:r>
        <w:rPr>
          <w:rFonts w:hint="eastAsia" w:ascii="宋体" w:hAnsi="宋体" w:eastAsia="宋体" w:cs="宋体"/>
          <w:b w:val="0"/>
          <w:bCs w:val="0"/>
          <w:sz w:val="21"/>
          <w:szCs w:val="21"/>
        </w:rPr>
        <w:t>并在甲方项目管理团队的统一指挥和管理下辅助配合工作。</w:t>
      </w:r>
      <w:r>
        <w:rPr>
          <w:rFonts w:hint="eastAsia" w:ascii="宋体" w:hAnsi="宋体" w:eastAsia="宋体" w:cs="宋体"/>
          <w:b w:val="0"/>
          <w:bCs w:val="0"/>
          <w:i w:val="0"/>
          <w:color w:val="000000"/>
          <w:sz w:val="21"/>
          <w:szCs w:val="21"/>
          <w:lang w:val="en-US" w:eastAsia="zh-CN"/>
        </w:rPr>
        <w:t>并在甲方项目管理团队的统一指挥和管理下辅助配合工作。</w:t>
      </w:r>
    </w:p>
    <w:p>
      <w:pPr>
        <w:pStyle w:val="9"/>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right="0" w:rightChars="0"/>
        <w:jc w:val="both"/>
        <w:textAlignment w:val="auto"/>
        <w:outlineLvl w:val="9"/>
        <w:rPr>
          <w:rFonts w:hint="eastAsia" w:ascii="宋体" w:hAnsi="宋体" w:eastAsia="宋体" w:cs="宋体"/>
          <w:b/>
          <w:bCs/>
          <w:i w:val="0"/>
          <w:color w:val="000000"/>
          <w:sz w:val="24"/>
          <w:lang w:val="en-US" w:eastAsia="zh-CN"/>
        </w:rPr>
      </w:pPr>
      <w:r>
        <w:rPr>
          <w:rFonts w:hint="eastAsia" w:ascii="宋体" w:hAnsi="宋体" w:eastAsia="宋体" w:cs="宋体"/>
          <w:b/>
          <w:bCs/>
          <w:i w:val="0"/>
          <w:color w:val="000000"/>
          <w:sz w:val="24"/>
          <w:lang w:val="en-US" w:eastAsia="zh-CN"/>
        </w:rPr>
        <w:t>2.2工作量清单：</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color w:val="auto"/>
          <w:sz w:val="21"/>
          <w:szCs w:val="21"/>
          <w:highlight w:val="none"/>
          <w:lang w:val="en-US" w:eastAsia="zh-CN"/>
        </w:rPr>
      </w:pPr>
      <w:bookmarkStart w:id="0" w:name="_Toc19315"/>
      <w:r>
        <w:rPr>
          <w:rFonts w:hint="eastAsia" w:ascii="宋体" w:hAnsi="宋体" w:eastAsia="宋体" w:cs="宋体"/>
          <w:color w:val="auto"/>
          <w:sz w:val="21"/>
          <w:szCs w:val="21"/>
          <w:highlight w:val="none"/>
          <w:lang w:val="en-US" w:eastAsia="zh-CN" w:bidi="ar-SA"/>
        </w:rPr>
        <w:t xml:space="preserve">2.2.1 </w:t>
      </w:r>
      <w:r>
        <w:rPr>
          <w:rFonts w:ascii="宋体" w:hAnsi="宋体" w:eastAsia="宋体" w:cs="宋体"/>
          <w:sz w:val="24"/>
          <w:szCs w:val="24"/>
          <w:highlight w:val="none"/>
        </w:rPr>
        <w:t>结构专业作业内容</w:t>
      </w:r>
      <w:r>
        <w:rPr>
          <w:rFonts w:hint="eastAsia" w:ascii="宋体" w:hAnsi="宋体" w:eastAsia="宋体" w:cs="宋体"/>
          <w:color w:val="auto"/>
          <w:sz w:val="21"/>
          <w:szCs w:val="21"/>
          <w:highlight w:val="none"/>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bookmarkStart w:id="1" w:name="_Toc25188"/>
      <w:r>
        <w:rPr>
          <w:rFonts w:hint="eastAsia" w:ascii="宋体" w:hAnsi="宋体" w:eastAsia="宋体" w:cs="宋体"/>
          <w:b w:val="0"/>
          <w:i w:val="0"/>
          <w:color w:val="000000"/>
          <w:sz w:val="21"/>
          <w:szCs w:val="21"/>
          <w:lang w:val="en-US" w:eastAsia="zh-CN"/>
        </w:rPr>
        <w:t>乙方需依据甲方施工方案及相关的资料，在甲方甲方结构工程师的组织与指导下，配合完成装备技术公司渤海区域平台生活区适应性新增集成单元设施作业服务项目所有相关工作，包括但不限于如下工作。</w:t>
      </w:r>
      <w:bookmarkEnd w:id="1"/>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（1）组合梁、T型梁和结构散件的安装；（约3200㎡）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（2）H型钢、工字钢、T型钢、角钢、槽钢、矩形钢、方钢的拆除、安装；（约 2800 吨）</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（3）立柱管和斜撑管的拆除、安装，包含马鞍口和马蹄口的放样、切割；类型（约 28000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（4）瓦楞板、挡风墙、甲板、挡水扁铁、工装及临时吊耳的拆除、安装；（约 4500㎡）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（5）栏杆、直梯、斜梯的拆除、制作、安装；（约 3600米）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（6）飞机甲板防坠网、飞机甲板防滑网的拆除、安装；（约 2200㎡）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（7）钢格栅的安装；（约 3800㎡）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（8）配套防腐作业；（约 18000㎡）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（9）配套脚手架的搭设及拆除。（约 4200 立方米・天）</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2.2.2</w:t>
      </w:r>
      <w:r>
        <w:rPr>
          <w:rFonts w:hint="eastAsia" w:ascii="宋体" w:hAnsi="宋体" w:eastAsia="宋体" w:cs="宋体"/>
          <w:sz w:val="24"/>
          <w:szCs w:val="24"/>
          <w:highlight w:val="none"/>
        </w:rPr>
        <w:t>配管专业作业内容</w:t>
      </w:r>
      <w:r>
        <w:rPr>
          <w:rFonts w:hint="eastAsia" w:ascii="宋体" w:hAnsi="宋体" w:eastAsia="宋体" w:cs="宋体"/>
          <w:color w:val="auto"/>
          <w:sz w:val="24"/>
          <w:szCs w:val="24"/>
          <w:highlight w:val="none"/>
          <w:lang w:val="en-US" w:eastAsia="zh-CN" w:bidi="ar-SA"/>
        </w:rPr>
        <w:t>：</w:t>
      </w:r>
    </w:p>
    <w:p>
      <w:pPr>
        <w:pStyle w:val="9"/>
        <w:keepNext w:val="0"/>
        <w:keepLines w:val="0"/>
        <w:pageBreakBefore w:val="0"/>
        <w:widowControl w:val="0"/>
        <w:numPr>
          <w:ilvl w:val="0"/>
          <w:numId w:val="0"/>
        </w:numPr>
        <w:shd w:val="clear"/>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bidi="ar-SA"/>
        </w:rPr>
      </w:pPr>
      <w:r>
        <w:rPr>
          <w:rFonts w:hint="eastAsia" w:ascii="宋体" w:hAnsi="宋体" w:eastAsia="宋体" w:cs="宋体"/>
          <w:b w:val="0"/>
          <w:i w:val="0"/>
          <w:color w:val="000000"/>
          <w:sz w:val="21"/>
          <w:szCs w:val="21"/>
          <w:highlight w:val="none"/>
          <w:lang w:val="en-US" w:eastAsia="zh-CN" w:bidi="ar-SA"/>
        </w:rPr>
        <w:t>乙方需依据施工方案及相关的资料，在甲方配管工程师</w:t>
      </w:r>
      <w:r>
        <w:rPr>
          <w:rFonts w:hint="eastAsia" w:ascii="宋体" w:hAnsi="宋体" w:eastAsia="宋体" w:cs="宋体"/>
          <w:b w:val="0"/>
          <w:i w:val="0"/>
          <w:color w:val="000000"/>
          <w:sz w:val="21"/>
          <w:szCs w:val="21"/>
          <w:highlight w:val="none"/>
          <w:lang w:val="en-US" w:eastAsia="zh-CN"/>
        </w:rPr>
        <w:t>的组织与指导下，</w:t>
      </w:r>
      <w:r>
        <w:rPr>
          <w:rFonts w:hint="eastAsia" w:ascii="宋体" w:hAnsi="宋体" w:eastAsia="宋体" w:cs="宋体"/>
          <w:b w:val="0"/>
          <w:i w:val="0"/>
          <w:color w:val="000000"/>
          <w:sz w:val="21"/>
          <w:szCs w:val="21"/>
          <w:highlight w:val="none"/>
          <w:lang w:val="en-US" w:eastAsia="zh-CN" w:bidi="ar-SA"/>
        </w:rPr>
        <w:t>配合</w:t>
      </w:r>
      <w:r>
        <w:rPr>
          <w:rFonts w:hint="eastAsia" w:ascii="宋体" w:hAnsi="宋体" w:eastAsia="宋体" w:cs="宋体"/>
          <w:b w:val="0"/>
          <w:i w:val="0"/>
          <w:color w:val="000000"/>
          <w:sz w:val="21"/>
          <w:szCs w:val="21"/>
          <w:lang w:val="en-US" w:eastAsia="zh-CN" w:bidi="ar-SA"/>
        </w:rPr>
        <w:t>完成装备技术公司渤海区域平台生活区适应性新增集成单元设施作业服务项目所有相关工作，包括但不限于如下工作：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（1）金属管线、非金属管线及配套管件的拆除；（约 15000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（2）钢骨架复合管线及管件的安装；（约 8000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（3）碳钢管线、不锈钢管线、铜镍管线的安装；（约 12000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（4）金属管件的安装；（约 3200 件）</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（5）玻璃钢管线及管件的安装；（约 3000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（6）塑料管线及管件的安装；（约 5000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（7）阀门、地漏的拆除、安装；（约 1100 个）</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（8）管线、管件、阀门保温的拆除、制作、安装；（约 9000㎡）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（9）管支架、管鞋拆除、制作、安装；（约 1800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（10）护管的安装；（约 6000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（11）管线清洁、试压、吹扫、干燥、惰化等工作；（约 45000 米管线） / （约 28 个系统）</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（12）孔洞的封堵；（约 450 处）</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（13）配套防腐作业；（约 12000㎡）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（14）配套脚手架的搭设及拆除。（约 2800 立方米・天）</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2.2.3</w:t>
      </w:r>
      <w:r>
        <w:rPr>
          <w:rFonts w:hint="eastAsia" w:ascii="宋体" w:hAnsi="宋体" w:eastAsia="宋体" w:cs="宋体"/>
          <w:sz w:val="24"/>
          <w:szCs w:val="24"/>
          <w:highlight w:val="none"/>
        </w:rPr>
        <w:t>暖通专业作业内容</w:t>
      </w:r>
      <w:r>
        <w:rPr>
          <w:rFonts w:hint="eastAsia" w:ascii="宋体" w:hAnsi="宋体" w:eastAsia="宋体" w:cs="宋体"/>
          <w:sz w:val="24"/>
          <w:szCs w:val="24"/>
          <w:highlight w:val="none"/>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highlight w:val="none"/>
          <w:lang w:val="en-US" w:eastAsia="zh-CN"/>
        </w:rPr>
        <w:t>乙方需依据施工方案及相关的资料，在</w:t>
      </w:r>
      <w:r>
        <w:rPr>
          <w:rFonts w:hint="eastAsia" w:cs="宋体"/>
          <w:b w:val="0"/>
          <w:i w:val="0"/>
          <w:color w:val="000000"/>
          <w:sz w:val="21"/>
          <w:szCs w:val="21"/>
          <w:highlight w:val="none"/>
          <w:lang w:val="en-US" w:eastAsia="zh-CN"/>
        </w:rPr>
        <w:t>甲方</w:t>
      </w:r>
      <w:r>
        <w:rPr>
          <w:rFonts w:hint="eastAsia" w:ascii="宋体" w:hAnsi="宋体" w:eastAsia="宋体" w:cs="宋体"/>
          <w:b w:val="0"/>
          <w:i w:val="0"/>
          <w:color w:val="000000"/>
          <w:sz w:val="21"/>
          <w:szCs w:val="21"/>
          <w:highlight w:val="none"/>
          <w:lang w:val="en-US" w:eastAsia="zh-CN"/>
        </w:rPr>
        <w:t>暖通工程师的组织与指导下，配合完成装备技术公司渤海区域平台生活区适应性新增集成单元设施作业服务项目所有相关工作，包</w:t>
      </w:r>
      <w:r>
        <w:rPr>
          <w:rFonts w:hint="eastAsia" w:ascii="宋体" w:hAnsi="宋体" w:eastAsia="宋体" w:cs="宋体"/>
          <w:b w:val="0"/>
          <w:i w:val="0"/>
          <w:color w:val="000000"/>
          <w:sz w:val="21"/>
          <w:szCs w:val="21"/>
          <w:lang w:val="en-US" w:eastAsia="zh-CN"/>
        </w:rPr>
        <w:t>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（1）风机（12寸/DN300/20台，10寸/DN250/70台）、风闸（圆形 A60 防火风闸（带手拉阀）DN150/30个DN200/40个/500×250mm/8个）、布风器（300×300mm/950个，1000×150mm/100个）、风道（含吊架及附件100×100mm/1500㎡，400×200mm/3000㎡）、通风栅（300×300mm/380个）、通舱件（DN150/60个/DN200/80个）、风道保温的拆除、安装；</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w:t>
      </w:r>
      <w:r>
        <w:rPr>
          <w:rFonts w:hint="eastAsia" w:cs="宋体"/>
          <w:b w:val="0"/>
          <w:i w:val="0"/>
          <w:color w:val="000000"/>
          <w:sz w:val="21"/>
          <w:szCs w:val="21"/>
          <w:lang w:val="en-US" w:eastAsia="zh-CN"/>
        </w:rPr>
        <w:t>2</w:t>
      </w:r>
      <w:r>
        <w:rPr>
          <w:rFonts w:hint="eastAsia" w:ascii="宋体" w:hAnsi="宋体" w:eastAsia="宋体" w:cs="宋体"/>
          <w:b w:val="0"/>
          <w:i w:val="0"/>
          <w:color w:val="000000"/>
          <w:sz w:val="21"/>
          <w:szCs w:val="21"/>
          <w:lang w:val="en-US" w:eastAsia="zh-CN"/>
        </w:rPr>
        <w:t>）设备底座制作、安装；（约 70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w:t>
      </w:r>
      <w:r>
        <w:rPr>
          <w:rFonts w:hint="eastAsia" w:cs="宋体"/>
          <w:b w:val="0"/>
          <w:i w:val="0"/>
          <w:color w:val="000000"/>
          <w:sz w:val="21"/>
          <w:szCs w:val="21"/>
          <w:lang w:val="en-US" w:eastAsia="zh-CN"/>
        </w:rPr>
        <w:t>3</w:t>
      </w:r>
      <w:r>
        <w:rPr>
          <w:rFonts w:hint="eastAsia" w:ascii="宋体" w:hAnsi="宋体" w:eastAsia="宋体" w:cs="宋体"/>
          <w:b w:val="0"/>
          <w:i w:val="0"/>
          <w:color w:val="000000"/>
          <w:sz w:val="21"/>
          <w:szCs w:val="21"/>
          <w:lang w:val="en-US" w:eastAsia="zh-CN"/>
        </w:rPr>
        <w:t>）孔洞的封堵；（约 320 处）</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w:t>
      </w:r>
      <w:r>
        <w:rPr>
          <w:rFonts w:hint="eastAsia" w:cs="宋体"/>
          <w:b w:val="0"/>
          <w:i w:val="0"/>
          <w:color w:val="000000"/>
          <w:sz w:val="21"/>
          <w:szCs w:val="21"/>
          <w:lang w:val="en-US" w:eastAsia="zh-CN"/>
        </w:rPr>
        <w:t>4</w:t>
      </w:r>
      <w:r>
        <w:rPr>
          <w:rFonts w:hint="eastAsia" w:ascii="宋体" w:hAnsi="宋体" w:eastAsia="宋体" w:cs="宋体"/>
          <w:b w:val="0"/>
          <w:i w:val="0"/>
          <w:color w:val="000000"/>
          <w:sz w:val="21"/>
          <w:szCs w:val="21"/>
          <w:lang w:val="en-US" w:eastAsia="zh-CN"/>
        </w:rPr>
        <w:t>）配套防腐作业；（约 6500㎡）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w:t>
      </w:r>
      <w:r>
        <w:rPr>
          <w:rFonts w:hint="eastAsia" w:cs="宋体"/>
          <w:b w:val="0"/>
          <w:i w:val="0"/>
          <w:color w:val="000000"/>
          <w:sz w:val="21"/>
          <w:szCs w:val="21"/>
          <w:lang w:val="en-US" w:eastAsia="zh-CN"/>
        </w:rPr>
        <w:t>5</w:t>
      </w:r>
      <w:r>
        <w:rPr>
          <w:rFonts w:hint="eastAsia" w:ascii="宋体" w:hAnsi="宋体" w:eastAsia="宋体" w:cs="宋体"/>
          <w:b w:val="0"/>
          <w:i w:val="0"/>
          <w:color w:val="000000"/>
          <w:sz w:val="21"/>
          <w:szCs w:val="21"/>
          <w:lang w:val="en-US" w:eastAsia="zh-CN"/>
        </w:rPr>
        <w:t>）配套脚手架的搭设及拆除。（约 1900 立方米・天）</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2.2.4电气、仪表、通讯专业作业内容：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highlight w:val="none"/>
          <w:lang w:val="en-US" w:eastAsia="zh-CN"/>
        </w:rPr>
        <w:t>乙方需依据施工方案及相关的资料，在甲方电气工程师的组织与指导下，配合完成装备技术公司渤海区域平台生活区适应性新增集成单元设施作业服务项目所有相关工作，项</w:t>
      </w:r>
      <w:r>
        <w:rPr>
          <w:rFonts w:hint="eastAsia" w:ascii="宋体" w:hAnsi="宋体" w:eastAsia="宋体" w:cs="宋体"/>
          <w:b w:val="0"/>
          <w:i w:val="0"/>
          <w:color w:val="000000"/>
          <w:sz w:val="21"/>
          <w:szCs w:val="21"/>
          <w:lang w:val="en-US" w:eastAsia="zh-CN"/>
        </w:rPr>
        <w:t>目电气、仪表、通讯专业的所有相关工作，包括但不限于如下工作。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（1）灯具类、开关、插座、电视面板、网络面板、电话面板、接线盒的拆除、安装；（约 4200 个 /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（2）感烟探测器、感热探测器、手动报警站、电磁阀、可寻址单元、扬声器、音量控制器、摄像头、手拉阀、现场按钮、可燃气体探测器、H2S探测器的拆除、安装；（约 1800 个 / 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（3）配电盘、分线箱、接线箱、控制箱、控制柜、电话程控机、视频监控主机、UPS应急电源、网络交换机、广播机、单边带、高频电话、对空电话、导航机、导航灯的拆除、安装；（约 320 台 /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（4）电气电缆、仪讯电缆、电伴热（含附件）的拆除、铺设；（约 85000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（5）护管的安装；（约 18000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（6）仪表管线及附件的拆除、安装；（约 12000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（7）马脚、灯架、支吊架、电仪讯设备支架的拆除、制作、安装；（约 32 吨） / （约 2500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（8）风速仪、天线设备、雷达设备、电缆桥架的拆除、安装；（约 120 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（9）自力式压力控制阀的安装；（约 80 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（10）孔洞的封堵；（约 550 处）</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（11）配套防腐作业；（约 7500㎡）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（12）配套脚手架的搭设及拆除。（约 2100 立方米・天）</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color w:val="auto"/>
          <w:sz w:val="21"/>
          <w:szCs w:val="21"/>
          <w:highlight w:val="none"/>
          <w:lang w:val="en-US" w:eastAsia="zh-CN" w:bidi="ar-SA"/>
        </w:rPr>
      </w:pPr>
      <w:r>
        <w:rPr>
          <w:rFonts w:hint="eastAsia" w:ascii="宋体" w:hAnsi="宋体" w:eastAsia="宋体" w:cs="宋体"/>
          <w:sz w:val="24"/>
          <w:szCs w:val="24"/>
          <w:highlight w:val="none"/>
          <w:lang w:val="en-US" w:eastAsia="zh-CN"/>
        </w:rPr>
        <w:t>2.2.5机械设备作业内容：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乙方需依据施工方案及相关的资料，在甲方机械工程师组织与指导下</w:t>
      </w:r>
      <w:r>
        <w:rPr>
          <w:rFonts w:hint="eastAsia" w:cs="宋体"/>
          <w:b w:val="0"/>
          <w:i w:val="0"/>
          <w:color w:val="000000"/>
          <w:sz w:val="21"/>
          <w:szCs w:val="21"/>
          <w:highlight w:val="none"/>
          <w:lang w:val="en-US" w:eastAsia="zh-CN"/>
        </w:rPr>
        <w:t>，配合</w:t>
      </w:r>
      <w:r>
        <w:rPr>
          <w:rFonts w:hint="eastAsia" w:ascii="宋体" w:hAnsi="宋体" w:eastAsia="宋体" w:cs="宋体"/>
          <w:b w:val="0"/>
          <w:i w:val="0"/>
          <w:color w:val="000000"/>
          <w:sz w:val="21"/>
          <w:szCs w:val="21"/>
          <w:highlight w:val="none"/>
          <w:lang w:val="en-US" w:eastAsia="zh-CN"/>
        </w:rPr>
        <w:t>完成装备技术公司渤海区域平台生活区适应性新增集成单元设施作业服务项目所有相关工作，项目机械设备专业的所有相关工作，包括但不限于如下工作。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（1）压力&amp;常压容器的拆除及安装；（约 60 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（2）电加热器、消毒装置、污水处理装置、泵、过滤器的拆除及安装；（约 180 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（3）撬装设备的拆除及安装；（约 40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（4）容器或设备本体保温的安装或修复；（约 3500㎡）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（5）设备底座的拆除、制作、安装；（约 120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（6）配套防腐作业；（约 4000㎡）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（7）配套脚手架的搭设及拆除。（约 800 立方米・天）</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color w:val="auto"/>
          <w:sz w:val="21"/>
          <w:szCs w:val="21"/>
          <w:highlight w:val="none"/>
          <w:lang w:val="en-US" w:eastAsia="zh-CN" w:bidi="ar-SA"/>
        </w:rPr>
      </w:pPr>
      <w:r>
        <w:rPr>
          <w:rFonts w:hint="eastAsia" w:ascii="宋体" w:hAnsi="宋体" w:eastAsia="宋体" w:cs="宋体"/>
          <w:sz w:val="24"/>
          <w:szCs w:val="24"/>
          <w:highlight w:val="none"/>
          <w:lang w:val="en-US" w:eastAsia="zh-CN"/>
        </w:rPr>
        <w:t>2.2.6舾装专业作业内容：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highlight w:val="none"/>
          <w:lang w:val="en-US" w:eastAsia="zh-CN"/>
        </w:rPr>
        <w:t>乙方需依据施工方案及相关的资料，在甲方舾装工程师组织与指导下</w:t>
      </w:r>
      <w:r>
        <w:rPr>
          <w:rFonts w:hint="eastAsia" w:cs="宋体"/>
          <w:b w:val="0"/>
          <w:i w:val="0"/>
          <w:color w:val="000000"/>
          <w:sz w:val="21"/>
          <w:szCs w:val="21"/>
          <w:highlight w:val="none"/>
          <w:lang w:val="en-US" w:eastAsia="zh-CN"/>
        </w:rPr>
        <w:t>，配合</w:t>
      </w:r>
      <w:r>
        <w:rPr>
          <w:rFonts w:hint="eastAsia" w:ascii="宋体" w:hAnsi="宋体" w:eastAsia="宋体" w:cs="宋体"/>
          <w:b w:val="0"/>
          <w:i w:val="0"/>
          <w:color w:val="000000"/>
          <w:sz w:val="21"/>
          <w:szCs w:val="21"/>
          <w:lang w:val="en-US" w:eastAsia="zh-CN"/>
        </w:rPr>
        <w:t>完成装备技术公司渤海区域平台生活区适应性新增集成单元设施作业服务项目所有相关工作，项目舾装专业的所有相关工作，包括但不限于如下工作。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（1）舾装板、天花板及其配套构件的拆除、安装；（约 5500㎡）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（2）卫生、淋浴设备设施的拆除、安装；（约 180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（3）舾装棉、门、窗的拆除及安装；（约 4000㎡）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（4）独立卫生单元、地面系统、家具的拆除、安装；卫生单元（约 90 套） / 地面（约 3200㎡） / 家具（约 350 件）</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（5）配套防腐作业；（约 2500㎡）</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（6）配套脚手架的搭设及拆除。（约 400 立方米・天）</w:t>
      </w:r>
    </w:p>
    <w:p>
      <w:pPr>
        <w:keepNext w:val="0"/>
        <w:keepLines w:val="0"/>
        <w:pageBreakBefore w:val="0"/>
        <w:widowControl w:val="0"/>
        <w:numPr>
          <w:ilvl w:val="2"/>
          <w:numId w:val="0"/>
        </w:numPr>
        <w:shd w:val="clear"/>
        <w:kinsoku/>
        <w:wordWrap/>
        <w:overflowPunct/>
        <w:topLinePunct w:val="0"/>
        <w:autoSpaceDE/>
        <w:autoSpaceDN/>
        <w:bidi w:val="0"/>
        <w:adjustRightInd/>
        <w:snapToGrid/>
        <w:spacing w:after="0" w:line="360" w:lineRule="auto"/>
        <w:ind w:left="929" w:leftChars="100" w:right="0" w:rightChars="0" w:hanging="709"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2.2.7安全专业作业内容：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乙方需依据施工方案及相关的资料，在甲方安全管理工程师组织与指导下</w:t>
      </w:r>
      <w:r>
        <w:rPr>
          <w:rFonts w:hint="eastAsia" w:cs="宋体"/>
          <w:b w:val="0"/>
          <w:i w:val="0"/>
          <w:color w:val="000000"/>
          <w:sz w:val="21"/>
          <w:szCs w:val="21"/>
          <w:highlight w:val="none"/>
          <w:lang w:val="en-US" w:eastAsia="zh-CN"/>
        </w:rPr>
        <w:t>，</w:t>
      </w:r>
      <w:r>
        <w:rPr>
          <w:rFonts w:hint="eastAsia" w:ascii="宋体" w:hAnsi="宋体" w:eastAsia="宋体" w:cs="宋体"/>
          <w:b w:val="0"/>
          <w:i w:val="0"/>
          <w:color w:val="000000"/>
          <w:sz w:val="21"/>
          <w:szCs w:val="21"/>
          <w:highlight w:val="none"/>
          <w:lang w:val="en-US" w:eastAsia="zh-CN"/>
        </w:rPr>
        <w:t>配合完成装备技术公司渤海区域平台生活区适应性新增集成单元设施作业服务项目所有相关工作，项目安全专业的所有相关工作，包括但不限于如下工作。</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（1）门牌、标识牌的拆除、安装；（约 600 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（2）手提式灭火器安装（含支架）、救生圈安装（含支架）、风雨密救生衣箱、风雨密T卡箱、消防水软管站、消防栓（含水带、枪、箱体）、消防炮的拆除、安装；（约 850 具 /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（3）救生筏软梯的安装；（约 120 部）</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（4）救生及逃生用品的摆放；（约 2800 件）</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（5）湿粉灭火系统设备的拆除、安装；（约 40 套）</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（6）救生艇（含艇体、艇架、艇机、护栏、接线箱等）、救生艇艇体、救生筏的拆除、安装；（约 30 艘 / 只）</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（7）逃生通道进行更新、配套防腐作业；（约 4500 米）</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（8）配套脚手架的搭设及拆除。（约 200 立方米・天）</w:t>
      </w:r>
    </w:p>
    <w:bookmarkEnd w:id="0"/>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highlight w:val="none"/>
        </w:rPr>
      </w:pPr>
      <w:r>
        <w:rPr>
          <w:rFonts w:hint="eastAsia" w:ascii="宋体" w:hAnsi="宋体" w:eastAsia="宋体" w:cs="宋体"/>
          <w:b/>
          <w:i w:val="0"/>
          <w:color w:val="000000"/>
          <w:sz w:val="26"/>
          <w:highlight w:val="none"/>
          <w:lang w:val="en-US" w:eastAsia="zh-CN"/>
        </w:rPr>
        <w:t>3</w:t>
      </w:r>
      <w:r>
        <w:rPr>
          <w:rFonts w:hint="eastAsia" w:ascii="宋体" w:hAnsi="宋体" w:eastAsia="宋体" w:cs="宋体"/>
          <w:b/>
          <w:i w:val="0"/>
          <w:color w:val="000000"/>
          <w:sz w:val="26"/>
          <w:highlight w:val="none"/>
        </w:rPr>
        <w:t>.</w:t>
      </w:r>
      <w:r>
        <w:rPr>
          <w:rFonts w:hint="eastAsia" w:ascii="宋体" w:hAnsi="宋体" w:eastAsia="宋体" w:cs="宋体"/>
          <w:b/>
          <w:i w:val="0"/>
          <w:color w:val="000000"/>
          <w:sz w:val="26"/>
          <w:highlight w:val="none"/>
          <w:lang w:val="en-US" w:eastAsia="zh-CN"/>
        </w:rPr>
        <w:t>服务</w:t>
      </w:r>
      <w:r>
        <w:rPr>
          <w:rFonts w:hint="eastAsia" w:ascii="宋体" w:hAnsi="宋体" w:eastAsia="宋体" w:cs="宋体"/>
          <w:b/>
          <w:i w:val="0"/>
          <w:color w:val="000000"/>
          <w:sz w:val="26"/>
          <w:highlight w:val="none"/>
        </w:rPr>
        <w:t>地点</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1、乙方自有场地；</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2、渤海作业区海上各设施平台/浮式储油轮/钻井平台/终端；</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26"/>
          <w:lang w:val="en-US" w:eastAsia="zh-CN"/>
        </w:rPr>
        <w:t>4</w:t>
      </w:r>
      <w:r>
        <w:rPr>
          <w:rFonts w:hint="eastAsia" w:ascii="宋体" w:hAnsi="宋体" w:eastAsia="宋体" w:cs="宋体"/>
          <w:b/>
          <w:i w:val="0"/>
          <w:color w:val="000000"/>
          <w:sz w:val="26"/>
        </w:rPr>
        <w:t>.服务期限</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b w:val="0"/>
          <w:i w:val="0"/>
          <w:color w:val="000000"/>
          <w:sz w:val="21"/>
          <w:szCs w:val="21"/>
          <w:lang w:val="en-US" w:eastAsia="zh-CN"/>
        </w:rPr>
      </w:pPr>
      <w:r>
        <w:rPr>
          <w:rFonts w:hint="eastAsia" w:ascii="宋体" w:hAnsi="宋体" w:eastAsia="宋体" w:cs="宋体"/>
          <w:b w:val="0"/>
          <w:i w:val="0"/>
          <w:color w:val="000000"/>
          <w:sz w:val="21"/>
          <w:szCs w:val="21"/>
          <w:lang w:val="en-US" w:eastAsia="zh-CN"/>
        </w:rPr>
        <w:t xml:space="preserve">合同签订后3年，1+1+1，具体服务时间以服务委托书为准； </w:t>
      </w: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2"/>
        </w:rPr>
        <w:t>二、需求一览表</w:t>
      </w:r>
    </w:p>
    <w:tbl>
      <w:tblPr>
        <w:tblStyle w:val="1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929"/>
        <w:gridCol w:w="2509"/>
        <w:gridCol w:w="1302"/>
        <w:gridCol w:w="1128"/>
        <w:gridCol w:w="1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序号</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服务名称</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bCs/>
                <w:sz w:val="21"/>
                <w:szCs w:val="21"/>
                <w:lang w:val="en-US"/>
              </w:rPr>
            </w:pPr>
            <w:r>
              <w:rPr>
                <w:rFonts w:hint="eastAsia" w:ascii="宋体" w:hAnsi="宋体" w:eastAsia="宋体" w:cs="宋体"/>
                <w:b/>
                <w:bCs/>
                <w:sz w:val="21"/>
                <w:szCs w:val="21"/>
                <w:lang w:val="en-US" w:eastAsia="zh-CN"/>
              </w:rPr>
              <w:t>服务参数</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单位</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数量</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A类施工人员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en-US"/>
              </w:rPr>
            </w:pPr>
            <w:r>
              <w:rPr>
                <w:rFonts w:hint="eastAsia"/>
                <w:lang w:val="en-US" w:eastAsia="zh-CN"/>
              </w:rPr>
              <w:t>项目协调员、安全员、氩弧焊工</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人天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6480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B类施工人员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电焊工、架子工、电工、铆工、管工、监火员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人天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25920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C类施工人员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保温工、舾装工、涂装工、仪表工、瓦工、司索指挥</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人天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19440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D类施工人员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辅助工</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人天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12960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E类施工人员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生产准备人员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人天</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6046</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动复员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塘沽到龙口/蓬莱/葫芦岛</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人次</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300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单程</w:t>
            </w:r>
          </w:p>
          <w:p>
            <w:pPr>
              <w:jc w:val="center"/>
              <w:rPr>
                <w:rFonts w:hint="eastAsia" w:ascii="宋体" w:hAnsi="宋体" w:eastAsia="宋体" w:cs="宋体"/>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动复员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塘沽到东营/绥中</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人次</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300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动复员</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塘沽到京唐港</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人次</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200</w:t>
            </w:r>
          </w:p>
        </w:tc>
        <w:tc>
          <w:tcPr>
            <w:tcW w:w="9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电焊机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上海通用ZX7-400T（</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cs="宋体"/>
                <w:sz w:val="21"/>
                <w:szCs w:val="21"/>
                <w:lang w:val="en-US" w:eastAsia="zh-CN"/>
              </w:rP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氩弧焊机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上海通用WSM-400T（</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cs="宋体"/>
                <w:sz w:val="21"/>
                <w:szCs w:val="21"/>
                <w:lang w:val="en-US" w:eastAsia="zh-CN"/>
              </w:rP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二氧焊机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上海通用NB-500（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cs="宋体"/>
                <w:sz w:val="21"/>
                <w:szCs w:val="21"/>
                <w:lang w:val="en-US" w:eastAsia="zh-CN"/>
              </w:rP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手工碳弧气刨机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睿智280DS（</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cs="宋体"/>
                <w:sz w:val="21"/>
                <w:szCs w:val="21"/>
                <w:lang w:val="en-US" w:eastAsia="zh-CN"/>
              </w:rP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500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工具箱</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2*1.8*2.4（</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集装箱</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6*2.3*2.4</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吊笼（含索具卸扣）</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6.4*2.2*1.55（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气笼</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1.5*1.35*1.95（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烘干箱</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科源20公斤（</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防爆配电箱</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正泰（</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1200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19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倒链</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上海沪工3T（</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倒链</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上海沪工2T（</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t>台</w:t>
            </w:r>
            <w:r>
              <w:rPr>
                <w:rFonts w:hint="eastAsia" w:ascii="宋体" w:hAnsi="宋体" w:eastAsia="宋体" w:cs="宋体"/>
                <w:sz w:val="21"/>
                <w:szCs w:val="21"/>
                <w:lang w:val="en-US" w:eastAsia="zh-CN"/>
              </w:rPr>
              <w:t>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吊带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上海沪工3T（</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条天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吊带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上海沪工2T（</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条天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气动葫芦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中银HQ5-3（</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电动葫芦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海上；H&amp;G CD1 5T（</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保温设备</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傲嘉（</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破边机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芬语（</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折边机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1.3米折边机 （</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测爆仪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ECOS ADKS-4（</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29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空压机气泵</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德力西DSY-100电动（</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涂装设备</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景田 2833 喷涂机（</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磁力切割机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上海利宏CG2-11（</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半自动切割机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科源CG2-11（</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p>
            <w:pPr>
              <w:jc w:val="center"/>
              <w:rPr>
                <w:rFonts w:hint="eastAsia" w:ascii="宋体" w:hAnsi="宋体" w:eastAsia="宋体" w:cs="宋体"/>
                <w:sz w:val="21"/>
                <w:szCs w:val="21"/>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气割设备</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上海华威G01-30/100（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红外测温仪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德力西（</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试压泵</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DSY-100（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直磨机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东成FF02-25（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角磨机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东成FF05-100B（</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800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磁力电钻</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东城FF-23（</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39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手电钻</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东城FF02-13（</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电动锯</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东城FF-30（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气动锯</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BOOXT BX-AF25B（</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无齿锯</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东成 DJG09-355（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气动扳手</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东城FF02-18（</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电动扭矩扳手</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扭力6500力（</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p>
            <w:pPr>
              <w:jc w:val="center"/>
              <w:rPr>
                <w:rFonts w:hint="eastAsia" w:ascii="宋体" w:hAnsi="宋体" w:eastAsia="宋体" w:cs="宋体"/>
                <w:sz w:val="21"/>
                <w:szCs w:val="21"/>
              </w:rPr>
            </w:pPr>
            <w:r>
              <w:rPr>
                <w:rFonts w:hint="eastAsia" w:ascii="宋体" w:hAnsi="宋体" w:eastAsia="宋体" w:cs="宋体"/>
                <w:sz w:val="21"/>
                <w:szCs w:val="21"/>
              </w:rPr>
              <w:t>品牌、型号；扭力6500力=8813N.M</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封堵器2寸</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京锴（</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封堵器3寸</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京锴（</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封堵器4寸</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京锴（</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封堵器6寸</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京锴（</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49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封堵器8寸</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京锴（</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电阻焊保温钉焊机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HJ100025（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防爆鼓风机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（5000m3/h）</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中南（</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电缆头制作专用设备</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西熔（</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漆膜测厚仪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精贯KY160（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卷扬机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KT54-200-6（</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160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防爆工具</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拓开（</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套天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240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脚手架</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材质为热镀锌钢管，适配海上平台不规则结构，符合《海洋石油平台脚手架安全技术要求》</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立方米/天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12400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防爆对讲机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海能达PD780EX（</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部天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焊条保温桶</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精泰TRB-5G（</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59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管道坡口机2″-4″</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上海华威CG2-11磁力管道破口机（</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管道坡口机6″-8″</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上海华威CG2-11磁力管道破口机（</w:t>
            </w:r>
            <w:r>
              <w:rPr>
                <w:rFonts w:hint="eastAsia" w:ascii="宋体" w:hAnsi="宋体" w:eastAsia="宋体" w:cs="宋体"/>
                <w:sz w:val="21"/>
                <w:szCs w:val="21"/>
                <w:lang w:val="en-US" w:eastAsia="zh-CN"/>
              </w:rPr>
              <w:t>等同于</w:t>
            </w:r>
            <w:r>
              <w:rPr>
                <w:rFonts w:hint="eastAsia" w:ascii="宋体" w:hAnsi="宋体" w:eastAsia="宋体" w:cs="宋体"/>
                <w:sz w:val="21"/>
                <w:szCs w:val="21"/>
              </w:rPr>
              <w:t>或更高）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手提式钻孔机</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浩盾HDS1-162（</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弯管机（1"~4"）</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手动液压弯管机SWG-2-3415寸</w:t>
            </w:r>
          </w:p>
          <w:p>
            <w:pPr>
              <w:jc w:val="center"/>
              <w:rPr>
                <w:rFonts w:hint="eastAsia" w:ascii="宋体" w:hAnsi="宋体" w:eastAsia="宋体" w:cs="宋体"/>
                <w:sz w:val="21"/>
                <w:szCs w:val="21"/>
              </w:rPr>
            </w:pPr>
            <w:r>
              <w:rPr>
                <w:rFonts w:hint="eastAsia" w:ascii="宋体" w:hAnsi="宋体" w:eastAsia="宋体" w:cs="宋体"/>
                <w:sz w:val="21"/>
                <w:szCs w:val="21"/>
              </w:rPr>
              <w:t>巨鼎SWG（</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套丝机（1"~4"）</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虎工牌电动套丝机1100W</w:t>
            </w:r>
          </w:p>
          <w:p>
            <w:pPr>
              <w:jc w:val="both"/>
              <w:rPr>
                <w:rFonts w:hint="eastAsia" w:ascii="宋体" w:hAnsi="宋体" w:eastAsia="宋体" w:cs="宋体"/>
                <w:sz w:val="21"/>
                <w:szCs w:val="21"/>
              </w:rPr>
            </w:pPr>
            <w:r>
              <w:rPr>
                <w:rFonts w:hint="eastAsia" w:ascii="宋体" w:hAnsi="宋体" w:eastAsia="宋体" w:cs="宋体"/>
                <w:sz w:val="21"/>
                <w:szCs w:val="21"/>
              </w:rPr>
              <w:t>虎王SQ65（</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三相相序表</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优利德UT262E（</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超声波测厚仪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精贯TT100（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压力记录仪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MEACON MIK-200D（</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水平仪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重庆宏宇（</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激光测距仪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FOGO/富格（</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69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全站仪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苏州一光 RTS112SL（</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地线轴</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正泰NTY1（</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个天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71</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粗糙度检测仪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精贯KY810（</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72</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水准仪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莱锐测GCL-32D（</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73</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经纬仪</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YG/一光LT-402L</w:t>
            </w:r>
          </w:p>
          <w:p>
            <w:pPr>
              <w:jc w:val="center"/>
              <w:rPr>
                <w:rFonts w:hint="eastAsia" w:ascii="宋体" w:hAnsi="宋体" w:eastAsia="宋体" w:cs="宋体"/>
                <w:sz w:val="21"/>
                <w:szCs w:val="21"/>
              </w:rPr>
            </w:pPr>
            <w:r>
              <w:rPr>
                <w:rFonts w:hint="eastAsia" w:ascii="宋体" w:hAnsi="宋体" w:eastAsia="宋体" w:cs="宋体"/>
                <w:sz w:val="21"/>
                <w:szCs w:val="21"/>
              </w:rPr>
              <w:t>苏州一光LT-402L（</w:t>
            </w:r>
            <w:r>
              <w:rPr>
                <w:rFonts w:hint="eastAsia" w:ascii="宋体" w:hAnsi="宋体" w:eastAsia="宋体" w:cs="宋体"/>
                <w:sz w:val="21"/>
                <w:szCs w:val="21"/>
                <w:lang w:eastAsia="zh-CN"/>
              </w:rPr>
              <w:t>等同于或更高</w:t>
            </w:r>
            <w:r>
              <w:rPr>
                <w:rFonts w:hint="eastAsia" w:ascii="宋体" w:hAnsi="宋体" w:eastAsia="宋体" w:cs="宋体"/>
                <w:sz w:val="21"/>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台天</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400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运输车（20T）</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天津滨海新区境内</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200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75</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叉车（8T）</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含司机及司索人员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76</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汽车吊（25T）</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含司机及司索人员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77</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汽车吊（50T）</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含司机及司索人员</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78</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危化品运输车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200-400公里</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单程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sz w:val="21"/>
                <w:szCs w:val="21"/>
                <w:lang w:val="en-US" w:eastAsia="en-US"/>
              </w:rPr>
            </w:pPr>
            <w:r>
              <w:rPr>
                <w:rFonts w:hint="eastAsia" w:ascii="宋体" w:hAnsi="宋体" w:eastAsia="宋体" w:cs="宋体"/>
                <w:sz w:val="21"/>
                <w:szCs w:val="21"/>
              </w:rPr>
              <w:t>79</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危化品运输车</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400-600公里</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车次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10</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单程</w:t>
            </w:r>
          </w:p>
        </w:tc>
      </w:tr>
    </w:tbl>
    <w:p>
      <w:pPr>
        <w:pageBreakBefore w:val="0"/>
        <w:kinsoku/>
        <w:wordWrap/>
        <w:overflowPunct/>
        <w:topLinePunct w:val="0"/>
        <w:bidi w:val="0"/>
        <w:spacing w:after="0" w:line="360" w:lineRule="auto"/>
        <w:ind w:left="0" w:leftChars="0" w:right="0" w:rightChars="0"/>
        <w:jc w:val="left"/>
        <w:outlineLvl w:val="9"/>
        <w:rPr>
          <w:rFonts w:hint="eastAsia" w:ascii="宋体" w:hAnsi="宋体" w:eastAsia="宋体" w:cs="宋体"/>
        </w:rPr>
      </w:pPr>
      <w:r>
        <w:rPr>
          <w:rFonts w:hint="eastAsia" w:ascii="宋体" w:hAnsi="宋体" w:eastAsia="宋体" w:cs="宋体"/>
          <w:b w:val="0"/>
          <w:i w:val="0"/>
          <w:color w:val="000000"/>
          <w:sz w:val="24"/>
        </w:rPr>
        <w:t xml:space="preserve"> </w:t>
      </w:r>
      <w:r>
        <w:rPr>
          <w:rFonts w:hint="eastAsia" w:ascii="宋体" w:hAnsi="宋体" w:eastAsia="宋体" w:cs="宋体"/>
          <w:b/>
          <w:i w:val="0"/>
          <w:color w:val="000000"/>
          <w:sz w:val="32"/>
        </w:rPr>
        <w:t>三、执行标准/规范</w:t>
      </w:r>
    </w:p>
    <w:p>
      <w:pPr>
        <w:pageBreakBefore w:val="0"/>
        <w:numPr>
          <w:ilvl w:val="0"/>
          <w:numId w:val="0"/>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lang w:val="en-US" w:eastAsia="zh-CN"/>
        </w:rPr>
      </w:pPr>
      <w:r>
        <w:rPr>
          <w:rFonts w:hint="eastAsia" w:ascii="宋体" w:hAnsi="宋体" w:eastAsia="宋体" w:cs="宋体"/>
          <w:b/>
          <w:i w:val="0"/>
          <w:color w:val="000000"/>
          <w:sz w:val="26"/>
          <w:szCs w:val="22"/>
          <w:lang w:val="en-US" w:eastAsia="zh-CN" w:bidi="ar-SA"/>
        </w:rPr>
        <w:t>1.</w:t>
      </w:r>
      <w:r>
        <w:rPr>
          <w:rFonts w:hint="eastAsia" w:ascii="宋体" w:hAnsi="宋体" w:eastAsia="宋体" w:cs="宋体"/>
          <w:b/>
          <w:i w:val="0"/>
          <w:color w:val="000000"/>
          <w:sz w:val="26"/>
        </w:rPr>
        <w:t>引用标准名称和编号:</w:t>
      </w:r>
      <w:r>
        <w:rPr>
          <w:rFonts w:hint="eastAsia" w:cs="宋体"/>
          <w:b/>
          <w:i w:val="0"/>
          <w:color w:val="000000"/>
          <w:sz w:val="26"/>
          <w:lang w:val="en-US" w:eastAsia="zh-CN"/>
        </w:rPr>
        <w:t>无</w:t>
      </w:r>
    </w:p>
    <w:p>
      <w:pPr>
        <w:pageBreakBefore w:val="0"/>
        <w:numPr>
          <w:ilvl w:val="0"/>
          <w:numId w:val="0"/>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lang w:val="en-US" w:eastAsia="zh-CN"/>
        </w:rPr>
      </w:pPr>
      <w:r>
        <w:rPr>
          <w:rFonts w:hint="eastAsia" w:ascii="宋体" w:hAnsi="宋体" w:eastAsia="宋体" w:cs="宋体"/>
          <w:b/>
          <w:i w:val="0"/>
          <w:color w:val="000000"/>
          <w:sz w:val="26"/>
          <w:szCs w:val="22"/>
          <w:lang w:val="en-US" w:eastAsia="zh-CN" w:bidi="ar-SA"/>
        </w:rPr>
        <w:t>2.</w:t>
      </w:r>
      <w:r>
        <w:rPr>
          <w:rFonts w:hint="eastAsia" w:ascii="宋体" w:hAnsi="宋体" w:eastAsia="宋体" w:cs="宋体"/>
          <w:b/>
          <w:i w:val="0"/>
          <w:color w:val="000000"/>
          <w:sz w:val="26"/>
        </w:rPr>
        <w:t>引用</w:t>
      </w:r>
      <w:r>
        <w:rPr>
          <w:rFonts w:hint="eastAsia" w:ascii="宋体" w:hAnsi="宋体" w:eastAsia="宋体" w:cs="宋体"/>
          <w:b/>
          <w:i w:val="0"/>
          <w:color w:val="000000"/>
          <w:sz w:val="26"/>
          <w:lang w:val="en-US" w:eastAsia="zh-CN"/>
        </w:rPr>
        <w:t>体系文件</w:t>
      </w:r>
      <w:r>
        <w:rPr>
          <w:rFonts w:hint="eastAsia" w:ascii="宋体" w:hAnsi="宋体" w:eastAsia="宋体" w:cs="宋体"/>
          <w:b/>
          <w:i w:val="0"/>
          <w:color w:val="000000"/>
          <w:sz w:val="26"/>
        </w:rPr>
        <w:t>:</w:t>
      </w:r>
      <w:r>
        <w:rPr>
          <w:rFonts w:hint="eastAsia" w:ascii="宋体" w:hAnsi="宋体" w:eastAsia="宋体" w:cs="宋体"/>
          <w:b/>
          <w:i w:val="0"/>
          <w:color w:val="000000"/>
          <w:sz w:val="26"/>
          <w:lang w:val="en-US" w:eastAsia="zh-CN"/>
        </w:rPr>
        <w:t>按照本技术要求内容执行；</w:t>
      </w:r>
    </w:p>
    <w:p>
      <w:pPr>
        <w:pageBreakBefore w:val="0"/>
        <w:numPr>
          <w:ilvl w:val="0"/>
          <w:numId w:val="0"/>
        </w:numPr>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2"/>
        </w:rPr>
        <w:t>四、服务要求</w:t>
      </w:r>
    </w:p>
    <w:p>
      <w:pPr>
        <w:pageBreakBefore w:val="0"/>
        <w:numPr>
          <w:ilvl w:val="0"/>
          <w:numId w:val="0"/>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8"/>
          <w:szCs w:val="28"/>
        </w:rPr>
      </w:pPr>
      <w:r>
        <w:rPr>
          <w:rFonts w:hint="eastAsia" w:ascii="宋体" w:hAnsi="宋体" w:eastAsia="宋体" w:cs="宋体"/>
          <w:b/>
          <w:i w:val="0"/>
          <w:color w:val="000000"/>
          <w:sz w:val="28"/>
          <w:szCs w:val="28"/>
          <w:lang w:val="en-US" w:eastAsia="zh-CN"/>
        </w:rPr>
        <w:t>4.1</w:t>
      </w:r>
      <w:r>
        <w:rPr>
          <w:rFonts w:hint="eastAsia" w:ascii="宋体" w:hAnsi="宋体" w:eastAsia="宋体" w:cs="宋体"/>
          <w:b/>
          <w:i w:val="0"/>
          <w:color w:val="000000"/>
          <w:sz w:val="28"/>
          <w:szCs w:val="28"/>
        </w:rPr>
        <w:t>人员要求：</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乙方承诺</w:t>
      </w:r>
      <w:r>
        <w:rPr>
          <w:rFonts w:hint="eastAsia" w:ascii="宋体" w:hAnsi="宋体" w:eastAsia="宋体" w:cs="宋体"/>
          <w:color w:val="auto"/>
          <w:sz w:val="21"/>
          <w:szCs w:val="21"/>
          <w:highlight w:val="none"/>
        </w:rPr>
        <w:t>提供的人员应与</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单位有正式的劳动合同关系，</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单位按照国家法定要求按期缴纳人员保险。</w:t>
      </w:r>
      <w:r>
        <w:rPr>
          <w:rFonts w:hint="eastAsia" w:ascii="宋体" w:hAnsi="宋体" w:eastAsia="宋体" w:cs="宋体"/>
          <w:color w:val="auto"/>
          <w:sz w:val="21"/>
          <w:szCs w:val="21"/>
          <w:highlight w:val="none"/>
          <w:lang w:eastAsia="zh-CN"/>
        </w:rPr>
        <w:t>对施工人员提供与装备公司统一符合国家标准（ GB 39800.2-2020《个体防护装备配备规范 第 2 部分：石油、化工、天然气）及中海油体系要求</w:t>
      </w:r>
      <w:r>
        <w:rPr>
          <w:rFonts w:hint="eastAsia" w:ascii="宋体" w:hAnsi="宋体" w:eastAsia="宋体" w:cs="宋体"/>
          <w:color w:val="auto"/>
          <w:sz w:val="21"/>
          <w:szCs w:val="21"/>
          <w:highlight w:val="none"/>
          <w:lang w:val="en-US" w:eastAsia="zh-CN"/>
        </w:rPr>
        <w:t>的劳保用品包括但不限于</w:t>
      </w:r>
      <w:r>
        <w:rPr>
          <w:rFonts w:hint="eastAsia" w:ascii="宋体" w:hAnsi="宋体" w:eastAsia="宋体" w:cs="宋体"/>
          <w:color w:val="auto"/>
          <w:sz w:val="21"/>
          <w:szCs w:val="21"/>
          <w:highlight w:val="none"/>
          <w:lang w:eastAsia="zh-CN"/>
        </w:rPr>
        <w:t>的安全帽、防静电工服、工鞋、护目镜、耳塞、手套等，以及为特殊工种人员配置的专业防护用品，例如安全带、防坠器、绝缘手套、防护面罩等。全部施工人员都具有出海作业人员健康证、出海人员跟踪卡（MTS卡）、防硫化氢技术培训合格证书、</w:t>
      </w:r>
      <w:r>
        <w:rPr>
          <w:rFonts w:hint="eastAsia" w:ascii="宋体" w:hAnsi="宋体" w:eastAsia="宋体" w:cs="宋体"/>
          <w:sz w:val="21"/>
          <w:szCs w:val="21"/>
          <w:highlight w:val="none"/>
        </w:rPr>
        <w:t>海上石油作业安全救生培训证书（含海上消防、海上急救、海上求生、直升机水下逃生、救生艇筏操纵）</w:t>
      </w:r>
      <w:r>
        <w:rPr>
          <w:rFonts w:hint="eastAsia" w:cs="宋体"/>
          <w:sz w:val="21"/>
          <w:szCs w:val="21"/>
          <w:highlight w:val="none"/>
          <w:lang w:eastAsia="zh-CN"/>
        </w:rPr>
        <w:t>，</w:t>
      </w:r>
      <w:r>
        <w:rPr>
          <w:rFonts w:hint="eastAsia" w:ascii="宋体" w:hAnsi="宋体" w:eastAsia="宋体" w:cs="宋体"/>
          <w:color w:val="auto"/>
          <w:sz w:val="21"/>
          <w:szCs w:val="21"/>
          <w:highlight w:val="none"/>
          <w:lang w:eastAsia="zh-CN"/>
        </w:rPr>
        <w:t>领队需取得班组长安全技能提升专项培训合格证，</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氩弧焊工、电焊工、电工、架子工、仪表工、管工、司索指挥</w:t>
      </w:r>
      <w:r>
        <w:rPr>
          <w:rFonts w:hint="eastAsia" w:cs="宋体"/>
          <w:color w:val="auto"/>
          <w:sz w:val="21"/>
          <w:szCs w:val="21"/>
          <w:highlight w:val="none"/>
          <w:lang w:eastAsia="zh-CN"/>
        </w:rPr>
        <w:t>）特种作业</w:t>
      </w:r>
      <w:r>
        <w:rPr>
          <w:rFonts w:hint="eastAsia" w:ascii="宋体" w:hAnsi="宋体" w:eastAsia="宋体" w:cs="宋体"/>
          <w:color w:val="auto"/>
          <w:sz w:val="21"/>
          <w:szCs w:val="21"/>
          <w:highlight w:val="none"/>
          <w:lang w:eastAsia="zh-CN"/>
        </w:rPr>
        <w:t>人员具有资格证书</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特种作业操作证）并在有效期内。</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乙方各工种人员施工时需要所有施工人员应人证相符，持证上岗，严禁无证操作</w:t>
      </w:r>
      <w:r>
        <w:rPr>
          <w:rFonts w:hint="eastAsia" w:cs="宋体"/>
          <w:color w:val="auto"/>
          <w:sz w:val="21"/>
          <w:szCs w:val="21"/>
          <w:highlight w:val="none"/>
          <w:lang w:eastAsia="zh-CN"/>
        </w:rPr>
        <w:t>，</w:t>
      </w:r>
      <w:r>
        <w:rPr>
          <w:rFonts w:hint="eastAsia" w:cs="宋体"/>
          <w:color w:val="auto"/>
          <w:sz w:val="21"/>
          <w:szCs w:val="21"/>
          <w:highlight w:val="none"/>
          <w:lang w:val="en-US" w:eastAsia="zh-CN"/>
        </w:rPr>
        <w:t>及</w:t>
      </w:r>
      <w:r>
        <w:rPr>
          <w:rFonts w:hint="eastAsia" w:ascii="宋体" w:hAnsi="宋体" w:eastAsia="宋体" w:cs="宋体"/>
          <w:color w:val="auto"/>
          <w:sz w:val="21"/>
          <w:szCs w:val="21"/>
          <w:highlight w:val="none"/>
          <w:lang w:eastAsia="zh-CN"/>
        </w:rPr>
        <w:t>相关工作经验</w:t>
      </w:r>
      <w:r>
        <w:rPr>
          <w:rFonts w:hint="eastAsia" w:cs="宋体"/>
          <w:color w:val="auto"/>
          <w:sz w:val="21"/>
          <w:szCs w:val="21"/>
          <w:highlight w:val="none"/>
          <w:lang w:val="en-US" w:eastAsia="zh-CN"/>
        </w:rPr>
        <w:t>需</w:t>
      </w:r>
      <w:r>
        <w:rPr>
          <w:rFonts w:hint="eastAsia" w:ascii="宋体" w:hAnsi="宋体" w:eastAsia="宋体" w:cs="宋体"/>
          <w:color w:val="auto"/>
          <w:sz w:val="21"/>
          <w:szCs w:val="21"/>
          <w:highlight w:val="none"/>
          <w:lang w:eastAsia="zh-CN"/>
        </w:rPr>
        <w:t>三年及以上。</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项目协调员：乙方为本项目提供</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名项目协调员，其中至少</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人具备有效的住房和城乡建设委员会颁发的执业类别为机电的二级或以上建造师资格证（采用电子证书的一级建造师，打印电子证书后，应在个人签名处手写本人签名，未手写签名或与签名图像笔迹不一致的，该电子证书无效。），注册单位为乙方:具备有效的安全生产考核合格证（B证）；上述证书提供网站（https://jzsc.mohurd.gov.cn/及https://zlaq.mohurd.gov.cn/fwmh/bjxcjgl）查询截图，且截图必须清晰可辨，能明确显示查询结果，打印查询结果并加盖公司公章。</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安全员：</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为本项目提供3名专职安全员，资质证书满足以下任意一种即可。</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① 国家或省（市）级住房和城乡建设部（厅）或省（市）级建设委员会颁发的安全生产考核人员合格证书（C证）；</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② 国家安全生产监督管理总局或国家应急管理部颁发的安全资格证（或安全合格证）；</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③</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国家安全生产监督管理总局或国家应急管理部颁发的注册安全工程师执业（或职业）证书或注册安全工程师注册证书（初级及以上）。</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仪表工：乙方为本项目配备至少</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名自动化控制仪表工，提供有效期内的《特种作业操作证》作业类别：危险化学品安全作业，操作项目：化工自动化控制仪表作业。（特种作业操作证及安全生产知识和管理能力考核合格信息查询平台http://cx.mem.gov.cn/可查并提供查询截图），投标时提供原件扫描件（原件备查）。</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焊工：乙方为本项目具备至少</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名焊工，提供具有有效期内的特种作业操作证（作业类别：焊接与热切割作业，全国安全生产资质证书查询系统http://cx.mem.gov.cn/可查并提供依据）和国家认可的第三方船检机构签发的结构（6GR）或管线（6G）焊接等级证书，其中至少包括</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名压力容器焊工，具备并提供有效期内特种设备监督检验部门颁发的压力容器焊接等级证书（持证项目为SMAW或GTAW。国家市场监督管理总局的官方网站 https://www.samr.gov.cn/可查并提供截图）。</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架子工：乙方为本项目配备至少</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名架子工，提供有效期内的《特种作业操作证》，作业类别：高处作业，操作项目：登高架设作业或高处安装、维护、拆除作业，（特种作业操作证及安全生产知识和管理能力考核合格信息查询平台 http://cx.mem.gov.cn/可查并提供查询截图）。</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电工：乙方为本项目具备至少</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名电工，并具有有效期内的特种作业操作证（作业类别：电工作业，全国安全生产资质证书查询系统http://cx.mem.gov.cn/可查并提供依据）。</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监护员：</w:t>
      </w:r>
      <w:r>
        <w:rPr>
          <w:rFonts w:hint="eastAsia"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提供至少 4名监护员，提供以下两类证明文件之一</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提供进入限制空间及动火监护员培训证书</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需要承诺在项目开工前取得经海洋石油培训中心培训的“进入限制空间及动火监护员培训证书”。（承诺模板详见第六章投标构成《供应商承诺书》一)</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其中至少 1名监护员需提供消防设施操作员证（四级/中级技能及以上等级），技能人才评价证书全国联网查询国家职业资格证书 http://zscx.osta.org.cn/可查并提供依据。</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施工领队：乙方为本项目配备至少</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名施工领队，</w:t>
      </w:r>
      <w:r>
        <w:rPr>
          <w:rFonts w:hint="eastAsia" w:cs="宋体"/>
          <w:color w:val="auto"/>
          <w:sz w:val="21"/>
          <w:szCs w:val="21"/>
          <w:highlight w:val="none"/>
          <w:lang w:val="en-US" w:eastAsia="zh-CN"/>
        </w:rPr>
        <w:t>乙方承诺</w:t>
      </w:r>
      <w:r>
        <w:rPr>
          <w:rFonts w:hint="eastAsia" w:ascii="宋体" w:hAnsi="宋体" w:eastAsia="宋体" w:cs="宋体"/>
          <w:color w:val="auto"/>
          <w:sz w:val="21"/>
          <w:szCs w:val="21"/>
          <w:highlight w:val="none"/>
          <w:lang w:eastAsia="zh-CN"/>
        </w:rPr>
        <w:t>项目开工前具有有效期内的班组长安全技能提升专项培训合格证并具备安全生产知识和管理能力考核合格证，（安全生产知识和管理能力考核合格证，在特种作业操作证及安全生产知识和管理能力考核合格信息查询平台https://cx.mem.gov.cn/可查询并提供查询截图）。</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(9)管工：</w:t>
      </w:r>
      <w:r>
        <w:rPr>
          <w:rFonts w:hint="eastAsia" w:ascii="宋体" w:hAnsi="宋体" w:eastAsia="宋体" w:cs="宋体"/>
          <w:color w:val="auto"/>
          <w:sz w:val="21"/>
          <w:szCs w:val="21"/>
          <w:highlight w:val="none"/>
          <w:lang w:eastAsia="zh-CN"/>
        </w:rPr>
        <w:t>乙方为本项目配备至少</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名管工，提供有效期内的《特种作业操作证》作业类别：焊接与热切割作业，（特种作业操作证及安全生产知识和管理能力考核合格信息查询平台http://cx.mem.gov.cn/可查并提供查询截图）。                              </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上述人员证书不可兼任。上述人员需提供2026年</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月至2026年</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月（范围内视为无偏离）的社保缴费证明，招标人保留核实人员社保证明真伪的权利，以上人员注册证书的注册单位应与投标单位一致。上述所有人员社保缴费证明必须由社保部门开具的或从社保网站打印的证明（证明中参保单位名称须与申请人单位名称一致），参保单位为申请人分公司的，视同为参保单位名称须与申请人单位名称一致。（说明:乙方提供的上述人员社保缴费证明资料集中放置，以便于核查同时，招标人保留核实人员社保真伪的权利。）</w:t>
      </w:r>
      <w:r>
        <w:rPr>
          <w:rFonts w:hint="eastAsia" w:ascii="宋体" w:hAnsi="宋体" w:eastAsia="宋体" w:cs="宋体"/>
          <w:color w:val="auto"/>
          <w:sz w:val="21"/>
          <w:szCs w:val="21"/>
          <w:highlight w:val="none"/>
          <w:lang w:val="en-US" w:eastAsia="zh-CN"/>
        </w:rPr>
        <w:t>上述项目协调员（施工领队）、安全员、仪表工、氩弧焊工、电焊工、架子工、电工、铆工、管工、监火员（监护员）、保温工、舾装工、涂装工、瓦工、司索指挥、辅助工、生产准备人员至少提供20人</w:t>
      </w:r>
      <w:r>
        <w:rPr>
          <w:rFonts w:hint="eastAsia" w:ascii="宋体" w:hAnsi="宋体" w:eastAsia="宋体" w:cs="宋体"/>
          <w:color w:val="auto"/>
          <w:sz w:val="21"/>
          <w:szCs w:val="21"/>
          <w:highlight w:val="none"/>
          <w:lang w:eastAsia="zh-CN"/>
        </w:rPr>
        <w:t>海上交通安全技能培训合格证明</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(11)项目协调员（施工领队）、安全员、仪表工、氩弧焊工、电焊工、架子工、电工、铆工、管工、监火员（监护员）、保温工、舾装工、涂装工、瓦工、司索指挥、辅助工、生产准备人员</w:t>
      </w:r>
      <w:r>
        <w:rPr>
          <w:rFonts w:hint="eastAsia" w:cs="宋体"/>
          <w:color w:val="auto"/>
          <w:sz w:val="21"/>
          <w:szCs w:val="21"/>
          <w:highlight w:val="none"/>
          <w:lang w:val="en-US" w:eastAsia="zh-CN"/>
        </w:rPr>
        <w:t>乙方承诺</w:t>
      </w:r>
      <w:r>
        <w:rPr>
          <w:rFonts w:hint="eastAsia" w:ascii="宋体" w:hAnsi="宋体" w:eastAsia="宋体" w:cs="宋体"/>
          <w:color w:val="auto"/>
          <w:sz w:val="21"/>
          <w:szCs w:val="21"/>
          <w:highlight w:val="none"/>
          <w:lang w:val="en-US" w:eastAsia="zh-CN"/>
        </w:rPr>
        <w:t>上述人员需均为乙方单位自有人员。</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 乙方提供配合甲方工程师的作业人员，应具备结构、配管、暖通、电气仪表通讯、机械设备、舾装、安全等相关专业的工作能力及工作经历，投标时提交拟派人员简历（含从业年限、主要项目经历及持证情况）供甲方审核；甲方有权对乙方拟派人员进行审核与挑选，对不符合岗位要求的人员，乙方应在开工前予以更换。</w:t>
      </w: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2"/>
        </w:rPr>
        <w:t>五、配备资源要求</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rPr>
      </w:pPr>
      <w:r>
        <w:rPr>
          <w:rFonts w:hint="eastAsia" w:ascii="宋体" w:hAnsi="宋体" w:eastAsia="宋体" w:cs="宋体"/>
          <w:b/>
          <w:i w:val="0"/>
          <w:color w:val="000000"/>
          <w:sz w:val="26"/>
        </w:rPr>
        <w:t>1.设备要求</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提供项目施工所需的重点设备</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(1)焊机（电焊机（上海通用ZX7-400T等同于或更高）</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氩弧焊机（上海通用WSM-400T等同于或更高）</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二氧焊机（上海通用NB-500等同于或更高））不少于 10 台； </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(2)防爆配电箱（正泰等同于或更高）不少于10 台；</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(3)切割机（磁力切割机（上海利宏CG2-11等同于或更高）</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（半自动切割机，科源CG2-11等同于或更高））不少于 5 台；</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(4)地线轴（正泰NTY1（等同于或更高））不少于10 个；</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(5)工具箱（2*1.8*2.4（等同于或更高））不少于 5 个；</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(6)吊笼含索具卸扣（6.4*2.2*1.55（等同于或更高））不少于 5 套；</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(7)气笼（1.5*1.35*1.95（等同于或更高））不少于 5 个；</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(8)测爆仪（ECOS ADKS-4（等同于或更高））不少于5 台；</w:t>
      </w:r>
    </w:p>
    <w:p>
      <w:pPr>
        <w:keepNext w:val="0"/>
        <w:keepLines w:val="0"/>
        <w:pageBreakBefore w:val="0"/>
        <w:widowControl/>
        <w:numPr>
          <w:ilvl w:val="0"/>
          <w:numId w:val="0"/>
        </w:numPr>
        <w:shd w:val="clear"/>
        <w:kinsoku/>
        <w:wordWrap/>
        <w:overflowPunct/>
        <w:topLinePunct w:val="0"/>
        <w:autoSpaceDE w:val="0"/>
        <w:autoSpaceDN w:val="0"/>
        <w:bidi w:val="0"/>
        <w:adjustRightInd w:val="0"/>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时提供上述设备清单。提供检验证书或检验报告或校准书或检验检测依据。）（《海洋石油安全管理细则》第二十一条-设施上的各种设备应当符合下列规定：（一）符合国家有关法律、法规、规章、标准的安全要求，有出厂合格证书或者检验合格证书；）</w:t>
      </w:r>
    </w:p>
    <w:p>
      <w:pPr>
        <w:pageBreakBefore w:val="0"/>
        <w:numPr>
          <w:ilvl w:val="0"/>
          <w:numId w:val="1"/>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lang w:val="en-US" w:eastAsia="zh-CN"/>
        </w:rPr>
      </w:pPr>
      <w:r>
        <w:rPr>
          <w:rFonts w:hint="eastAsia" w:ascii="宋体" w:hAnsi="宋体" w:eastAsia="宋体" w:cs="宋体"/>
          <w:b/>
          <w:i w:val="0"/>
          <w:color w:val="000000"/>
          <w:sz w:val="26"/>
          <w:lang w:val="en-US" w:eastAsia="zh-CN"/>
        </w:rPr>
        <w:t>人员能力要求</w:t>
      </w:r>
    </w:p>
    <w:p>
      <w:pPr>
        <w:keepNext w:val="0"/>
        <w:keepLines w:val="0"/>
        <w:pageBreakBefore w:val="0"/>
        <w:shd w:val="clear"/>
        <w:kinsoku/>
        <w:wordWrap/>
        <w:overflowPunct/>
        <w:topLinePunct w:val="0"/>
        <w:bidi w:val="0"/>
        <w:spacing w:after="0" w:line="360" w:lineRule="auto"/>
        <w:ind w:left="0" w:leftChars="0" w:right="0" w:rightChars="0"/>
        <w:jc w:val="both"/>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项目协调员职能：</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全面负责施工技术、质量、进度、安全和环保等管理事项；</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了解各专业施工相关规范要求，熟悉海总及各施工现场规章制度（体系）和作业要求；</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负责本项目内部的岗位人员管理、人员工作安排；</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负责与各管理职能部门的沟通联系，及时向公司汇报工程进度及其他问题；</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兼任应急小组的组长，负责与甲方应急组织保持联络，并在出现应急情况时组织本组人员履行应急职责；</w:t>
      </w:r>
    </w:p>
    <w:p>
      <w:pPr>
        <w:pStyle w:val="13"/>
        <w:keepNext w:val="0"/>
        <w:keepLines w:val="0"/>
        <w:pageBreakBefore w:val="0"/>
        <w:numPr>
          <w:ilvl w:val="0"/>
          <w:numId w:val="2"/>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具有</w:t>
      </w:r>
      <w:r>
        <w:rPr>
          <w:rFonts w:hint="eastAsia" w:ascii="宋体" w:hAnsi="宋体" w:eastAsia="宋体" w:cs="宋体"/>
          <w:color w:val="auto"/>
          <w:sz w:val="21"/>
          <w:szCs w:val="21"/>
          <w:highlight w:val="none"/>
          <w:lang w:val="en-US" w:eastAsia="zh-CN"/>
        </w:rPr>
        <w:t>结构、配管、</w:t>
      </w:r>
      <w:r>
        <w:rPr>
          <w:rFonts w:hint="eastAsia" w:ascii="宋体" w:hAnsi="宋体" w:eastAsia="宋体" w:cs="宋体"/>
          <w:color w:val="auto"/>
          <w:sz w:val="21"/>
          <w:szCs w:val="21"/>
          <w:highlight w:val="none"/>
          <w:lang w:eastAsia="zh-CN"/>
        </w:rPr>
        <w:t>电</w:t>
      </w:r>
      <w:r>
        <w:rPr>
          <w:rFonts w:hint="eastAsia" w:ascii="宋体" w:hAnsi="宋体" w:eastAsia="宋体" w:cs="宋体"/>
          <w:color w:val="auto"/>
          <w:sz w:val="21"/>
          <w:szCs w:val="21"/>
          <w:highlight w:val="none"/>
          <w:lang w:val="en-US" w:eastAsia="zh-CN"/>
        </w:rPr>
        <w:t>气</w:t>
      </w:r>
      <w:r>
        <w:rPr>
          <w:rFonts w:hint="eastAsia" w:ascii="宋体" w:hAnsi="宋体" w:eastAsia="宋体" w:cs="宋体"/>
          <w:color w:val="auto"/>
          <w:sz w:val="21"/>
          <w:szCs w:val="21"/>
          <w:highlight w:val="none"/>
          <w:lang w:eastAsia="zh-CN"/>
        </w:rPr>
        <w:t>、仪表、机械等相关知识，了解海总平台原油生产及工艺设备基本知识；</w:t>
      </w:r>
    </w:p>
    <w:p>
      <w:pPr>
        <w:keepNext w:val="0"/>
        <w:keepLines w:val="0"/>
        <w:pageBreakBefore w:val="0"/>
        <w:shd w:val="clear"/>
        <w:kinsoku/>
        <w:wordWrap/>
        <w:overflowPunct/>
        <w:topLinePunct w:val="0"/>
        <w:bidi w:val="0"/>
        <w:spacing w:after="0" w:line="360" w:lineRule="auto"/>
        <w:ind w:left="0" w:leftChars="0" w:right="0" w:rightChars="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安全员(</w:t>
      </w:r>
      <w:r>
        <w:rPr>
          <w:rFonts w:hint="eastAsia" w:ascii="宋体" w:hAnsi="宋体" w:eastAsia="宋体" w:cs="宋体"/>
          <w:b/>
          <w:bCs/>
          <w:color w:val="auto"/>
          <w:sz w:val="21"/>
          <w:szCs w:val="21"/>
          <w:highlight w:val="none"/>
          <w:lang w:val="en-US" w:eastAsia="zh-CN"/>
        </w:rPr>
        <w:t>监护</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职能</w:t>
      </w:r>
      <w:r>
        <w:rPr>
          <w:rFonts w:hint="eastAsia" w:ascii="宋体" w:hAnsi="宋体" w:eastAsia="宋体" w:cs="宋体"/>
          <w:b/>
          <w:bCs/>
          <w:color w:val="auto"/>
          <w:sz w:val="21"/>
          <w:szCs w:val="21"/>
          <w:highlight w:val="none"/>
          <w:lang w:eastAsia="zh-CN"/>
        </w:rPr>
        <w:t>：</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持有可在海油设施海上工作的相关证书；</w:t>
      </w:r>
      <w:r>
        <w:rPr>
          <w:rFonts w:hint="eastAsia" w:ascii="宋体" w:hAnsi="宋体" w:eastAsia="宋体" w:cs="宋体"/>
          <w:b w:val="0"/>
          <w:bCs w:val="0"/>
          <w:color w:val="auto"/>
          <w:sz w:val="21"/>
          <w:szCs w:val="21"/>
          <w:highlight w:val="none"/>
          <w:lang w:val="en-US" w:eastAsia="zh-CN"/>
        </w:rPr>
        <w:t>（《海洋石油安全生产规定》第九条-出海作业人员应当接受海洋石油作业安全救生培训，经考核合格后方可出海作业</w:t>
      </w:r>
      <w:r>
        <w:rPr>
          <w:rStyle w:val="29"/>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如有更新标准按新标准执行）</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监护提供进入限制空间及动火监护员培训证书，安全员提供提供政府机构颁发的安全员C证；</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做好开工准备，检查所有施工人员及设备的证件，保证全部人员及设备持证（合格）上岗；</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掌握辨识的健康安全风险及环境因素，理解相应的预防措施；</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开工前针对本项目中具体的重要健康安全风险及环境因素做好员工的QHSE动员教育，提高员工的防范意识；</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明确工程中需要检查的QHSE项目和需要填写的表格及具体的填写要求，按时检查填写；</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负责施工安全和环保等管理事项，及现场安全工作落实和检查工作；</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配合检查人员的工作，对于发现的安全隐患和不符合QHSE要求的及时整改</w:t>
      </w:r>
      <w:bookmarkStart w:id="2" w:name="_Toc334449260"/>
      <w:r>
        <w:rPr>
          <w:rFonts w:hint="eastAsia" w:ascii="宋体" w:hAnsi="宋体" w:eastAsia="宋体" w:cs="宋体"/>
          <w:color w:val="auto"/>
          <w:sz w:val="21"/>
          <w:szCs w:val="21"/>
          <w:highlight w:val="none"/>
          <w:lang w:eastAsia="zh-CN"/>
        </w:rPr>
        <w:t>；</w:t>
      </w:r>
    </w:p>
    <w:p>
      <w:pPr>
        <w:pStyle w:val="13"/>
        <w:keepNext w:val="0"/>
        <w:keepLines w:val="0"/>
        <w:pageBreakBefore w:val="0"/>
        <w:numPr>
          <w:ilvl w:val="0"/>
          <w:numId w:val="3"/>
        </w:numPr>
        <w:shd w:val="clear" w:color="auto"/>
        <w:kinsoku/>
        <w:wordWrap/>
        <w:overflowPunct/>
        <w:topLinePunct w:val="0"/>
        <w:bidi w:val="0"/>
        <w:snapToGrid w:val="0"/>
        <w:spacing w:before="0" w:beforeAutospacing="0" w:after="0" w:afterAutospacing="0" w:line="360" w:lineRule="auto"/>
        <w:ind w:left="420" w:leftChars="0" w:right="0" w:rightChars="0" w:hanging="420" w:firstLine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了解各专业施工相关规范要求，熟悉海总及各施工现场规章制度（体系）、作业要求及检测仪器（仪表）使用；</w:t>
      </w:r>
    </w:p>
    <w:bookmarkEnd w:id="2"/>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主要施工人员职能：</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持有可在海油设施工作的相关证书。（《海洋石油安全生产规定》第九条-出海作业人员应当接受海洋石油作业安全救生培训，经考核合格后方可出海作业。如有更新标准按新标准执行） </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电焊工：</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具有有效期内的焊接与热切割作业操作证。（《特种作业人员安全技术培训考核管理规定》第五条-特种作业人员必须经专门的安全技术培训并考核合格，取得《中华人民共和国特种作业操作证》（ 以下简称特种作业操作证）后，方可上岗作业。和《海洋石油安全生产规定》第十条-特种作业人员应当按照安全监管总局有关规定经专门的安全技术培训，考核合格取得特种作业操作资格证书后方可上岗作业。如有更新标准按新标准执行）</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具有国家认可的第三方船检机构签发的有效期内结构或管线焊接等级证书（6G/6GR）；按照本技术要求内容执行。</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电工：具有有效期内的电气作业操作证；（《特种作业人员安全技术培训考核管理规定》第五条-特种作业人员必须经专门的安全技术培训并考核合格，取得《中华人民共和国特种作业操作证》（ 以下简称特种作业操作证）后，方可上岗作业。和 《海洋石油安全生产规定》第十条-特种作业人员应当按照安全监管总局有关规定经专门的安全技术培训，考核合格取得特种作业操作资格证书后方可上岗作业。如有更新标准按新标准执行）</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有国家或海油认可的特殊工种证书；（《特种作业人员安全技术培训考核管理规定》第五条-特种作业人员必须经专门的安全技术培训并考核合格，取得《中华人民共和国特种作业操作证》（以下简称特种作业操作证）后，方可上岗作业。和《海洋石油安全生产规定》第十条-特种作业人员应当按照安全监管总局有关规定经专门的安全技术培训，考核合格取得特种作业操作资格证书后方可上岗作业。如有更新标准按新标准执行）</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b/>
          <w:i w:val="0"/>
          <w:color w:val="000000"/>
          <w:sz w:val="21"/>
          <w:szCs w:val="21"/>
          <w:lang w:val="en-US" w:eastAsia="zh-CN"/>
        </w:rPr>
      </w:pPr>
      <w:r>
        <w:rPr>
          <w:rFonts w:hint="eastAsia" w:ascii="宋体" w:hAnsi="宋体" w:eastAsia="宋体" w:cs="宋体"/>
          <w:color w:val="auto"/>
          <w:sz w:val="21"/>
          <w:szCs w:val="21"/>
          <w:highlight w:val="none"/>
          <w:lang w:val="en-US" w:eastAsia="zh-CN"/>
        </w:rPr>
        <w:t>持证上岗，熟练使用专业工具；</w:t>
      </w:r>
    </w:p>
    <w:p>
      <w:pPr>
        <w:pageBreakBefore w:val="0"/>
        <w:numPr>
          <w:ilvl w:val="0"/>
          <w:numId w:val="1"/>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lang w:val="en-US" w:eastAsia="zh-CN"/>
        </w:rPr>
      </w:pPr>
      <w:r>
        <w:rPr>
          <w:rFonts w:hint="eastAsia" w:ascii="宋体" w:hAnsi="宋体" w:eastAsia="宋体" w:cs="宋体"/>
          <w:b/>
          <w:i w:val="0"/>
          <w:color w:val="000000"/>
          <w:sz w:val="26"/>
          <w:lang w:val="en-US" w:eastAsia="zh-CN"/>
        </w:rPr>
        <w:t>现场服务要求</w:t>
      </w:r>
    </w:p>
    <w:p>
      <w:pPr>
        <w:pStyle w:val="9"/>
        <w:pageBreakBefore w:val="0"/>
        <w:shd w:val="clear"/>
        <w:kinsoku/>
        <w:wordWrap/>
        <w:overflowPunct/>
        <w:topLinePunct w:val="0"/>
        <w:bidi w:val="0"/>
        <w:spacing w:after="0" w:line="360" w:lineRule="auto"/>
        <w:ind w:left="0" w:leftChars="0" w:right="0" w:rightChars="0" w:firstLine="199" w:firstLineChars="95"/>
        <w:jc w:val="both"/>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lang w:eastAsia="zh-CN"/>
        </w:rPr>
        <w:t>、设计/施工方案要求：</w:t>
      </w:r>
      <w:r>
        <w:rPr>
          <w:rFonts w:hint="eastAsia" w:ascii="宋体" w:hAnsi="宋体" w:eastAsia="宋体" w:cs="宋体"/>
          <w:color w:val="auto"/>
          <w:sz w:val="21"/>
          <w:szCs w:val="21"/>
          <w:highlight w:val="none"/>
          <w:lang w:val="en-US" w:eastAsia="zh-CN"/>
        </w:rPr>
        <w:t>乙方需根据项目需求，严格按照批复版的</w:t>
      </w:r>
      <w:r>
        <w:rPr>
          <w:rFonts w:hint="eastAsia" w:ascii="宋体" w:hAnsi="宋体" w:eastAsia="宋体" w:cs="宋体"/>
          <w:color w:val="auto"/>
          <w:sz w:val="21"/>
          <w:szCs w:val="21"/>
          <w:highlight w:val="none"/>
          <w:lang w:eastAsia="zh-CN"/>
        </w:rPr>
        <w:t>设计/施工方案</w:t>
      </w:r>
      <w:r>
        <w:rPr>
          <w:rFonts w:hint="eastAsia" w:ascii="宋体" w:hAnsi="宋体" w:eastAsia="宋体" w:cs="宋体"/>
          <w:color w:val="auto"/>
          <w:sz w:val="21"/>
          <w:szCs w:val="21"/>
          <w:highlight w:val="none"/>
          <w:lang w:val="en-US" w:eastAsia="zh-CN"/>
        </w:rPr>
        <w:t>执行；</w:t>
      </w:r>
    </w:p>
    <w:p>
      <w:pPr>
        <w:pStyle w:val="9"/>
        <w:pageBreakBefore w:val="0"/>
        <w:shd w:val="clear"/>
        <w:kinsoku/>
        <w:wordWrap/>
        <w:overflowPunct/>
        <w:topLinePunct w:val="0"/>
        <w:bidi w:val="0"/>
        <w:spacing w:after="0" w:line="360" w:lineRule="auto"/>
        <w:ind w:left="0" w:leftChars="0" w:right="0" w:rightChars="0" w:firstLine="210" w:firstLineChars="10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lang w:eastAsia="zh-CN"/>
        </w:rPr>
        <w:t>、服务具体要求：</w:t>
      </w:r>
    </w:p>
    <w:p>
      <w:pPr>
        <w:keepNext w:val="0"/>
        <w:keepLines w:val="0"/>
        <w:pageBreakBefore w:val="0"/>
        <w:widowControl w:val="0"/>
        <w:numPr>
          <w:ilvl w:val="0"/>
          <w:numId w:val="4"/>
        </w:numPr>
        <w:shd w:val="clear"/>
        <w:kinsoku/>
        <w:wordWrap/>
        <w:overflowPunct/>
        <w:topLinePunct w:val="0"/>
        <w:autoSpaceDE/>
        <w:autoSpaceDN/>
        <w:bidi w:val="0"/>
        <w:adjustRightInd w:val="0"/>
        <w:snapToGrid/>
        <w:spacing w:after="0" w:line="360" w:lineRule="auto"/>
        <w:ind w:left="420" w:leftChars="0" w:right="0" w:rightChars="0" w:hanging="420" w:firstLineChars="0"/>
        <w:jc w:val="both"/>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海上施工及调试的技术要求</w:t>
      </w:r>
    </w:p>
    <w:p>
      <w:pPr>
        <w:pStyle w:val="9"/>
        <w:keepNext w:val="0"/>
        <w:keepLines w:val="0"/>
        <w:pageBreakBefore w:val="0"/>
        <w:widowControl/>
        <w:shd w:val="clear"/>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本次服务包括结构、机械、配管、暖通、电仪讯、防腐、舾装、安全等专业的工作，乙方负责施工过程中的拆除、焊接、安装、连接、调试、扫线、水压试验、吹扫、清洁、干燥、过程检验、重量和尺寸控制以及改造过程的相关配合工作。乙方应最大程度的完成施工准备工作，尽可能减少海上施工和调试工作量。 </w:t>
      </w:r>
    </w:p>
    <w:p>
      <w:pPr>
        <w:pageBreakBefore w:val="0"/>
        <w:numPr>
          <w:ilvl w:val="0"/>
          <w:numId w:val="5"/>
        </w:numPr>
        <w:shd w:val="clear"/>
        <w:kinsoku/>
        <w:wordWrap/>
        <w:overflowPunct/>
        <w:topLinePunct w:val="0"/>
        <w:autoSpaceDE w:val="0"/>
        <w:autoSpaceDN w:val="0"/>
        <w:bidi w:val="0"/>
        <w:adjustRightInd w:val="0"/>
        <w:spacing w:after="0" w:line="360" w:lineRule="auto"/>
        <w:ind w:left="0" w:leftChars="0" w:right="0" w:rightChars="0" w:hanging="420" w:firstLineChars="0"/>
        <w:jc w:val="both"/>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通用要求 </w:t>
      </w:r>
    </w:p>
    <w:p>
      <w:pPr>
        <w:pStyle w:val="9"/>
        <w:keepNext w:val="0"/>
        <w:keepLines w:val="0"/>
        <w:pageBreakBefore w:val="0"/>
        <w:widowControl/>
        <w:shd w:val="clear"/>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bidi="ar-SA"/>
        </w:rPr>
        <w:t>1)</w:t>
      </w:r>
      <w:r>
        <w:rPr>
          <w:rFonts w:hint="eastAsia" w:ascii="宋体" w:hAnsi="宋体" w:eastAsia="宋体" w:cs="宋体"/>
          <w:color w:val="auto"/>
          <w:sz w:val="21"/>
          <w:szCs w:val="21"/>
          <w:highlight w:val="none"/>
          <w:lang w:val="en-US" w:eastAsia="zh-CN"/>
        </w:rPr>
        <w:t xml:space="preserve">乙方施工期间全体施工人员参加甲方组织的班前会、班后会及专项交底会议，会上对存在问题进行协调，对后面工作做出部署，并对当天工作进行技术和安全交底； </w:t>
      </w:r>
    </w:p>
    <w:p>
      <w:pPr>
        <w:pStyle w:val="9"/>
        <w:keepNext w:val="0"/>
        <w:keepLines w:val="0"/>
        <w:pageBreakBefore w:val="0"/>
        <w:widowControl/>
        <w:shd w:val="clear"/>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乙方在平台服务期间应满足平台管理方的管理要求，服从平台方的管理。施工期间应文明施工，严禁将施工垃圾扔入海中，如被平台方发现违反相关管理规定，向海中扔施工垃圾，乙方应负责清理干净，并负责平台投影面积外扩10米范围内的水下探摸，出具探摸报告，确保施工期间海底无施工垃圾。乙方应负责清理发生的相关费用。</w:t>
      </w:r>
    </w:p>
    <w:p>
      <w:pPr>
        <w:pageBreakBefore w:val="0"/>
        <w:numPr>
          <w:ilvl w:val="0"/>
          <w:numId w:val="1"/>
        </w:numPr>
        <w:kinsoku/>
        <w:wordWrap/>
        <w:overflowPunct/>
        <w:topLinePunct w:val="0"/>
        <w:bidi w:val="0"/>
        <w:spacing w:after="0" w:line="360" w:lineRule="auto"/>
        <w:ind w:left="0" w:leftChars="0" w:right="0" w:rightChars="0"/>
        <w:jc w:val="both"/>
        <w:outlineLvl w:val="9"/>
        <w:rPr>
          <w:rFonts w:hint="eastAsia" w:ascii="宋体" w:hAnsi="宋体" w:eastAsia="宋体" w:cs="宋体"/>
          <w:b/>
          <w:i w:val="0"/>
          <w:color w:val="000000"/>
          <w:sz w:val="26"/>
          <w:lang w:val="en-US" w:eastAsia="zh-CN"/>
        </w:rPr>
      </w:pPr>
      <w:r>
        <w:rPr>
          <w:rFonts w:hint="eastAsia" w:ascii="宋体" w:hAnsi="宋体" w:eastAsia="宋体" w:cs="宋体"/>
          <w:b/>
          <w:i w:val="0"/>
          <w:color w:val="000000"/>
          <w:sz w:val="26"/>
          <w:lang w:val="en-US" w:eastAsia="zh-CN"/>
        </w:rPr>
        <w:t>保密要求</w:t>
      </w:r>
    </w:p>
    <w:p>
      <w:pPr>
        <w:keepNext w:val="0"/>
        <w:keepLines w:val="0"/>
        <w:pageBreakBefore w:val="0"/>
        <w:widowControl/>
        <w:kinsoku/>
        <w:wordWrap/>
        <w:overflowPunct/>
        <w:topLinePunct w:val="0"/>
        <w:autoSpaceDE/>
        <w:autoSpaceDN/>
        <w:bidi w:val="0"/>
        <w:adjustRightInd/>
        <w:snapToGrid/>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除非法律法规、政府机关另行强制要求，未经甲方事先书面同意，乙方不得将甲方保密信息披露给任何第三方（包括与合同无关的乙方员工和政府部门），亦不得将该等信息用于与本合同无关的用途。保密信息包括但不限于：本合同内容；甲方提供的与本合同有关的任何技术信息、图纸、样本、资料等；甲方提供的或乙方获得的与项目或甲方有关的任何技术和商务信息。</w:t>
      </w:r>
    </w:p>
    <w:p>
      <w:pPr>
        <w:pageBreakBefore w:val="0"/>
        <w:numPr>
          <w:ilvl w:val="0"/>
          <w:numId w:val="6"/>
        </w:numPr>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r>
        <w:rPr>
          <w:rFonts w:hint="eastAsia" w:ascii="宋体" w:hAnsi="宋体" w:eastAsia="宋体" w:cs="宋体"/>
          <w:b/>
          <w:i w:val="0"/>
          <w:color w:val="000000"/>
          <w:sz w:val="32"/>
        </w:rPr>
        <w:t>服务及验收标准</w:t>
      </w:r>
    </w:p>
    <w:p>
      <w:pPr>
        <w:pageBreakBefore w:val="0"/>
        <w:numPr>
          <w:ilvl w:val="0"/>
          <w:numId w:val="7"/>
        </w:numPr>
        <w:shd w:val="clear"/>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按照本技术要求内容执行，</w:t>
      </w:r>
      <w:r>
        <w:rPr>
          <w:rFonts w:hint="eastAsia" w:ascii="宋体" w:hAnsi="宋体" w:eastAsia="宋体" w:cs="宋体"/>
          <w:color w:val="auto"/>
          <w:spacing w:val="0"/>
          <w:kern w:val="0"/>
          <w:sz w:val="21"/>
          <w:szCs w:val="21"/>
          <w:highlight w:val="none"/>
          <w:lang w:val="en-US" w:eastAsia="zh-CN" w:bidi="ar-SA"/>
        </w:rPr>
        <w:t>在执行期间，存在分阶段验收和一次性验收的情况，届时由具体项目的实际情况决定。</w:t>
      </w:r>
    </w:p>
    <w:p>
      <w:pPr>
        <w:pageBreakBefore w:val="0"/>
        <w:numPr>
          <w:ilvl w:val="0"/>
          <w:numId w:val="7"/>
        </w:numPr>
        <w:shd w:val="clear"/>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在保质期内由于维修质量造成的设备或者其他损失全部由乙方负责。质保期内，如因其乙方服务或工作成果存在任何缺陷或违反前述质保承诺，乙方应承担质保责任，采取修复措施或重新提供相关服务，直至消除该等缺陷。</w:t>
      </w:r>
    </w:p>
    <w:p>
      <w:pPr>
        <w:pageBreakBefore w:val="0"/>
        <w:numPr>
          <w:ilvl w:val="0"/>
          <w:numId w:val="7"/>
        </w:numPr>
        <w:shd w:val="clear"/>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bidi="ar-SA"/>
        </w:rPr>
        <w:t>质保期内，如乙方完成的工作或提交的工作成果存在违反以上情形，乙方应在收到甲方通知后2日内予以回复，并在甲方要求的合理时间内委派技术人员进行修复或重新实施相关工作（“整改工作”），直至工作或工作成果符合相关规定要求。如乙方人员未能按时实施整改工作，甲方有权委托第三方执行该等工作，因此发生的费用全部由乙方承担。该等费用的结算方式为：甲方将实际发生费用（即相关有效税务发票记载的金额）从本合同质量保证金中扣除或提取履约保函项下款项，如质量保证金/履约保函金额不足，则由乙方凭发票直接向甲方支付。整改后的工作的质保期自修复或重新实施之日起重新计算。</w:t>
      </w:r>
    </w:p>
    <w:p>
      <w:pPr>
        <w:pStyle w:val="6"/>
        <w:pageBreakBefore w:val="0"/>
        <w:numPr>
          <w:ilvl w:val="0"/>
          <w:numId w:val="7"/>
        </w:numPr>
        <w:shd w:val="clear"/>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sz w:val="21"/>
          <w:szCs w:val="21"/>
          <w:highlight w:val="none"/>
        </w:rPr>
        <w:t>验收的时间、地点、方式</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lang w:val="en-US" w:eastAsia="zh-CN"/>
        </w:rPr>
        <w:t>依据具体项目完工节点（包括阶段完工）、作业地点及验收的具体要求进行。</w:t>
      </w:r>
    </w:p>
    <w:p>
      <w:pPr>
        <w:pStyle w:val="6"/>
        <w:pageBreakBefore w:val="0"/>
        <w:numPr>
          <w:ilvl w:val="0"/>
          <w:numId w:val="7"/>
        </w:numPr>
        <w:shd w:val="clear"/>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未尽事宜按照合同条款执行。</w:t>
      </w:r>
    </w:p>
    <w:p>
      <w:pPr>
        <w:pStyle w:val="9"/>
        <w:pageBreakBefore w:val="0"/>
        <w:shd w:val="clear"/>
        <w:kinsoku/>
        <w:wordWrap/>
        <w:overflowPunct/>
        <w:topLinePunct w:val="0"/>
        <w:bidi w:val="0"/>
        <w:spacing w:after="0" w:line="360" w:lineRule="auto"/>
        <w:ind w:left="0" w:leftChars="0" w:right="0" w:rightChars="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2、验收标准：</w:t>
      </w:r>
    </w:p>
    <w:p>
      <w:pPr>
        <w:pageBreakBefore w:val="0"/>
        <w:numPr>
          <w:ilvl w:val="0"/>
          <w:numId w:val="8"/>
        </w:numPr>
        <w:shd w:val="clear"/>
        <w:kinsoku/>
        <w:wordWrap/>
        <w:overflowPunct/>
        <w:topLinePunct w:val="0"/>
        <w:bidi w:val="0"/>
        <w:spacing w:before="0" w:after="0" w:line="360" w:lineRule="auto"/>
        <w:ind w:left="420" w:leftChars="0" w:right="0" w:rightChars="0"/>
        <w:jc w:val="both"/>
        <w:outlineLvl w:val="9"/>
        <w:rPr>
          <w:rFonts w:hint="eastAsia" w:ascii="宋体" w:hAnsi="宋体" w:eastAsia="宋体" w:cs="宋体"/>
          <w:color w:val="auto"/>
          <w:sz w:val="21"/>
          <w:szCs w:val="21"/>
          <w:highlight w:val="none"/>
        </w:rPr>
      </w:pPr>
      <w:bookmarkStart w:id="3" w:name="_Toc24034"/>
      <w:r>
        <w:rPr>
          <w:rFonts w:hint="eastAsia" w:ascii="宋体" w:hAnsi="宋体" w:eastAsia="宋体" w:cs="宋体"/>
          <w:color w:val="auto"/>
          <w:sz w:val="21"/>
          <w:szCs w:val="21"/>
          <w:highlight w:val="none"/>
        </w:rPr>
        <w:t>服务标准；</w:t>
      </w:r>
      <w:bookmarkEnd w:id="3"/>
      <w:r>
        <w:rPr>
          <w:rFonts w:hint="eastAsia" w:ascii="宋体" w:hAnsi="宋体" w:eastAsia="宋体" w:cs="宋体"/>
          <w:color w:val="auto"/>
          <w:sz w:val="21"/>
          <w:szCs w:val="21"/>
          <w:highlight w:val="none"/>
        </w:rPr>
        <w:t>按照本技术要求内容</w:t>
      </w:r>
      <w:r>
        <w:rPr>
          <w:rFonts w:hint="eastAsia" w:ascii="宋体" w:hAnsi="宋体" w:eastAsia="宋体" w:cs="宋体"/>
          <w:color w:val="auto"/>
          <w:sz w:val="21"/>
          <w:szCs w:val="21"/>
          <w:highlight w:val="none"/>
          <w:lang w:val="en-US" w:eastAsia="zh-CN"/>
        </w:rPr>
        <w:t>执行；</w:t>
      </w:r>
      <w:r>
        <w:rPr>
          <w:rFonts w:hint="eastAsia" w:ascii="宋体" w:hAnsi="宋体" w:eastAsia="宋体" w:cs="宋体"/>
          <w:color w:val="auto"/>
          <w:sz w:val="21"/>
          <w:szCs w:val="21"/>
          <w:highlight w:val="none"/>
        </w:rPr>
        <w:t></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单位工程合格率为100%，优良率为94%以上 </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工程设备的完好率为100%，材料质量的合格率为100%</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控制和减少一般质量事故，杜绝重大及特别重大质量事故</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质量记录的完整性、准确性、符合性不低于95%</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顾客满意度追求100%；顾客投诉处理率100%</w:t>
      </w:r>
    </w:p>
    <w:p>
      <w:pPr>
        <w:pageBreakBefore w:val="0"/>
        <w:widowControl/>
        <w:numPr>
          <w:ilvl w:val="0"/>
          <w:numId w:val="9"/>
        </w:numPr>
        <w:shd w:val="clear"/>
        <w:tabs>
          <w:tab w:val="left" w:pos="284"/>
          <w:tab w:val="clear" w:pos="420"/>
        </w:tabs>
        <w:kinsoku/>
        <w:wordWrap/>
        <w:overflowPunct/>
        <w:topLinePunct w:val="0"/>
        <w:bidi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工程交工一次合格率为100%</w:t>
      </w:r>
    </w:p>
    <w:p>
      <w:pPr>
        <w:pageBreakBefore w:val="0"/>
        <w:numPr>
          <w:ilvl w:val="0"/>
          <w:numId w:val="8"/>
        </w:numPr>
        <w:shd w:val="clear"/>
        <w:kinsoku/>
        <w:wordWrap/>
        <w:overflowPunct/>
        <w:topLinePunct w:val="0"/>
        <w:bidi w:val="0"/>
        <w:spacing w:before="0" w:after="0" w:line="360" w:lineRule="auto"/>
        <w:ind w:left="420" w:leftChars="0" w:right="0" w:rightChars="0"/>
        <w:jc w:val="both"/>
        <w:outlineLvl w:val="9"/>
        <w:rPr>
          <w:rFonts w:hint="eastAsia" w:ascii="宋体" w:hAnsi="宋体" w:eastAsia="宋体" w:cs="宋体"/>
          <w:color w:val="auto"/>
          <w:sz w:val="21"/>
          <w:szCs w:val="21"/>
          <w:highlight w:val="none"/>
        </w:rPr>
      </w:pPr>
      <w:bookmarkStart w:id="4" w:name="_Toc25416"/>
      <w:r>
        <w:rPr>
          <w:rFonts w:hint="eastAsia" w:ascii="宋体" w:hAnsi="宋体" w:eastAsia="宋体" w:cs="宋体"/>
          <w:color w:val="auto"/>
          <w:sz w:val="21"/>
          <w:szCs w:val="21"/>
          <w:highlight w:val="none"/>
        </w:rPr>
        <w:t>验收标准；</w:t>
      </w:r>
      <w:bookmarkEnd w:id="4"/>
      <w:r>
        <w:rPr>
          <w:rFonts w:hint="eastAsia" w:ascii="宋体" w:hAnsi="宋体" w:eastAsia="宋体" w:cs="宋体"/>
          <w:color w:val="auto"/>
          <w:sz w:val="21"/>
          <w:szCs w:val="21"/>
          <w:highlight w:val="none"/>
        </w:rPr>
        <w:t>按照本技术要求内容</w:t>
      </w:r>
      <w:r>
        <w:rPr>
          <w:rFonts w:hint="eastAsia" w:cs="宋体"/>
          <w:color w:val="auto"/>
          <w:sz w:val="21"/>
          <w:szCs w:val="21"/>
          <w:highlight w:val="none"/>
          <w:lang w:val="en-US" w:eastAsia="zh-CN"/>
        </w:rPr>
        <w:t>验收；</w:t>
      </w:r>
    </w:p>
    <w:p>
      <w:pPr>
        <w:pageBreakBefore w:val="0"/>
        <w:numPr>
          <w:ilvl w:val="0"/>
          <w:numId w:val="10"/>
        </w:numPr>
        <w:shd w:val="clear"/>
        <w:tabs>
          <w:tab w:val="left" w:pos="709"/>
          <w:tab w:val="clear" w:pos="420"/>
        </w:tabs>
        <w:kinsoku/>
        <w:wordWrap/>
        <w:overflowPunct/>
        <w:topLinePunct w:val="0"/>
        <w:bidi w:val="0"/>
        <w:adjustRightInd w:val="0"/>
        <w:snapToGrid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t>如验收过程发现工作存在</w:t>
      </w:r>
      <w:r>
        <w:rPr>
          <w:rFonts w:hint="eastAsia" w:ascii="宋体" w:hAnsi="宋体" w:eastAsia="宋体" w:cs="宋体"/>
          <w:color w:val="auto"/>
          <w:sz w:val="21"/>
          <w:szCs w:val="21"/>
          <w:highlight w:val="none"/>
          <w:lang w:eastAsia="zh-CN"/>
        </w:rPr>
        <w:t>任何缺陷、瑕疵、疏漏，乙方应根据甲方的要求，立即采取一切必要、合理的补救措施排除该等缺陷、瑕疵和疏漏。乙方应承担因此发生的一切费用。</w:t>
      </w:r>
    </w:p>
    <w:p>
      <w:pPr>
        <w:pageBreakBefore w:val="0"/>
        <w:numPr>
          <w:ilvl w:val="0"/>
          <w:numId w:val="10"/>
        </w:numPr>
        <w:shd w:val="clear"/>
        <w:tabs>
          <w:tab w:val="left" w:pos="709"/>
          <w:tab w:val="clear" w:pos="420"/>
        </w:tabs>
        <w:kinsoku/>
        <w:wordWrap/>
        <w:overflowPunct/>
        <w:topLinePunct w:val="0"/>
        <w:bidi w:val="0"/>
        <w:adjustRightInd w:val="0"/>
        <w:snapToGrid w:val="0"/>
        <w:spacing w:after="0" w:line="360" w:lineRule="auto"/>
        <w:ind w:left="420" w:leftChars="0" w:right="0" w:rightChars="0" w:hanging="420" w:firstLineChars="0"/>
        <w:jc w:val="both"/>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乙方于工作期限结束前应提供符合要求的工作成果，并对工作成果的准确性、完整性负责。乙方交工资料的提交时间为完工验收后10天内。</w:t>
      </w:r>
    </w:p>
    <w:p>
      <w:pPr>
        <w:pageBreakBefore w:val="0"/>
        <w:numPr>
          <w:ilvl w:val="0"/>
          <w:numId w:val="8"/>
        </w:numPr>
        <w:shd w:val="clear"/>
        <w:kinsoku/>
        <w:wordWrap/>
        <w:overflowPunct/>
        <w:topLinePunct w:val="0"/>
        <w:bidi w:val="0"/>
        <w:spacing w:before="0" w:after="0" w:line="360" w:lineRule="auto"/>
        <w:ind w:left="420" w:leftChars="0" w:right="0" w:rightChars="0"/>
        <w:jc w:val="both"/>
        <w:outlineLvl w:val="9"/>
        <w:rPr>
          <w:rFonts w:hint="eastAsia" w:ascii="宋体" w:hAnsi="宋体" w:eastAsia="宋体" w:cs="宋体"/>
        </w:rPr>
      </w:pPr>
      <w:r>
        <w:rPr>
          <w:rFonts w:hint="eastAsia" w:ascii="宋体" w:hAnsi="宋体" w:eastAsia="宋体" w:cs="宋体"/>
          <w:color w:val="auto"/>
          <w:sz w:val="21"/>
          <w:szCs w:val="21"/>
          <w:highlight w:val="none"/>
          <w:lang w:val="en-US" w:eastAsia="zh-CN"/>
        </w:rPr>
        <w:t>根据项目需求提供完工资料，不局限于：</w:t>
      </w:r>
      <w:r>
        <w:rPr>
          <w:rFonts w:hint="eastAsia" w:ascii="宋体" w:hAnsi="宋体" w:eastAsia="宋体" w:cs="宋体"/>
          <w:color w:val="auto"/>
          <w:sz w:val="21"/>
          <w:szCs w:val="21"/>
          <w:highlight w:val="none"/>
        </w:rPr>
        <w:t>焊条发放记录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组对焊接报告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外观检查记录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焊缝检验记录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试验报告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涂装记录</w:t>
      </w:r>
      <w:r>
        <w:rPr>
          <w:rFonts w:hint="eastAsia" w:ascii="宋体" w:hAnsi="宋体" w:eastAsia="宋体" w:cs="宋体"/>
          <w:color w:val="auto"/>
          <w:sz w:val="21"/>
          <w:szCs w:val="21"/>
          <w:highlight w:val="none"/>
          <w:lang w:val="en-US" w:eastAsia="zh-CN"/>
        </w:rPr>
        <w:t>/电缆敷设记录/电缆校验记录/设备安装记录表/</w:t>
      </w:r>
      <w:r>
        <w:rPr>
          <w:rFonts w:hint="eastAsia" w:ascii="宋体" w:hAnsi="宋体" w:eastAsia="宋体" w:cs="宋体"/>
          <w:color w:val="auto"/>
          <w:sz w:val="21"/>
          <w:szCs w:val="21"/>
          <w:highlight w:val="none"/>
        </w:rPr>
        <w:t>完工报告纸质版及电子版</w:t>
      </w:r>
      <w:r>
        <w:rPr>
          <w:rFonts w:hint="eastAsia" w:ascii="宋体" w:hAnsi="宋体" w:eastAsia="宋体" w:cs="宋体"/>
          <w:color w:val="auto"/>
          <w:sz w:val="21"/>
          <w:szCs w:val="21"/>
          <w:highlight w:val="none"/>
          <w:lang w:val="en-US" w:eastAsia="zh-CN"/>
        </w:rPr>
        <w:t>等。</w:t>
      </w: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i w:val="0"/>
          <w:color w:val="000000"/>
          <w:sz w:val="32"/>
        </w:rPr>
        <w:t>七、质量保证</w:t>
      </w:r>
    </w:p>
    <w:p>
      <w:pPr>
        <w:pageBreakBefore w:val="0"/>
        <w:tabs>
          <w:tab w:val="left" w:pos="709"/>
        </w:tabs>
        <w:kinsoku/>
        <w:wordWrap/>
        <w:overflowPunct/>
        <w:topLinePunct w:val="0"/>
        <w:bidi w:val="0"/>
        <w:adjustRightInd w:val="0"/>
        <w:snapToGrid w:val="0"/>
        <w:spacing w:after="0" w:line="360" w:lineRule="auto"/>
        <w:ind w:left="0" w:leftChars="0" w:right="0" w:rightChars="0"/>
        <w:jc w:val="both"/>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乙方每完成验收标准关键步骤，先自检，自检合格后报</w:t>
      </w:r>
      <w:r>
        <w:rPr>
          <w:rFonts w:hint="eastAsia" w:cs="宋体"/>
          <w:sz w:val="21"/>
          <w:szCs w:val="21"/>
          <w:highlight w:val="none"/>
          <w:lang w:val="en-US" w:eastAsia="zh-CN"/>
        </w:rPr>
        <w:t>甲方</w:t>
      </w:r>
      <w:r>
        <w:rPr>
          <w:rFonts w:hint="eastAsia" w:ascii="宋体" w:hAnsi="宋体" w:eastAsia="宋体" w:cs="宋体"/>
          <w:sz w:val="21"/>
          <w:szCs w:val="21"/>
          <w:highlight w:val="none"/>
          <w:lang w:eastAsia="zh-CN"/>
        </w:rPr>
        <w:t>检验验收。</w:t>
      </w:r>
    </w:p>
    <w:p>
      <w:pPr>
        <w:pageBreakBefore w:val="0"/>
        <w:tabs>
          <w:tab w:val="left" w:pos="709"/>
        </w:tabs>
        <w:kinsoku/>
        <w:wordWrap/>
        <w:overflowPunct/>
        <w:topLinePunct w:val="0"/>
        <w:bidi w:val="0"/>
        <w:adjustRightInd w:val="0"/>
        <w:snapToGrid w:val="0"/>
        <w:spacing w:after="0" w:line="360" w:lineRule="auto"/>
        <w:ind w:left="0" w:leftChars="0" w:right="0" w:rightChars="0"/>
        <w:jc w:val="both"/>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2、乙方承诺，其任何工作和交付的工作成果符合本合同、法律法规、行业规范、标准和良好的行业惯例的要求，不存在任何缺陷。</w:t>
      </w:r>
    </w:p>
    <w:p>
      <w:pPr>
        <w:pageBreakBefore w:val="0"/>
        <w:tabs>
          <w:tab w:val="left" w:pos="709"/>
        </w:tabs>
        <w:kinsoku/>
        <w:wordWrap/>
        <w:overflowPunct/>
        <w:topLinePunct w:val="0"/>
        <w:bidi w:val="0"/>
        <w:adjustRightInd w:val="0"/>
        <w:snapToGrid w:val="0"/>
        <w:spacing w:after="0" w:line="360" w:lineRule="auto"/>
        <w:ind w:left="0" w:leftChars="0" w:right="0" w:rightChars="0"/>
        <w:jc w:val="both"/>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3、质保期</w:t>
      </w:r>
      <w:r>
        <w:rPr>
          <w:rFonts w:hint="eastAsia" w:cs="宋体"/>
          <w:sz w:val="21"/>
          <w:szCs w:val="21"/>
          <w:highlight w:val="none"/>
          <w:lang w:val="en-US" w:eastAsia="zh-CN"/>
        </w:rPr>
        <w:t>：按照合同条款执行；</w:t>
      </w:r>
    </w:p>
    <w:p>
      <w:pPr>
        <w:pageBreakBefore w:val="0"/>
        <w:tabs>
          <w:tab w:val="left" w:pos="709"/>
        </w:tabs>
        <w:kinsoku/>
        <w:wordWrap/>
        <w:overflowPunct/>
        <w:topLinePunct w:val="0"/>
        <w:bidi w:val="0"/>
        <w:adjustRightInd w:val="0"/>
        <w:snapToGrid w:val="0"/>
        <w:spacing w:after="0" w:line="360" w:lineRule="auto"/>
        <w:ind w:left="0" w:leftChars="0" w:right="0" w:rightChars="0"/>
        <w:jc w:val="both"/>
        <w:outlineLvl w:val="9"/>
        <w:rPr>
          <w:rFonts w:hint="eastAsia" w:ascii="宋体" w:hAnsi="宋体" w:eastAsia="宋体" w:cs="宋体"/>
          <w:sz w:val="21"/>
          <w:szCs w:val="21"/>
        </w:rPr>
      </w:pPr>
      <w:r>
        <w:rPr>
          <w:rFonts w:hint="eastAsia" w:ascii="宋体" w:hAnsi="宋体" w:eastAsia="宋体" w:cs="宋体"/>
          <w:sz w:val="21"/>
          <w:szCs w:val="21"/>
          <w:highlight w:val="none"/>
          <w:lang w:val="en-US" w:eastAsia="zh-CN"/>
        </w:rPr>
        <w:t>4、对于质保期内的任何整改工作，乙方应编制实施方案报甲方批准。相关工作完成后，乙方应进行检验，并出具相关报告。</w:t>
      </w:r>
    </w:p>
    <w:p>
      <w:pPr>
        <w:pageBreakBefore w:val="0"/>
        <w:kinsoku/>
        <w:wordWrap/>
        <w:overflowPunct/>
        <w:topLinePunct w:val="0"/>
        <w:bidi w:val="0"/>
        <w:spacing w:before="0" w:after="0" w:line="360" w:lineRule="auto"/>
        <w:ind w:left="0" w:leftChars="0" w:right="0" w:rightChars="0"/>
        <w:jc w:val="both"/>
        <w:outlineLvl w:val="9"/>
        <w:rPr>
          <w:rFonts w:hint="eastAsia" w:ascii="宋体" w:hAnsi="宋体" w:eastAsia="宋体" w:cs="宋体"/>
          <w:b/>
          <w:i w:val="0"/>
          <w:color w:val="000000"/>
          <w:sz w:val="32"/>
        </w:rPr>
      </w:pPr>
      <w:r>
        <w:rPr>
          <w:rFonts w:hint="eastAsia" w:ascii="宋体" w:hAnsi="宋体" w:eastAsia="宋体" w:cs="宋体"/>
          <w:b/>
          <w:i w:val="0"/>
          <w:color w:val="000000"/>
          <w:sz w:val="32"/>
        </w:rPr>
        <w:t>八、其他要求</w:t>
      </w:r>
    </w:p>
    <w:p>
      <w:pPr>
        <w:pageBreakBefore w:val="0"/>
        <w:tabs>
          <w:tab w:val="left" w:pos="709"/>
        </w:tabs>
        <w:kinsoku/>
        <w:wordWrap/>
        <w:overflowPunct/>
        <w:topLinePunct w:val="0"/>
        <w:bidi w:val="0"/>
        <w:adjustRightInd w:val="0"/>
        <w:snapToGrid w:val="0"/>
        <w:spacing w:after="0" w:line="360" w:lineRule="auto"/>
        <w:ind w:left="0" w:leftChars="0" w:right="0" w:rightChars="0"/>
        <w:jc w:val="both"/>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未尽事宜按照合同条款执行；</w:t>
      </w: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p>
    <w:p>
      <w:pPr>
        <w:pageBreakBefore w:val="0"/>
        <w:kinsoku/>
        <w:wordWrap/>
        <w:overflowPunct/>
        <w:topLinePunct w:val="0"/>
        <w:bidi w:val="0"/>
        <w:spacing w:after="0" w:line="360" w:lineRule="auto"/>
        <w:ind w:left="0" w:leftChars="0" w:right="0" w:rightChars="0"/>
        <w:jc w:val="both"/>
        <w:outlineLvl w:val="9"/>
        <w:rPr>
          <w:rFonts w:hint="eastAsia" w:ascii="宋体" w:hAnsi="宋体" w:eastAsia="宋体" w:cs="宋体"/>
        </w:rPr>
      </w:pPr>
      <w:r>
        <w:rPr>
          <w:rFonts w:hint="eastAsia" w:ascii="宋体" w:hAnsi="宋体" w:eastAsia="宋体" w:cs="宋体"/>
          <w:b w:val="0"/>
          <w:i w:val="0"/>
          <w:color w:val="000000"/>
          <w:sz w:val="24"/>
        </w:rPr>
        <w:t xml:space="preserve"> </w:t>
      </w: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63BFF"/>
    <w:multiLevelType w:val="singleLevel"/>
    <w:tmpl w:val="85A63BFF"/>
    <w:lvl w:ilvl="0" w:tentative="0">
      <w:start w:val="1"/>
      <w:numFmt w:val="bullet"/>
      <w:lvlText w:val=""/>
      <w:lvlJc w:val="left"/>
      <w:pPr>
        <w:tabs>
          <w:tab w:val="left" w:pos="420"/>
        </w:tabs>
        <w:ind w:left="840" w:hanging="420"/>
      </w:pPr>
      <w:rPr>
        <w:rFonts w:hint="default" w:ascii="Wingdings" w:hAnsi="Wingdings"/>
      </w:rPr>
    </w:lvl>
  </w:abstractNum>
  <w:abstractNum w:abstractNumId="1">
    <w:nsid w:val="8867186E"/>
    <w:multiLevelType w:val="singleLevel"/>
    <w:tmpl w:val="8867186E"/>
    <w:lvl w:ilvl="0" w:tentative="0">
      <w:start w:val="1"/>
      <w:numFmt w:val="bullet"/>
      <w:lvlText w:val=""/>
      <w:lvlJc w:val="left"/>
      <w:pPr>
        <w:tabs>
          <w:tab w:val="left" w:pos="420"/>
        </w:tabs>
        <w:ind w:left="840" w:hanging="420"/>
      </w:pPr>
      <w:rPr>
        <w:rFonts w:hint="default" w:ascii="Wingdings" w:hAnsi="Wingdings"/>
      </w:rPr>
    </w:lvl>
  </w:abstractNum>
  <w:abstractNum w:abstractNumId="2">
    <w:nsid w:val="9E92D72A"/>
    <w:multiLevelType w:val="singleLevel"/>
    <w:tmpl w:val="9E92D72A"/>
    <w:lvl w:ilvl="0" w:tentative="0">
      <w:start w:val="1"/>
      <w:numFmt w:val="bullet"/>
      <w:lvlText w:val=""/>
      <w:lvlJc w:val="left"/>
      <w:pPr>
        <w:tabs>
          <w:tab w:val="left" w:pos="420"/>
        </w:tabs>
        <w:ind w:left="840" w:hanging="420"/>
      </w:pPr>
      <w:rPr>
        <w:rFonts w:hint="default" w:ascii="Wingdings" w:hAnsi="Wingdings"/>
      </w:rPr>
    </w:lvl>
  </w:abstractNum>
  <w:abstractNum w:abstractNumId="3">
    <w:nsid w:val="CE426CF7"/>
    <w:multiLevelType w:val="singleLevel"/>
    <w:tmpl w:val="CE426CF7"/>
    <w:lvl w:ilvl="0" w:tentative="0">
      <w:start w:val="1"/>
      <w:numFmt w:val="bullet"/>
      <w:lvlText w:val=""/>
      <w:lvlJc w:val="left"/>
      <w:pPr>
        <w:tabs>
          <w:tab w:val="left" w:pos="420"/>
        </w:tabs>
        <w:ind w:left="840" w:hanging="420"/>
      </w:pPr>
      <w:rPr>
        <w:rFonts w:hint="default" w:ascii="Wingdings" w:hAnsi="Wingdings"/>
      </w:rPr>
    </w:lvl>
  </w:abstractNum>
  <w:abstractNum w:abstractNumId="4">
    <w:nsid w:val="E2E1F277"/>
    <w:multiLevelType w:val="singleLevel"/>
    <w:tmpl w:val="E2E1F277"/>
    <w:lvl w:ilvl="0" w:tentative="0">
      <w:start w:val="6"/>
      <w:numFmt w:val="chineseCounting"/>
      <w:suff w:val="nothing"/>
      <w:lvlText w:val="%1、"/>
      <w:lvlJc w:val="left"/>
      <w:rPr>
        <w:rFonts w:hint="eastAsia"/>
      </w:rPr>
    </w:lvl>
  </w:abstractNum>
  <w:abstractNum w:abstractNumId="5">
    <w:nsid w:val="ED3FFC9A"/>
    <w:multiLevelType w:val="singleLevel"/>
    <w:tmpl w:val="ED3FFC9A"/>
    <w:lvl w:ilvl="0" w:tentative="0">
      <w:start w:val="1"/>
      <w:numFmt w:val="bullet"/>
      <w:lvlText w:val=""/>
      <w:lvlJc w:val="left"/>
      <w:pPr>
        <w:tabs>
          <w:tab w:val="left" w:pos="420"/>
        </w:tabs>
        <w:ind w:left="840" w:hanging="420"/>
      </w:pPr>
      <w:rPr>
        <w:rFonts w:hint="default" w:ascii="Wingdings" w:hAnsi="Wingdings"/>
      </w:rPr>
    </w:lvl>
  </w:abstractNum>
  <w:abstractNum w:abstractNumId="6">
    <w:nsid w:val="EDA51B6C"/>
    <w:multiLevelType w:val="singleLevel"/>
    <w:tmpl w:val="EDA51B6C"/>
    <w:lvl w:ilvl="0" w:tentative="0">
      <w:start w:val="2"/>
      <w:numFmt w:val="decimal"/>
      <w:lvlText w:val="%1."/>
      <w:lvlJc w:val="left"/>
      <w:pPr>
        <w:tabs>
          <w:tab w:val="left" w:pos="312"/>
        </w:tabs>
      </w:pPr>
    </w:lvl>
  </w:abstractNum>
  <w:abstractNum w:abstractNumId="7">
    <w:nsid w:val="F0379ABB"/>
    <w:multiLevelType w:val="singleLevel"/>
    <w:tmpl w:val="F0379ABB"/>
    <w:lvl w:ilvl="0" w:tentative="0">
      <w:start w:val="1"/>
      <w:numFmt w:val="bullet"/>
      <w:lvlText w:val=""/>
      <w:lvlJc w:val="left"/>
      <w:pPr>
        <w:tabs>
          <w:tab w:val="left" w:pos="420"/>
        </w:tabs>
        <w:ind w:left="840" w:hanging="420"/>
      </w:pPr>
      <w:rPr>
        <w:rFonts w:hint="default" w:ascii="Wingdings" w:hAnsi="Wingdings"/>
      </w:rPr>
    </w:lvl>
  </w:abstractNum>
  <w:abstractNum w:abstractNumId="8">
    <w:nsid w:val="023FD2B6"/>
    <w:multiLevelType w:val="singleLevel"/>
    <w:tmpl w:val="023FD2B6"/>
    <w:lvl w:ilvl="0" w:tentative="0">
      <w:start w:val="1"/>
      <w:numFmt w:val="bullet"/>
      <w:lvlText w:val=""/>
      <w:lvlJc w:val="left"/>
      <w:pPr>
        <w:ind w:left="420" w:hanging="420"/>
      </w:pPr>
      <w:rPr>
        <w:rFonts w:hint="default" w:ascii="Wingdings" w:hAnsi="Wingdings"/>
      </w:rPr>
    </w:lvl>
  </w:abstractNum>
  <w:abstractNum w:abstractNumId="9">
    <w:nsid w:val="5D3054DD"/>
    <w:multiLevelType w:val="multilevel"/>
    <w:tmpl w:val="5D3054DD"/>
    <w:lvl w:ilvl="0" w:tentative="0">
      <w:start w:val="1"/>
      <w:numFmt w:val="lowerLetter"/>
      <w:lvlText w:val="%1)"/>
      <w:lvlJc w:val="left"/>
      <w:pPr>
        <w:tabs>
          <w:tab w:val="left" w:pos="420"/>
        </w:tabs>
        <w:ind w:left="1260" w:hanging="420"/>
      </w:pPr>
    </w:lvl>
    <w:lvl w:ilvl="1" w:tentative="0">
      <w:start w:val="1"/>
      <w:numFmt w:val="lowerLetter"/>
      <w:lvlText w:val="%2)"/>
      <w:lvlJc w:val="left"/>
      <w:pPr>
        <w:tabs>
          <w:tab w:val="left" w:pos="420"/>
        </w:tabs>
        <w:ind w:left="1680" w:hanging="420"/>
      </w:pPr>
    </w:lvl>
    <w:lvl w:ilvl="2" w:tentative="0">
      <w:start w:val="1"/>
      <w:numFmt w:val="lowerRoman"/>
      <w:lvlText w:val="%3."/>
      <w:lvlJc w:val="right"/>
      <w:pPr>
        <w:tabs>
          <w:tab w:val="left" w:pos="420"/>
        </w:tabs>
        <w:ind w:left="2100" w:hanging="420"/>
      </w:pPr>
    </w:lvl>
    <w:lvl w:ilvl="3" w:tentative="0">
      <w:start w:val="1"/>
      <w:numFmt w:val="decimal"/>
      <w:lvlText w:val="%4."/>
      <w:lvlJc w:val="left"/>
      <w:pPr>
        <w:tabs>
          <w:tab w:val="left" w:pos="420"/>
        </w:tabs>
        <w:ind w:left="2520" w:hanging="420"/>
      </w:pPr>
    </w:lvl>
    <w:lvl w:ilvl="4" w:tentative="0">
      <w:start w:val="1"/>
      <w:numFmt w:val="lowerLetter"/>
      <w:lvlText w:val="%5)"/>
      <w:lvlJc w:val="left"/>
      <w:pPr>
        <w:tabs>
          <w:tab w:val="left" w:pos="420"/>
        </w:tabs>
        <w:ind w:left="2940" w:hanging="420"/>
      </w:pPr>
    </w:lvl>
    <w:lvl w:ilvl="5" w:tentative="0">
      <w:start w:val="1"/>
      <w:numFmt w:val="lowerRoman"/>
      <w:lvlText w:val="%6."/>
      <w:lvlJc w:val="right"/>
      <w:pPr>
        <w:tabs>
          <w:tab w:val="left" w:pos="420"/>
        </w:tabs>
        <w:ind w:left="3360" w:hanging="420"/>
      </w:pPr>
    </w:lvl>
    <w:lvl w:ilvl="6" w:tentative="0">
      <w:start w:val="1"/>
      <w:numFmt w:val="decimal"/>
      <w:lvlText w:val="%7."/>
      <w:lvlJc w:val="left"/>
      <w:pPr>
        <w:tabs>
          <w:tab w:val="left" w:pos="420"/>
        </w:tabs>
        <w:ind w:left="3780" w:hanging="420"/>
      </w:pPr>
    </w:lvl>
    <w:lvl w:ilvl="7" w:tentative="0">
      <w:start w:val="1"/>
      <w:numFmt w:val="lowerLetter"/>
      <w:lvlText w:val="%8)"/>
      <w:lvlJc w:val="left"/>
      <w:pPr>
        <w:tabs>
          <w:tab w:val="left" w:pos="420"/>
        </w:tabs>
        <w:ind w:left="4200" w:hanging="420"/>
      </w:pPr>
    </w:lvl>
    <w:lvl w:ilvl="8" w:tentative="0">
      <w:start w:val="1"/>
      <w:numFmt w:val="lowerRoman"/>
      <w:lvlText w:val="%9."/>
      <w:lvlJc w:val="right"/>
      <w:pPr>
        <w:tabs>
          <w:tab w:val="left" w:pos="420"/>
        </w:tabs>
        <w:ind w:left="4620" w:hanging="420"/>
      </w:pPr>
    </w:lvl>
  </w:abstractNum>
  <w:num w:numId="1">
    <w:abstractNumId w:val="6"/>
  </w:num>
  <w:num w:numId="2">
    <w:abstractNumId w:val="2"/>
  </w:num>
  <w:num w:numId="3">
    <w:abstractNumId w:val="1"/>
  </w:num>
  <w:num w:numId="4">
    <w:abstractNumId w:val="0"/>
  </w:num>
  <w:num w:numId="5">
    <w:abstractNumId w:val="8"/>
  </w:num>
  <w:num w:numId="6">
    <w:abstractNumId w:val="4"/>
  </w:num>
  <w:num w:numId="7">
    <w:abstractNumId w:val="3"/>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A972EC"/>
    <w:rsid w:val="010740BD"/>
    <w:rsid w:val="010E70F1"/>
    <w:rsid w:val="01D07389"/>
    <w:rsid w:val="02765598"/>
    <w:rsid w:val="02E24306"/>
    <w:rsid w:val="038E4D60"/>
    <w:rsid w:val="04BD0CD5"/>
    <w:rsid w:val="04C32BDF"/>
    <w:rsid w:val="04D506BE"/>
    <w:rsid w:val="05C32781"/>
    <w:rsid w:val="06447858"/>
    <w:rsid w:val="06FE2509"/>
    <w:rsid w:val="072322DF"/>
    <w:rsid w:val="08191757"/>
    <w:rsid w:val="081C4913"/>
    <w:rsid w:val="08984829"/>
    <w:rsid w:val="09D71932"/>
    <w:rsid w:val="0ABE50A9"/>
    <w:rsid w:val="0ADD670E"/>
    <w:rsid w:val="0BF51A39"/>
    <w:rsid w:val="0C023496"/>
    <w:rsid w:val="0C832815"/>
    <w:rsid w:val="0CCE17EE"/>
    <w:rsid w:val="0D312A7C"/>
    <w:rsid w:val="0DA4187D"/>
    <w:rsid w:val="0DEA2B82"/>
    <w:rsid w:val="0E1837F4"/>
    <w:rsid w:val="0E7E6F6F"/>
    <w:rsid w:val="0F20565C"/>
    <w:rsid w:val="0F2359D5"/>
    <w:rsid w:val="0F9D14C5"/>
    <w:rsid w:val="102D2316"/>
    <w:rsid w:val="10663775"/>
    <w:rsid w:val="107B5820"/>
    <w:rsid w:val="10A97373"/>
    <w:rsid w:val="11186A50"/>
    <w:rsid w:val="111C7A20"/>
    <w:rsid w:val="116C7B9B"/>
    <w:rsid w:val="11EF19A2"/>
    <w:rsid w:val="128A6237"/>
    <w:rsid w:val="12AF0B79"/>
    <w:rsid w:val="12CF28EA"/>
    <w:rsid w:val="136746BD"/>
    <w:rsid w:val="149E1860"/>
    <w:rsid w:val="14E22D08"/>
    <w:rsid w:val="158B1FE8"/>
    <w:rsid w:val="15F77E3E"/>
    <w:rsid w:val="16A00F8B"/>
    <w:rsid w:val="17265757"/>
    <w:rsid w:val="179B6EB9"/>
    <w:rsid w:val="184B7D68"/>
    <w:rsid w:val="196C53FC"/>
    <w:rsid w:val="19E5590B"/>
    <w:rsid w:val="19E6347B"/>
    <w:rsid w:val="1A5439C0"/>
    <w:rsid w:val="1B3E65B2"/>
    <w:rsid w:val="1BB116FE"/>
    <w:rsid w:val="1D134AD6"/>
    <w:rsid w:val="1DBE341E"/>
    <w:rsid w:val="1DE13B91"/>
    <w:rsid w:val="1E982F7E"/>
    <w:rsid w:val="1EF763B9"/>
    <w:rsid w:val="1F1B770B"/>
    <w:rsid w:val="203A3726"/>
    <w:rsid w:val="2149152C"/>
    <w:rsid w:val="215757C2"/>
    <w:rsid w:val="21635AC5"/>
    <w:rsid w:val="21DA2518"/>
    <w:rsid w:val="21DD349D"/>
    <w:rsid w:val="22FC5AF3"/>
    <w:rsid w:val="24032E22"/>
    <w:rsid w:val="251A25EA"/>
    <w:rsid w:val="271B554B"/>
    <w:rsid w:val="27612ED8"/>
    <w:rsid w:val="276734B3"/>
    <w:rsid w:val="2857083D"/>
    <w:rsid w:val="29CD2BCE"/>
    <w:rsid w:val="29D942D0"/>
    <w:rsid w:val="2A6A6FA4"/>
    <w:rsid w:val="2AC12920"/>
    <w:rsid w:val="2ACC2BBA"/>
    <w:rsid w:val="2B5B43C1"/>
    <w:rsid w:val="2C793980"/>
    <w:rsid w:val="2CC82306"/>
    <w:rsid w:val="2CCF1C91"/>
    <w:rsid w:val="2CD26499"/>
    <w:rsid w:val="2E075211"/>
    <w:rsid w:val="2E3E3A4B"/>
    <w:rsid w:val="2E9F6689"/>
    <w:rsid w:val="2EA22E91"/>
    <w:rsid w:val="30646375"/>
    <w:rsid w:val="314246DE"/>
    <w:rsid w:val="31697630"/>
    <w:rsid w:val="319026FD"/>
    <w:rsid w:val="31CF55C7"/>
    <w:rsid w:val="32036D1A"/>
    <w:rsid w:val="32B62696"/>
    <w:rsid w:val="332116F0"/>
    <w:rsid w:val="33317410"/>
    <w:rsid w:val="33C5697B"/>
    <w:rsid w:val="34CE2DFE"/>
    <w:rsid w:val="34F916AD"/>
    <w:rsid w:val="34FB227B"/>
    <w:rsid w:val="352C5D76"/>
    <w:rsid w:val="35496C68"/>
    <w:rsid w:val="35D03558"/>
    <w:rsid w:val="35EF3D8B"/>
    <w:rsid w:val="36536868"/>
    <w:rsid w:val="36643DCC"/>
    <w:rsid w:val="367C1473"/>
    <w:rsid w:val="3684230E"/>
    <w:rsid w:val="36FD4EC4"/>
    <w:rsid w:val="379C734C"/>
    <w:rsid w:val="38234F3E"/>
    <w:rsid w:val="38333BBA"/>
    <w:rsid w:val="387E56F1"/>
    <w:rsid w:val="38984C65"/>
    <w:rsid w:val="39CA62DC"/>
    <w:rsid w:val="3A5B0CEF"/>
    <w:rsid w:val="3BB62D11"/>
    <w:rsid w:val="3BC95DA1"/>
    <w:rsid w:val="3C2F484C"/>
    <w:rsid w:val="3C770D0A"/>
    <w:rsid w:val="3CAA0A65"/>
    <w:rsid w:val="3CC2183C"/>
    <w:rsid w:val="3D3C5C83"/>
    <w:rsid w:val="3DD2229E"/>
    <w:rsid w:val="3E322D18"/>
    <w:rsid w:val="3FB837EB"/>
    <w:rsid w:val="4057049F"/>
    <w:rsid w:val="40662CB8"/>
    <w:rsid w:val="407D51B2"/>
    <w:rsid w:val="41300182"/>
    <w:rsid w:val="42075459"/>
    <w:rsid w:val="429C4E56"/>
    <w:rsid w:val="42A95270"/>
    <w:rsid w:val="42DE2C83"/>
    <w:rsid w:val="445709AF"/>
    <w:rsid w:val="44753296"/>
    <w:rsid w:val="45707D87"/>
    <w:rsid w:val="45955E38"/>
    <w:rsid w:val="45A5284F"/>
    <w:rsid w:val="45B71E2A"/>
    <w:rsid w:val="469C7571"/>
    <w:rsid w:val="472753B2"/>
    <w:rsid w:val="4773060B"/>
    <w:rsid w:val="485350A5"/>
    <w:rsid w:val="48DB3696"/>
    <w:rsid w:val="490C4C58"/>
    <w:rsid w:val="4C020640"/>
    <w:rsid w:val="4C075A4E"/>
    <w:rsid w:val="4C0D4452"/>
    <w:rsid w:val="4C226976"/>
    <w:rsid w:val="4C6111C2"/>
    <w:rsid w:val="4C9011A8"/>
    <w:rsid w:val="4CD40C43"/>
    <w:rsid w:val="4CDB5DA5"/>
    <w:rsid w:val="4D310D32"/>
    <w:rsid w:val="4D524AEA"/>
    <w:rsid w:val="4D930161"/>
    <w:rsid w:val="4E3A259B"/>
    <w:rsid w:val="4EE90083"/>
    <w:rsid w:val="4F036A2F"/>
    <w:rsid w:val="500278C3"/>
    <w:rsid w:val="514214DC"/>
    <w:rsid w:val="516D24F1"/>
    <w:rsid w:val="51756528"/>
    <w:rsid w:val="52711BCE"/>
    <w:rsid w:val="52F36A29"/>
    <w:rsid w:val="547A32A8"/>
    <w:rsid w:val="568B1FB7"/>
    <w:rsid w:val="56DF2712"/>
    <w:rsid w:val="570507AC"/>
    <w:rsid w:val="57194E75"/>
    <w:rsid w:val="576461EE"/>
    <w:rsid w:val="57722F85"/>
    <w:rsid w:val="584C06EA"/>
    <w:rsid w:val="5A81068A"/>
    <w:rsid w:val="5B4F27D8"/>
    <w:rsid w:val="5C533E08"/>
    <w:rsid w:val="5CCB27CD"/>
    <w:rsid w:val="5D3E3A06"/>
    <w:rsid w:val="5DDB5030"/>
    <w:rsid w:val="5DF47840"/>
    <w:rsid w:val="5F747E61"/>
    <w:rsid w:val="5F813FC0"/>
    <w:rsid w:val="5FE274DC"/>
    <w:rsid w:val="60344795"/>
    <w:rsid w:val="60A35848"/>
    <w:rsid w:val="60E6197D"/>
    <w:rsid w:val="6143643E"/>
    <w:rsid w:val="61D91B96"/>
    <w:rsid w:val="61F43B8F"/>
    <w:rsid w:val="624837BF"/>
    <w:rsid w:val="62731D94"/>
    <w:rsid w:val="63646F93"/>
    <w:rsid w:val="642344A2"/>
    <w:rsid w:val="653B6D24"/>
    <w:rsid w:val="653F54CE"/>
    <w:rsid w:val="65813558"/>
    <w:rsid w:val="665E1984"/>
    <w:rsid w:val="67862220"/>
    <w:rsid w:val="6787315C"/>
    <w:rsid w:val="679D3431"/>
    <w:rsid w:val="679D64DC"/>
    <w:rsid w:val="682A2E18"/>
    <w:rsid w:val="6A0546FF"/>
    <w:rsid w:val="6AC2366C"/>
    <w:rsid w:val="6BBD2A63"/>
    <w:rsid w:val="6E7064BC"/>
    <w:rsid w:val="6E77100D"/>
    <w:rsid w:val="6FA9085B"/>
    <w:rsid w:val="701E2CFF"/>
    <w:rsid w:val="71117E32"/>
    <w:rsid w:val="713B7C54"/>
    <w:rsid w:val="71772037"/>
    <w:rsid w:val="71980BBF"/>
    <w:rsid w:val="72326EE7"/>
    <w:rsid w:val="725E77DC"/>
    <w:rsid w:val="730D5951"/>
    <w:rsid w:val="73614488"/>
    <w:rsid w:val="739545B0"/>
    <w:rsid w:val="73FB7D1A"/>
    <w:rsid w:val="74350C36"/>
    <w:rsid w:val="74CC462D"/>
    <w:rsid w:val="7506570B"/>
    <w:rsid w:val="75653527"/>
    <w:rsid w:val="759852E6"/>
    <w:rsid w:val="76315B8E"/>
    <w:rsid w:val="7684397E"/>
    <w:rsid w:val="77100FE4"/>
    <w:rsid w:val="7734249D"/>
    <w:rsid w:val="77966CBE"/>
    <w:rsid w:val="78632A79"/>
    <w:rsid w:val="787C3AB9"/>
    <w:rsid w:val="78C706B5"/>
    <w:rsid w:val="795A4046"/>
    <w:rsid w:val="7A3C62E8"/>
    <w:rsid w:val="7A417F22"/>
    <w:rsid w:val="7A60132A"/>
    <w:rsid w:val="7AFF15FB"/>
    <w:rsid w:val="7B455E5D"/>
    <w:rsid w:val="7C3F4629"/>
    <w:rsid w:val="7C5B3A94"/>
    <w:rsid w:val="7D4A49D8"/>
    <w:rsid w:val="7D952517"/>
    <w:rsid w:val="7DC242E0"/>
    <w:rsid w:val="7E094144"/>
    <w:rsid w:val="7EC21C85"/>
    <w:rsid w:val="7F8059CD"/>
    <w:rsid w:val="7F9554E0"/>
    <w:rsid w:val="7FD562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99"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宋体"/>
      <w:sz w:val="22"/>
      <w:szCs w:val="22"/>
      <w:lang w:val="en-US" w:eastAsia="en-US" w:bidi="ar-SA"/>
    </w:rPr>
  </w:style>
  <w:style w:type="paragraph" w:styleId="2">
    <w:name w:val="heading 1"/>
    <w:basedOn w:val="1"/>
    <w:next w:val="1"/>
    <w:link w:val="22"/>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23"/>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4"/>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5"/>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annotation text"/>
    <w:basedOn w:val="1"/>
    <w:semiHidden/>
    <w:unhideWhenUsed/>
    <w:qFormat/>
    <w:uiPriority w:val="99"/>
    <w:pPr>
      <w:jc w:val="left"/>
    </w:pPr>
  </w:style>
  <w:style w:type="paragraph" w:styleId="9">
    <w:name w:val="Body Text"/>
    <w:basedOn w:val="1"/>
    <w:qFormat/>
    <w:uiPriority w:val="1"/>
    <w:pPr>
      <w:ind w:firstLine="200" w:firstLineChars="200"/>
      <w:jc w:val="both"/>
    </w:pPr>
    <w:rPr>
      <w:rFonts w:ascii="Microsoft YaHei UI" w:hAnsi="Microsoft YaHei UI" w:eastAsia="Microsoft YaHei UI"/>
      <w:sz w:val="21"/>
      <w:szCs w:val="21"/>
    </w:rPr>
  </w:style>
  <w:style w:type="paragraph" w:styleId="10">
    <w:name w:val="footer"/>
    <w:basedOn w:val="1"/>
    <w:unhideWhenUsed/>
    <w:qFormat/>
    <w:uiPriority w:val="99"/>
    <w:pPr>
      <w:tabs>
        <w:tab w:val="center" w:pos="4153"/>
        <w:tab w:val="right" w:pos="8306"/>
      </w:tabs>
      <w:snapToGrid w:val="0"/>
    </w:pPr>
    <w:rPr>
      <w:sz w:val="18"/>
      <w:szCs w:val="18"/>
    </w:rPr>
  </w:style>
  <w:style w:type="paragraph" w:styleId="11">
    <w:name w:val="header"/>
    <w:basedOn w:val="1"/>
    <w:link w:val="21"/>
    <w:unhideWhenUsed/>
    <w:qFormat/>
    <w:uiPriority w:val="99"/>
    <w:pPr>
      <w:tabs>
        <w:tab w:val="center" w:pos="4680"/>
        <w:tab w:val="right" w:pos="9360"/>
      </w:tabs>
    </w:pPr>
  </w:style>
  <w:style w:type="paragraph" w:styleId="12">
    <w:name w:val="Subtitle"/>
    <w:basedOn w:val="1"/>
    <w:next w:val="1"/>
    <w:link w:val="26"/>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next w:val="1"/>
    <w:link w:val="27"/>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6">
    <w:name w:val="Table Grid"/>
    <w:basedOn w:val="1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semiHidden/>
    <w:unhideWhenUsed/>
    <w:qFormat/>
    <w:uiPriority w:val="99"/>
    <w:rPr>
      <w:b/>
    </w:rPr>
  </w:style>
  <w:style w:type="character" w:styleId="19">
    <w:name w:val="Emphasis"/>
    <w:basedOn w:val="17"/>
    <w:qFormat/>
    <w:uiPriority w:val="20"/>
    <w:rPr>
      <w:i/>
      <w:iCs/>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character" w:customStyle="1" w:styleId="21">
    <w:name w:val="Header Char"/>
    <w:basedOn w:val="17"/>
    <w:link w:val="11"/>
    <w:qFormat/>
    <w:uiPriority w:val="99"/>
  </w:style>
  <w:style w:type="character" w:customStyle="1" w:styleId="22">
    <w:name w:val="Heading 1 Char"/>
    <w:basedOn w:val="17"/>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3">
    <w:name w:val="Heading 2 Char"/>
    <w:basedOn w:val="17"/>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4">
    <w:name w:val="Heading 3 Char"/>
    <w:basedOn w:val="17"/>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5">
    <w:name w:val="Heading 4 Char"/>
    <w:basedOn w:val="17"/>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6">
    <w:name w:val="Subtitle Char"/>
    <w:basedOn w:val="17"/>
    <w:link w:val="1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7">
    <w:name w:val="Title Char"/>
    <w:basedOn w:val="17"/>
    <w:link w:val="14"/>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28">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character" w:customStyle="1" w:styleId="29">
    <w:name w:val="fontstyle21"/>
    <w:basedOn w:val="17"/>
    <w:qFormat/>
    <w:uiPriority w:val="0"/>
    <w:rPr>
      <w:rFonts w:asci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3037</Words>
  <Characters>3371</Characters>
  <TotalTime>3</TotalTime>
  <ScaleCrop>false</ScaleCrop>
  <LinksUpToDate>false</LinksUpToDate>
  <CharactersWithSpaces>3508</CharactersWithSpaces>
  <Application>WPS Office_11.8.2.12085_F1E327BC-269C-435d-A152-05C5408002CA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2026-08-11T07:11:00Z</dcterms:created>
  <dc:creator>1</dc:creator>
  <cp:lastModifiedBy>运维品类部</cp:lastModifiedBy>
  <cp:lastPrinted>2026-09-11T02:55:00Z</cp:lastPrinted>
  <dcterms:modified xsi:type="dcterms:W3CDTF">2026-09-17T02:17:17Z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2C746B9909B44501981F1AC35763DA36_13</vt:lpwstr>
  </property>
  <property fmtid="{D5CDD505-2E9C-101B-9397-08002B2CF9AE}" pid="4" name="KSOTemplateDocerSaveRecord">
    <vt:lpwstr>eyJoZGlkIjoiNGExNzg4MDRhNjQxODQ3OTBlMmM3ZDQzNjBjZWZmZjUiLCJ1c2VySWQiOiI0MzkwOTYwOTUifQ==</vt:lpwstr>
  </property>
</Properties>
</file>