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before="120" w:after="120"/>
        <w:ind w:right="-20"/>
        <w:jc w:val="center"/>
        <w:rPr>
          <w:rFonts w:hint="eastAsia" w:ascii="宋体" w:hAnsi="宋体" w:eastAsia="宋体" w:cs="宋体"/>
          <w:b/>
          <w:color w:val="auto"/>
          <w:spacing w:val="2"/>
          <w:w w:val="99"/>
          <w:sz w:val="52"/>
          <w:szCs w:val="52"/>
        </w:rPr>
      </w:pPr>
      <w:r>
        <w:rPr>
          <w:rFonts w:hint="eastAsia" w:ascii="宋体" w:hAnsi="宋体" w:eastAsia="宋体" w:cs="宋体"/>
          <w:b/>
          <w:color w:val="auto"/>
          <w:spacing w:val="2"/>
          <w:w w:val="99"/>
          <w:sz w:val="52"/>
          <w:szCs w:val="52"/>
          <w:lang w:eastAsia="zh-CN"/>
        </w:rPr>
        <w:drawing>
          <wp:anchor distT="0" distB="0" distL="114300" distR="114300" simplePos="0" relativeHeight="251660288" behindDoc="1" locked="0" layoutInCell="1" allowOverlap="1">
            <wp:simplePos x="0" y="0"/>
            <wp:positionH relativeFrom="column">
              <wp:posOffset>2009140</wp:posOffset>
            </wp:positionH>
            <wp:positionV relativeFrom="paragraph">
              <wp:posOffset>20320</wp:posOffset>
            </wp:positionV>
            <wp:extent cx="1596390" cy="1438275"/>
            <wp:effectExtent l="0" t="0" r="0" b="0"/>
            <wp:wrapTight wrapText="bothSides">
              <wp:wrapPolygon>
                <wp:start x="7475" y="0"/>
                <wp:lineTo x="2320" y="4577"/>
                <wp:lineTo x="1289" y="6008"/>
                <wp:lineTo x="0" y="8583"/>
                <wp:lineTo x="0" y="15163"/>
                <wp:lineTo x="1289" y="18310"/>
                <wp:lineTo x="1289" y="18882"/>
                <wp:lineTo x="5155" y="21457"/>
                <wp:lineTo x="5928" y="21457"/>
                <wp:lineTo x="11084" y="21457"/>
                <wp:lineTo x="11857" y="21457"/>
                <wp:lineTo x="15465" y="18882"/>
                <wp:lineTo x="15723" y="18310"/>
                <wp:lineTo x="17527" y="13732"/>
                <wp:lineTo x="21394" y="12016"/>
                <wp:lineTo x="21394" y="8869"/>
                <wp:lineTo x="14692" y="4577"/>
                <wp:lineTo x="9537" y="0"/>
                <wp:lineTo x="7475"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6390" cy="1438275"/>
                    </a:xfrm>
                    <a:prstGeom prst="rect">
                      <a:avLst/>
                    </a:prstGeom>
                  </pic:spPr>
                </pic:pic>
              </a:graphicData>
            </a:graphic>
          </wp:anchor>
        </w:drawing>
      </w:r>
    </w:p>
    <w:p>
      <w:pPr>
        <w:autoSpaceDE w:val="0"/>
        <w:autoSpaceDN w:val="0"/>
        <w:spacing w:before="120" w:after="120"/>
        <w:ind w:right="-20"/>
        <w:jc w:val="center"/>
        <w:rPr>
          <w:rFonts w:hint="eastAsia" w:ascii="宋体" w:hAnsi="宋体" w:eastAsia="宋体" w:cs="宋体"/>
          <w:b/>
          <w:color w:val="auto"/>
          <w:spacing w:val="2"/>
          <w:w w:val="99"/>
          <w:sz w:val="52"/>
          <w:szCs w:val="52"/>
        </w:rPr>
      </w:pPr>
    </w:p>
    <w:p>
      <w:pPr>
        <w:autoSpaceDE w:val="0"/>
        <w:autoSpaceDN w:val="0"/>
        <w:spacing w:before="120" w:after="120"/>
        <w:ind w:right="-20"/>
        <w:jc w:val="center"/>
        <w:rPr>
          <w:rFonts w:hint="eastAsia" w:ascii="宋体" w:hAnsi="宋体" w:eastAsia="宋体" w:cs="宋体"/>
          <w:b/>
          <w:color w:val="auto"/>
          <w:spacing w:val="2"/>
          <w:w w:val="99"/>
          <w:sz w:val="52"/>
          <w:szCs w:val="52"/>
        </w:rPr>
      </w:pPr>
    </w:p>
    <w:p>
      <w:pPr>
        <w:jc w:val="center"/>
        <w:rPr>
          <w:rFonts w:hint="eastAsia" w:ascii="宋体" w:hAnsi="宋体" w:eastAsia="宋体" w:cs="宋体"/>
          <w:color w:val="auto"/>
          <w:spacing w:val="2"/>
          <w:w w:val="99"/>
          <w:sz w:val="52"/>
          <w:szCs w:val="52"/>
          <w:lang w:eastAsia="zh-CN"/>
        </w:rPr>
      </w:pPr>
      <w:r>
        <w:rPr>
          <w:rFonts w:hint="eastAsia" w:ascii="宋体" w:hAnsi="宋体" w:eastAsia="宋体" w:cs="宋体"/>
          <w:color w:val="auto"/>
          <w:spacing w:val="2"/>
          <w:w w:val="99"/>
          <w:sz w:val="52"/>
          <w:szCs w:val="52"/>
          <w:lang w:eastAsia="zh-CN"/>
        </w:rPr>
        <w:t>中海油能源发展股份有限公司</w:t>
      </w:r>
    </w:p>
    <w:p>
      <w:pPr>
        <w:jc w:val="center"/>
        <w:rPr>
          <w:rFonts w:hint="eastAsia" w:ascii="宋体" w:hAnsi="宋体" w:eastAsia="宋体" w:cs="宋体"/>
          <w:b/>
          <w:color w:val="auto"/>
          <w:spacing w:val="2"/>
          <w:w w:val="99"/>
          <w:sz w:val="52"/>
          <w:szCs w:val="52"/>
          <w:lang w:eastAsia="zh-CN"/>
        </w:rPr>
      </w:pPr>
    </w:p>
    <w:p>
      <w:pPr>
        <w:jc w:val="center"/>
        <w:rPr>
          <w:rFonts w:hint="eastAsia" w:ascii="宋体" w:hAnsi="宋体" w:eastAsia="宋体" w:cs="宋体"/>
          <w:color w:val="auto"/>
          <w:spacing w:val="2"/>
          <w:w w:val="99"/>
          <w:kern w:val="0"/>
          <w:sz w:val="44"/>
          <w:szCs w:val="44"/>
          <w:u w:val="single"/>
          <w:lang w:val="en-US" w:eastAsia="zh-CN" w:bidi="ar-SA"/>
        </w:rPr>
      </w:pPr>
      <w:r>
        <w:rPr>
          <w:rFonts w:hint="eastAsia" w:ascii="宋体" w:hAnsi="宋体" w:eastAsia="宋体" w:cs="宋体"/>
          <w:color w:val="auto"/>
          <w:spacing w:val="2"/>
          <w:w w:val="99"/>
          <w:sz w:val="52"/>
          <w:szCs w:val="52"/>
          <w:u w:val="single"/>
          <w:lang w:val="en-US" w:eastAsia="zh-CN"/>
        </w:rPr>
        <w:t>金县1-1油田CEPA平台6口调整井地面配套工程（26005）-超声波流量计</w:t>
      </w:r>
    </w:p>
    <w:p>
      <w:pPr>
        <w:jc w:val="center"/>
        <w:rPr>
          <w:rFonts w:hint="eastAsia" w:ascii="宋体" w:hAnsi="宋体" w:eastAsia="宋体" w:cs="宋体"/>
          <w:b/>
          <w:color w:val="auto"/>
          <w:spacing w:val="2"/>
          <w:w w:val="99"/>
          <w:sz w:val="52"/>
          <w:szCs w:val="52"/>
          <w:lang w:eastAsia="zh-CN"/>
        </w:rPr>
      </w:pPr>
      <w:r>
        <w:rPr>
          <w:rFonts w:hint="eastAsia" w:ascii="宋体" w:hAnsi="宋体" w:eastAsia="宋体" w:cs="宋体"/>
          <w:b/>
          <w:color w:val="auto"/>
          <w:spacing w:val="2"/>
          <w:w w:val="99"/>
          <w:sz w:val="52"/>
          <w:szCs w:val="52"/>
          <w:lang w:eastAsia="zh-CN"/>
        </w:rPr>
        <w:t>采购技术要求书</w:t>
      </w:r>
    </w:p>
    <w:p>
      <w:pPr>
        <w:pStyle w:val="4"/>
        <w:rPr>
          <w:rFonts w:hint="eastAsia" w:ascii="宋体" w:hAnsi="宋体" w:eastAsia="宋体" w:cs="宋体"/>
          <w:lang w:eastAsia="zh-CN"/>
        </w:rPr>
      </w:pPr>
    </w:p>
    <w:p>
      <w:pPr>
        <w:pStyle w:val="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pacing w:val="2"/>
          <w:w w:val="99"/>
          <w:sz w:val="32"/>
          <w:szCs w:val="32"/>
          <w:lang w:val="en-US" w:eastAsia="zh-CN"/>
        </w:rPr>
        <w:t>引用技术标准编号</w:t>
      </w:r>
      <w:r>
        <w:rPr>
          <w:rFonts w:hint="eastAsia" w:ascii="宋体" w:hAnsi="宋体" w:eastAsia="宋体" w:cs="宋体"/>
          <w:b/>
          <w:bCs/>
          <w:color w:val="auto"/>
          <w:kern w:val="0"/>
          <w:sz w:val="28"/>
          <w:szCs w:val="28"/>
          <w:highlight w:val="none"/>
          <w:lang w:val="en-US" w:eastAsia="zh-CN" w:bidi="ar-SA"/>
        </w:rPr>
        <w:t>：</w:t>
      </w:r>
      <w:r>
        <w:rPr>
          <w:rFonts w:hint="eastAsia" w:ascii="宋体" w:hAnsi="宋体" w:eastAsia="宋体" w:cs="宋体"/>
          <w:spacing w:val="2"/>
          <w:w w:val="99"/>
          <w:sz w:val="32"/>
          <w:szCs w:val="32"/>
          <w:lang w:val="en-US" w:eastAsia="zh-CN"/>
        </w:rPr>
        <w:t>Q/BZH 11107.01-2021/Q/BZH 11207.01-2021、GB/T3836.1-2021</w:t>
      </w:r>
    </w:p>
    <w:p>
      <w:pPr>
        <w:pStyle w:val="4"/>
        <w:rPr>
          <w:rFonts w:hint="eastAsia" w:ascii="宋体" w:hAnsi="宋体" w:eastAsia="宋体" w:cs="宋体"/>
          <w:color w:val="auto"/>
          <w:kern w:val="0"/>
          <w:sz w:val="21"/>
          <w:szCs w:val="21"/>
          <w:highlight w:val="none"/>
          <w:lang w:val="en-US" w:eastAsia="zh-CN" w:bidi="ar-SA"/>
        </w:rPr>
      </w:pPr>
    </w:p>
    <w:p>
      <w:pPr>
        <w:pStyle w:val="4"/>
        <w:rPr>
          <w:rFonts w:hint="eastAsia" w:ascii="宋体" w:hAnsi="宋体" w:eastAsia="宋体" w:cs="宋体"/>
          <w:spacing w:val="2"/>
          <w:w w:val="99"/>
          <w:sz w:val="32"/>
          <w:szCs w:val="32"/>
          <w:lang w:eastAsia="zh-CN"/>
        </w:rPr>
      </w:pPr>
      <w:r>
        <w:rPr>
          <w:rFonts w:hint="eastAsia" w:ascii="宋体" w:hAnsi="宋体" w:eastAsia="宋体" w:cs="宋体"/>
          <w:spacing w:val="2"/>
          <w:w w:val="99"/>
          <w:sz w:val="32"/>
          <w:szCs w:val="32"/>
          <w:lang w:eastAsia="zh-CN"/>
        </w:rPr>
        <w:t>编</w:t>
      </w:r>
      <w:r>
        <w:rPr>
          <w:rFonts w:hint="eastAsia" w:ascii="宋体" w:hAnsi="宋体" w:eastAsia="宋体" w:cs="宋体"/>
          <w:spacing w:val="2"/>
          <w:w w:val="99"/>
          <w:sz w:val="32"/>
          <w:szCs w:val="32"/>
          <w:lang w:val="en-US" w:eastAsia="zh-CN"/>
        </w:rPr>
        <w:t xml:space="preserve">  </w:t>
      </w:r>
      <w:r>
        <w:rPr>
          <w:rFonts w:hint="eastAsia" w:ascii="宋体" w:hAnsi="宋体" w:eastAsia="宋体" w:cs="宋体"/>
          <w:spacing w:val="2"/>
          <w:w w:val="99"/>
          <w:sz w:val="32"/>
          <w:szCs w:val="32"/>
          <w:lang w:eastAsia="zh-CN"/>
        </w:rPr>
        <w:t>制</w:t>
      </w:r>
      <w:r>
        <w:rPr>
          <w:rFonts w:hint="eastAsia" w:ascii="宋体" w:hAnsi="宋体" w:eastAsia="宋体" w:cs="宋体"/>
          <w:spacing w:val="2"/>
          <w:w w:val="99"/>
          <w:sz w:val="32"/>
          <w:szCs w:val="32"/>
          <w:lang w:val="en-US" w:eastAsia="zh-CN"/>
        </w:rPr>
        <w:t xml:space="preserve">  人</w:t>
      </w:r>
      <w:r>
        <w:rPr>
          <w:rFonts w:hint="eastAsia" w:ascii="宋体" w:hAnsi="宋体" w:eastAsia="宋体" w:cs="宋体"/>
          <w:spacing w:val="2"/>
          <w:w w:val="99"/>
          <w:sz w:val="32"/>
          <w:szCs w:val="32"/>
          <w:lang w:eastAsia="zh-CN"/>
        </w:rPr>
        <w:t>：</w:t>
      </w:r>
      <w:r>
        <w:rPr>
          <w:rFonts w:hint="eastAsia" w:ascii="宋体" w:hAnsi="宋体" w:eastAsia="宋体" w:cs="宋体"/>
          <w:spacing w:val="2"/>
          <w:w w:val="99"/>
          <w:sz w:val="32"/>
          <w:szCs w:val="32"/>
          <w:u w:val="single"/>
          <w:lang w:eastAsia="zh-CN"/>
        </w:rPr>
        <w:t xml:space="preserve">            </w:t>
      </w:r>
      <w:r>
        <w:rPr>
          <w:rFonts w:hint="eastAsia" w:ascii="宋体" w:hAnsi="宋体" w:eastAsia="宋体" w:cs="宋体"/>
          <w:spacing w:val="2"/>
          <w:w w:val="99"/>
          <w:sz w:val="32"/>
          <w:szCs w:val="32"/>
          <w:u w:val="single"/>
          <w:lang w:val="en-US" w:eastAsia="zh-CN"/>
        </w:rPr>
        <w:t xml:space="preserve">        </w:t>
      </w:r>
      <w:r>
        <w:rPr>
          <w:rFonts w:hint="eastAsia" w:ascii="宋体" w:hAnsi="宋体" w:eastAsia="宋体" w:cs="宋体"/>
          <w:spacing w:val="2"/>
          <w:w w:val="99"/>
          <w:sz w:val="32"/>
          <w:szCs w:val="32"/>
          <w:u w:val="single"/>
          <w:lang w:eastAsia="zh-CN"/>
        </w:rPr>
        <w:t xml:space="preserve"> </w:t>
      </w:r>
      <w:r>
        <w:rPr>
          <w:rFonts w:hint="eastAsia" w:ascii="宋体" w:hAnsi="宋体" w:eastAsia="宋体" w:cs="宋体"/>
          <w:spacing w:val="2"/>
          <w:w w:val="99"/>
          <w:sz w:val="32"/>
          <w:szCs w:val="32"/>
          <w:u w:val="single"/>
          <w:lang w:val="en-US" w:eastAsia="zh-CN"/>
        </w:rPr>
        <w:t xml:space="preserve"> </w:t>
      </w:r>
      <w:r>
        <w:rPr>
          <w:rFonts w:hint="eastAsia" w:ascii="宋体" w:hAnsi="宋体" w:eastAsia="宋体" w:cs="宋体"/>
          <w:spacing w:val="2"/>
          <w:w w:val="99"/>
          <w:sz w:val="32"/>
          <w:szCs w:val="32"/>
          <w:u w:val="single"/>
          <w:lang w:eastAsia="zh-CN"/>
        </w:rPr>
        <w:t xml:space="preserve">   </w:t>
      </w:r>
      <w:r>
        <w:rPr>
          <w:rFonts w:hint="eastAsia" w:ascii="宋体" w:hAnsi="宋体" w:eastAsia="宋体" w:cs="宋体"/>
          <w:spacing w:val="2"/>
          <w:w w:val="99"/>
          <w:sz w:val="32"/>
          <w:szCs w:val="32"/>
          <w:lang w:eastAsia="zh-CN"/>
        </w:rPr>
        <w:t xml:space="preserve">       </w:t>
      </w:r>
      <w:r>
        <w:rPr>
          <w:rFonts w:hint="eastAsia" w:ascii="宋体" w:hAnsi="宋体" w:eastAsia="宋体" w:cs="宋体"/>
          <w:spacing w:val="2"/>
          <w:w w:val="99"/>
          <w:sz w:val="32"/>
          <w:szCs w:val="32"/>
          <w:lang w:val="en-US" w:eastAsia="zh-CN"/>
        </w:rPr>
        <w:t xml:space="preserve">          </w:t>
      </w:r>
      <w:r>
        <w:rPr>
          <w:rFonts w:hint="eastAsia" w:ascii="宋体" w:hAnsi="宋体" w:eastAsia="宋体" w:cs="宋体"/>
          <w:spacing w:val="2"/>
          <w:w w:val="99"/>
          <w:sz w:val="32"/>
          <w:szCs w:val="32"/>
          <w:lang w:eastAsia="zh-CN"/>
        </w:rPr>
        <w:t xml:space="preserve">      </w:t>
      </w:r>
    </w:p>
    <w:p>
      <w:pPr>
        <w:shd w:val="clear"/>
        <w:autoSpaceDE w:val="0"/>
        <w:autoSpaceDN w:val="0"/>
        <w:spacing w:before="120" w:after="120" w:line="720" w:lineRule="auto"/>
        <w:ind w:right="-20"/>
        <w:rPr>
          <w:rFonts w:hint="eastAsia" w:ascii="宋体" w:hAnsi="宋体" w:eastAsia="宋体" w:cs="宋体"/>
          <w:spacing w:val="2"/>
          <w:w w:val="99"/>
          <w:sz w:val="32"/>
          <w:szCs w:val="32"/>
          <w:highlight w:val="none"/>
          <w:lang w:eastAsia="zh-CN"/>
        </w:rPr>
      </w:pPr>
      <w:r>
        <w:rPr>
          <w:rFonts w:hint="eastAsia" w:ascii="宋体" w:hAnsi="宋体" w:eastAsia="宋体" w:cs="宋体"/>
          <w:spacing w:val="2"/>
          <w:w w:val="99"/>
          <w:sz w:val="32"/>
          <w:szCs w:val="32"/>
          <w:highlight w:val="none"/>
          <w:lang w:eastAsia="zh-CN"/>
        </w:rPr>
        <w:t xml:space="preserve">    </w:t>
      </w:r>
      <w:r>
        <w:rPr>
          <w:rFonts w:hint="eastAsia" w:ascii="宋体" w:hAnsi="宋体" w:eastAsia="宋体" w:cs="宋体"/>
          <w:spacing w:val="2"/>
          <w:w w:val="99"/>
          <w:sz w:val="32"/>
          <w:szCs w:val="32"/>
          <w:highlight w:val="none"/>
          <w:lang w:val="en-US" w:eastAsia="zh-CN"/>
        </w:rPr>
        <w:t>作业部负责人</w:t>
      </w:r>
      <w:r>
        <w:rPr>
          <w:rFonts w:hint="eastAsia" w:ascii="宋体" w:hAnsi="宋体" w:eastAsia="宋体" w:cs="宋体"/>
          <w:spacing w:val="2"/>
          <w:w w:val="99"/>
          <w:sz w:val="32"/>
          <w:szCs w:val="32"/>
          <w:highlight w:val="none"/>
          <w:lang w:eastAsia="zh-CN"/>
        </w:rPr>
        <w:t>：</w:t>
      </w:r>
      <w:r>
        <w:rPr>
          <w:rFonts w:hint="eastAsia" w:ascii="宋体" w:hAnsi="宋体" w:eastAsia="宋体" w:cs="宋体"/>
          <w:spacing w:val="2"/>
          <w:w w:val="99"/>
          <w:sz w:val="32"/>
          <w:szCs w:val="32"/>
          <w:highlight w:val="none"/>
          <w:u w:val="single"/>
          <w:lang w:eastAsia="zh-CN"/>
        </w:rPr>
        <w:t xml:space="preserve">            </w:t>
      </w:r>
      <w:r>
        <w:rPr>
          <w:rFonts w:hint="eastAsia" w:ascii="宋体" w:hAnsi="宋体" w:eastAsia="宋体" w:cs="宋体"/>
          <w:spacing w:val="2"/>
          <w:w w:val="99"/>
          <w:sz w:val="32"/>
          <w:szCs w:val="32"/>
          <w:highlight w:val="none"/>
          <w:u w:val="single"/>
          <w:lang w:val="en-US" w:eastAsia="zh-CN"/>
        </w:rPr>
        <w:t xml:space="preserve">        </w:t>
      </w:r>
      <w:r>
        <w:rPr>
          <w:rFonts w:hint="eastAsia" w:ascii="宋体" w:hAnsi="宋体" w:eastAsia="宋体" w:cs="宋体"/>
          <w:spacing w:val="2"/>
          <w:w w:val="99"/>
          <w:sz w:val="32"/>
          <w:szCs w:val="32"/>
          <w:highlight w:val="none"/>
          <w:u w:val="single"/>
          <w:lang w:eastAsia="zh-CN"/>
        </w:rPr>
        <w:t xml:space="preserve">   </w:t>
      </w:r>
    </w:p>
    <w:p>
      <w:pPr>
        <w:shd w:val="clear"/>
        <w:autoSpaceDE w:val="0"/>
        <w:autoSpaceDN w:val="0"/>
        <w:spacing w:before="120" w:after="120" w:line="720" w:lineRule="auto"/>
        <w:ind w:right="-20" w:firstLine="649"/>
        <w:rPr>
          <w:rFonts w:hint="eastAsia" w:ascii="宋体" w:hAnsi="宋体" w:eastAsia="宋体" w:cs="宋体"/>
          <w:spacing w:val="2"/>
          <w:w w:val="99"/>
          <w:sz w:val="32"/>
          <w:szCs w:val="32"/>
          <w:highlight w:val="none"/>
          <w:lang w:eastAsia="zh-CN"/>
        </w:rPr>
      </w:pPr>
      <w:r>
        <w:rPr>
          <w:rFonts w:hint="eastAsia" w:ascii="宋体" w:hAnsi="宋体" w:eastAsia="宋体" w:cs="宋体"/>
          <w:spacing w:val="2"/>
          <w:w w:val="99"/>
          <w:sz w:val="32"/>
          <w:szCs w:val="32"/>
          <w:highlight w:val="none"/>
          <w:lang w:val="en-US" w:eastAsia="zh-CN"/>
        </w:rPr>
        <w:t>技术中心负责人</w:t>
      </w:r>
      <w:r>
        <w:rPr>
          <w:rFonts w:hint="eastAsia" w:ascii="宋体" w:hAnsi="宋体" w:eastAsia="宋体" w:cs="宋体"/>
          <w:spacing w:val="2"/>
          <w:w w:val="99"/>
          <w:sz w:val="32"/>
          <w:szCs w:val="32"/>
          <w:highlight w:val="none"/>
          <w:lang w:eastAsia="zh-CN"/>
        </w:rPr>
        <w:t>：</w:t>
      </w:r>
      <w:r>
        <w:rPr>
          <w:rFonts w:hint="eastAsia" w:ascii="宋体" w:hAnsi="宋体" w:eastAsia="宋体" w:cs="宋体"/>
          <w:spacing w:val="2"/>
          <w:w w:val="99"/>
          <w:sz w:val="32"/>
          <w:szCs w:val="32"/>
          <w:highlight w:val="none"/>
          <w:u w:val="single"/>
          <w:lang w:eastAsia="zh-CN"/>
        </w:rPr>
        <w:t xml:space="preserve">           </w:t>
      </w:r>
      <w:r>
        <w:rPr>
          <w:rFonts w:hint="eastAsia" w:ascii="宋体" w:hAnsi="宋体" w:eastAsia="宋体" w:cs="宋体"/>
          <w:spacing w:val="2"/>
          <w:w w:val="99"/>
          <w:sz w:val="32"/>
          <w:szCs w:val="32"/>
          <w:highlight w:val="none"/>
          <w:u w:val="single"/>
          <w:lang w:val="en-US" w:eastAsia="zh-CN"/>
        </w:rPr>
        <w:t xml:space="preserve">      </w:t>
      </w:r>
      <w:r>
        <w:rPr>
          <w:rFonts w:hint="eastAsia" w:ascii="宋体" w:hAnsi="宋体" w:eastAsia="宋体" w:cs="宋体"/>
          <w:spacing w:val="2"/>
          <w:w w:val="99"/>
          <w:sz w:val="32"/>
          <w:szCs w:val="32"/>
          <w:highlight w:val="none"/>
          <w:u w:val="single"/>
          <w:lang w:eastAsia="zh-CN"/>
        </w:rPr>
        <w:t xml:space="preserve">    </w:t>
      </w:r>
      <w:r>
        <w:rPr>
          <w:rFonts w:hint="eastAsia" w:ascii="宋体" w:hAnsi="宋体" w:eastAsia="宋体" w:cs="宋体"/>
          <w:spacing w:val="2"/>
          <w:w w:val="99"/>
          <w:sz w:val="32"/>
          <w:szCs w:val="32"/>
          <w:highlight w:val="none"/>
          <w:lang w:eastAsia="zh-CN"/>
        </w:rPr>
        <w:t xml:space="preserve"> </w:t>
      </w:r>
    </w:p>
    <w:p>
      <w:pPr>
        <w:shd w:val="clear"/>
        <w:autoSpaceDE w:val="0"/>
        <w:autoSpaceDN w:val="0"/>
        <w:spacing w:before="120" w:after="120" w:line="720" w:lineRule="auto"/>
        <w:ind w:right="-20" w:firstLine="649"/>
        <w:rPr>
          <w:rFonts w:hint="eastAsia" w:ascii="宋体" w:hAnsi="宋体" w:eastAsia="宋体" w:cs="宋体"/>
          <w:spacing w:val="2"/>
          <w:w w:val="99"/>
          <w:sz w:val="36"/>
          <w:szCs w:val="36"/>
          <w:lang w:val="en-US" w:eastAsia="zh-CN"/>
        </w:rPr>
      </w:pPr>
      <w:r>
        <w:rPr>
          <w:rFonts w:hint="eastAsia" w:ascii="宋体" w:hAnsi="宋体" w:eastAsia="宋体" w:cs="宋体"/>
          <w:spacing w:val="2"/>
          <w:w w:val="99"/>
          <w:sz w:val="32"/>
          <w:szCs w:val="32"/>
          <w:lang w:val="en-US" w:eastAsia="zh-CN"/>
        </w:rPr>
        <w:t>总工/技术主管领导：</w:t>
      </w:r>
      <w:r>
        <w:rPr>
          <w:rFonts w:hint="eastAsia" w:ascii="宋体" w:hAnsi="宋体" w:eastAsia="宋体" w:cs="宋体"/>
          <w:spacing w:val="2"/>
          <w:w w:val="99"/>
          <w:sz w:val="32"/>
          <w:szCs w:val="32"/>
          <w:u w:val="single"/>
          <w:lang w:eastAsia="zh-CN"/>
        </w:rPr>
        <w:t xml:space="preserve">           </w:t>
      </w:r>
      <w:r>
        <w:rPr>
          <w:rFonts w:hint="eastAsia" w:ascii="宋体" w:hAnsi="宋体" w:eastAsia="宋体" w:cs="宋体"/>
          <w:spacing w:val="2"/>
          <w:w w:val="99"/>
          <w:sz w:val="32"/>
          <w:szCs w:val="32"/>
          <w:u w:val="single"/>
          <w:lang w:val="en-US" w:eastAsia="zh-CN"/>
        </w:rPr>
        <w:t xml:space="preserve">      </w:t>
      </w:r>
      <w:r>
        <w:rPr>
          <w:rFonts w:hint="eastAsia" w:ascii="宋体" w:hAnsi="宋体" w:eastAsia="宋体" w:cs="宋体"/>
          <w:spacing w:val="2"/>
          <w:w w:val="99"/>
          <w:sz w:val="32"/>
          <w:szCs w:val="32"/>
          <w:u w:val="single"/>
          <w:lang w:eastAsia="zh-CN"/>
        </w:rPr>
        <w:t xml:space="preserve"> </w:t>
      </w:r>
      <w:r>
        <w:rPr>
          <w:rFonts w:hint="eastAsia" w:ascii="宋体" w:hAnsi="宋体" w:eastAsia="宋体" w:cs="宋体"/>
          <w:spacing w:val="2"/>
          <w:w w:val="99"/>
          <w:sz w:val="32"/>
          <w:szCs w:val="32"/>
          <w:lang w:val="en-US" w:eastAsia="zh-CN"/>
        </w:rPr>
        <w:t xml:space="preserve">  </w:t>
      </w:r>
      <w:r>
        <w:rPr>
          <w:rFonts w:hint="eastAsia" w:ascii="宋体" w:hAnsi="宋体" w:eastAsia="宋体" w:cs="宋体"/>
          <w:spacing w:val="2"/>
          <w:w w:val="99"/>
          <w:sz w:val="36"/>
          <w:szCs w:val="36"/>
          <w:lang w:val="en-US" w:eastAsia="zh-CN"/>
        </w:rPr>
        <w:t xml:space="preserve">   </w:t>
      </w:r>
    </w:p>
    <w:p>
      <w:pPr>
        <w:pStyle w:val="24"/>
        <w:keepNext w:val="0"/>
        <w:keepLines w:val="0"/>
        <w:pageBreakBefore w:val="0"/>
        <w:kinsoku/>
        <w:wordWrap/>
        <w:overflowPunct/>
        <w:topLinePunct w:val="0"/>
        <w:bidi w:val="0"/>
        <w:spacing w:before="120" w:after="120" w:line="360" w:lineRule="auto"/>
        <w:outlineLvl w:val="0"/>
        <w:rPr>
          <w:rFonts w:hint="eastAsia" w:ascii="宋体" w:hAnsi="宋体" w:eastAsia="宋体" w:cs="宋体"/>
          <w:bCs/>
          <w:color w:val="auto"/>
          <w:sz w:val="32"/>
          <w:szCs w:val="32"/>
        </w:rPr>
      </w:pPr>
      <w:bookmarkStart w:id="0" w:name="_Toc13248927"/>
      <w:bookmarkStart w:id="1" w:name="_Toc13249324"/>
      <w:r>
        <w:rPr>
          <w:rFonts w:hint="eastAsia" w:ascii="宋体" w:hAnsi="宋体" w:eastAsia="宋体" w:cs="宋体"/>
          <w:bCs/>
          <w:color w:val="auto"/>
          <w:sz w:val="32"/>
          <w:szCs w:val="32"/>
        </w:rPr>
        <w:t>一、</w:t>
      </w:r>
      <w:r>
        <w:rPr>
          <w:rFonts w:hint="eastAsia" w:ascii="宋体" w:hAnsi="宋体" w:eastAsia="宋体" w:cs="宋体"/>
          <w:bCs/>
          <w:color w:val="auto"/>
          <w:sz w:val="32"/>
          <w:szCs w:val="32"/>
          <w:lang w:val="en-US" w:eastAsia="zh-CN"/>
        </w:rPr>
        <w:t>需求</w:t>
      </w:r>
      <w:r>
        <w:rPr>
          <w:rFonts w:hint="eastAsia" w:ascii="宋体" w:hAnsi="宋体" w:eastAsia="宋体" w:cs="宋体"/>
          <w:bCs/>
          <w:color w:val="auto"/>
          <w:sz w:val="32"/>
          <w:szCs w:val="32"/>
        </w:rPr>
        <w:t>概况</w:t>
      </w:r>
      <w:bookmarkEnd w:id="0"/>
      <w:bookmarkEnd w:id="1"/>
    </w:p>
    <w:p>
      <w:pPr>
        <w:pStyle w:val="6"/>
        <w:keepNext w:val="0"/>
        <w:keepLines w:val="0"/>
        <w:pageBreakBefore w:val="0"/>
        <w:widowControl w:val="0"/>
        <w:kinsoku/>
        <w:wordWrap/>
        <w:overflowPunct/>
        <w:topLinePunct w:val="0"/>
        <w:autoSpaceDE/>
        <w:autoSpaceDN/>
        <w:bidi w:val="0"/>
        <w:adjustRightInd/>
        <w:snapToGrid/>
        <w:spacing w:line="360" w:lineRule="auto"/>
        <w:ind w:left="0" w:leftChars="0" w:right="119" w:firstLine="420" w:firstLineChars="20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CEPA平台为8腿导管架式平台，平台设有南北两侧井槽，排列方式为4x5。本次由于CEPA平台计划新增6口油井，原平台井槽不足，本次在平台北侧</w:t>
      </w:r>
      <w:r>
        <w:rPr>
          <w:rFonts w:hint="default" w:ascii="宋体" w:hAnsi="宋体" w:eastAsia="宋体" w:cs="宋体"/>
          <w:color w:val="000000"/>
          <w:spacing w:val="2"/>
          <w:kern w:val="0"/>
          <w:sz w:val="21"/>
          <w:szCs w:val="21"/>
          <w:highlight w:val="none"/>
          <w:lang w:val="en-US" w:eastAsia="zh-CN" w:bidi="ar-SA"/>
        </w:rPr>
        <w:t>新增</w:t>
      </w:r>
      <w:r>
        <w:rPr>
          <w:rFonts w:hint="eastAsia" w:ascii="宋体" w:hAnsi="宋体" w:eastAsia="宋体" w:cs="宋体"/>
          <w:color w:val="000000"/>
          <w:spacing w:val="2"/>
          <w:kern w:val="0"/>
          <w:sz w:val="21"/>
          <w:szCs w:val="21"/>
          <w:highlight w:val="none"/>
          <w:lang w:val="en-US" w:eastAsia="zh-CN" w:bidi="ar-SA"/>
        </w:rPr>
        <w:t>一</w:t>
      </w:r>
      <w:r>
        <w:rPr>
          <w:rFonts w:hint="default" w:ascii="宋体" w:hAnsi="宋体" w:eastAsia="宋体" w:cs="宋体"/>
          <w:color w:val="000000"/>
          <w:spacing w:val="2"/>
          <w:kern w:val="0"/>
          <w:sz w:val="21"/>
          <w:szCs w:val="21"/>
          <w:highlight w:val="none"/>
          <w:lang w:val="en-US" w:eastAsia="zh-CN" w:bidi="ar-SA"/>
        </w:rPr>
        <w:t>排</w:t>
      </w:r>
      <w:r>
        <w:rPr>
          <w:rFonts w:hint="eastAsia" w:ascii="宋体" w:hAnsi="宋体" w:eastAsia="宋体" w:cs="宋体"/>
          <w:color w:val="000000"/>
          <w:spacing w:val="2"/>
          <w:kern w:val="0"/>
          <w:sz w:val="21"/>
          <w:szCs w:val="21"/>
          <w:highlight w:val="none"/>
          <w:lang w:val="en-US" w:eastAsia="zh-CN" w:bidi="ar-SA"/>
        </w:rPr>
        <w:t>4</w:t>
      </w:r>
      <w:r>
        <w:rPr>
          <w:rFonts w:hint="default" w:ascii="宋体" w:hAnsi="宋体" w:eastAsia="宋体" w:cs="宋体"/>
          <w:color w:val="000000"/>
          <w:spacing w:val="2"/>
          <w:kern w:val="0"/>
          <w:sz w:val="21"/>
          <w:szCs w:val="21"/>
          <w:highlight w:val="none"/>
          <w:lang w:val="en-US" w:eastAsia="zh-CN" w:bidi="ar-SA"/>
        </w:rPr>
        <w:t>个井槽布置</w:t>
      </w:r>
      <w:r>
        <w:rPr>
          <w:rFonts w:hint="eastAsia" w:ascii="宋体" w:hAnsi="宋体" w:eastAsia="宋体" w:cs="宋体"/>
          <w:color w:val="000000"/>
          <w:spacing w:val="2"/>
          <w:kern w:val="0"/>
          <w:sz w:val="21"/>
          <w:szCs w:val="21"/>
          <w:highlight w:val="none"/>
          <w:lang w:val="en-US" w:eastAsia="zh-CN" w:bidi="ar-SA"/>
        </w:rPr>
        <w:t>6</w:t>
      </w:r>
      <w:r>
        <w:rPr>
          <w:rFonts w:hint="default" w:ascii="宋体" w:hAnsi="宋体" w:eastAsia="宋体" w:cs="宋体"/>
          <w:color w:val="000000"/>
          <w:spacing w:val="2"/>
          <w:kern w:val="0"/>
          <w:sz w:val="21"/>
          <w:szCs w:val="21"/>
          <w:highlight w:val="none"/>
          <w:lang w:val="en-US" w:eastAsia="zh-CN" w:bidi="ar-SA"/>
        </w:rPr>
        <w:t>口井</w:t>
      </w:r>
      <w:r>
        <w:rPr>
          <w:rFonts w:hint="eastAsia" w:ascii="宋体" w:hAnsi="宋体" w:eastAsia="宋体" w:cs="宋体"/>
          <w:color w:val="000000"/>
          <w:spacing w:val="2"/>
          <w:kern w:val="0"/>
          <w:sz w:val="21"/>
          <w:szCs w:val="21"/>
          <w:highlight w:val="none"/>
          <w:lang w:val="en-US" w:eastAsia="zh-CN" w:bidi="ar-SA"/>
        </w:rPr>
        <w:t>，新增燃气</w:t>
      </w:r>
      <w:r>
        <w:rPr>
          <w:rFonts w:hint="default" w:ascii="宋体" w:hAnsi="宋体" w:eastAsia="宋体" w:cs="宋体"/>
          <w:color w:val="000000"/>
          <w:spacing w:val="2"/>
          <w:kern w:val="0"/>
          <w:sz w:val="21"/>
          <w:szCs w:val="21"/>
          <w:highlight w:val="none"/>
          <w:lang w:val="en-US" w:eastAsia="zh-CN" w:bidi="ar-SA"/>
        </w:rPr>
        <w:t>压缩机</w:t>
      </w:r>
      <w:r>
        <w:rPr>
          <w:rFonts w:hint="eastAsia" w:ascii="宋体" w:hAnsi="宋体" w:eastAsia="宋体" w:cs="宋体"/>
          <w:color w:val="000000"/>
          <w:spacing w:val="2"/>
          <w:kern w:val="0"/>
          <w:sz w:val="21"/>
          <w:szCs w:val="21"/>
          <w:highlight w:val="none"/>
          <w:lang w:val="en-US" w:eastAsia="zh-CN" w:bidi="ar-SA"/>
        </w:rPr>
        <w:t>及原油加热器处理设备</w:t>
      </w:r>
      <w:r>
        <w:rPr>
          <w:rFonts w:hint="default" w:ascii="宋体" w:hAnsi="宋体" w:eastAsia="宋体" w:cs="宋体"/>
          <w:color w:val="000000"/>
          <w:spacing w:val="2"/>
          <w:kern w:val="0"/>
          <w:sz w:val="21"/>
          <w:szCs w:val="21"/>
          <w:highlight w:val="none"/>
          <w:lang w:val="en-US" w:eastAsia="zh-CN" w:bidi="ar-SA"/>
        </w:rPr>
        <w:t>。新增生产系统、生产水处理系统及配套公用系统。新增</w:t>
      </w:r>
      <w:r>
        <w:rPr>
          <w:rFonts w:hint="eastAsia" w:ascii="宋体" w:hAnsi="宋体" w:eastAsia="宋体" w:cs="宋体"/>
          <w:color w:val="000000"/>
          <w:spacing w:val="2"/>
          <w:kern w:val="0"/>
          <w:sz w:val="21"/>
          <w:szCs w:val="21"/>
          <w:highlight w:val="none"/>
          <w:lang w:val="en-US" w:eastAsia="zh-CN" w:bidi="ar-SA"/>
        </w:rPr>
        <w:t>1</w:t>
      </w:r>
      <w:r>
        <w:rPr>
          <w:rFonts w:hint="default" w:ascii="宋体" w:hAnsi="宋体" w:eastAsia="宋体" w:cs="宋体"/>
          <w:color w:val="000000"/>
          <w:spacing w:val="2"/>
          <w:kern w:val="0"/>
          <w:sz w:val="21"/>
          <w:szCs w:val="21"/>
          <w:highlight w:val="none"/>
          <w:lang w:val="en-US" w:eastAsia="zh-CN" w:bidi="ar-SA"/>
        </w:rPr>
        <w:t>个电气间用于布置</w:t>
      </w:r>
      <w:r>
        <w:rPr>
          <w:rFonts w:hint="eastAsia" w:ascii="宋体" w:hAnsi="宋体" w:eastAsia="宋体" w:cs="宋体"/>
          <w:color w:val="000000"/>
          <w:spacing w:val="2"/>
          <w:kern w:val="0"/>
          <w:sz w:val="21"/>
          <w:szCs w:val="21"/>
          <w:highlight w:val="none"/>
          <w:lang w:val="en-US" w:eastAsia="zh-CN" w:bidi="ar-SA"/>
        </w:rPr>
        <w:t>低压盘及变频器</w:t>
      </w:r>
      <w:r>
        <w:rPr>
          <w:rFonts w:hint="default" w:ascii="宋体" w:hAnsi="宋体" w:eastAsia="宋体" w:cs="宋体"/>
          <w:color w:val="000000"/>
          <w:spacing w:val="2"/>
          <w:kern w:val="0"/>
          <w:sz w:val="21"/>
          <w:szCs w:val="21"/>
          <w:highlight w:val="none"/>
          <w:lang w:val="en-US" w:eastAsia="zh-CN" w:bidi="ar-SA"/>
        </w:rPr>
        <w:t>等电气设备。</w:t>
      </w:r>
      <w:r>
        <w:rPr>
          <w:rFonts w:hint="eastAsia" w:ascii="宋体" w:hAnsi="宋体" w:eastAsia="宋体" w:cs="宋体"/>
          <w:color w:val="000000"/>
          <w:spacing w:val="2"/>
          <w:kern w:val="0"/>
          <w:sz w:val="21"/>
          <w:szCs w:val="21"/>
          <w:highlight w:val="none"/>
          <w:lang w:val="en-US" w:eastAsia="zh-CN" w:bidi="ar-SA"/>
        </w:rPr>
        <w:t>修井机滑轨、泥浆返回槽及拖链延长，软管及电缆更换。</w:t>
      </w:r>
      <w:r>
        <w:rPr>
          <w:rFonts w:hint="default" w:ascii="宋体" w:hAnsi="宋体" w:eastAsia="宋体" w:cs="宋体"/>
          <w:color w:val="000000"/>
          <w:spacing w:val="2"/>
          <w:kern w:val="0"/>
          <w:sz w:val="21"/>
          <w:szCs w:val="21"/>
          <w:highlight w:val="none"/>
          <w:lang w:val="en-US" w:eastAsia="zh-CN" w:bidi="ar-SA"/>
        </w:rPr>
        <w:t>针对新加井槽和处理设备进行结构、机械</w:t>
      </w:r>
      <w:r>
        <w:rPr>
          <w:rFonts w:hint="eastAsia" w:ascii="宋体" w:hAnsi="宋体" w:eastAsia="宋体" w:cs="宋体"/>
          <w:color w:val="000000"/>
          <w:spacing w:val="2"/>
          <w:kern w:val="0"/>
          <w:sz w:val="21"/>
          <w:szCs w:val="21"/>
          <w:highlight w:val="none"/>
          <w:lang w:val="en-US" w:eastAsia="zh-CN" w:bidi="ar-SA"/>
        </w:rPr>
        <w:t>、</w:t>
      </w:r>
      <w:r>
        <w:rPr>
          <w:rFonts w:hint="default" w:ascii="宋体" w:hAnsi="宋体" w:eastAsia="宋体" w:cs="宋体"/>
          <w:color w:val="000000"/>
          <w:spacing w:val="2"/>
          <w:kern w:val="0"/>
          <w:sz w:val="21"/>
          <w:szCs w:val="21"/>
          <w:highlight w:val="none"/>
          <w:lang w:val="en-US" w:eastAsia="zh-CN" w:bidi="ar-SA"/>
        </w:rPr>
        <w:t>配管、电仪等专业的优化升级工作</w:t>
      </w:r>
      <w:r>
        <w:rPr>
          <w:rFonts w:hint="eastAsia" w:ascii="宋体" w:hAnsi="宋体" w:eastAsia="宋体" w:cs="宋体"/>
          <w:kern w:val="2"/>
          <w:sz w:val="21"/>
          <w:szCs w:val="21"/>
          <w:highlight w:val="none"/>
          <w:lang w:val="en-US" w:eastAsia="zh-CN" w:bidi="ar-SA"/>
        </w:rPr>
        <w:t>。</w:t>
      </w:r>
    </w:p>
    <w:p>
      <w:pPr>
        <w:pStyle w:val="6"/>
        <w:keepNext w:val="0"/>
        <w:keepLines w:val="0"/>
        <w:pageBreakBefore w:val="0"/>
        <w:widowControl w:val="0"/>
        <w:kinsoku/>
        <w:wordWrap/>
        <w:overflowPunct/>
        <w:topLinePunct w:val="0"/>
        <w:autoSpaceDE/>
        <w:autoSpaceDN/>
        <w:bidi w:val="0"/>
        <w:adjustRightInd/>
        <w:snapToGrid/>
        <w:spacing w:line="360" w:lineRule="auto"/>
        <w:ind w:left="0" w:leftChars="0" w:right="119" w:firstLine="420" w:firstLineChars="200"/>
        <w:textAlignment w:val="auto"/>
        <w:rPr>
          <w:rFonts w:hint="eastAsia" w:ascii="宋体" w:hAnsi="宋体" w:eastAsia="宋体" w:cs="宋体"/>
          <w:color w:val="auto"/>
          <w:lang w:val="en-US" w:eastAsia="zh-CN"/>
        </w:rPr>
      </w:pPr>
      <w:r>
        <w:rPr>
          <w:rFonts w:hint="eastAsia" w:ascii="宋体" w:hAnsi="宋体" w:eastAsia="宋体" w:cs="宋体"/>
          <w:kern w:val="2"/>
          <w:sz w:val="21"/>
          <w:szCs w:val="21"/>
          <w:highlight w:val="none"/>
          <w:lang w:val="en-US" w:eastAsia="zh-CN" w:bidi="ar-SA"/>
        </w:rPr>
        <w:t>本技术要求书规定了海上油气田超声波流量计</w:t>
      </w:r>
      <w:r>
        <w:rPr>
          <w:rFonts w:hint="eastAsia" w:ascii="宋体" w:hAnsi="宋体" w:eastAsia="宋体" w:cs="宋体"/>
          <w:color w:val="000000"/>
          <w:spacing w:val="2"/>
          <w:kern w:val="0"/>
          <w:sz w:val="21"/>
          <w:szCs w:val="21"/>
          <w:highlight w:val="none"/>
          <w:lang w:val="en-US" w:eastAsia="zh-CN" w:bidi="ar-SA"/>
        </w:rPr>
        <w:t>关键技术要求、检验、试验、包装、运输及交货的要求。</w:t>
      </w:r>
    </w:p>
    <w:p>
      <w:pPr>
        <w:pStyle w:val="6"/>
        <w:keepNext w:val="0"/>
        <w:keepLines w:val="0"/>
        <w:pageBreakBefore w:val="0"/>
        <w:widowControl w:val="0"/>
        <w:kinsoku/>
        <w:wordWrap/>
        <w:overflowPunct/>
        <w:topLinePunct w:val="0"/>
        <w:autoSpaceDE/>
        <w:autoSpaceDN/>
        <w:bidi w:val="0"/>
        <w:adjustRightInd/>
        <w:snapToGrid/>
        <w:spacing w:line="360" w:lineRule="auto"/>
        <w:ind w:left="0" w:leftChars="0" w:right="119" w:firstLine="0" w:firstLineChars="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引用标准：</w:t>
      </w:r>
    </w:p>
    <w:p>
      <w:pPr>
        <w:pStyle w:val="12"/>
        <w:keepNext w:val="0"/>
        <w:keepLines w:val="0"/>
        <w:pageBreakBefore w:val="0"/>
        <w:widowControl/>
        <w:numPr>
          <w:ilvl w:val="0"/>
          <w:numId w:val="1"/>
        </w:numPr>
        <w:suppressLineNumbers w:val="0"/>
        <w:kinsoku/>
        <w:wordWrap w:val="0"/>
        <w:overflowPunct/>
        <w:topLinePunct w:val="0"/>
        <w:autoSpaceDE/>
        <w:autoSpaceDN/>
        <w:bidi w:val="0"/>
        <w:adjustRightInd/>
        <w:snapToGrid/>
        <w:spacing w:before="0" w:beforeAutospacing="0" w:after="0" w:afterAutospacing="0" w:line="360" w:lineRule="auto"/>
        <w:ind w:left="420" w:leftChars="0" w:right="0" w:hanging="42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 xml:space="preserve">中国境内海上油气田通用技术规格书 通用仪表 </w:t>
      </w:r>
      <w:r>
        <w:rPr>
          <w:rFonts w:hint="eastAsia" w:ascii="宋体" w:hAnsi="宋体" w:eastAsia="宋体" w:cs="宋体"/>
          <w:color w:val="auto"/>
          <w:sz w:val="21"/>
          <w:szCs w:val="21"/>
          <w:highlight w:val="none"/>
          <w:lang w:val="en-US" w:eastAsia="zh-CN"/>
        </w:rPr>
        <w:t>Q/BZH 11107.01-2021/Q/BZH 11207.01-2021</w:t>
      </w:r>
    </w:p>
    <w:p>
      <w:pPr>
        <w:pStyle w:val="12"/>
        <w:keepNext w:val="0"/>
        <w:keepLines w:val="0"/>
        <w:pageBreakBefore w:val="0"/>
        <w:widowControl/>
        <w:numPr>
          <w:ilvl w:val="0"/>
          <w:numId w:val="1"/>
        </w:numPr>
        <w:suppressLineNumbers w:val="0"/>
        <w:kinsoku/>
        <w:wordWrap w:val="0"/>
        <w:overflowPunct/>
        <w:topLinePunct w:val="0"/>
        <w:autoSpaceDE/>
        <w:autoSpaceDN/>
        <w:bidi w:val="0"/>
        <w:adjustRightInd/>
        <w:snapToGrid/>
        <w:spacing w:before="0" w:beforeAutospacing="0" w:after="0" w:afterAutospacing="0" w:line="360" w:lineRule="auto"/>
        <w:ind w:left="420" w:leftChars="0" w:right="0" w:hanging="42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《爆炸性环境第1部分：设备 通用要求》GB/T 3836.1-2021</w:t>
      </w:r>
    </w:p>
    <w:p>
      <w:pPr>
        <w:pStyle w:val="24"/>
        <w:keepNext w:val="0"/>
        <w:keepLines w:val="0"/>
        <w:pageBreakBefore w:val="0"/>
        <w:numPr>
          <w:ilvl w:val="0"/>
          <w:numId w:val="2"/>
        </w:numPr>
        <w:kinsoku/>
        <w:wordWrap/>
        <w:overflowPunct/>
        <w:topLinePunct w:val="0"/>
        <w:bidi w:val="0"/>
        <w:spacing w:before="120" w:after="120" w:line="360" w:lineRule="auto"/>
        <w:outlineLvl w:val="0"/>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rPr>
        <w:t>需求一览表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2"/>
        <w:gridCol w:w="1084"/>
        <w:gridCol w:w="923"/>
        <w:gridCol w:w="2106"/>
        <w:gridCol w:w="923"/>
        <w:gridCol w:w="923"/>
        <w:gridCol w:w="950"/>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 w:type="dxa"/>
            <w:vAlign w:val="center"/>
          </w:tcPr>
          <w:p>
            <w:pPr>
              <w:keepNext w:val="0"/>
              <w:keepLines w:val="0"/>
              <w:pageBreakBefore w:val="0"/>
              <w:widowControl/>
              <w:kinsoku/>
              <w:wordWrap/>
              <w:overflowPunct/>
              <w:topLinePunct w:val="0"/>
              <w:bidi w:val="0"/>
              <w:spacing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eastAsia="zh-CN"/>
              </w:rPr>
              <w:t>序号</w:t>
            </w:r>
          </w:p>
        </w:tc>
        <w:tc>
          <w:tcPr>
            <w:tcW w:w="1084" w:type="dxa"/>
            <w:vAlign w:val="center"/>
          </w:tcPr>
          <w:p>
            <w:pPr>
              <w:keepNext w:val="0"/>
              <w:keepLines w:val="0"/>
              <w:pageBreakBefore w:val="0"/>
              <w:widowControl/>
              <w:kinsoku/>
              <w:wordWrap/>
              <w:overflowPunct/>
              <w:topLinePunct w:val="0"/>
              <w:bidi w:val="0"/>
              <w:spacing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eastAsia="zh-CN"/>
              </w:rPr>
              <w:t>物资编码</w:t>
            </w:r>
          </w:p>
        </w:tc>
        <w:tc>
          <w:tcPr>
            <w:tcW w:w="923" w:type="dxa"/>
            <w:vAlign w:val="center"/>
          </w:tcPr>
          <w:p>
            <w:pPr>
              <w:keepNext w:val="0"/>
              <w:keepLines w:val="0"/>
              <w:pageBreakBefore w:val="0"/>
              <w:widowControl/>
              <w:kinsoku/>
              <w:wordWrap/>
              <w:overflowPunct/>
              <w:topLinePunct w:val="0"/>
              <w:bidi w:val="0"/>
              <w:spacing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eastAsia="zh-CN"/>
              </w:rPr>
              <w:t>物资名称</w:t>
            </w:r>
          </w:p>
        </w:tc>
        <w:tc>
          <w:tcPr>
            <w:tcW w:w="2106" w:type="dxa"/>
            <w:vAlign w:val="center"/>
          </w:tcPr>
          <w:p>
            <w:pPr>
              <w:keepNext w:val="0"/>
              <w:keepLines w:val="0"/>
              <w:pageBreakBefore w:val="0"/>
              <w:widowControl/>
              <w:kinsoku/>
              <w:wordWrap/>
              <w:overflowPunct/>
              <w:topLinePunct w:val="0"/>
              <w:bidi w:val="0"/>
              <w:spacing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eastAsia="zh-CN"/>
              </w:rPr>
              <w:t>规格型号</w:t>
            </w:r>
          </w:p>
        </w:tc>
        <w:tc>
          <w:tcPr>
            <w:tcW w:w="923" w:type="dxa"/>
            <w:vAlign w:val="center"/>
          </w:tcPr>
          <w:p>
            <w:pPr>
              <w:keepNext w:val="0"/>
              <w:keepLines w:val="0"/>
              <w:pageBreakBefore w:val="0"/>
              <w:widowControl/>
              <w:suppressLineNumbers w:val="0"/>
              <w:kinsoku/>
              <w:wordWrap/>
              <w:overflowPunct/>
              <w:topLinePunct w:val="0"/>
              <w:bidi w:val="0"/>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w:t>
            </w:r>
          </w:p>
        </w:tc>
        <w:tc>
          <w:tcPr>
            <w:tcW w:w="923" w:type="dxa"/>
            <w:vAlign w:val="center"/>
          </w:tcPr>
          <w:p>
            <w:pPr>
              <w:keepNext w:val="0"/>
              <w:keepLines w:val="0"/>
              <w:pageBreakBefore w:val="0"/>
              <w:widowControl/>
              <w:kinsoku/>
              <w:wordWrap/>
              <w:overflowPunct/>
              <w:topLinePunct w:val="0"/>
              <w:bidi w:val="0"/>
              <w:spacing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eastAsia="zh-CN"/>
              </w:rPr>
              <w:t>数量</w:t>
            </w:r>
          </w:p>
        </w:tc>
        <w:tc>
          <w:tcPr>
            <w:tcW w:w="950" w:type="dxa"/>
            <w:vAlign w:val="center"/>
          </w:tcPr>
          <w:p>
            <w:pPr>
              <w:keepNext w:val="0"/>
              <w:keepLines w:val="0"/>
              <w:pageBreakBefore w:val="0"/>
              <w:widowControl/>
              <w:kinsoku/>
              <w:wordWrap/>
              <w:overflowPunct/>
              <w:topLinePunct w:val="0"/>
              <w:bidi w:val="0"/>
              <w:spacing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eastAsia="zh-CN"/>
              </w:rPr>
              <w:t>供货</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周期</w:t>
            </w:r>
          </w:p>
        </w:tc>
        <w:tc>
          <w:tcPr>
            <w:tcW w:w="923" w:type="dxa"/>
            <w:vAlign w:val="center"/>
          </w:tcPr>
          <w:p>
            <w:pPr>
              <w:keepNext w:val="0"/>
              <w:keepLines w:val="0"/>
              <w:pageBreakBefore w:val="0"/>
              <w:widowControl/>
              <w:kinsoku/>
              <w:wordWrap/>
              <w:overflowPunct/>
              <w:topLinePunct w:val="0"/>
              <w:bidi w:val="0"/>
              <w:spacing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 w:type="dxa"/>
            <w:vAlign w:val="center"/>
          </w:tcPr>
          <w:p>
            <w:pPr>
              <w:keepNext w:val="0"/>
              <w:keepLines w:val="0"/>
              <w:pageBreakBefore w:val="0"/>
              <w:widowControl/>
              <w:kinsoku/>
              <w:wordWrap/>
              <w:overflowPunct/>
              <w:topLinePunct w:val="0"/>
              <w:bidi w:val="0"/>
              <w:spacing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1</w:t>
            </w:r>
          </w:p>
        </w:tc>
        <w:tc>
          <w:tcPr>
            <w:tcW w:w="1084" w:type="dxa"/>
            <w:vAlign w:val="center"/>
          </w:tcPr>
          <w:p>
            <w:pPr>
              <w:keepNext w:val="0"/>
              <w:keepLines w:val="0"/>
              <w:pageBreakBefore w:val="0"/>
              <w:widowControl/>
              <w:kinsoku/>
              <w:wordWrap/>
              <w:overflowPunct/>
              <w:topLinePunct w:val="0"/>
              <w:bidi w:val="0"/>
              <w:spacing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85389444</w:t>
            </w:r>
          </w:p>
        </w:tc>
        <w:tc>
          <w:tcPr>
            <w:tcW w:w="923" w:type="dxa"/>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超声波流量计</w:t>
            </w:r>
          </w:p>
        </w:tc>
        <w:tc>
          <w:tcPr>
            <w:tcW w:w="2106" w:type="dxa"/>
            <w:vAlign w:val="center"/>
          </w:tcPr>
          <w:p>
            <w:pPr>
              <w:keepNext w:val="0"/>
              <w:keepLines w:val="0"/>
              <w:pageBreakBefore w:val="0"/>
              <w:widowControl/>
              <w:suppressLineNumbers w:val="0"/>
              <w:kinsoku/>
              <w:wordWrap/>
              <w:overflowPunct/>
              <w:topLinePunct w:val="0"/>
              <w:bidi w:val="0"/>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超声波流量计\0～15000Sm3/h\1.0\4～20mA\DC24V\LCD显示\3inRF 600lb\ExdⅡBT4 IP56</w:t>
            </w:r>
          </w:p>
        </w:tc>
        <w:tc>
          <w:tcPr>
            <w:tcW w:w="923" w:type="dxa"/>
            <w:vAlign w:val="center"/>
          </w:tcPr>
          <w:p>
            <w:pPr>
              <w:keepNext w:val="0"/>
              <w:keepLines w:val="0"/>
              <w:pageBreakBefore w:val="0"/>
              <w:widowControl/>
              <w:suppressLineNumbers w:val="0"/>
              <w:kinsoku/>
              <w:wordWrap/>
              <w:overflowPunct/>
              <w:topLinePunct w:val="0"/>
              <w:bidi w:val="0"/>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923" w:type="dxa"/>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合同签订后150天</w:t>
            </w:r>
          </w:p>
        </w:tc>
        <w:tc>
          <w:tcPr>
            <w:tcW w:w="923" w:type="dxa"/>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详情见数据表及技术要求</w:t>
            </w:r>
          </w:p>
        </w:tc>
      </w:tr>
    </w:tbl>
    <w:p>
      <w:pPr>
        <w:pStyle w:val="24"/>
        <w:keepNext w:val="0"/>
        <w:keepLines w:val="0"/>
        <w:pageBreakBefore w:val="0"/>
        <w:kinsoku/>
        <w:wordWrap/>
        <w:overflowPunct/>
        <w:topLinePunct w:val="0"/>
        <w:bidi w:val="0"/>
        <w:snapToGrid/>
        <w:spacing w:before="120" w:after="120" w:line="360" w:lineRule="auto"/>
        <w:textAlignment w:val="auto"/>
        <w:outlineLvl w:val="0"/>
        <w:rPr>
          <w:rFonts w:hint="eastAsia" w:ascii="宋体" w:hAnsi="宋体" w:eastAsia="宋体" w:cs="宋体"/>
          <w:bCs/>
          <w:color w:val="auto"/>
          <w:sz w:val="32"/>
          <w:szCs w:val="32"/>
        </w:rPr>
      </w:pPr>
      <w:bookmarkStart w:id="2" w:name="_Toc13248929"/>
      <w:bookmarkStart w:id="3" w:name="_Toc13249326"/>
      <w:r>
        <w:rPr>
          <w:rFonts w:hint="eastAsia" w:ascii="宋体" w:hAnsi="宋体" w:eastAsia="宋体" w:cs="宋体"/>
          <w:bCs/>
          <w:color w:val="auto"/>
          <w:sz w:val="32"/>
          <w:szCs w:val="32"/>
        </w:rPr>
        <w:t>三、执行标准/规范</w:t>
      </w:r>
    </w:p>
    <w:p>
      <w:pPr>
        <w:pStyle w:val="12"/>
        <w:keepNext w:val="0"/>
        <w:keepLines w:val="0"/>
        <w:pageBreakBefore w:val="0"/>
        <w:widowControl/>
        <w:numPr>
          <w:ilvl w:val="0"/>
          <w:numId w:val="1"/>
        </w:numPr>
        <w:suppressLineNumbers w:val="0"/>
        <w:kinsoku/>
        <w:wordWrap w:val="0"/>
        <w:overflowPunct/>
        <w:topLinePunct w:val="0"/>
        <w:autoSpaceDE/>
        <w:autoSpaceDN/>
        <w:bidi w:val="0"/>
        <w:adjustRightInd/>
        <w:snapToGrid/>
        <w:spacing w:before="0" w:beforeAutospacing="0" w:after="0" w:afterAutospacing="0" w:line="360" w:lineRule="auto"/>
        <w:ind w:left="420" w:leftChars="0" w:right="0" w:hanging="42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 xml:space="preserve">中国境内海上油气田通用技术规格书 通用仪表 </w:t>
      </w:r>
      <w:r>
        <w:rPr>
          <w:rFonts w:hint="eastAsia" w:ascii="宋体" w:hAnsi="宋体" w:eastAsia="宋体" w:cs="宋体"/>
          <w:color w:val="auto"/>
          <w:sz w:val="21"/>
          <w:szCs w:val="21"/>
          <w:highlight w:val="none"/>
          <w:lang w:val="en-US" w:eastAsia="zh-CN"/>
        </w:rPr>
        <w:t>Q/BZH 11107.01-2021/Q/BZH 11207.01-2021</w:t>
      </w:r>
    </w:p>
    <w:p>
      <w:pPr>
        <w:pStyle w:val="12"/>
        <w:keepNext w:val="0"/>
        <w:keepLines w:val="0"/>
        <w:pageBreakBefore w:val="0"/>
        <w:widowControl/>
        <w:numPr>
          <w:ilvl w:val="0"/>
          <w:numId w:val="1"/>
        </w:numPr>
        <w:suppressLineNumbers w:val="0"/>
        <w:kinsoku/>
        <w:wordWrap w:val="0"/>
        <w:overflowPunct/>
        <w:topLinePunct w:val="0"/>
        <w:autoSpaceDE/>
        <w:autoSpaceDN/>
        <w:bidi w:val="0"/>
        <w:adjustRightInd/>
        <w:snapToGrid/>
        <w:spacing w:before="0" w:beforeAutospacing="0" w:after="0" w:afterAutospacing="0" w:line="360" w:lineRule="auto"/>
        <w:ind w:left="420" w:leftChars="0" w:right="0" w:hanging="42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《爆炸性环境第1部分：设备 通用要求》GB/T 3836.1-2021</w:t>
      </w:r>
    </w:p>
    <w:p>
      <w:pPr>
        <w:pStyle w:val="24"/>
        <w:keepNext w:val="0"/>
        <w:keepLines w:val="0"/>
        <w:pageBreakBefore w:val="0"/>
        <w:kinsoku/>
        <w:wordWrap/>
        <w:overflowPunct/>
        <w:topLinePunct w:val="0"/>
        <w:bidi w:val="0"/>
        <w:snapToGrid/>
        <w:spacing w:before="120" w:after="120" w:line="360" w:lineRule="auto"/>
        <w:textAlignment w:val="auto"/>
        <w:outlineLvl w:val="0"/>
        <w:rPr>
          <w:rFonts w:hint="eastAsia" w:ascii="宋体" w:hAnsi="宋体" w:eastAsia="宋体" w:cs="宋体"/>
          <w:bCs/>
          <w:color w:val="auto"/>
          <w:sz w:val="32"/>
          <w:szCs w:val="32"/>
        </w:rPr>
      </w:pPr>
      <w:r>
        <w:rPr>
          <w:rFonts w:hint="eastAsia" w:ascii="宋体" w:hAnsi="宋体" w:eastAsia="宋体" w:cs="宋体"/>
          <w:bCs/>
          <w:color w:val="auto"/>
          <w:sz w:val="32"/>
          <w:szCs w:val="32"/>
        </w:rPr>
        <w:t>四、设计/使用条件</w:t>
      </w:r>
    </w:p>
    <w:p>
      <w:pPr>
        <w:pStyle w:val="6"/>
        <w:keepNext w:val="0"/>
        <w:keepLines w:val="0"/>
        <w:pageBreakBefore w:val="0"/>
        <w:widowControl w:val="0"/>
        <w:kinsoku/>
        <w:wordWrap/>
        <w:overflowPunct/>
        <w:topLinePunct w:val="0"/>
        <w:autoSpaceDE/>
        <w:autoSpaceDN/>
        <w:bidi w:val="0"/>
        <w:adjustRightInd/>
        <w:snapToGrid/>
        <w:spacing w:line="360" w:lineRule="auto"/>
        <w:ind w:left="0" w:leftChars="0" w:right="119" w:firstLine="0" w:firstLineChars="0"/>
        <w:textAlignment w:val="auto"/>
        <w:rPr>
          <w:rFonts w:hint="eastAsia" w:ascii="宋体" w:hAnsi="宋体" w:eastAsia="宋体" w:cs="宋体"/>
          <w:color w:val="auto"/>
          <w:lang w:eastAsia="zh-CN"/>
        </w:rPr>
      </w:pPr>
      <w:r>
        <w:rPr>
          <w:rFonts w:hint="eastAsia" w:ascii="宋体" w:hAnsi="宋体" w:eastAsia="宋体" w:cs="宋体"/>
          <w:color w:val="auto"/>
          <w:lang w:eastAsia="zh-CN"/>
        </w:rPr>
        <w:t>1. 设计要求：采购产品或设备满足相关设计要求；</w:t>
      </w:r>
    </w:p>
    <w:p>
      <w:pPr>
        <w:keepNext w:val="0"/>
        <w:keepLines w:val="0"/>
        <w:widowControl/>
        <w:suppressLineNumbers w:val="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 交货地点：天津市塘沽区渤港北一路与东五路交叉口设施中心3号码头</w:t>
      </w:r>
    </w:p>
    <w:p>
      <w:pPr>
        <w:pStyle w:val="6"/>
        <w:keepNext w:val="0"/>
        <w:keepLines w:val="0"/>
        <w:pageBreakBefore w:val="0"/>
        <w:widowControl w:val="0"/>
        <w:kinsoku/>
        <w:wordWrap/>
        <w:overflowPunct/>
        <w:topLinePunct w:val="0"/>
        <w:autoSpaceDE/>
        <w:autoSpaceDN/>
        <w:bidi w:val="0"/>
        <w:adjustRightInd/>
        <w:snapToGrid/>
        <w:spacing w:line="360" w:lineRule="auto"/>
        <w:ind w:left="0" w:leftChars="0" w:right="119" w:firstLine="0" w:firstLineChars="0"/>
        <w:textAlignment w:val="auto"/>
        <w:rPr>
          <w:rFonts w:hint="eastAsia" w:ascii="宋体" w:hAnsi="宋体" w:eastAsia="宋体" w:cs="宋体"/>
          <w:color w:val="auto"/>
          <w:lang w:val="en-US" w:eastAsia="zh-CN"/>
        </w:rPr>
      </w:pPr>
      <w:r>
        <w:rPr>
          <w:rFonts w:hint="eastAsia" w:ascii="宋体" w:hAnsi="宋体" w:eastAsia="宋体" w:cs="宋体"/>
          <w:color w:val="auto"/>
          <w:lang w:eastAsia="zh-CN"/>
        </w:rPr>
        <w:t>3. 作</w:t>
      </w:r>
      <w:r>
        <w:rPr>
          <w:rFonts w:hint="eastAsia" w:ascii="宋体" w:hAnsi="宋体" w:eastAsia="宋体" w:cs="宋体"/>
          <w:color w:val="auto"/>
          <w:lang w:val="en-US" w:eastAsia="zh-CN"/>
        </w:rPr>
        <w:t>业环境要求：</w:t>
      </w:r>
    </w:p>
    <w:p>
      <w:pPr>
        <w:pStyle w:val="6"/>
        <w:keepNext w:val="0"/>
        <w:keepLines w:val="0"/>
        <w:pageBreakBefore w:val="0"/>
        <w:widowControl w:val="0"/>
        <w:kinsoku/>
        <w:wordWrap/>
        <w:overflowPunct/>
        <w:topLinePunct w:val="0"/>
        <w:autoSpaceDE/>
        <w:autoSpaceDN/>
        <w:bidi w:val="0"/>
        <w:adjustRightInd/>
        <w:snapToGrid/>
        <w:spacing w:line="360" w:lineRule="auto"/>
        <w:ind w:left="0" w:leftChars="0" w:right="119"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环境温度： Max: 36°C   Min: -25°C  相对湿度：Max: 100%   Min: 24%</w:t>
      </w:r>
    </w:p>
    <w:p>
      <w:pPr>
        <w:pStyle w:val="6"/>
        <w:keepNext w:val="0"/>
        <w:keepLines w:val="0"/>
        <w:pageBreakBefore w:val="0"/>
        <w:widowControl w:val="0"/>
        <w:kinsoku/>
        <w:wordWrap/>
        <w:overflowPunct/>
        <w:topLinePunct w:val="0"/>
        <w:autoSpaceDE/>
        <w:autoSpaceDN/>
        <w:bidi w:val="0"/>
        <w:adjustRightInd/>
        <w:snapToGrid/>
        <w:spacing w:line="360" w:lineRule="auto"/>
        <w:ind w:left="0" w:leftChars="0" w:right="119" w:firstLine="420" w:firstLineChars="200"/>
        <w:textAlignment w:val="auto"/>
        <w:rPr>
          <w:rFonts w:hint="eastAsia" w:ascii="宋体" w:hAnsi="宋体" w:eastAsia="宋体" w:cs="宋体"/>
          <w:color w:val="auto"/>
          <w:lang w:eastAsia="zh-CN"/>
        </w:rPr>
      </w:pPr>
      <w:r>
        <w:rPr>
          <w:rFonts w:hint="eastAsia" w:ascii="宋体" w:hAnsi="宋体" w:eastAsia="宋体" w:cs="宋体"/>
          <w:color w:val="auto"/>
          <w:lang w:val="en-US" w:eastAsia="zh-CN"/>
        </w:rPr>
        <w:t>潮湿、含盐的腐蚀性环境；有凝露、油雾、盐雾和霉菌的影响；有平台作业时所产生的振动和晃动。</w:t>
      </w:r>
    </w:p>
    <w:p>
      <w:pPr>
        <w:pStyle w:val="24"/>
        <w:keepNext w:val="0"/>
        <w:keepLines w:val="0"/>
        <w:pageBreakBefore w:val="0"/>
        <w:kinsoku/>
        <w:wordWrap/>
        <w:overflowPunct/>
        <w:topLinePunct w:val="0"/>
        <w:bidi w:val="0"/>
        <w:snapToGrid/>
        <w:spacing w:before="120" w:after="120" w:line="360" w:lineRule="auto"/>
        <w:textAlignment w:val="auto"/>
        <w:outlineLvl w:val="0"/>
        <w:rPr>
          <w:rFonts w:hint="eastAsia" w:ascii="宋体" w:hAnsi="宋体" w:eastAsia="宋体" w:cs="宋体"/>
          <w:bCs/>
          <w:color w:val="auto"/>
          <w:sz w:val="32"/>
          <w:szCs w:val="32"/>
        </w:rPr>
      </w:pPr>
      <w:r>
        <w:rPr>
          <w:rFonts w:hint="eastAsia" w:ascii="宋体" w:hAnsi="宋体" w:eastAsia="宋体" w:cs="宋体"/>
          <w:bCs/>
          <w:color w:val="auto"/>
          <w:sz w:val="32"/>
          <w:szCs w:val="32"/>
        </w:rPr>
        <w:t>五、技术要求</w:t>
      </w:r>
    </w:p>
    <w:p>
      <w:pPr>
        <w:pStyle w:val="1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 xml:space="preserve">部分引用“中国境内海上油气田通用技术规格书 通用仪表 </w:t>
      </w:r>
      <w:r>
        <w:rPr>
          <w:rFonts w:hint="eastAsia" w:ascii="宋体" w:hAnsi="宋体" w:eastAsia="宋体" w:cs="宋体"/>
          <w:color w:val="auto"/>
          <w:sz w:val="21"/>
          <w:szCs w:val="21"/>
          <w:highlight w:val="none"/>
          <w:lang w:val="en-US" w:eastAsia="zh-CN"/>
        </w:rPr>
        <w:t>Q/BZH 11107.01-2021/Q/BZH 11207.01-2021</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color w:val="auto"/>
          <w:sz w:val="21"/>
          <w:szCs w:val="21"/>
          <w:highlight w:val="none"/>
          <w:lang w:val="en-US" w:eastAsia="zh-CN"/>
        </w:rPr>
        <w:t>第7.11条款，</w:t>
      </w:r>
      <w:r>
        <w:rPr>
          <w:rFonts w:hint="eastAsia" w:ascii="宋体" w:hAnsi="宋体" w:eastAsia="宋体" w:cs="宋体"/>
          <w:color w:val="auto"/>
          <w:kern w:val="0"/>
          <w:sz w:val="21"/>
          <w:szCs w:val="21"/>
          <w:highlight w:val="none"/>
          <w:lang w:val="en-US" w:eastAsia="zh-CN" w:bidi="ar-SA"/>
        </w:rPr>
        <w:t>《爆炸性环境第1部分：设备 通用要求》GB/T 3836.1-2021</w:t>
      </w:r>
      <w:r>
        <w:rPr>
          <w:rFonts w:hint="eastAsia" w:ascii="宋体" w:hAnsi="宋体" w:eastAsia="宋体" w:cs="宋体"/>
          <w:color w:val="auto"/>
          <w:sz w:val="21"/>
          <w:szCs w:val="21"/>
          <w:highlight w:val="none"/>
          <w:lang w:val="en-US" w:eastAsia="zh-CN"/>
        </w:rPr>
        <w:t>中第28.2条款</w:t>
      </w:r>
    </w:p>
    <w:p>
      <w:pPr>
        <w:pStyle w:val="4"/>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以下为引用标准中所列重要参数：</w:t>
      </w:r>
      <w:r>
        <w:rPr>
          <w:rFonts w:hint="eastAsia" w:ascii="宋体" w:hAnsi="宋体" w:cs="宋体"/>
          <w:color w:val="auto"/>
          <w:sz w:val="21"/>
          <w:szCs w:val="21"/>
          <w:lang w:val="en-US" w:eastAsia="zh-CN"/>
        </w:rPr>
        <w:t>】</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2"/>
          <w:sz w:val="21"/>
          <w:szCs w:val="21"/>
          <w:lang w:val="en-US" w:eastAsia="zh-CN" w:bidi="ar-SA"/>
        </w:rPr>
        <w:t>7.11 超声波流量计</w:t>
      </w:r>
    </w:p>
    <w:p>
      <w:pPr>
        <w:pStyle w:val="4"/>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超声波流量计可用于任何能传播声波的流体，无论是导电性还是非导电性流体。</w:t>
      </w:r>
    </w:p>
    <w:p>
      <w:pPr>
        <w:pStyle w:val="4"/>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z w:val="21"/>
          <w:szCs w:val="21"/>
        </w:rPr>
        <w:t>变送器应为</w:t>
      </w:r>
      <w:r>
        <w:rPr>
          <w:rStyle w:val="17"/>
          <w:rFonts w:hint="eastAsia" w:ascii="宋体" w:hAnsi="宋体" w:eastAsia="宋体" w:cs="宋体"/>
          <w:b w:val="0"/>
          <w:bCs w:val="0"/>
          <w:color w:val="000000"/>
          <w:sz w:val="21"/>
          <w:szCs w:val="21"/>
        </w:rPr>
        <w:t>四线制</w:t>
      </w:r>
      <w:r>
        <w:rPr>
          <w:rFonts w:hint="eastAsia" w:ascii="宋体" w:hAnsi="宋体" w:eastAsia="宋体" w:cs="宋体"/>
          <w:b w:val="0"/>
          <w:bCs w:val="0"/>
          <w:sz w:val="21"/>
          <w:szCs w:val="21"/>
        </w:rPr>
        <w:t xml:space="preserve">，输出 </w:t>
      </w:r>
      <w:r>
        <w:rPr>
          <w:rStyle w:val="17"/>
          <w:rFonts w:hint="eastAsia" w:ascii="宋体" w:hAnsi="宋体" w:eastAsia="宋体" w:cs="宋体"/>
          <w:b w:val="0"/>
          <w:bCs w:val="0"/>
          <w:color w:val="000000"/>
          <w:sz w:val="21"/>
          <w:szCs w:val="21"/>
        </w:rPr>
        <w:t>4～20mA</w:t>
      </w:r>
      <w:r>
        <w:rPr>
          <w:rFonts w:hint="eastAsia" w:ascii="宋体" w:hAnsi="宋体" w:eastAsia="宋体" w:cs="宋体"/>
          <w:b w:val="0"/>
          <w:bCs w:val="0"/>
          <w:sz w:val="21"/>
          <w:szCs w:val="21"/>
        </w:rPr>
        <w:t xml:space="preserve"> 信号，最大负载 600Ω。变送器应适配 </w:t>
      </w:r>
      <w:r>
        <w:rPr>
          <w:rStyle w:val="17"/>
          <w:rFonts w:hint="eastAsia" w:ascii="宋体" w:hAnsi="宋体" w:eastAsia="宋体" w:cs="宋体"/>
          <w:b w:val="0"/>
          <w:bCs w:val="0"/>
          <w:color w:val="000000"/>
          <w:sz w:val="21"/>
          <w:szCs w:val="21"/>
        </w:rPr>
        <w:t>24VDC</w:t>
      </w:r>
      <w:r>
        <w:rPr>
          <w:rFonts w:hint="eastAsia" w:ascii="宋体" w:hAnsi="宋体" w:eastAsia="宋体" w:cs="宋体"/>
          <w:b w:val="0"/>
          <w:bCs w:val="0"/>
          <w:sz w:val="21"/>
          <w:szCs w:val="21"/>
        </w:rPr>
        <w:t xml:space="preserve"> 供电</w:t>
      </w:r>
      <w:r>
        <w:rPr>
          <w:rFonts w:hint="eastAsia" w:ascii="宋体" w:hAnsi="宋体" w:eastAsia="宋体" w:cs="宋体"/>
          <w:b w:val="0"/>
          <w:bCs w:val="0"/>
          <w:color w:val="auto"/>
          <w:kern w:val="2"/>
          <w:sz w:val="21"/>
          <w:szCs w:val="21"/>
          <w:lang w:val="en-US" w:eastAsia="zh-CN" w:bidi="ar-SA"/>
        </w:rPr>
        <w:t xml:space="preserve">。 </w:t>
      </w:r>
    </w:p>
    <w:p>
      <w:pPr>
        <w:pStyle w:val="4"/>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color w:val="auto"/>
          <w:sz w:val="21"/>
          <w:szCs w:val="21"/>
          <w:highlight w:val="none"/>
          <w:lang w:val="en-US" w:eastAsia="zh-CN" w:bidi="ar-SA"/>
        </w:rPr>
        <w:t>★</w:t>
      </w:r>
      <w:r>
        <w:rPr>
          <w:rFonts w:hint="eastAsia" w:ascii="宋体" w:hAnsi="宋体" w:eastAsia="宋体" w:cs="宋体"/>
          <w:b w:val="0"/>
          <w:bCs w:val="0"/>
          <w:sz w:val="21"/>
          <w:szCs w:val="21"/>
        </w:rPr>
        <w:t>气体超声波流量计典型技术指标</w:t>
      </w:r>
      <w:r>
        <w:rPr>
          <w:rFonts w:hint="eastAsia" w:ascii="宋体" w:hAnsi="宋体" w:eastAsia="宋体" w:cs="宋体"/>
          <w:b w:val="0"/>
          <w:bCs w:val="0"/>
          <w:color w:val="auto"/>
          <w:kern w:val="2"/>
          <w:sz w:val="21"/>
          <w:szCs w:val="21"/>
          <w:lang w:val="en-US" w:eastAsia="zh-CN" w:bidi="ar-SA"/>
        </w:rPr>
        <w:t>：</w:t>
      </w:r>
    </w:p>
    <w:p>
      <w:pPr>
        <w:pStyle w:val="4"/>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z w:val="21"/>
          <w:szCs w:val="21"/>
        </w:rPr>
        <w:t>计量分配用途：精度 1.0%</w:t>
      </w:r>
      <w:r>
        <w:rPr>
          <w:rFonts w:hint="eastAsia" w:ascii="宋体" w:hAnsi="宋体" w:eastAsia="宋体" w:cs="宋体"/>
          <w:b w:val="0"/>
          <w:bCs w:val="0"/>
          <w:color w:val="auto"/>
          <w:kern w:val="2"/>
          <w:sz w:val="21"/>
          <w:szCs w:val="21"/>
          <w:lang w:val="en-US" w:eastAsia="zh-CN" w:bidi="ar-SA"/>
        </w:rPr>
        <w:t>。</w:t>
      </w:r>
    </w:p>
    <w:p>
      <w:pPr>
        <w:pStyle w:val="4"/>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z w:val="21"/>
          <w:szCs w:val="21"/>
        </w:rPr>
        <w:t>计量分配用途：重复性 0.2%</w:t>
      </w:r>
    </w:p>
    <w:p>
      <w:pPr>
        <w:pStyle w:val="4"/>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量程比最小为 100:1</w:t>
      </w:r>
    </w:p>
    <w:p>
      <w:pPr>
        <w:pStyle w:val="4"/>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z w:val="21"/>
          <w:szCs w:val="21"/>
        </w:rPr>
        <w:t>超声波流量计可用于任何能传播声波的流体，无论是否导电，不受温度、密度、黏度及压力影响</w:t>
      </w:r>
      <w:r>
        <w:rPr>
          <w:rFonts w:hint="eastAsia" w:ascii="宋体" w:hAnsi="宋体" w:eastAsia="宋体" w:cs="宋体"/>
          <w:b w:val="0"/>
          <w:bCs w:val="0"/>
          <w:color w:val="auto"/>
          <w:kern w:val="2"/>
          <w:sz w:val="21"/>
          <w:szCs w:val="21"/>
          <w:lang w:val="en-US" w:eastAsia="zh-CN" w:bidi="ar-SA"/>
        </w:rPr>
        <w:t>。</w:t>
      </w:r>
    </w:p>
    <w:p>
      <w:pPr>
        <w:pStyle w:val="4"/>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z w:val="21"/>
          <w:szCs w:val="21"/>
        </w:rPr>
        <w:t>超声波流量计应包含：带</w:t>
      </w:r>
      <w:r>
        <w:rPr>
          <w:rStyle w:val="17"/>
          <w:rFonts w:hint="eastAsia" w:ascii="宋体" w:hAnsi="宋体" w:eastAsia="宋体" w:cs="宋体"/>
          <w:b w:val="0"/>
          <w:bCs w:val="0"/>
          <w:color w:val="000000"/>
          <w:sz w:val="21"/>
          <w:szCs w:val="21"/>
        </w:rPr>
        <w:t>管段式安装</w:t>
      </w:r>
      <w:r>
        <w:rPr>
          <w:rFonts w:hint="eastAsia" w:ascii="宋体" w:hAnsi="宋体" w:eastAsia="宋体" w:cs="宋体"/>
          <w:b w:val="0"/>
          <w:bCs w:val="0"/>
          <w:sz w:val="21"/>
          <w:szCs w:val="21"/>
        </w:rPr>
        <w:t>的湿部传感器，以及现场就近安装的信号转换器/变送器。电子部件应集成就地数字显示单元</w:t>
      </w:r>
      <w:r>
        <w:rPr>
          <w:rFonts w:hint="eastAsia" w:ascii="宋体" w:hAnsi="宋体" w:eastAsia="宋体" w:cs="宋体"/>
          <w:b w:val="0"/>
          <w:bCs w:val="0"/>
          <w:color w:val="auto"/>
          <w:kern w:val="2"/>
          <w:sz w:val="21"/>
          <w:szCs w:val="21"/>
          <w:lang w:val="en-US" w:eastAsia="zh-CN" w:bidi="ar-SA"/>
        </w:rPr>
        <w:t>。</w:t>
      </w:r>
    </w:p>
    <w:p>
      <w:pPr>
        <w:pStyle w:val="4"/>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z w:val="21"/>
          <w:szCs w:val="21"/>
        </w:rPr>
        <w:t>管段规格应与数据表中规定的管道尺寸和壁厚等级一致。管段法兰压力等级及加工要求按数据表执行</w:t>
      </w:r>
      <w:r>
        <w:rPr>
          <w:rFonts w:hint="eastAsia" w:ascii="宋体" w:hAnsi="宋体" w:eastAsia="宋体" w:cs="宋体"/>
          <w:b w:val="0"/>
          <w:bCs w:val="0"/>
          <w:color w:val="auto"/>
          <w:kern w:val="2"/>
          <w:sz w:val="21"/>
          <w:szCs w:val="21"/>
          <w:lang w:val="en-US" w:eastAsia="zh-CN" w:bidi="ar-SA"/>
        </w:rPr>
        <w:t>。</w:t>
      </w:r>
    </w:p>
    <w:p>
      <w:pPr>
        <w:pStyle w:val="4"/>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z w:val="21"/>
          <w:szCs w:val="21"/>
        </w:rPr>
        <w:t>流量计应作为</w:t>
      </w:r>
      <w:r>
        <w:rPr>
          <w:rStyle w:val="17"/>
          <w:rFonts w:hint="eastAsia" w:ascii="宋体" w:hAnsi="宋体" w:eastAsia="宋体" w:cs="宋体"/>
          <w:b w:val="0"/>
          <w:bCs w:val="0"/>
          <w:color w:val="000000"/>
          <w:sz w:val="21"/>
          <w:szCs w:val="21"/>
        </w:rPr>
        <w:t>成套设备</w:t>
      </w:r>
      <w:r>
        <w:rPr>
          <w:rFonts w:hint="eastAsia" w:ascii="宋体" w:hAnsi="宋体" w:eastAsia="宋体" w:cs="宋体"/>
          <w:b w:val="0"/>
          <w:bCs w:val="0"/>
          <w:sz w:val="21"/>
          <w:szCs w:val="21"/>
        </w:rPr>
        <w:t>供货，包含</w:t>
      </w:r>
      <w:r>
        <w:rPr>
          <w:rFonts w:hint="eastAsia" w:ascii="宋体" w:hAnsi="宋体" w:eastAsia="宋体" w:cs="宋体"/>
          <w:b w:val="0"/>
          <w:bCs w:val="0"/>
          <w:color w:val="auto"/>
          <w:kern w:val="2"/>
          <w:sz w:val="21"/>
          <w:szCs w:val="21"/>
          <w:lang w:val="en-US" w:eastAsia="zh-CN" w:bidi="ar-SA"/>
        </w:rPr>
        <w:t>：</w:t>
      </w:r>
    </w:p>
    <w:p>
      <w:pPr>
        <w:pStyle w:val="4"/>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z w:val="21"/>
          <w:szCs w:val="21"/>
        </w:rPr>
        <w:t>带法兰端连接、适配管段安装的传感器</w:t>
      </w:r>
      <w:r>
        <w:rPr>
          <w:rFonts w:hint="eastAsia" w:ascii="宋体" w:hAnsi="宋体" w:eastAsia="宋体" w:cs="宋体"/>
          <w:b w:val="0"/>
          <w:bCs w:val="0"/>
          <w:color w:val="auto"/>
          <w:kern w:val="2"/>
          <w:sz w:val="21"/>
          <w:szCs w:val="21"/>
          <w:lang w:val="en-US" w:eastAsia="zh-CN" w:bidi="ar-SA"/>
        </w:rPr>
        <w:t>。</w:t>
      </w:r>
    </w:p>
    <w:p>
      <w:pPr>
        <w:pStyle w:val="4"/>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z w:val="21"/>
          <w:szCs w:val="21"/>
        </w:rPr>
        <w:t>传感器与变送器之间的电缆，及变送器安装附件</w:t>
      </w:r>
      <w:r>
        <w:rPr>
          <w:rFonts w:hint="eastAsia" w:ascii="宋体" w:hAnsi="宋体" w:eastAsia="宋体" w:cs="宋体"/>
          <w:b w:val="0"/>
          <w:bCs w:val="0"/>
          <w:color w:val="auto"/>
          <w:kern w:val="2"/>
          <w:sz w:val="21"/>
          <w:szCs w:val="21"/>
          <w:lang w:val="en-US" w:eastAsia="zh-CN" w:bidi="ar-SA"/>
        </w:rPr>
        <w:t>。</w:t>
      </w:r>
    </w:p>
    <w:p>
      <w:pPr>
        <w:pStyle w:val="4"/>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用于将传感器安装在管段上的双头螺栓、螺母及垫片</w:t>
      </w:r>
      <w:r>
        <w:rPr>
          <w:rFonts w:hint="eastAsia" w:ascii="宋体" w:hAnsi="宋体" w:eastAsia="宋体" w:cs="宋体"/>
          <w:b w:val="0"/>
          <w:bCs w:val="0"/>
          <w:color w:val="auto"/>
          <w:kern w:val="2"/>
          <w:sz w:val="21"/>
          <w:szCs w:val="21"/>
          <w:lang w:val="en-US" w:eastAsia="zh-CN" w:bidi="ar-SA"/>
        </w:rPr>
        <w:t>。</w:t>
      </w:r>
    </w:p>
    <w:p>
      <w:pPr>
        <w:pStyle w:val="4"/>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系统应通过数据通信接口向过程控制系统（PCS）传输以下计量数据</w:t>
      </w:r>
      <w:r>
        <w:rPr>
          <w:rFonts w:hint="eastAsia" w:ascii="宋体" w:hAnsi="宋体" w:eastAsia="宋体" w:cs="宋体"/>
          <w:b w:val="0"/>
          <w:bCs w:val="0"/>
          <w:sz w:val="21"/>
          <w:szCs w:val="21"/>
          <w:lang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z w:val="21"/>
          <w:szCs w:val="21"/>
        </w:rPr>
        <w:t>质量流量、体积流量（实际工况及标况）、实际密度、温度等</w:t>
      </w:r>
      <w:r>
        <w:rPr>
          <w:rFonts w:hint="eastAsia" w:ascii="宋体" w:hAnsi="宋体" w:eastAsia="宋体" w:cs="宋体"/>
          <w:b w:val="0"/>
          <w:bCs w:val="0"/>
          <w:color w:val="auto"/>
          <w:kern w:val="2"/>
          <w:sz w:val="21"/>
          <w:szCs w:val="21"/>
          <w:lang w:val="en-US" w:eastAsia="zh-CN" w:bidi="ar-SA"/>
        </w:rPr>
        <w:t>。</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lang w:val="en-US" w:eastAsia="zh-CN"/>
        </w:rPr>
      </w:pPr>
      <w:r>
        <w:rPr>
          <w:rFonts w:hint="eastAsia" w:ascii="宋体" w:hAnsi="宋体" w:cs="宋体"/>
          <w:color w:val="auto"/>
          <w:lang w:val="en-US" w:eastAsia="zh-CN"/>
        </w:rPr>
        <w:t>28.2</w:t>
      </w:r>
      <w:r>
        <w:rPr>
          <w:rFonts w:hint="eastAsia" w:ascii="宋体" w:hAnsi="宋体" w:eastAsia="宋体" w:cs="宋体"/>
          <w:color w:val="auto"/>
          <w:lang w:val="en-US" w:eastAsia="zh-CN"/>
        </w:rPr>
        <w:t>防爆合格证</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制造商对其制造的防爆产品应取得防爆合格证。</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auto"/>
          <w:lang w:val="en-US" w:eastAsia="zh-CN"/>
        </w:rPr>
      </w:pPr>
    </w:p>
    <w:p>
      <w:pPr>
        <w:pStyle w:val="4"/>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【下列要求为对上述标准中参数的补充优化</w:t>
      </w:r>
      <w:r>
        <w:rPr>
          <w:rFonts w:hint="eastAsia" w:ascii="宋体" w:hAnsi="宋体" w:cs="宋体"/>
          <w:color w:val="auto"/>
          <w:lang w:val="en-US" w:eastAsia="zh-CN"/>
        </w:rPr>
        <w:t>：</w:t>
      </w:r>
      <w:r>
        <w:rPr>
          <w:rFonts w:hint="eastAsia" w:ascii="宋体" w:hAnsi="宋体" w:eastAsia="宋体" w:cs="宋体"/>
          <w:color w:val="auto"/>
          <w:lang w:val="en-US" w:eastAsia="zh-CN"/>
        </w:rPr>
        <w:t>】</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trike w:val="0"/>
          <w:dstrike w:val="0"/>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能承受高盐大气环境，同时具备高温环境温度：-25℃～36℃，相对湿度：24～100%。</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流量计测量原理满足应答文件中数据表的要求；应答时提供与本次应答型号对应型号的产品技术样本。</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★流量计的接液部分材质及变送器外壳材质、测量精度、重复性、量程范围和量程比满足应答文件中数据表的要求。</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流量计的尺寸、压力磅级以及连接形式</w:t>
      </w:r>
      <w:r>
        <w:rPr>
          <w:rFonts w:hint="eastAsia" w:ascii="宋体" w:hAnsi="宋体" w:eastAsia="宋体" w:cs="宋体"/>
          <w:color w:val="auto"/>
          <w:sz w:val="21"/>
          <w:szCs w:val="21"/>
          <w:highlight w:val="none"/>
          <w:lang w:val="en-US" w:eastAsia="zh-CN" w:bidi="ar-SA"/>
        </w:rPr>
        <w:t>满足应答文件中数据表的要求。</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流量计应提供永久流向标识。</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连接法兰材质符合设计要求，卖方提供配对法兰。</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PTFE含氟聚合物的详细系列应由卖方推荐，并应满足设计温度。</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ar-SA"/>
        </w:rPr>
        <w:t>管道应在所有焊道中使用填充金属进行焊接，并应进行完整的射线探伤。</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提供不锈钢的仪表位号标识牌，仪表位号标识牌用螺钉固定，便于拆卸，仪表位号标识牌与铭牌分开安装。</w:t>
      </w:r>
    </w:p>
    <w:p>
      <w:pPr>
        <w:pStyle w:val="24"/>
        <w:keepNext w:val="0"/>
        <w:keepLines w:val="0"/>
        <w:pageBreakBefore w:val="0"/>
        <w:kinsoku/>
        <w:wordWrap/>
        <w:overflowPunct/>
        <w:topLinePunct w:val="0"/>
        <w:bidi w:val="0"/>
        <w:spacing w:before="120" w:after="120" w:line="360" w:lineRule="auto"/>
        <w:outlineLvl w:val="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六、检测和试验</w:t>
      </w:r>
    </w:p>
    <w:p>
      <w:pPr>
        <w:widowControl/>
        <w:numPr>
          <w:ilvl w:val="0"/>
          <w:numId w:val="10"/>
        </w:numPr>
        <w:spacing w:line="360" w:lineRule="auto"/>
        <w:ind w:left="425" w:leftChars="0" w:hanging="425" w:firstLineChars="0"/>
        <w:rPr>
          <w:sz w:val="21"/>
          <w:szCs w:val="21"/>
          <w:highlight w:val="none"/>
          <w:lang w:eastAsia="zh-CN"/>
        </w:rPr>
      </w:pPr>
      <w:r>
        <w:rPr>
          <w:rFonts w:hint="eastAsia" w:ascii="宋体" w:hAnsi="宋体" w:eastAsia="宋体" w:cs="宋体"/>
          <w:color w:val="000000"/>
          <w:sz w:val="21"/>
          <w:szCs w:val="21"/>
          <w:highlight w:val="none"/>
          <w:lang w:eastAsia="zh-CN" w:bidi="ar"/>
        </w:rPr>
        <w:t xml:space="preserve">交货时，卖方应与买方共同开箱检验，对于验货中发现的问题，卖方应及时查找原因并提供解决方案，对于买方因质量问题提出的退、换货要求，卖方应积极履行相关责任义务，买方将不负任何费用责任，买方最终有拒收此种设备的权力。同时，卖方应在交货时提供上述设备相关证书（随货纸版，提供给买方电子版）。 </w:t>
      </w:r>
    </w:p>
    <w:p>
      <w:pPr>
        <w:pStyle w:val="6"/>
        <w:numPr>
          <w:ilvl w:val="0"/>
          <w:numId w:val="10"/>
        </w:numPr>
        <w:spacing w:line="360" w:lineRule="auto"/>
        <w:ind w:left="425" w:leftChars="0" w:right="122" w:hanging="425" w:firstLineChars="0"/>
        <w:rPr>
          <w:rFonts w:hint="eastAsia" w:ascii="宋体" w:hAnsi="宋体" w:eastAsia="宋体" w:cs="宋体"/>
          <w:highlight w:val="none"/>
          <w:lang w:eastAsia="zh-CN"/>
        </w:rPr>
      </w:pPr>
      <w:r>
        <w:rPr>
          <w:rFonts w:hint="eastAsia" w:ascii="宋体" w:hAnsi="宋体" w:eastAsia="宋体" w:cs="宋体"/>
          <w:color w:val="000000"/>
          <w:sz w:val="21"/>
          <w:szCs w:val="21"/>
          <w:highlight w:val="none"/>
          <w:lang w:val="en-US" w:eastAsia="zh-CN" w:bidi="ar"/>
        </w:rPr>
        <w:t>产品交付</w:t>
      </w:r>
      <w:r>
        <w:rPr>
          <w:rFonts w:hint="eastAsia" w:ascii="宋体" w:hAnsi="宋体" w:eastAsia="宋体" w:cs="宋体"/>
          <w:color w:val="000000"/>
          <w:sz w:val="21"/>
          <w:szCs w:val="21"/>
          <w:highlight w:val="none"/>
          <w:lang w:eastAsia="zh-CN" w:bidi="ar"/>
        </w:rPr>
        <w:t>资料应整</w:t>
      </w:r>
      <w:r>
        <w:rPr>
          <w:rFonts w:hint="eastAsia" w:ascii="宋体" w:hAnsi="宋体" w:eastAsia="宋体" w:cs="宋体"/>
          <w:color w:val="000000"/>
          <w:sz w:val="21"/>
          <w:szCs w:val="21"/>
          <w:highlight w:val="none"/>
          <w:lang w:val="en-US" w:eastAsia="zh-CN" w:bidi="ar"/>
        </w:rPr>
        <w:t>理</w:t>
      </w:r>
      <w:r>
        <w:rPr>
          <w:rFonts w:hint="eastAsia" w:ascii="宋体" w:hAnsi="宋体" w:eastAsia="宋体" w:cs="宋体"/>
          <w:color w:val="000000"/>
          <w:sz w:val="21"/>
          <w:szCs w:val="21"/>
          <w:highlight w:val="none"/>
          <w:lang w:eastAsia="zh-CN" w:bidi="ar"/>
        </w:rPr>
        <w:t>成册，加盖供货方公章，一正三副，并提供扫描版（带公章）。</w:t>
      </w:r>
      <w:r>
        <w:rPr>
          <w:rFonts w:hint="eastAsia" w:ascii="宋体" w:hAnsi="宋体" w:eastAsia="宋体" w:cs="宋体"/>
          <w:color w:val="000000"/>
          <w:sz w:val="21"/>
          <w:szCs w:val="21"/>
          <w:highlight w:val="none"/>
          <w:lang w:val="en-US" w:eastAsia="zh-CN" w:bidi="ar"/>
        </w:rPr>
        <w:t>随货资料包括但不限于</w:t>
      </w:r>
      <w:r>
        <w:rPr>
          <w:rFonts w:hint="eastAsia" w:ascii="宋体" w:hAnsi="宋体" w:eastAsia="宋体" w:cs="宋体"/>
          <w:color w:val="000000"/>
          <w:sz w:val="21"/>
          <w:szCs w:val="21"/>
          <w:highlight w:val="none"/>
          <w:lang w:eastAsia="zh-CN" w:bidi="ar"/>
        </w:rPr>
        <w:t>如</w:t>
      </w:r>
      <w:r>
        <w:rPr>
          <w:rFonts w:hint="eastAsia" w:ascii="宋体" w:hAnsi="宋体" w:eastAsia="宋体" w:cs="宋体"/>
          <w:color w:val="000000"/>
          <w:sz w:val="21"/>
          <w:szCs w:val="21"/>
          <w:highlight w:val="none"/>
          <w:lang w:val="en-US" w:eastAsia="zh-CN" w:bidi="ar"/>
        </w:rPr>
        <w:t>单批次船检证，</w:t>
      </w:r>
      <w:r>
        <w:rPr>
          <w:rFonts w:hint="eastAsia" w:ascii="宋体" w:hAnsi="宋体" w:eastAsia="宋体" w:cs="宋体"/>
          <w:color w:val="000000"/>
          <w:sz w:val="21"/>
          <w:szCs w:val="21"/>
          <w:highlight w:val="none"/>
          <w:lang w:eastAsia="zh-CN" w:bidi="ar"/>
        </w:rPr>
        <w:t>防爆证、3C证、合格证、</w:t>
      </w:r>
      <w:r>
        <w:rPr>
          <w:rFonts w:hint="eastAsia" w:ascii="宋体" w:hAnsi="宋体" w:eastAsia="宋体" w:cs="宋体"/>
          <w:sz w:val="21"/>
          <w:szCs w:val="21"/>
          <w:highlight w:val="none"/>
          <w:lang w:eastAsia="zh-CN"/>
        </w:rPr>
        <w:t>材质证、</w:t>
      </w:r>
      <w:r>
        <w:rPr>
          <w:rFonts w:hint="eastAsia" w:ascii="宋体" w:hAnsi="宋体" w:eastAsia="宋体" w:cs="宋体"/>
          <w:color w:val="000000"/>
          <w:sz w:val="21"/>
          <w:szCs w:val="21"/>
          <w:highlight w:val="none"/>
          <w:lang w:eastAsia="zh-CN" w:bidi="ar"/>
        </w:rPr>
        <w:t>出厂测试报告等。</w:t>
      </w:r>
    </w:p>
    <w:p>
      <w:pPr>
        <w:pStyle w:val="24"/>
        <w:keepNext w:val="0"/>
        <w:keepLines w:val="0"/>
        <w:pageBreakBefore w:val="0"/>
        <w:kinsoku/>
        <w:wordWrap/>
        <w:overflowPunct/>
        <w:topLinePunct w:val="0"/>
        <w:bidi w:val="0"/>
        <w:spacing w:before="120" w:after="120" w:line="360" w:lineRule="auto"/>
        <w:outlineLvl w:val="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七、标识、包装、运输和存储</w:t>
      </w:r>
    </w:p>
    <w:p>
      <w:pPr>
        <w:pStyle w:val="3"/>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1、产品标识  </w:t>
      </w:r>
    </w:p>
    <w:p>
      <w:pPr>
        <w:keepNext w:val="0"/>
        <w:keepLines w:val="0"/>
        <w:pageBreakBefore w:val="0"/>
        <w:widowControl/>
        <w:numPr>
          <w:ilvl w:val="0"/>
          <w:numId w:val="11"/>
        </w:numPr>
        <w:kinsoku/>
        <w:wordWrap/>
        <w:overflowPunct/>
        <w:topLinePunct w:val="0"/>
        <w:autoSpaceDE w:val="0"/>
        <w:autoSpaceDN w:val="0"/>
        <w:bidi w:val="0"/>
        <w:adjustRightInd w:val="0"/>
        <w:snapToGrid/>
        <w:spacing w:line="360" w:lineRule="auto"/>
        <w:ind w:left="420" w:leftChars="0" w:hanging="200"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产品标签要求：产品名称、规格型号、生产批号、生产日期、生产商名称、生产地址；</w:t>
      </w:r>
    </w:p>
    <w:p>
      <w:pPr>
        <w:keepNext w:val="0"/>
        <w:keepLines w:val="0"/>
        <w:pageBreakBefore w:val="0"/>
        <w:widowControl/>
        <w:numPr>
          <w:ilvl w:val="0"/>
          <w:numId w:val="11"/>
        </w:numPr>
        <w:kinsoku/>
        <w:wordWrap/>
        <w:overflowPunct/>
        <w:topLinePunct w:val="0"/>
        <w:autoSpaceDE w:val="0"/>
        <w:autoSpaceDN w:val="0"/>
        <w:bidi w:val="0"/>
        <w:adjustRightInd w:val="0"/>
        <w:snapToGrid/>
        <w:spacing w:line="360" w:lineRule="auto"/>
        <w:ind w:left="420" w:leftChars="0" w:hanging="200"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设备铭牌：设备编号、名称、型号、制造日期等内容以及主要参数，材质，防爆合格证号。</w:t>
      </w:r>
    </w:p>
    <w:p>
      <w:pPr>
        <w:pStyle w:val="3"/>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产品包装</w:t>
      </w:r>
    </w:p>
    <w:p>
      <w:pPr>
        <w:keepNext w:val="0"/>
        <w:keepLines w:val="0"/>
        <w:pageBreakBefore w:val="0"/>
        <w:widowControl/>
        <w:numPr>
          <w:ilvl w:val="0"/>
          <w:numId w:val="12"/>
        </w:numPr>
        <w:suppressLineNumbers w:val="0"/>
        <w:kinsoku/>
        <w:wordWrap/>
        <w:overflowPunct/>
        <w:topLinePunct w:val="0"/>
        <w:bidi w:val="0"/>
        <w:snapToGrid/>
        <w:spacing w:line="360" w:lineRule="auto"/>
        <w:ind w:left="420" w:leftChars="0" w:hanging="200" w:firstLine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仪表设备应妥善包装，以适合仓储堆叠存放。</w:t>
      </w:r>
    </w:p>
    <w:p>
      <w:pPr>
        <w:keepNext w:val="0"/>
        <w:keepLines w:val="0"/>
        <w:pageBreakBefore w:val="0"/>
        <w:widowControl/>
        <w:numPr>
          <w:ilvl w:val="0"/>
          <w:numId w:val="12"/>
        </w:numPr>
        <w:suppressLineNumbers w:val="0"/>
        <w:kinsoku/>
        <w:wordWrap/>
        <w:overflowPunct/>
        <w:topLinePunct w:val="0"/>
        <w:bidi w:val="0"/>
        <w:snapToGrid/>
        <w:spacing w:line="360" w:lineRule="auto"/>
        <w:ind w:left="420" w:leftChars="0" w:hanging="200" w:firstLine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卖方应保证送货时所供仪表设备具备完整、完好、合适的包装。</w:t>
      </w:r>
    </w:p>
    <w:p>
      <w:pPr>
        <w:keepNext w:val="0"/>
        <w:keepLines w:val="0"/>
        <w:pageBreakBefore w:val="0"/>
        <w:widowControl/>
        <w:numPr>
          <w:ilvl w:val="0"/>
          <w:numId w:val="12"/>
        </w:numPr>
        <w:suppressLineNumbers w:val="0"/>
        <w:kinsoku/>
        <w:wordWrap/>
        <w:overflowPunct/>
        <w:topLinePunct w:val="0"/>
        <w:bidi w:val="0"/>
        <w:snapToGrid/>
        <w:spacing w:line="360" w:lineRule="auto"/>
        <w:ind w:left="420" w:leftChars="0" w:hanging="200" w:firstLine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设备送货是做好防雨、防潮工作。</w:t>
      </w:r>
    </w:p>
    <w:p>
      <w:pPr>
        <w:pStyle w:val="24"/>
        <w:keepNext w:val="0"/>
        <w:keepLines w:val="0"/>
        <w:pageBreakBefore w:val="0"/>
        <w:numPr>
          <w:ilvl w:val="0"/>
          <w:numId w:val="13"/>
        </w:numPr>
        <w:kinsoku/>
        <w:wordWrap/>
        <w:overflowPunct/>
        <w:topLinePunct w:val="0"/>
        <w:bidi w:val="0"/>
        <w:spacing w:before="120" w:after="120" w:line="360" w:lineRule="auto"/>
        <w:outlineLvl w:val="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技术文件</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卖方需在中标后7天内提交第一批设备资料供买方审核，包含数据表、计算书等详细数据，如有安装及其他特殊要求一并提出，必须提供正式的规格说明，以明确产品的各项参数。 </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卖方在收到第一批审查意见的5个工作日内提交第二批资料文件，第二批文件应该包含需要的所有文件。</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卖方每批报批文件须包含对应批次的目录（ 包括版次、文件号、文件名称）。 </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图纸采用电子文件资料，电子文件为纸质签字版文件的 PDF 版扫描文件，并加盖公司公章（ 并提供可编辑版电子文件）。文件全部批准后，提供一版纸质文件，由于纸文件和电子文件不一致所造成的图纸审查错误及后续影响完全由卖方负责。</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 xml:space="preserve">供应商提供的纸质文件必须加盖送审章，否则送审资料无效并不予接收。 </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卖方需将文件装订成册，并逐页进行编号，页码清晰、连续（ 如：起始编号均为 001）。 </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卖方文件升版后，与上一版次有修改的地方用云雾线标注，对没有标注而引起的问题由厂家负责。 </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卖方按COMMENTS LOG的格式回复审查意见，对于审查意见的COMMENTS LOG需要卖方逐条回复和确认，将回复的COMMENTS LOG打印签字扫描后附在下一批文件的首页，并将回复的COMMENTS LOG电子文件与下一批电子文件资料一并提供。 </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 xml:space="preserve">卖方需在5个工作日内根据审查意见完成对资料的补充修改并再次提交，直至满足要求（ 最多不超过三次， 如卖方在第二次时仍未对审核意见进行修改，将组织卖方至塘沽进行面对面的技术澄清及技术文件资料审查会；如卖方在第三次文件时仍未对审核意见进行修改，则由于文件延误项目工期及相关责任由卖方承担）。 </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完工文件存档需要使用2孔文件夹，2孔文件夹样式，完工文件使用打号机打在文件右上角（ 如是双面文件，打印在左上角），如有A3及以上纸张，请折成A4手风琴样式，按要求做好目录；完工文件以数字光盘的形式同时提交，每套光盘均应附有盘盒、封面及内容说明。 </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w:t>
      </w:r>
      <w:r>
        <w:rPr>
          <w:rFonts w:hint="eastAsia" w:ascii="宋体" w:hAnsi="宋体" w:eastAsia="宋体" w:cs="宋体"/>
          <w:strike w:val="0"/>
          <w:dstrike w:val="0"/>
          <w:color w:val="auto"/>
          <w:kern w:val="0"/>
          <w:sz w:val="21"/>
          <w:szCs w:val="21"/>
          <w:highlight w:val="none"/>
          <w:lang w:val="en-US" w:eastAsia="zh-CN" w:bidi="ar-SA"/>
        </w:rPr>
        <w:t>应答时应提供应答产品的计量器具型式批准证书和流量计（壳体）的特种设备生产许可证，并承诺按照国家特种设备安全技术规范随货提供流量计（壳体）监检证书。</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应答时提供计算书（含尺寸、压降、精度等选型参数）。</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w:t>
      </w:r>
      <w:r>
        <w:rPr>
          <w:rFonts w:hint="eastAsia" w:ascii="宋体" w:hAnsi="宋体" w:eastAsia="宋体" w:cs="宋体"/>
          <w:b/>
          <w:bCs/>
          <w:color w:val="auto"/>
          <w:sz w:val="21"/>
          <w:szCs w:val="21"/>
          <w:highlight w:val="none"/>
          <w:lang w:val="en-US" w:eastAsia="zh-CN" w:bidi="ar-SA"/>
        </w:rPr>
        <w:t>承诺交货时</w:t>
      </w:r>
      <w:r>
        <w:rPr>
          <w:rFonts w:hint="eastAsia" w:ascii="宋体" w:hAnsi="宋体" w:eastAsia="宋体" w:cs="宋体"/>
          <w:color w:val="auto"/>
          <w:sz w:val="21"/>
          <w:szCs w:val="21"/>
          <w:highlight w:val="none"/>
          <w:lang w:val="en-US" w:eastAsia="zh-CN" w:bidi="ar-SA"/>
        </w:rPr>
        <w:t>提供流量计单批次检验并获得《海上固定平台安全规则》规定的检验（B类）证书。检验机构为：ABS或DNV或CCS或BV之一。</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★应答时提供流量计产品防爆合格证，防爆等级不低于Exd IIB T4，环境温度-25℃≤Ta≤40℃，防护等级不低于IP56。</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★承诺交货时</w:t>
      </w:r>
      <w:r>
        <w:rPr>
          <w:rFonts w:hint="eastAsia" w:ascii="宋体" w:hAnsi="宋体" w:eastAsia="宋体" w:cs="宋体"/>
          <w:color w:val="auto"/>
          <w:sz w:val="21"/>
          <w:szCs w:val="21"/>
          <w:highlight w:val="none"/>
          <w:lang w:val="en-US" w:eastAsia="zh-CN" w:bidi="ar-SA"/>
        </w:rPr>
        <w:t>需提供流量计出厂</w:t>
      </w:r>
      <w:r>
        <w:rPr>
          <w:rFonts w:hint="eastAsia" w:ascii="宋体" w:hAnsi="宋体" w:eastAsia="宋体" w:cs="宋体"/>
          <w:color w:val="auto"/>
          <w:sz w:val="21"/>
          <w:szCs w:val="21"/>
          <w:highlight w:val="none"/>
          <w:lang w:val="en-US" w:eastAsia="zh-CN" w:bidi="ar-SA"/>
        </w:rPr>
        <w:t>标定证书。</w:t>
      </w:r>
    </w:p>
    <w:p>
      <w:pPr>
        <w:keepNext w:val="0"/>
        <w:keepLines w:val="0"/>
        <w:pageBreakBefore w:val="0"/>
        <w:widowControl/>
        <w:numPr>
          <w:ilvl w:val="0"/>
          <w:numId w:val="14"/>
        </w:numPr>
        <w:kinsoku/>
        <w:wordWrap/>
        <w:overflowPunct/>
        <w:topLinePunct w:val="0"/>
        <w:autoSpaceDE w:val="0"/>
        <w:autoSpaceDN w:val="0"/>
        <w:bidi w:val="0"/>
        <w:adjustRightInd w:val="0"/>
        <w:snapToGrid/>
        <w:spacing w:line="360" w:lineRule="auto"/>
        <w:ind w:left="425" w:leftChars="0" w:hanging="425" w:firstLineChars="0"/>
        <w:textAlignment w:val="auto"/>
        <w:rPr>
          <w:rFonts w:hint="eastAsia" w:ascii="宋体" w:hAnsi="宋体" w:eastAsia="宋体" w:cs="宋体"/>
          <w:color w:val="auto"/>
          <w:sz w:val="21"/>
          <w:szCs w:val="21"/>
          <w:highlight w:val="none"/>
          <w:lang w:val="en-US" w:eastAsia="zh-CN" w:bidi="ar-SA"/>
        </w:rPr>
      </w:pPr>
      <w:bookmarkStart w:id="6" w:name="_GoBack"/>
      <w:r>
        <w:rPr>
          <w:rFonts w:hint="eastAsia" w:ascii="宋体" w:hAnsi="宋体" w:eastAsia="宋体" w:cs="宋体"/>
          <w:color w:val="auto"/>
          <w:sz w:val="21"/>
          <w:szCs w:val="21"/>
          <w:highlight w:val="none"/>
          <w:lang w:val="en-US" w:eastAsia="zh-CN" w:bidi="ar-SA"/>
        </w:rPr>
        <w:t>交货时提供质量证明文件包括：合格证、材质检验报告、压力测试报告、仪表校验证书、外形尺寸图、FAT测试报告、产品手册等。</w:t>
      </w:r>
    </w:p>
    <w:bookmarkEnd w:id="6"/>
    <w:p>
      <w:pPr>
        <w:pStyle w:val="24"/>
        <w:keepNext w:val="0"/>
        <w:keepLines w:val="0"/>
        <w:pageBreakBefore w:val="0"/>
        <w:kinsoku/>
        <w:wordWrap/>
        <w:overflowPunct/>
        <w:topLinePunct w:val="0"/>
        <w:bidi w:val="0"/>
        <w:spacing w:before="120" w:after="120" w:line="360" w:lineRule="auto"/>
        <w:outlineLvl w:val="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lang w:eastAsia="zh-CN"/>
        </w:rPr>
        <w:t>九</w:t>
      </w:r>
      <w:r>
        <w:rPr>
          <w:rFonts w:hint="eastAsia" w:ascii="宋体" w:hAnsi="宋体" w:eastAsia="宋体" w:cs="宋体"/>
          <w:bCs/>
          <w:color w:val="auto"/>
          <w:sz w:val="32"/>
          <w:szCs w:val="32"/>
          <w:highlight w:val="none"/>
        </w:rPr>
        <w:t>、技术服务与售后服务</w:t>
      </w:r>
    </w:p>
    <w:p>
      <w:pPr>
        <w:pStyle w:val="26"/>
        <w:keepNext w:val="0"/>
        <w:keepLines w:val="0"/>
        <w:pageBreakBefore w:val="0"/>
        <w:numPr>
          <w:ilvl w:val="0"/>
          <w:numId w:val="1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在设备安装/调试阶段，卖方负责提供技术支持。</w:t>
      </w:r>
    </w:p>
    <w:p>
      <w:pPr>
        <w:pStyle w:val="26"/>
        <w:keepNext w:val="0"/>
        <w:keepLines w:val="0"/>
        <w:pageBreakBefore w:val="0"/>
        <w:numPr>
          <w:ilvl w:val="0"/>
          <w:numId w:val="1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i w:val="0"/>
          <w:iCs w:val="0"/>
          <w:color w:val="2C3E50"/>
          <w:kern w:val="0"/>
          <w:sz w:val="21"/>
          <w:szCs w:val="21"/>
          <w:lang w:val="en-US" w:eastAsia="zh-CN" w:bidi="ar"/>
        </w:rPr>
      </w:pPr>
      <w:r>
        <w:rPr>
          <w:rFonts w:hint="eastAsia" w:ascii="宋体" w:hAnsi="宋体" w:eastAsia="宋体" w:cs="宋体"/>
          <w:color w:val="auto"/>
          <w:kern w:val="0"/>
          <w:sz w:val="21"/>
          <w:szCs w:val="21"/>
          <w:highlight w:val="none"/>
          <w:lang w:val="en-US" w:eastAsia="zh-CN" w:bidi="ar-SA"/>
        </w:rPr>
        <w:t>服务保障：卖方必须有可靠的售后服务保障，能提供正常的技术支持、备品备件供应和维护保养服务。</w:t>
      </w:r>
    </w:p>
    <w:p>
      <w:pPr>
        <w:pStyle w:val="26"/>
        <w:keepNext w:val="0"/>
        <w:keepLines w:val="0"/>
        <w:pageBreakBefore w:val="0"/>
        <w:numPr>
          <w:ilvl w:val="0"/>
          <w:numId w:val="1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在设备安装/调试阶段，卖方负责提供技术支持。</w:t>
      </w:r>
    </w:p>
    <w:p>
      <w:pPr>
        <w:pStyle w:val="26"/>
        <w:keepNext w:val="0"/>
        <w:keepLines w:val="0"/>
        <w:pageBreakBefore w:val="0"/>
        <w:numPr>
          <w:ilvl w:val="0"/>
          <w:numId w:val="1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如需卖方现场服务，卖方在接到买方通知24小时内给予答复，48小时到达现场。 </w:t>
      </w:r>
    </w:p>
    <w:p>
      <w:pPr>
        <w:pStyle w:val="26"/>
        <w:keepNext w:val="0"/>
        <w:keepLines w:val="0"/>
        <w:pageBreakBefore w:val="0"/>
        <w:numPr>
          <w:ilvl w:val="0"/>
          <w:numId w:val="1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卖方在应答时承诺服务人员办理海油长期五小证,具备长期出海服务的能力。</w:t>
      </w:r>
    </w:p>
    <w:p>
      <w:pPr>
        <w:pStyle w:val="24"/>
        <w:keepNext w:val="0"/>
        <w:keepLines w:val="0"/>
        <w:pageBreakBefore w:val="0"/>
        <w:kinsoku/>
        <w:wordWrap/>
        <w:overflowPunct/>
        <w:topLinePunct w:val="0"/>
        <w:bidi w:val="0"/>
        <w:spacing w:before="120" w:after="120" w:line="360" w:lineRule="auto"/>
        <w:outlineLvl w:val="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十、质量保证</w:t>
      </w:r>
    </w:p>
    <w:bookmarkEnd w:id="2"/>
    <w:bookmarkEnd w:id="3"/>
    <w:p>
      <w:pPr>
        <w:pStyle w:val="26"/>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highlight w:val="none"/>
          <w:lang w:val="en-US" w:eastAsia="zh-CN" w:bidi="ar-SA"/>
        </w:rPr>
      </w:pPr>
      <w:bookmarkStart w:id="4" w:name="_Toc13248931"/>
      <w:bookmarkStart w:id="5" w:name="_Toc13249328"/>
      <w:r>
        <w:rPr>
          <w:rFonts w:hint="eastAsia" w:ascii="宋体" w:hAnsi="宋体" w:eastAsia="宋体" w:cs="宋体"/>
          <w:color w:val="auto"/>
          <w:kern w:val="0"/>
          <w:sz w:val="21"/>
          <w:szCs w:val="21"/>
          <w:highlight w:val="none"/>
          <w:lang w:val="en-US" w:eastAsia="zh-CN" w:bidi="ar-SA"/>
        </w:rPr>
        <w:t xml:space="preserve">1. 卖方应确保产品制造使用的材料和制作工艺符合国家标准，到货验收不合格，无条件退换货；在产品交付时提供产品质量保证文件，包括但不限于产品合格证书、材质证书（均加盖供货商公章的原件）。 </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 质量保证期：质保期为项目机械完工后12个月。在产品质保期内，如有产品质量问题，卖方需及时免费更换或维修，如在使用过程中同类质量问题发生3次以上，我司有权终止合同，并有权就由此带来的损失对卖方进行索赔；</w:t>
      </w:r>
    </w:p>
    <w:p>
      <w:pPr>
        <w:pStyle w:val="24"/>
        <w:keepNext w:val="0"/>
        <w:keepLines w:val="0"/>
        <w:pageBreakBefore w:val="0"/>
        <w:kinsoku/>
        <w:wordWrap/>
        <w:overflowPunct/>
        <w:topLinePunct w:val="0"/>
        <w:bidi w:val="0"/>
        <w:spacing w:before="120" w:after="120" w:line="360" w:lineRule="auto"/>
        <w:outlineLvl w:val="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十</w:t>
      </w:r>
      <w:r>
        <w:rPr>
          <w:rFonts w:hint="eastAsia" w:ascii="宋体" w:hAnsi="宋体" w:eastAsia="宋体" w:cs="宋体"/>
          <w:bCs/>
          <w:color w:val="auto"/>
          <w:sz w:val="32"/>
          <w:szCs w:val="32"/>
          <w:highlight w:val="none"/>
          <w:lang w:eastAsia="zh-CN"/>
        </w:rPr>
        <w:t>一</w:t>
      </w:r>
      <w:r>
        <w:rPr>
          <w:rFonts w:hint="eastAsia" w:ascii="宋体" w:hAnsi="宋体" w:eastAsia="宋体" w:cs="宋体"/>
          <w:bCs/>
          <w:color w:val="auto"/>
          <w:sz w:val="32"/>
          <w:szCs w:val="32"/>
          <w:highlight w:val="none"/>
        </w:rPr>
        <w:t>、其他要求</w:t>
      </w:r>
      <w:bookmarkEnd w:id="4"/>
      <w:bookmarkEnd w:id="5"/>
    </w:p>
    <w:p>
      <w:pPr>
        <w:pStyle w:val="6"/>
        <w:keepNext w:val="0"/>
        <w:keepLines w:val="0"/>
        <w:pageBreakBefore w:val="0"/>
        <w:numPr>
          <w:ilvl w:val="0"/>
          <w:numId w:val="16"/>
        </w:numPr>
        <w:kinsoku/>
        <w:wordWrap/>
        <w:overflowPunct/>
        <w:topLinePunct w:val="0"/>
        <w:bidi w:val="0"/>
        <w:spacing w:line="360" w:lineRule="auto"/>
        <w:ind w:right="122" w:firstLineChars="0"/>
        <w:rPr>
          <w:rFonts w:hint="eastAsia" w:ascii="宋体" w:hAnsi="宋体" w:eastAsia="宋体" w:cs="宋体"/>
          <w:color w:val="auto"/>
          <w:kern w:val="2"/>
          <w:sz w:val="21"/>
          <w:highlight w:val="none"/>
          <w:lang w:eastAsia="zh-CN"/>
        </w:rPr>
      </w:pPr>
      <w:r>
        <w:rPr>
          <w:rFonts w:hint="eastAsia" w:ascii="宋体" w:hAnsi="宋体" w:eastAsia="宋体" w:cs="宋体"/>
          <w:color w:val="auto"/>
          <w:highlight w:val="none"/>
          <w:lang w:val="en-US" w:eastAsia="zh-CN"/>
        </w:rPr>
        <w:t>技术联系人：李雪  联系电话：18902154667</w:t>
      </w:r>
    </w:p>
    <w:sectPr>
      <w:headerReference r:id="rId3" w:type="first"/>
      <w:footerReference r:id="rId4" w:type="default"/>
      <w:pgSz w:w="11906" w:h="16838"/>
      <w:pgMar w:top="1440" w:right="1568"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FZFSK--GBK1-0">
    <w:altName w:val="Segoe Print"/>
    <w:panose1 w:val="00000000000000000000"/>
    <w:charset w:val="00"/>
    <w:family w:val="auto"/>
    <w:pitch w:val="default"/>
    <w:sig w:usb0="00000000" w:usb1="00000000" w:usb2="00000000" w:usb3="00000000" w:csb0="00000000" w:csb1="00000000"/>
  </w:font>
  <w:font w:name="DejaVu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2F56A6"/>
    <w:multiLevelType w:val="singleLevel"/>
    <w:tmpl w:val="982F56A6"/>
    <w:lvl w:ilvl="0" w:tentative="0">
      <w:start w:val="1"/>
      <w:numFmt w:val="bullet"/>
      <w:lvlText w:val=""/>
      <w:lvlJc w:val="left"/>
      <w:pPr>
        <w:ind w:left="420" w:hanging="420"/>
      </w:pPr>
      <w:rPr>
        <w:rFonts w:hint="default" w:ascii="Wingdings" w:hAnsi="Wingdings"/>
      </w:rPr>
    </w:lvl>
  </w:abstractNum>
  <w:abstractNum w:abstractNumId="1">
    <w:nsid w:val="9D2608EB"/>
    <w:multiLevelType w:val="singleLevel"/>
    <w:tmpl w:val="9D2608EB"/>
    <w:lvl w:ilvl="0" w:tentative="0">
      <w:start w:val="1"/>
      <w:numFmt w:val="bullet"/>
      <w:lvlText w:val=""/>
      <w:lvlJc w:val="left"/>
      <w:pPr>
        <w:ind w:left="420" w:hanging="420"/>
      </w:pPr>
      <w:rPr>
        <w:rFonts w:hint="default" w:ascii="Wingdings" w:hAnsi="Wingdings"/>
      </w:rPr>
    </w:lvl>
  </w:abstractNum>
  <w:abstractNum w:abstractNumId="2">
    <w:nsid w:val="CCA40698"/>
    <w:multiLevelType w:val="singleLevel"/>
    <w:tmpl w:val="CCA40698"/>
    <w:lvl w:ilvl="0" w:tentative="0">
      <w:start w:val="1"/>
      <w:numFmt w:val="decimal"/>
      <w:lvlText w:val="(%1)"/>
      <w:lvlJc w:val="left"/>
      <w:pPr>
        <w:ind w:left="425" w:hanging="425"/>
      </w:pPr>
      <w:rPr>
        <w:rFonts w:hint="default"/>
      </w:rPr>
    </w:lvl>
  </w:abstractNum>
  <w:abstractNum w:abstractNumId="3">
    <w:nsid w:val="F8AE75D4"/>
    <w:multiLevelType w:val="singleLevel"/>
    <w:tmpl w:val="F8AE75D4"/>
    <w:lvl w:ilvl="0" w:tentative="0">
      <w:start w:val="1"/>
      <w:numFmt w:val="bullet"/>
      <w:lvlText w:val=""/>
      <w:lvlJc w:val="left"/>
      <w:pPr>
        <w:ind w:left="420" w:hanging="420"/>
      </w:pPr>
      <w:rPr>
        <w:rFonts w:hint="default" w:ascii="Wingdings" w:hAnsi="Wingdings"/>
      </w:rPr>
    </w:lvl>
  </w:abstractNum>
  <w:abstractNum w:abstractNumId="4">
    <w:nsid w:val="0B6542FA"/>
    <w:multiLevelType w:val="multilevel"/>
    <w:tmpl w:val="0B6542FA"/>
    <w:lvl w:ilvl="0" w:tentative="0">
      <w:start w:val="8"/>
      <w:numFmt w:val="japaneseCounting"/>
      <w:lvlText w:val="%1、"/>
      <w:lvlJc w:val="left"/>
      <w:pPr>
        <w:ind w:left="630" w:hanging="6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E18394A"/>
    <w:multiLevelType w:val="singleLevel"/>
    <w:tmpl w:val="0E18394A"/>
    <w:lvl w:ilvl="0" w:tentative="0">
      <w:start w:val="1"/>
      <w:numFmt w:val="decimal"/>
      <w:lvlText w:val="%1."/>
      <w:lvlJc w:val="left"/>
      <w:pPr>
        <w:ind w:left="425" w:hanging="425"/>
      </w:pPr>
      <w:rPr>
        <w:rFonts w:hint="default"/>
      </w:rPr>
    </w:lvl>
  </w:abstractNum>
  <w:abstractNum w:abstractNumId="6">
    <w:nsid w:val="1720AD27"/>
    <w:multiLevelType w:val="singleLevel"/>
    <w:tmpl w:val="1720AD27"/>
    <w:lvl w:ilvl="0" w:tentative="0">
      <w:start w:val="1"/>
      <w:numFmt w:val="decimal"/>
      <w:lvlText w:val="%1、"/>
      <w:lvlJc w:val="left"/>
      <w:pPr>
        <w:tabs>
          <w:tab w:val="left" w:pos="420"/>
        </w:tabs>
        <w:ind w:left="425" w:leftChars="0" w:hanging="425" w:firstLineChars="0"/>
      </w:pPr>
      <w:rPr>
        <w:rFonts w:hint="default"/>
        <w:sz w:val="21"/>
      </w:rPr>
    </w:lvl>
  </w:abstractNum>
  <w:abstractNum w:abstractNumId="7">
    <w:nsid w:val="26DC0ECB"/>
    <w:multiLevelType w:val="multilevel"/>
    <w:tmpl w:val="26DC0ECB"/>
    <w:lvl w:ilvl="0" w:tentative="0">
      <w:start w:val="1"/>
      <w:numFmt w:val="decimal"/>
      <w:lvlText w:val="%1."/>
      <w:lvlJc w:val="left"/>
      <w:pPr>
        <w:ind w:left="560" w:hanging="36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8">
    <w:nsid w:val="3AA7CEE2"/>
    <w:multiLevelType w:val="singleLevel"/>
    <w:tmpl w:val="3AA7CEE2"/>
    <w:lvl w:ilvl="0" w:tentative="0">
      <w:start w:val="1"/>
      <w:numFmt w:val="decimal"/>
      <w:lvlText w:val="%1."/>
      <w:lvlJc w:val="left"/>
      <w:pPr>
        <w:ind w:left="425" w:hanging="425"/>
      </w:pPr>
      <w:rPr>
        <w:rFonts w:hint="default"/>
      </w:rPr>
    </w:lvl>
  </w:abstractNum>
  <w:abstractNum w:abstractNumId="9">
    <w:nsid w:val="424D138A"/>
    <w:multiLevelType w:val="singleLevel"/>
    <w:tmpl w:val="424D138A"/>
    <w:lvl w:ilvl="0" w:tentative="0">
      <w:start w:val="2"/>
      <w:numFmt w:val="chineseCounting"/>
      <w:suff w:val="nothing"/>
      <w:lvlText w:val="%1、"/>
      <w:lvlJc w:val="left"/>
      <w:rPr>
        <w:rFonts w:hint="eastAsia"/>
      </w:rPr>
    </w:lvl>
  </w:abstractNum>
  <w:abstractNum w:abstractNumId="10">
    <w:nsid w:val="50D94830"/>
    <w:multiLevelType w:val="singleLevel"/>
    <w:tmpl w:val="50D94830"/>
    <w:lvl w:ilvl="0" w:tentative="0">
      <w:start w:val="1"/>
      <w:numFmt w:val="decimalEnclosedCircleChinese"/>
      <w:suff w:val="nothing"/>
      <w:lvlText w:val="%1　"/>
      <w:lvlJc w:val="left"/>
      <w:pPr>
        <w:ind w:left="0" w:firstLine="400"/>
      </w:pPr>
      <w:rPr>
        <w:rFonts w:hint="eastAsia"/>
      </w:rPr>
    </w:lvl>
  </w:abstractNum>
  <w:abstractNum w:abstractNumId="11">
    <w:nsid w:val="53986704"/>
    <w:multiLevelType w:val="singleLevel"/>
    <w:tmpl w:val="53986704"/>
    <w:lvl w:ilvl="0" w:tentative="0">
      <w:start w:val="1"/>
      <w:numFmt w:val="bullet"/>
      <w:lvlText w:val=""/>
      <w:lvlJc w:val="left"/>
      <w:pPr>
        <w:ind w:left="420" w:hanging="420"/>
      </w:pPr>
      <w:rPr>
        <w:rFonts w:hint="default" w:ascii="Wingdings" w:hAnsi="Wingdings"/>
      </w:rPr>
    </w:lvl>
  </w:abstractNum>
  <w:abstractNum w:abstractNumId="12">
    <w:nsid w:val="55BE00BA"/>
    <w:multiLevelType w:val="singleLevel"/>
    <w:tmpl w:val="55BE00BA"/>
    <w:lvl w:ilvl="0" w:tentative="0">
      <w:start w:val="1"/>
      <w:numFmt w:val="bullet"/>
      <w:lvlText w:val=""/>
      <w:lvlJc w:val="left"/>
      <w:pPr>
        <w:ind w:left="420" w:hanging="420"/>
      </w:pPr>
      <w:rPr>
        <w:rFonts w:hint="default" w:ascii="Wingdings" w:hAnsi="Wingdings"/>
      </w:rPr>
    </w:lvl>
  </w:abstractNum>
  <w:abstractNum w:abstractNumId="13">
    <w:nsid w:val="6158023C"/>
    <w:multiLevelType w:val="singleLevel"/>
    <w:tmpl w:val="6158023C"/>
    <w:lvl w:ilvl="0" w:tentative="0">
      <w:start w:val="1"/>
      <w:numFmt w:val="decimal"/>
      <w:lvlText w:val="(%1)"/>
      <w:lvlJc w:val="left"/>
      <w:pPr>
        <w:ind w:left="425" w:hanging="425"/>
      </w:pPr>
      <w:rPr>
        <w:rFonts w:hint="default"/>
      </w:rPr>
    </w:lvl>
  </w:abstractNum>
  <w:abstractNum w:abstractNumId="14">
    <w:nsid w:val="61C81C4C"/>
    <w:multiLevelType w:val="singleLevel"/>
    <w:tmpl w:val="61C81C4C"/>
    <w:lvl w:ilvl="0" w:tentative="0">
      <w:start w:val="1"/>
      <w:numFmt w:val="bullet"/>
      <w:lvlText w:val=""/>
      <w:lvlJc w:val="left"/>
      <w:pPr>
        <w:ind w:left="420" w:hanging="420"/>
      </w:pPr>
      <w:rPr>
        <w:rFonts w:hint="default" w:ascii="Wingdings" w:hAnsi="Wingdings"/>
      </w:rPr>
    </w:lvl>
  </w:abstractNum>
  <w:abstractNum w:abstractNumId="15">
    <w:nsid w:val="6BC12EEE"/>
    <w:multiLevelType w:val="singleLevel"/>
    <w:tmpl w:val="6BC12EEE"/>
    <w:lvl w:ilvl="0" w:tentative="0">
      <w:start w:val="1"/>
      <w:numFmt w:val="decimalEnclosedCircleChinese"/>
      <w:suff w:val="nothing"/>
      <w:lvlText w:val="%1　"/>
      <w:lvlJc w:val="left"/>
      <w:pPr>
        <w:ind w:left="0" w:firstLine="400"/>
      </w:pPr>
      <w:rPr>
        <w:rFonts w:hint="eastAsia"/>
      </w:rPr>
    </w:lvl>
  </w:abstractNum>
  <w:num w:numId="1">
    <w:abstractNumId w:val="0"/>
  </w:num>
  <w:num w:numId="2">
    <w:abstractNumId w:val="9"/>
  </w:num>
  <w:num w:numId="3">
    <w:abstractNumId w:val="2"/>
  </w:num>
  <w:num w:numId="4">
    <w:abstractNumId w:val="14"/>
  </w:num>
  <w:num w:numId="5">
    <w:abstractNumId w:val="15"/>
  </w:num>
  <w:num w:numId="6">
    <w:abstractNumId w:val="1"/>
  </w:num>
  <w:num w:numId="7">
    <w:abstractNumId w:val="10"/>
  </w:num>
  <w:num w:numId="8">
    <w:abstractNumId w:val="11"/>
  </w:num>
  <w:num w:numId="9">
    <w:abstractNumId w:val="13"/>
  </w:num>
  <w:num w:numId="10">
    <w:abstractNumId w:val="6"/>
  </w:num>
  <w:num w:numId="11">
    <w:abstractNumId w:val="12"/>
  </w:num>
  <w:num w:numId="12">
    <w:abstractNumId w:val="3"/>
  </w:num>
  <w:num w:numId="13">
    <w:abstractNumId w:val="4"/>
  </w:num>
  <w:num w:numId="14">
    <w:abstractNumId w:val="8"/>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72C"/>
    <w:rsid w:val="00015CC7"/>
    <w:rsid w:val="00055FDF"/>
    <w:rsid w:val="0009050D"/>
    <w:rsid w:val="000E7DCA"/>
    <w:rsid w:val="001323F9"/>
    <w:rsid w:val="001644CF"/>
    <w:rsid w:val="001B3054"/>
    <w:rsid w:val="001C0975"/>
    <w:rsid w:val="00223923"/>
    <w:rsid w:val="00255671"/>
    <w:rsid w:val="00291AC4"/>
    <w:rsid w:val="00296D9D"/>
    <w:rsid w:val="002A2EAC"/>
    <w:rsid w:val="002B756F"/>
    <w:rsid w:val="002D753E"/>
    <w:rsid w:val="002E2797"/>
    <w:rsid w:val="00316452"/>
    <w:rsid w:val="00335848"/>
    <w:rsid w:val="00367E0B"/>
    <w:rsid w:val="0037391E"/>
    <w:rsid w:val="00397269"/>
    <w:rsid w:val="004020A3"/>
    <w:rsid w:val="004077E1"/>
    <w:rsid w:val="004236F4"/>
    <w:rsid w:val="004D2468"/>
    <w:rsid w:val="005C1CC9"/>
    <w:rsid w:val="005C6578"/>
    <w:rsid w:val="0060078E"/>
    <w:rsid w:val="0069154A"/>
    <w:rsid w:val="006D5366"/>
    <w:rsid w:val="00706FF6"/>
    <w:rsid w:val="00723A5A"/>
    <w:rsid w:val="00753CBD"/>
    <w:rsid w:val="0076111A"/>
    <w:rsid w:val="00767FC6"/>
    <w:rsid w:val="0078770E"/>
    <w:rsid w:val="00834BD4"/>
    <w:rsid w:val="00852B10"/>
    <w:rsid w:val="00857686"/>
    <w:rsid w:val="008A30AE"/>
    <w:rsid w:val="008D107A"/>
    <w:rsid w:val="008F1C83"/>
    <w:rsid w:val="009824EA"/>
    <w:rsid w:val="009B54BE"/>
    <w:rsid w:val="009C2FD5"/>
    <w:rsid w:val="00A2514C"/>
    <w:rsid w:val="00A8052C"/>
    <w:rsid w:val="00AF5B72"/>
    <w:rsid w:val="00B10F50"/>
    <w:rsid w:val="00B15418"/>
    <w:rsid w:val="00B324F3"/>
    <w:rsid w:val="00B56245"/>
    <w:rsid w:val="00B56A52"/>
    <w:rsid w:val="00BE3C84"/>
    <w:rsid w:val="00C55808"/>
    <w:rsid w:val="00C61DB8"/>
    <w:rsid w:val="00C74A9D"/>
    <w:rsid w:val="00CE1FC9"/>
    <w:rsid w:val="00CF5864"/>
    <w:rsid w:val="00D50E01"/>
    <w:rsid w:val="00D71F6F"/>
    <w:rsid w:val="00E30386"/>
    <w:rsid w:val="00E53CCA"/>
    <w:rsid w:val="00E87CFE"/>
    <w:rsid w:val="00EF142B"/>
    <w:rsid w:val="00F22A9E"/>
    <w:rsid w:val="00FD2EA2"/>
    <w:rsid w:val="06FA09C4"/>
    <w:rsid w:val="07873C98"/>
    <w:rsid w:val="080674B8"/>
    <w:rsid w:val="090C3E07"/>
    <w:rsid w:val="0B3550F2"/>
    <w:rsid w:val="0BBC0293"/>
    <w:rsid w:val="0D3600BA"/>
    <w:rsid w:val="0D606417"/>
    <w:rsid w:val="0EA8251A"/>
    <w:rsid w:val="0F6E1CEC"/>
    <w:rsid w:val="0FAB7B75"/>
    <w:rsid w:val="10780AE3"/>
    <w:rsid w:val="10B9577E"/>
    <w:rsid w:val="11855325"/>
    <w:rsid w:val="11E74B6B"/>
    <w:rsid w:val="13B6210D"/>
    <w:rsid w:val="14BE55C3"/>
    <w:rsid w:val="162C6AF9"/>
    <w:rsid w:val="179D7E62"/>
    <w:rsid w:val="1A306339"/>
    <w:rsid w:val="1A541557"/>
    <w:rsid w:val="1B141BB7"/>
    <w:rsid w:val="1BBBA133"/>
    <w:rsid w:val="1CBE3600"/>
    <w:rsid w:val="1FE66671"/>
    <w:rsid w:val="22FD67FE"/>
    <w:rsid w:val="24F803A8"/>
    <w:rsid w:val="250826D0"/>
    <w:rsid w:val="25FC0B20"/>
    <w:rsid w:val="271D6171"/>
    <w:rsid w:val="27D923B4"/>
    <w:rsid w:val="27DA0392"/>
    <w:rsid w:val="28315A59"/>
    <w:rsid w:val="289176EC"/>
    <w:rsid w:val="29355D21"/>
    <w:rsid w:val="2D8D11DF"/>
    <w:rsid w:val="2EB8643B"/>
    <w:rsid w:val="2EEE1387"/>
    <w:rsid w:val="2FDFACAE"/>
    <w:rsid w:val="337B450E"/>
    <w:rsid w:val="344625B8"/>
    <w:rsid w:val="34940249"/>
    <w:rsid w:val="35C25337"/>
    <w:rsid w:val="35D24CA7"/>
    <w:rsid w:val="362D03BF"/>
    <w:rsid w:val="36F16413"/>
    <w:rsid w:val="371E1708"/>
    <w:rsid w:val="3735D186"/>
    <w:rsid w:val="377E18AC"/>
    <w:rsid w:val="395666A4"/>
    <w:rsid w:val="395D235E"/>
    <w:rsid w:val="3BB370A7"/>
    <w:rsid w:val="3D5E2DF1"/>
    <w:rsid w:val="40F55A1F"/>
    <w:rsid w:val="43E727CD"/>
    <w:rsid w:val="45261525"/>
    <w:rsid w:val="45FE41E2"/>
    <w:rsid w:val="46094FCA"/>
    <w:rsid w:val="465439C5"/>
    <w:rsid w:val="48076277"/>
    <w:rsid w:val="48E51FF9"/>
    <w:rsid w:val="497DB307"/>
    <w:rsid w:val="4A391054"/>
    <w:rsid w:val="4B272E63"/>
    <w:rsid w:val="4D2658A5"/>
    <w:rsid w:val="4DD74552"/>
    <w:rsid w:val="4DE47C8A"/>
    <w:rsid w:val="4FFEDDE7"/>
    <w:rsid w:val="51575BFE"/>
    <w:rsid w:val="5466516B"/>
    <w:rsid w:val="55093114"/>
    <w:rsid w:val="55E96D02"/>
    <w:rsid w:val="57D32E95"/>
    <w:rsid w:val="59E6628D"/>
    <w:rsid w:val="5EEC0249"/>
    <w:rsid w:val="5EEF2CC1"/>
    <w:rsid w:val="5FBFC8F0"/>
    <w:rsid w:val="64AF6A24"/>
    <w:rsid w:val="66756074"/>
    <w:rsid w:val="66DF7C01"/>
    <w:rsid w:val="67193210"/>
    <w:rsid w:val="67333B08"/>
    <w:rsid w:val="67D07FE2"/>
    <w:rsid w:val="67F32CBB"/>
    <w:rsid w:val="6AFE3D45"/>
    <w:rsid w:val="6B751E71"/>
    <w:rsid w:val="6C7C1662"/>
    <w:rsid w:val="6D71175D"/>
    <w:rsid w:val="6DCF5C34"/>
    <w:rsid w:val="6E7F6AD7"/>
    <w:rsid w:val="6F585E7B"/>
    <w:rsid w:val="6FF7DF1D"/>
    <w:rsid w:val="6FFA7C01"/>
    <w:rsid w:val="743A4866"/>
    <w:rsid w:val="747D30AD"/>
    <w:rsid w:val="74EF6A24"/>
    <w:rsid w:val="767847FC"/>
    <w:rsid w:val="77BC1F0A"/>
    <w:rsid w:val="7B7D6BB8"/>
    <w:rsid w:val="7BEDBEA8"/>
    <w:rsid w:val="7C4A37DE"/>
    <w:rsid w:val="7CBFB65B"/>
    <w:rsid w:val="7D664055"/>
    <w:rsid w:val="7D88439D"/>
    <w:rsid w:val="7DED0598"/>
    <w:rsid w:val="7DF79C0E"/>
    <w:rsid w:val="7E140335"/>
    <w:rsid w:val="7F330CBF"/>
    <w:rsid w:val="7F9F5F1A"/>
    <w:rsid w:val="7FBECB67"/>
    <w:rsid w:val="7FFF0A51"/>
    <w:rsid w:val="99E96489"/>
    <w:rsid w:val="ADFDFDF6"/>
    <w:rsid w:val="AE77627C"/>
    <w:rsid w:val="BFB7AA90"/>
    <w:rsid w:val="BFE47C93"/>
    <w:rsid w:val="BFEF2928"/>
    <w:rsid w:val="D595E4F6"/>
    <w:rsid w:val="DCFF8CC5"/>
    <w:rsid w:val="DDDF817B"/>
    <w:rsid w:val="DED7BD03"/>
    <w:rsid w:val="DEDDEC99"/>
    <w:rsid w:val="DEF39859"/>
    <w:rsid w:val="DFFFC174"/>
    <w:rsid w:val="EFD51D2C"/>
    <w:rsid w:val="EFF3694D"/>
    <w:rsid w:val="FBFB812E"/>
    <w:rsid w:val="FDB4A940"/>
    <w:rsid w:val="FEF7794C"/>
    <w:rsid w:val="FFBBAD94"/>
    <w:rsid w:val="FFBF7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kern w:val="0"/>
      <w:sz w:val="22"/>
      <w:szCs w:val="22"/>
      <w:lang w:val="en-US" w:eastAsia="en-US" w:bidi="ar-SA"/>
    </w:rPr>
  </w:style>
  <w:style w:type="paragraph" w:styleId="2">
    <w:name w:val="heading 1"/>
    <w:basedOn w:val="1"/>
    <w:next w:val="1"/>
    <w:link w:val="25"/>
    <w:qFormat/>
    <w:uiPriority w:val="0"/>
    <w:pPr>
      <w:keepNext/>
      <w:keepLines/>
      <w:spacing w:before="340" w:after="330" w:line="578" w:lineRule="auto"/>
      <w:jc w:val="both"/>
      <w:outlineLvl w:val="0"/>
    </w:pPr>
    <w:rPr>
      <w:rFonts w:ascii="Times New Roman" w:hAnsi="Times New Roman" w:eastAsia="宋体" w:cs="Times New Roman"/>
      <w:b/>
      <w:bCs/>
      <w:kern w:val="44"/>
      <w:sz w:val="44"/>
      <w:szCs w:val="44"/>
      <w:lang w:val="zh-CN" w:eastAsia="zh-CN"/>
    </w:rPr>
  </w:style>
  <w:style w:type="paragraph" w:styleId="3">
    <w:name w:val="heading 2"/>
    <w:basedOn w:val="1"/>
    <w:next w:val="1"/>
    <w:link w:val="19"/>
    <w:qFormat/>
    <w:uiPriority w:val="1"/>
    <w:pPr>
      <w:spacing w:line="479" w:lineRule="exact"/>
      <w:outlineLvl w:val="1"/>
    </w:pPr>
    <w:rPr>
      <w:rFonts w:ascii="Microsoft YaHei UI" w:hAnsi="Microsoft YaHei UI" w:eastAsia="Microsoft YaHei UI"/>
      <w:spacing w:val="2"/>
      <w:sz w:val="32"/>
      <w:szCs w:val="32"/>
      <w:lang w:eastAsia="zh-CN"/>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unhideWhenUsed/>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paragraph" w:styleId="5">
    <w:name w:val="annotation text"/>
    <w:basedOn w:val="1"/>
    <w:semiHidden/>
    <w:unhideWhenUsed/>
    <w:qFormat/>
    <w:uiPriority w:val="99"/>
    <w:pPr>
      <w:jc w:val="left"/>
    </w:pPr>
  </w:style>
  <w:style w:type="paragraph" w:styleId="6">
    <w:name w:val="Body Text"/>
    <w:basedOn w:val="1"/>
    <w:link w:val="21"/>
    <w:qFormat/>
    <w:uiPriority w:val="1"/>
    <w:pPr>
      <w:ind w:firstLine="200" w:firstLineChars="200"/>
      <w:jc w:val="both"/>
    </w:pPr>
    <w:rPr>
      <w:rFonts w:ascii="Microsoft YaHei UI" w:hAnsi="Microsoft YaHei UI" w:eastAsia="Microsoft YaHei UI"/>
      <w:sz w:val="21"/>
      <w:szCs w:val="21"/>
    </w:rPr>
  </w:style>
  <w:style w:type="paragraph" w:styleId="7">
    <w:name w:val="toc 3"/>
    <w:basedOn w:val="1"/>
    <w:next w:val="1"/>
    <w:unhideWhenUsed/>
    <w:qFormat/>
    <w:uiPriority w:val="39"/>
    <w:pPr>
      <w:widowControl/>
      <w:spacing w:after="100" w:line="259" w:lineRule="auto"/>
      <w:ind w:left="440"/>
    </w:pPr>
    <w:rPr>
      <w:rFonts w:cs="Times New Roman"/>
      <w:lang w:eastAsia="zh-CN"/>
    </w:rPr>
  </w:style>
  <w:style w:type="paragraph" w:styleId="8">
    <w:name w:val="Balloon Text"/>
    <w:basedOn w:val="1"/>
    <w:link w:val="31"/>
    <w:semiHidden/>
    <w:unhideWhenUsed/>
    <w:qFormat/>
    <w:uiPriority w:val="99"/>
    <w:rPr>
      <w:sz w:val="18"/>
      <w:szCs w:val="18"/>
    </w:rPr>
  </w:style>
  <w:style w:type="paragraph" w:styleId="9">
    <w:name w:val="footer"/>
    <w:basedOn w:val="1"/>
    <w:link w:val="30"/>
    <w:unhideWhenUsed/>
    <w:qFormat/>
    <w:uiPriority w:val="99"/>
    <w:pPr>
      <w:tabs>
        <w:tab w:val="center" w:pos="4153"/>
        <w:tab w:val="right" w:pos="8306"/>
      </w:tabs>
      <w:snapToGrid w:val="0"/>
    </w:pPr>
    <w:rPr>
      <w:sz w:val="18"/>
      <w:szCs w:val="18"/>
    </w:rPr>
  </w:style>
  <w:style w:type="paragraph" w:styleId="10">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59" w:lineRule="auto"/>
    </w:pPr>
    <w:rPr>
      <w:rFonts w:cs="Times New Roman"/>
      <w:lang w:eastAsia="zh-CN"/>
    </w:r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3">
    <w:name w:val="Body Text First Indent"/>
    <w:basedOn w:val="6"/>
    <w:qFormat/>
    <w:uiPriority w:val="99"/>
    <w:pPr>
      <w:widowControl/>
      <w:adjustRightInd w:val="0"/>
      <w:snapToGrid w:val="0"/>
      <w:ind w:firstLine="420" w:firstLineChars="100"/>
      <w:jc w:val="left"/>
    </w:pPr>
    <w:rPr>
      <w:sz w:val="22"/>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rPr>
  </w:style>
  <w:style w:type="character" w:styleId="18">
    <w:name w:val="Hyperlink"/>
    <w:basedOn w:val="16"/>
    <w:semiHidden/>
    <w:unhideWhenUsed/>
    <w:qFormat/>
    <w:uiPriority w:val="99"/>
    <w:rPr>
      <w:color w:val="0000FF"/>
      <w:u w:val="single"/>
    </w:rPr>
  </w:style>
  <w:style w:type="character" w:customStyle="1" w:styleId="19">
    <w:name w:val="标题 2 Char"/>
    <w:basedOn w:val="16"/>
    <w:link w:val="3"/>
    <w:qFormat/>
    <w:uiPriority w:val="1"/>
    <w:rPr>
      <w:rFonts w:ascii="Microsoft YaHei UI" w:hAnsi="Microsoft YaHei UI" w:eastAsia="Microsoft YaHei UI"/>
      <w:spacing w:val="2"/>
      <w:kern w:val="0"/>
      <w:sz w:val="32"/>
      <w:szCs w:val="32"/>
    </w:rPr>
  </w:style>
  <w:style w:type="table" w:customStyle="1" w:styleId="20">
    <w:name w:val="Table Normal"/>
    <w:semiHidden/>
    <w:unhideWhenUsed/>
    <w:qFormat/>
    <w:uiPriority w:val="2"/>
    <w:pPr>
      <w:widowControl w:val="0"/>
    </w:pPr>
    <w:rPr>
      <w:kern w:val="0"/>
      <w:sz w:val="22"/>
      <w:lang w:eastAsia="en-US"/>
    </w:rPr>
    <w:tblPr>
      <w:tblCellMar>
        <w:top w:w="0" w:type="dxa"/>
        <w:left w:w="0" w:type="dxa"/>
        <w:bottom w:w="0" w:type="dxa"/>
        <w:right w:w="0" w:type="dxa"/>
      </w:tblCellMar>
    </w:tblPr>
  </w:style>
  <w:style w:type="character" w:customStyle="1" w:styleId="21">
    <w:name w:val="正文文本 Char"/>
    <w:basedOn w:val="16"/>
    <w:link w:val="6"/>
    <w:qFormat/>
    <w:uiPriority w:val="1"/>
    <w:rPr>
      <w:rFonts w:ascii="Microsoft YaHei UI" w:hAnsi="Microsoft YaHei UI" w:eastAsia="Microsoft YaHei UI"/>
      <w:kern w:val="0"/>
      <w:szCs w:val="21"/>
      <w:lang w:eastAsia="en-US"/>
    </w:rPr>
  </w:style>
  <w:style w:type="paragraph" w:customStyle="1" w:styleId="22">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Table Paragraph"/>
    <w:basedOn w:val="1"/>
    <w:qFormat/>
    <w:uiPriority w:val="1"/>
  </w:style>
  <w:style w:type="paragraph" w:customStyle="1" w:styleId="24">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character" w:customStyle="1" w:styleId="25">
    <w:name w:val="标题 1 Char"/>
    <w:basedOn w:val="16"/>
    <w:link w:val="2"/>
    <w:qFormat/>
    <w:uiPriority w:val="0"/>
    <w:rPr>
      <w:rFonts w:ascii="Times New Roman" w:hAnsi="Times New Roman" w:eastAsia="宋体" w:cs="Times New Roman"/>
      <w:b/>
      <w:bCs/>
      <w:kern w:val="44"/>
      <w:sz w:val="44"/>
      <w:szCs w:val="44"/>
      <w:lang w:val="zh-CN" w:eastAsia="zh-CN"/>
    </w:rPr>
  </w:style>
  <w:style w:type="paragraph" w:styleId="26">
    <w:name w:val="List Paragraph"/>
    <w:basedOn w:val="1"/>
    <w:qFormat/>
    <w:uiPriority w:val="34"/>
    <w:pPr>
      <w:ind w:firstLine="420" w:firstLineChars="200"/>
    </w:pPr>
  </w:style>
  <w:style w:type="paragraph" w:customStyle="1" w:styleId="27">
    <w:name w:val="列出段落1"/>
    <w:basedOn w:val="1"/>
    <w:qFormat/>
    <w:uiPriority w:val="34"/>
    <w:pPr>
      <w:ind w:firstLine="420" w:firstLineChars="200"/>
      <w:jc w:val="both"/>
    </w:pPr>
    <w:rPr>
      <w:rFonts w:ascii="Calibri" w:hAnsi="Calibri" w:eastAsia="宋体" w:cs="Times New Roman"/>
      <w:kern w:val="2"/>
      <w:sz w:val="21"/>
      <w:lang w:eastAsia="zh-CN"/>
    </w:rPr>
  </w:style>
  <w:style w:type="paragraph" w:customStyle="1" w:styleId="28">
    <w:name w:val="设计正文2"/>
    <w:basedOn w:val="1"/>
    <w:qFormat/>
    <w:uiPriority w:val="0"/>
    <w:pPr>
      <w:snapToGrid w:val="0"/>
      <w:spacing w:before="160" w:line="320" w:lineRule="atLeast"/>
      <w:jc w:val="both"/>
    </w:pPr>
    <w:rPr>
      <w:rFonts w:ascii="Times New Roman" w:hAnsi="Times New Roman" w:eastAsia="宋体" w:cs="Times New Roman"/>
      <w:kern w:val="2"/>
      <w:sz w:val="24"/>
      <w:szCs w:val="20"/>
      <w:lang w:eastAsia="zh-CN"/>
    </w:rPr>
  </w:style>
  <w:style w:type="character" w:customStyle="1" w:styleId="29">
    <w:name w:val="页眉 Char"/>
    <w:basedOn w:val="16"/>
    <w:link w:val="10"/>
    <w:qFormat/>
    <w:uiPriority w:val="99"/>
    <w:rPr>
      <w:kern w:val="0"/>
      <w:sz w:val="18"/>
      <w:szCs w:val="18"/>
      <w:lang w:eastAsia="en-US"/>
    </w:rPr>
  </w:style>
  <w:style w:type="character" w:customStyle="1" w:styleId="30">
    <w:name w:val="页脚 Char"/>
    <w:basedOn w:val="16"/>
    <w:link w:val="9"/>
    <w:qFormat/>
    <w:uiPriority w:val="99"/>
    <w:rPr>
      <w:kern w:val="0"/>
      <w:sz w:val="18"/>
      <w:szCs w:val="18"/>
      <w:lang w:eastAsia="en-US"/>
    </w:rPr>
  </w:style>
  <w:style w:type="character" w:customStyle="1" w:styleId="31">
    <w:name w:val="批注框文本 Char"/>
    <w:basedOn w:val="16"/>
    <w:link w:val="8"/>
    <w:semiHidden/>
    <w:qFormat/>
    <w:uiPriority w:val="99"/>
    <w:rPr>
      <w:kern w:val="0"/>
      <w:sz w:val="18"/>
      <w:szCs w:val="18"/>
      <w:lang w:eastAsia="en-US"/>
    </w:rPr>
  </w:style>
  <w:style w:type="character" w:customStyle="1" w:styleId="32">
    <w:name w:val="fontstyle01"/>
    <w:basedOn w:val="16"/>
    <w:qFormat/>
    <w:uiPriority w:val="0"/>
    <w:rPr>
      <w:rFonts w:ascii="FZFSK--GBK1-0" w:hAnsi="FZFSK--GBK1-0" w:eastAsia="FZFSK--GBK1-0" w:cs="FZFSK--GBK1-0"/>
      <w:color w:val="000000"/>
      <w:sz w:val="32"/>
      <w:szCs w:val="32"/>
    </w:rPr>
  </w:style>
  <w:style w:type="character" w:customStyle="1" w:styleId="33">
    <w:name w:val="fontstyle21"/>
    <w:basedOn w:val="16"/>
    <w:qFormat/>
    <w:uiPriority w:val="0"/>
    <w:rPr>
      <w:rFonts w:ascii="DejaVuSans" w:hAnsi="DejaVuSans" w:eastAsia="DejaVuSans" w:cs="DejaVuSans"/>
      <w:color w:val="000000"/>
      <w:sz w:val="32"/>
      <w:szCs w:val="32"/>
    </w:rPr>
  </w:style>
  <w:style w:type="paragraph" w:customStyle="1" w:styleId="34">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344</Words>
  <Characters>1967</Characters>
  <Lines>16</Lines>
  <Paragraphs>4</Paragraphs>
  <TotalTime>1</TotalTime>
  <ScaleCrop>false</ScaleCrop>
  <LinksUpToDate>false</LinksUpToDate>
  <CharactersWithSpaces>2307</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2019-08-31T15:58:00Z</dcterms:created>
  <dc:creator>王琴</dc:creator>
  <cp:lastModifiedBy>田苗</cp:lastModifiedBy>
  <cp:lastPrinted>2026-03-11T17:11:00Z</cp:lastPrinted>
  <dcterms:modified xsi:type="dcterms:W3CDTF">2026-07-23T02:52:24Z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76FDBEC530F02871247E706927402810</vt:lpwstr>
  </property>
</Properties>
</file>