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69" w:after="269"/>
        <w:ind w:left="120"/>
        <w:jc w:val="center"/>
      </w:pPr>
      <w:r>
        <w:drawing>
          <wp:inline distT="0" distB="0" distL="0" distR="0">
            <wp:extent cx="2539365" cy="22225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2539841" cy="2222659"/>
                    </a:xfrm>
                    <a:prstGeom prst="rect">
                      <a:avLst/>
                    </a:prstGeom>
                  </pic:spPr>
                </pic:pic>
              </a:graphicData>
            </a:graphic>
          </wp:inline>
        </w:drawing>
      </w:r>
    </w:p>
    <w:p>
      <w:pPr>
        <w:spacing w:before="400" w:after="269"/>
        <w:ind w:left="120"/>
        <w:jc w:val="center"/>
      </w:pPr>
      <w:r>
        <w:rPr>
          <w:rFonts w:ascii="Times New Roman" w:hAnsi="微软雅黑"/>
          <w:b/>
          <w:i w:val="0"/>
          <w:color w:val="000000"/>
          <w:sz w:val="48"/>
        </w:rPr>
        <w:t>采购商务建议书</w:t>
      </w:r>
    </w:p>
    <w:p>
      <w:pPr>
        <w:spacing w:before="400" w:after="269"/>
        <w:ind w:left="120"/>
        <w:jc w:val="center"/>
      </w:pPr>
      <w:r>
        <w:rPr>
          <w:rFonts w:ascii="Times New Roman" w:hAnsi="微软雅黑"/>
          <w:b/>
          <w:i w:val="0"/>
          <w:color w:val="000000"/>
          <w:sz w:val="48"/>
        </w:rPr>
        <w:t>物流海南公司高跨重型库房等场地支持服务</w:t>
      </w:r>
    </w:p>
    <w:p>
      <w:pPr>
        <w:spacing w:before="269" w:after="269"/>
        <w:ind w:left="120"/>
        <w:jc w:val="left"/>
      </w:pPr>
      <w:r>
        <w:br w:type="page"/>
      </w:r>
    </w:p>
    <w:p>
      <w:pPr>
        <w:numPr>
          <w:ilvl w:val="0"/>
          <w:numId w:val="1"/>
        </w:numPr>
        <w:spacing w:before="269" w:after="269"/>
        <w:ind w:left="120"/>
        <w:jc w:val="left"/>
        <w:rPr>
          <w:rFonts w:ascii="Times New Roman" w:hAnsi="微软雅黑"/>
          <w:b/>
          <w:i w:val="0"/>
          <w:color w:val="000000"/>
          <w:sz w:val="32"/>
        </w:rPr>
      </w:pPr>
      <w:r>
        <w:rPr>
          <w:rFonts w:hint="eastAsia" w:ascii="Times New Roman" w:hAnsi="微软雅黑"/>
          <w:b/>
          <w:i w:val="0"/>
          <w:color w:val="000000"/>
          <w:sz w:val="32"/>
          <w:lang w:eastAsia="zh-CN"/>
        </w:rPr>
        <w:t>商务评审项</w:t>
      </w:r>
    </w:p>
    <w:tbl>
      <w:tblPr>
        <w:tblStyle w:val="5"/>
        <w:tblW w:w="9026" w:type="dxa"/>
        <w:tblCellSpacing w:w="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 w:type="dxa"/>
          <w:bottom w:w="0" w:type="dxa"/>
          <w:right w:w="10" w:type="dxa"/>
        </w:tblCellMar>
      </w:tblPr>
      <w:tblGrid>
        <w:gridCol w:w="4513"/>
        <w:gridCol w:w="45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1290" w:hRule="atLeast"/>
          <w:tblCellSpacing w:w="0" w:type="dxa"/>
        </w:trPr>
        <w:tc>
          <w:tcPr>
            <w:tcW w:w="4513" w:type="dxa"/>
            <w:tcBorders>
              <w:top w:val="single" w:color="000000" w:sz="8" w:space="0"/>
              <w:left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评​审​因​素​（​</w:t>
            </w:r>
            <w:r>
              <w:rPr>
                <w:rFonts w:hint="eastAsia" w:ascii="Arial" w:hAnsi="微软雅黑"/>
                <w:b w:val="0"/>
                <w:i w:val="0"/>
                <w:color w:val="000000"/>
                <w:sz w:val="24"/>
                <w:lang w:eastAsia="zh-CN"/>
              </w:rPr>
              <w:t>商</w:t>
            </w:r>
            <w:r>
              <w:rPr>
                <w:rFonts w:ascii="Arial" w:hAnsi="微软雅黑"/>
                <w:b w:val="0"/>
                <w:i w:val="0"/>
                <w:color w:val="000000"/>
                <w:sz w:val="24"/>
              </w:rPr>
              <w:t>​</w:t>
            </w:r>
            <w:r>
              <w:rPr>
                <w:rFonts w:hint="eastAsia" w:ascii="Arial" w:hAnsi="微软雅黑"/>
                <w:b w:val="0"/>
                <w:i w:val="0"/>
                <w:color w:val="000000"/>
                <w:sz w:val="24"/>
                <w:lang w:eastAsia="zh-CN"/>
              </w:rPr>
              <w:t>务</w:t>
            </w:r>
            <w:r>
              <w:rPr>
                <w:rFonts w:ascii="Arial" w:hAnsi="微软雅黑"/>
                <w:b w:val="0"/>
                <w:i w:val="0"/>
                <w:color w:val="000000"/>
                <w:sz w:val="24"/>
              </w:rPr>
              <w:t>​评​审​项​）​</w:t>
            </w:r>
          </w:p>
        </w:tc>
        <w:tc>
          <w:tcPr>
            <w:tcW w:w="4513"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评​审​标​准​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1725" w:hRule="atLeast"/>
          <w:tblCellSpacing w:w="0" w:type="dxa"/>
        </w:trPr>
        <w:tc>
          <w:tcPr>
            <w:tcW w:w="4513"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★​体​系​认​证​</w:t>
            </w:r>
          </w:p>
        </w:tc>
        <w:tc>
          <w:tcPr>
            <w:tcW w:w="4513"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投​标​人​须​同​时​具​备​有​效​的​G​B​/​T​1​9​0​0​1​(​I​S​O​9​0​0​1​)​质​量​体​系​认​证​证​书​、​ ​G​B​/​T​2​4​0​0​1​(​I​S​O​1​4​0​0​1​)​环​境​管​理​体​系​认​证​证​书​、​G​B​/​T​4​5​0​0​1​ ​(​I​S​O​4​5​0​0​1​)​ ​职​业​健​康​管​理​体​系​认​证​证​书​,​国​内​认​证​机​构​签​发​的​证​书​应​可​在​中​国​国​家​认​证​认​可​监​督​管​理​委​员​会​网​站​(​h​t​t​p​:​/​/​w​w​w​.​c​n​c​a​.​g​o​v​.​c​n​/​)​核​实​。​如​果​有​国​家​相​关​部​门​发​布​的​最​新​体​系​标​准​,​以​最​新​体​系​标​准​为​准​。​投​标​时​需​提​供​原​件​扫​描​件​(​原​件​备​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1335" w:hRule="atLeast"/>
          <w:tblCellSpacing w:w="0" w:type="dxa"/>
        </w:trPr>
        <w:tc>
          <w:tcPr>
            <w:tcW w:w="4513"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★​场​地​资​质​文​件​要​求​</w:t>
            </w:r>
          </w:p>
        </w:tc>
        <w:tc>
          <w:tcPr>
            <w:tcW w:w="4513"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（​1​）​投​标​时​投​标​人​须​提​供​场​地​平​面​布​置​图​，​图​中​须​标​明​场​地​地​址​、​总​面​积​、​各​功​能​分​区​尺​寸​及​面​积​。​ ​（​2​）​投​标​时​提​供​使​用​场​地​的​证​明​文​件​，​须​满​足​下​列​条​件​：​ ​为​自​有​场​地​，​须​提​供​产​权​证​明​（​房​产​证​或​土​地​使​用​证​或​不​动​产​权​证​书​）​扫​描​件​，​并​加​盖​投​标​人​公​章​。​若​产​权​证​明​中​所​有​权​人​与​投​标​人​名​称​不​一​致​，​还​须​提​供​相​关​情​况​说​明​（​格​式​自​拟​）​以​及​所​有​权​人​与​投​标​人​之​间​的​关​联​关​系​证​明​。​</w:t>
            </w:r>
          </w:p>
        </w:tc>
      </w:tr>
    </w:tbl>
    <w:p>
      <w:pPr>
        <w:numPr>
          <w:ilvl w:val="0"/>
          <w:numId w:val="0"/>
        </w:numPr>
        <w:spacing w:before="269" w:after="269"/>
        <w:jc w:val="left"/>
        <w:rPr>
          <w:rFonts w:ascii="Times New Roman" w:hAnsi="微软雅黑"/>
          <w:b/>
          <w:i w:val="0"/>
          <w:color w:val="000000"/>
          <w:sz w:val="32"/>
        </w:rPr>
      </w:pPr>
    </w:p>
    <w:p>
      <w:pPr>
        <w:numPr>
          <w:ilvl w:val="0"/>
          <w:numId w:val="1"/>
        </w:numPr>
        <w:spacing w:before="269" w:after="269"/>
        <w:ind w:left="120"/>
        <w:jc w:val="left"/>
        <w:rPr>
          <w:rFonts w:ascii="Times New Roman" w:hAnsi="微软雅黑"/>
          <w:b/>
          <w:i w:val="0"/>
          <w:color w:val="000000"/>
          <w:sz w:val="32"/>
        </w:rPr>
      </w:pPr>
      <w:r>
        <w:rPr>
          <w:rFonts w:hint="eastAsia" w:ascii="Times New Roman" w:hAnsi="微软雅黑"/>
          <w:b/>
          <w:i w:val="0"/>
          <w:color w:val="000000"/>
          <w:sz w:val="32"/>
          <w:lang w:eastAsia="zh-CN"/>
        </w:rPr>
        <w:t>合同条款要求</w:t>
      </w:r>
    </w:p>
    <w:p>
      <w:pPr>
        <w:spacing w:before="269" w:after="269"/>
        <w:ind w:left="300"/>
        <w:jc w:val="left"/>
      </w:pPr>
      <w:r>
        <w:rPr>
          <w:rFonts w:ascii="Times New Roman" w:hAnsi="微软雅黑"/>
          <w:b/>
          <w:i w:val="0"/>
          <w:color w:val="000000"/>
          <w:sz w:val="26"/>
        </w:rPr>
        <w:t>1.付款方式要求</w:t>
      </w:r>
    </w:p>
    <w:p>
      <w:pPr>
        <w:spacing w:before="269" w:after="269"/>
        <w:ind w:left="360"/>
        <w:jc w:val="left"/>
      </w:pPr>
      <w:r>
        <w:rPr>
          <w:rFonts w:ascii="Times New Roman" w:hAnsi="微软雅黑"/>
          <w:b w:val="0"/>
          <w:i w:val="0"/>
          <w:color w:val="000000"/>
          <w:sz w:val="22"/>
        </w:rPr>
        <w:t>付款方式：□现金■银行电汇 □汇票 □本票 □支票 □其他</w:t>
      </w:r>
    </w:p>
    <w:p>
      <w:pPr>
        <w:spacing w:before="269" w:after="269"/>
        <w:ind w:left="360"/>
        <w:jc w:val="left"/>
      </w:pPr>
      <w:r>
        <w:rPr>
          <w:rFonts w:ascii="Times New Roman" w:hAnsi="微软雅黑"/>
          <w:b w:val="0"/>
          <w:i w:val="0"/>
          <w:color w:val="000000"/>
          <w:sz w:val="22"/>
        </w:rPr>
        <w:t>对于本合同的合同价款，双方同意按照以下第 ② 种方式予以支付：</w:t>
      </w:r>
    </w:p>
    <w:p>
      <w:pPr>
        <w:spacing w:before="269" w:after="269"/>
        <w:ind w:left="360"/>
        <w:jc w:val="left"/>
      </w:pPr>
      <w:r>
        <w:rPr>
          <w:rFonts w:ascii="Times New Roman" w:hAnsi="微软雅黑"/>
          <w:b w:val="0"/>
          <w:i w:val="0"/>
          <w:color w:val="000000"/>
          <w:sz w:val="22"/>
        </w:rPr>
        <w:t>①月度付款。甲方及甲方执行方在每月第 15 日前确认上个月度实际发生的经验收合格的具体工作量，并由乙方向甲方执行方提供与上个月度《服务委托书》中价款相应的有效增值税专用发票及相关支持文件。甲方在收到有效增值税专用发票及相关支持文件并审核无误后 45 日内，甲方按结算价格标准向乙方支付服务费用。</w:t>
      </w:r>
    </w:p>
    <w:p>
      <w:pPr>
        <w:spacing w:before="269" w:after="269"/>
        <w:ind w:left="360"/>
        <w:jc w:val="left"/>
      </w:pPr>
      <w:r>
        <w:rPr>
          <w:rFonts w:ascii="Times New Roman" w:hAnsi="微软雅黑"/>
          <w:b w:val="0"/>
          <w:i w:val="0"/>
          <w:color w:val="000000"/>
          <w:sz w:val="22"/>
        </w:rPr>
        <w:t>②乙方完成本合同项下《服务委托书》的具体工作、提交工作成果，且经甲方验收合格后，乙方向甲方执行方提供有效增值税专用发票及相关支持文件（具体见甲方执行用户下达的服务委托书的要求），甲方在收到有效增值税专用发票及相关支持文件并审核无误后 日，甲方按结算价格标准向乙方支付本次服务费用。</w:t>
      </w:r>
    </w:p>
    <w:p>
      <w:pPr>
        <w:spacing w:before="0" w:after="0"/>
        <w:ind w:left="120"/>
        <w:jc w:val="left"/>
      </w:pPr>
      <w:r>
        <w:br w:type="textWrapping"/>
      </w:r>
      <w:r>
        <w:rPr>
          <w:rFonts w:ascii="Times New Roman" w:hAnsi="微软雅黑"/>
          <w:b w:val="0"/>
          <w:i w:val="0"/>
          <w:color w:val="000000"/>
          <w:sz w:val="22"/>
        </w:rPr>
        <w:t xml:space="preserve"> </w:t>
      </w:r>
    </w:p>
    <w:p>
      <w:pPr>
        <w:spacing w:before="269" w:after="269"/>
        <w:ind w:left="300"/>
        <w:jc w:val="left"/>
      </w:pPr>
      <w:r>
        <w:rPr>
          <w:rFonts w:ascii="Times New Roman" w:hAnsi="微软雅黑"/>
          <w:b/>
          <w:i w:val="0"/>
          <w:color w:val="000000"/>
          <w:sz w:val="26"/>
        </w:rPr>
        <w:t>2.履约保函/履约保证金</w:t>
      </w:r>
    </w:p>
    <w:p>
      <w:pPr>
        <w:spacing w:before="269" w:after="269"/>
        <w:ind w:left="360"/>
        <w:jc w:val="left"/>
        <w:rPr>
          <w:rFonts w:hint="default" w:ascii="Times New Roman" w:hAnsi="微软雅黑"/>
          <w:b w:val="0"/>
          <w:i w:val="0"/>
          <w:color w:val="000000"/>
          <w:sz w:val="22"/>
          <w:lang w:val="en-US" w:eastAsia="zh-CN"/>
        </w:rPr>
      </w:pPr>
      <w:r>
        <w:rPr>
          <w:rFonts w:hint="eastAsia" w:ascii="Times New Roman" w:hAnsi="微软雅黑"/>
          <w:b w:val="0"/>
          <w:i w:val="0"/>
          <w:color w:val="000000"/>
          <w:sz w:val="22"/>
          <w:lang w:val="en-US" w:eastAsia="zh-CN"/>
        </w:rPr>
        <w:t>1）</w:t>
      </w:r>
      <w:r>
        <w:rPr>
          <w:rFonts w:hint="default" w:ascii="Times New Roman" w:hAnsi="微软雅黑"/>
          <w:b w:val="0"/>
          <w:i w:val="0"/>
          <w:color w:val="000000"/>
          <w:sz w:val="22"/>
          <w:lang w:val="en-US" w:eastAsia="zh-CN"/>
        </w:rPr>
        <w:t>履约保证金/履约保函提交方式（以下两种方式选其一，提交前需要先与甲方确认）：</w:t>
      </w:r>
    </w:p>
    <w:p>
      <w:pPr>
        <w:spacing w:before="269" w:after="269"/>
        <w:ind w:left="360"/>
        <w:jc w:val="left"/>
        <w:rPr>
          <w:rFonts w:hint="default" w:ascii="Times New Roman" w:hAnsi="微软雅黑"/>
          <w:b w:val="0"/>
          <w:i w:val="0"/>
          <w:color w:val="000000"/>
          <w:sz w:val="22"/>
          <w:lang w:val="en-US" w:eastAsia="zh-CN"/>
        </w:rPr>
      </w:pPr>
      <w:r>
        <w:rPr>
          <w:rFonts w:hint="default" w:ascii="Times New Roman" w:hAnsi="微软雅黑"/>
          <w:b w:val="0"/>
          <w:i w:val="0"/>
          <w:color w:val="000000"/>
          <w:sz w:val="22"/>
          <w:lang w:val="en-US" w:eastAsia="zh-CN"/>
        </w:rPr>
        <w:t>履约保证金应以银行转帐或电汇的形式存入甲方账号并提交转帐证明如银行出局的支付业务付款回单；</w:t>
      </w:r>
    </w:p>
    <w:p>
      <w:pPr>
        <w:spacing w:before="269" w:after="269"/>
        <w:ind w:left="360"/>
        <w:jc w:val="left"/>
      </w:pPr>
      <w:r>
        <w:rPr>
          <w:rFonts w:ascii="Times New Roman" w:hAnsi="微软雅黑"/>
          <w:b/>
          <w:i w:val="0"/>
          <w:color w:val="000000"/>
          <w:sz w:val="22"/>
        </w:rPr>
        <w:t>①履约保函</w:t>
      </w:r>
    </w:p>
    <w:p>
      <w:pPr>
        <w:spacing w:before="269" w:after="269"/>
        <w:ind w:left="360"/>
        <w:jc w:val="left"/>
        <w:rPr>
          <w:rFonts w:ascii="Times New Roman" w:hAnsi="微软雅黑"/>
          <w:b w:val="0"/>
          <w:i w:val="0"/>
          <w:color w:val="000000"/>
          <w:sz w:val="22"/>
        </w:rPr>
      </w:pPr>
      <w:r>
        <w:rPr>
          <w:rFonts w:hint="eastAsia" w:ascii="Times New Roman" w:hAnsi="微软雅黑"/>
          <w:b w:val="0"/>
          <w:i w:val="0"/>
          <w:color w:val="000000"/>
          <w:sz w:val="22"/>
          <w:lang w:eastAsia="zh-CN"/>
        </w:rPr>
        <w:t>乙方</w:t>
      </w:r>
      <w:r>
        <w:rPr>
          <w:rFonts w:ascii="Times New Roman" w:hAnsi="微软雅黑"/>
          <w:b w:val="0"/>
          <w:i w:val="0"/>
          <w:color w:val="000000"/>
          <w:sz w:val="22"/>
        </w:rPr>
        <w:t>应于合同 □签署前 ■签署后 5 日内向</w:t>
      </w:r>
      <w:r>
        <w:rPr>
          <w:rFonts w:hint="eastAsia" w:ascii="Times New Roman" w:hAnsi="微软雅黑"/>
          <w:b w:val="0"/>
          <w:i w:val="0"/>
          <w:color w:val="000000"/>
          <w:sz w:val="22"/>
          <w:lang w:eastAsia="zh-CN"/>
        </w:rPr>
        <w:t>甲方</w:t>
      </w:r>
      <w:r>
        <w:rPr>
          <w:rFonts w:ascii="Times New Roman" w:hAnsi="微软雅黑"/>
          <w:b w:val="0"/>
          <w:i w:val="0"/>
          <w:color w:val="000000"/>
          <w:sz w:val="22"/>
        </w:rPr>
        <w:t>提交经</w:t>
      </w:r>
      <w:r>
        <w:rPr>
          <w:rFonts w:hint="eastAsia" w:ascii="Times New Roman" w:hAnsi="微软雅黑"/>
          <w:b w:val="0"/>
          <w:i w:val="0"/>
          <w:color w:val="000000"/>
          <w:sz w:val="22"/>
          <w:lang w:eastAsia="zh-CN"/>
        </w:rPr>
        <w:t>甲方</w:t>
      </w:r>
      <w:r>
        <w:rPr>
          <w:rFonts w:ascii="Times New Roman" w:hAnsi="微软雅黑"/>
          <w:b w:val="0"/>
          <w:i w:val="0"/>
          <w:color w:val="000000"/>
          <w:sz w:val="22"/>
        </w:rPr>
        <w:t>认可的金融机构出具的金额为合同总价的 3.5 %的履约保函。履约保函应自出具之日起生效，有效期至</w:t>
      </w:r>
      <w:r>
        <w:rPr>
          <w:rFonts w:hint="eastAsia" w:ascii="Times New Roman" w:hAnsi="微软雅黑"/>
          <w:b w:val="0"/>
          <w:i w:val="0"/>
          <w:color w:val="000000"/>
          <w:sz w:val="22"/>
          <w:lang w:eastAsia="zh-CN"/>
        </w:rPr>
        <w:t>甲方</w:t>
      </w:r>
      <w:r>
        <w:rPr>
          <w:rFonts w:ascii="Times New Roman" w:hAnsi="微软雅黑"/>
          <w:b w:val="0"/>
          <w:i w:val="0"/>
          <w:color w:val="000000"/>
          <w:sz w:val="22"/>
        </w:rPr>
        <w:t>签署全部到货检验证明后第 三十一（31） 日。</w:t>
      </w:r>
      <w:r>
        <w:rPr>
          <w:rFonts w:hint="eastAsia" w:ascii="Times New Roman" w:hAnsi="微软雅黑"/>
          <w:b w:val="0"/>
          <w:i w:val="0"/>
          <w:color w:val="000000"/>
          <w:sz w:val="22"/>
          <w:lang w:eastAsia="zh-CN"/>
        </w:rPr>
        <w:t>乙方</w:t>
      </w:r>
      <w:r>
        <w:rPr>
          <w:rFonts w:ascii="Times New Roman" w:hAnsi="微软雅黑"/>
          <w:b w:val="0"/>
          <w:i w:val="0"/>
          <w:color w:val="000000"/>
          <w:sz w:val="22"/>
        </w:rPr>
        <w:t>根据本合同的约定应承担违约金或赔偿责任的，</w:t>
      </w:r>
      <w:r>
        <w:rPr>
          <w:rFonts w:hint="eastAsia" w:ascii="Times New Roman" w:hAnsi="微软雅黑"/>
          <w:b w:val="0"/>
          <w:i w:val="0"/>
          <w:color w:val="000000"/>
          <w:sz w:val="22"/>
          <w:lang w:eastAsia="zh-CN"/>
        </w:rPr>
        <w:t>甲方</w:t>
      </w:r>
      <w:r>
        <w:rPr>
          <w:rFonts w:ascii="Times New Roman" w:hAnsi="微软雅黑"/>
          <w:b w:val="0"/>
          <w:i w:val="0"/>
          <w:color w:val="000000"/>
          <w:sz w:val="22"/>
        </w:rPr>
        <w:t>有权从合同总价余额中直接扣除或凭履约保函要求金融机构支付该等违约金或赔偿款项。</w:t>
      </w:r>
    </w:p>
    <w:p>
      <w:pPr>
        <w:pStyle w:val="4"/>
        <w:ind w:firstLine="440" w:firstLineChars="200"/>
      </w:pPr>
      <w:r>
        <w:rPr>
          <w:rFonts w:hint="default" w:ascii="Times New Roman" w:hAnsi="微软雅黑" w:eastAsiaTheme="minorEastAsia" w:cstheme="minorBidi"/>
          <w:color w:val="000000"/>
          <w:kern w:val="0"/>
          <w:sz w:val="22"/>
          <w:szCs w:val="22"/>
          <w:lang w:val="en-US" w:eastAsia="zh-CN"/>
        </w:rPr>
        <w:t>履约保函的开立方式为：信开方式。</w:t>
      </w:r>
    </w:p>
    <w:p>
      <w:pPr>
        <w:spacing w:before="269" w:after="269"/>
        <w:ind w:left="360"/>
        <w:jc w:val="left"/>
      </w:pPr>
      <w:r>
        <w:rPr>
          <w:rFonts w:ascii="Times New Roman" w:hAnsi="微软雅黑"/>
          <w:b/>
          <w:i w:val="0"/>
          <w:color w:val="000000"/>
          <w:sz w:val="22"/>
        </w:rPr>
        <w:t>②履约保证金</w:t>
      </w:r>
    </w:p>
    <w:p>
      <w:pPr>
        <w:spacing w:before="269" w:after="269"/>
        <w:ind w:left="360"/>
        <w:jc w:val="left"/>
      </w:pPr>
      <w:r>
        <w:rPr>
          <w:rFonts w:ascii="Times New Roman" w:hAnsi="微软雅黑"/>
          <w:b w:val="0"/>
          <w:i w:val="0"/>
          <w:color w:val="000000"/>
          <w:sz w:val="22"/>
        </w:rPr>
        <w:t>本合同 □签署前 ■签署后 5 日内，</w:t>
      </w:r>
      <w:r>
        <w:rPr>
          <w:rFonts w:hint="eastAsia" w:ascii="Times New Roman" w:hAnsi="微软雅黑"/>
          <w:b w:val="0"/>
          <w:i w:val="0"/>
          <w:color w:val="000000"/>
          <w:sz w:val="22"/>
          <w:lang w:eastAsia="zh-CN"/>
        </w:rPr>
        <w:t>乙方</w:t>
      </w:r>
      <w:r>
        <w:rPr>
          <w:rFonts w:ascii="Times New Roman" w:hAnsi="微软雅黑"/>
          <w:b w:val="0"/>
          <w:i w:val="0"/>
          <w:color w:val="000000"/>
          <w:sz w:val="22"/>
        </w:rPr>
        <w:t>向</w:t>
      </w:r>
      <w:r>
        <w:rPr>
          <w:rFonts w:hint="eastAsia" w:ascii="Times New Roman" w:hAnsi="微软雅黑"/>
          <w:b w:val="0"/>
          <w:i w:val="0"/>
          <w:color w:val="000000"/>
          <w:sz w:val="22"/>
          <w:lang w:eastAsia="zh-CN"/>
        </w:rPr>
        <w:t>甲方</w:t>
      </w:r>
      <w:r>
        <w:rPr>
          <w:rFonts w:ascii="Times New Roman" w:hAnsi="微软雅黑"/>
          <w:b w:val="0"/>
          <w:i w:val="0"/>
          <w:color w:val="000000"/>
          <w:sz w:val="22"/>
        </w:rPr>
        <w:t>缴纳金额为合同价款的 3.5 %的履约保证金。</w:t>
      </w:r>
      <w:r>
        <w:rPr>
          <w:rFonts w:hint="eastAsia" w:ascii="Times New Roman" w:hAnsi="微软雅黑"/>
          <w:b w:val="0"/>
          <w:i w:val="0"/>
          <w:color w:val="000000"/>
          <w:sz w:val="22"/>
          <w:lang w:eastAsia="zh-CN"/>
        </w:rPr>
        <w:t>甲方</w:t>
      </w:r>
      <w:r>
        <w:rPr>
          <w:rFonts w:ascii="Times New Roman" w:hAnsi="微软雅黑"/>
          <w:b w:val="0"/>
          <w:i w:val="0"/>
          <w:color w:val="000000"/>
          <w:sz w:val="22"/>
        </w:rPr>
        <w:t>于货物验收合格且质保期满后 30日 内无息退还保证金。</w:t>
      </w:r>
    </w:p>
    <w:p>
      <w:pPr>
        <w:keepNext w:val="0"/>
        <w:keepLines w:val="0"/>
        <w:widowControl/>
        <w:suppressLineNumbers w:val="0"/>
        <w:spacing w:before="269" w:after="269" w:line="240" w:lineRule="auto"/>
        <w:ind w:left="363"/>
        <w:jc w:val="left"/>
        <w:rPr>
          <w:rFonts w:hint="eastAsia" w:asciiTheme="minorEastAsia" w:hAnsiTheme="minorEastAsia" w:eastAsiaTheme="minorEastAsia" w:cstheme="minorEastAsia"/>
          <w:color w:val="000000"/>
          <w:sz w:val="22"/>
          <w:szCs w:val="22"/>
          <w:lang w:val="en-US" w:eastAsia="zh-CN"/>
        </w:rPr>
      </w:pPr>
      <w:r>
        <w:rPr>
          <w:rFonts w:hint="eastAsia" w:asciiTheme="minorEastAsia" w:hAnsiTheme="minorEastAsia" w:eastAsiaTheme="minorEastAsia" w:cstheme="minorEastAsia"/>
          <w:color w:val="000000"/>
          <w:sz w:val="22"/>
          <w:szCs w:val="22"/>
          <w:lang w:val="en-US" w:eastAsia="zh-CN"/>
        </w:rPr>
        <w:t>①履约保证金收取账户：</w:t>
      </w:r>
    </w:p>
    <w:p>
      <w:pPr>
        <w:keepNext w:val="0"/>
        <w:keepLines w:val="0"/>
        <w:widowControl/>
        <w:suppressLineNumbers w:val="0"/>
        <w:spacing w:before="269" w:after="269" w:line="240" w:lineRule="auto"/>
        <w:ind w:left="363"/>
        <w:jc w:val="left"/>
        <w:rPr>
          <w:rFonts w:hint="eastAsia" w:asciiTheme="minorEastAsia" w:hAnsiTheme="minorEastAsia" w:eastAsiaTheme="minorEastAsia" w:cstheme="minorEastAsia"/>
          <w:color w:val="000000"/>
          <w:sz w:val="22"/>
          <w:szCs w:val="22"/>
          <w:lang w:val="en-US" w:eastAsia="zh-CN"/>
        </w:rPr>
      </w:pPr>
      <w:r>
        <w:rPr>
          <w:rFonts w:hint="eastAsia" w:asciiTheme="minorEastAsia" w:hAnsiTheme="minorEastAsia" w:eastAsiaTheme="minorEastAsia" w:cstheme="minorEastAsia"/>
          <w:color w:val="000000"/>
          <w:sz w:val="22"/>
          <w:szCs w:val="22"/>
          <w:lang w:val="en-US" w:eastAsia="zh-CN"/>
        </w:rPr>
        <w:t>公司名称：中海油能源物流有限公司海南分公司</w:t>
      </w:r>
    </w:p>
    <w:p>
      <w:pPr>
        <w:keepNext w:val="0"/>
        <w:keepLines w:val="0"/>
        <w:widowControl/>
        <w:suppressLineNumbers w:val="0"/>
        <w:spacing w:before="269" w:after="269" w:line="240" w:lineRule="auto"/>
        <w:ind w:left="363"/>
        <w:jc w:val="left"/>
        <w:rPr>
          <w:rFonts w:hint="eastAsia" w:asciiTheme="minorEastAsia" w:hAnsiTheme="minorEastAsia" w:eastAsiaTheme="minorEastAsia" w:cstheme="minorEastAsia"/>
          <w:color w:val="000000"/>
          <w:sz w:val="22"/>
          <w:szCs w:val="22"/>
          <w:lang w:val="en-US" w:eastAsia="zh-CN"/>
        </w:rPr>
      </w:pPr>
      <w:r>
        <w:rPr>
          <w:rFonts w:hint="eastAsia" w:asciiTheme="minorEastAsia" w:hAnsiTheme="minorEastAsia" w:eastAsiaTheme="minorEastAsia" w:cstheme="minorEastAsia"/>
          <w:color w:val="000000"/>
          <w:sz w:val="22"/>
          <w:szCs w:val="22"/>
          <w:lang w:val="en-US" w:eastAsia="zh-CN"/>
        </w:rPr>
        <w:t>纳税识别号：91460000MAC8BQCW5C</w:t>
      </w:r>
    </w:p>
    <w:p>
      <w:pPr>
        <w:keepNext w:val="0"/>
        <w:keepLines w:val="0"/>
        <w:widowControl/>
        <w:suppressLineNumbers w:val="0"/>
        <w:spacing w:before="269" w:after="269" w:line="240" w:lineRule="auto"/>
        <w:ind w:left="363"/>
        <w:jc w:val="left"/>
        <w:rPr>
          <w:rFonts w:hint="eastAsia" w:asciiTheme="minorEastAsia" w:hAnsiTheme="minorEastAsia" w:eastAsiaTheme="minorEastAsia" w:cstheme="minorEastAsia"/>
          <w:color w:val="000000"/>
          <w:sz w:val="22"/>
          <w:szCs w:val="22"/>
          <w:lang w:val="en-US" w:eastAsia="zh-CN"/>
        </w:rPr>
      </w:pPr>
      <w:r>
        <w:rPr>
          <w:rFonts w:hint="eastAsia" w:asciiTheme="minorEastAsia" w:hAnsiTheme="minorEastAsia" w:eastAsiaTheme="minorEastAsia" w:cstheme="minorEastAsia"/>
          <w:color w:val="000000"/>
          <w:sz w:val="22"/>
          <w:szCs w:val="22"/>
          <w:lang w:val="en-US" w:eastAsia="zh-CN"/>
        </w:rPr>
        <w:t>开户行：中国工商银行股份有限公司北京国家文化与金融合作示范区金街支行</w:t>
      </w:r>
    </w:p>
    <w:p>
      <w:pPr>
        <w:keepNext w:val="0"/>
        <w:keepLines w:val="0"/>
        <w:widowControl/>
        <w:suppressLineNumbers w:val="0"/>
        <w:spacing w:before="269" w:after="269" w:line="240" w:lineRule="auto"/>
        <w:ind w:left="363"/>
        <w:jc w:val="left"/>
        <w:rPr>
          <w:rFonts w:hint="eastAsia" w:asciiTheme="minorEastAsia" w:hAnsiTheme="minorEastAsia" w:eastAsiaTheme="minorEastAsia" w:cstheme="minorEastAsia"/>
          <w:color w:val="000000"/>
          <w:sz w:val="22"/>
          <w:szCs w:val="22"/>
          <w:lang w:val="en-US" w:eastAsia="zh-CN"/>
        </w:rPr>
      </w:pPr>
      <w:r>
        <w:rPr>
          <w:rFonts w:hint="eastAsia" w:asciiTheme="minorEastAsia" w:hAnsiTheme="minorEastAsia" w:eastAsiaTheme="minorEastAsia" w:cstheme="minorEastAsia"/>
          <w:color w:val="000000"/>
          <w:sz w:val="22"/>
          <w:szCs w:val="22"/>
          <w:lang w:val="en-US" w:eastAsia="zh-CN"/>
        </w:rPr>
        <w:t>开户行账号：9558830200999027071</w:t>
      </w:r>
    </w:p>
    <w:p>
      <w:pPr>
        <w:widowControl/>
        <w:spacing w:before="269" w:after="269"/>
        <w:ind w:left="363"/>
        <w:jc w:val="left"/>
        <w:rPr>
          <w:rFonts w:hint="default" w:ascii="Times New Roman" w:hAnsi="微软雅黑"/>
          <w:b w:val="0"/>
          <w:i w:val="0"/>
          <w:color w:val="000000"/>
          <w:sz w:val="22"/>
          <w:lang w:val="en-US" w:eastAsia="zh-CN"/>
        </w:rPr>
      </w:pPr>
      <w:r>
        <w:rPr>
          <w:rFonts w:hint="eastAsia" w:asciiTheme="minorEastAsia" w:hAnsiTheme="minorEastAsia" w:eastAsiaTheme="minorEastAsia" w:cstheme="minorEastAsia"/>
          <w:color w:val="000000"/>
          <w:sz w:val="22"/>
          <w:szCs w:val="22"/>
          <w:lang w:val="en-US" w:eastAsia="zh-CN"/>
        </w:rPr>
        <w:t>公司注册地址：海南省澄迈县老城镇人民路142号海南中海石油码头新综合楼206室</w:t>
      </w:r>
    </w:p>
    <w:p>
      <w:pPr>
        <w:snapToGrid w:val="0"/>
        <w:spacing w:before="269" w:after="269" w:line="360" w:lineRule="auto"/>
        <w:ind w:left="360" w:right="125" w:rightChars="0"/>
        <w:jc w:val="left"/>
        <w:rPr>
          <w:rFonts w:hint="default" w:ascii="Times New Roman" w:hAnsi="微软雅黑" w:eastAsiaTheme="minorEastAsia" w:cstheme="minorBidi"/>
          <w:color w:val="000000"/>
          <w:sz w:val="22"/>
          <w:szCs w:val="22"/>
          <w:highlight w:val="none"/>
          <w:lang w:val="en-US" w:eastAsia="zh-CN"/>
        </w:rPr>
      </w:pPr>
      <w:r>
        <w:rPr>
          <w:rFonts w:hint="eastAsia" w:ascii="Times New Roman" w:hAnsi="微软雅黑" w:cstheme="minorBidi"/>
          <w:color w:val="000000"/>
          <w:sz w:val="22"/>
          <w:szCs w:val="22"/>
          <w:lang w:val="en-US" w:eastAsia="zh-CN"/>
        </w:rPr>
        <w:t>2）</w:t>
      </w:r>
      <w:r>
        <w:rPr>
          <w:rFonts w:hint="default" w:ascii="Times New Roman" w:hAnsi="微软雅黑" w:eastAsiaTheme="minorEastAsia" w:cstheme="minorBidi"/>
          <w:color w:val="000000"/>
          <w:sz w:val="22"/>
          <w:szCs w:val="22"/>
          <w:highlight w:val="none"/>
          <w:lang w:val="en-US" w:eastAsia="zh-CN"/>
        </w:rPr>
        <w:t>履约保证金或履约保函的有效期：</w:t>
      </w:r>
    </w:p>
    <w:p>
      <w:pPr>
        <w:spacing w:before="269" w:after="269"/>
        <w:ind w:left="360"/>
        <w:jc w:val="left"/>
        <w:rPr>
          <w:rFonts w:hint="default" w:ascii="Times New Roman" w:hAnsi="微软雅黑" w:eastAsiaTheme="minorEastAsia" w:cstheme="minorBidi"/>
          <w:color w:val="000000"/>
          <w:sz w:val="22"/>
          <w:szCs w:val="22"/>
          <w:lang w:val="en-US" w:eastAsia="zh-CN"/>
        </w:rPr>
      </w:pPr>
      <w:r>
        <w:rPr>
          <w:rFonts w:hint="default" w:ascii="Times New Roman" w:hAnsi="微软雅黑" w:eastAsiaTheme="minorEastAsia" w:cstheme="minorBidi"/>
          <w:color w:val="000000"/>
          <w:sz w:val="22"/>
          <w:szCs w:val="22"/>
          <w:highlight w:val="none"/>
          <w:lang w:val="en-US" w:eastAsia="zh-CN"/>
        </w:rPr>
        <w:t>履约保证金的有效期应覆盖合同约定的整个履约期限</w:t>
      </w:r>
      <w:r>
        <w:rPr>
          <w:rFonts w:hint="eastAsia" w:ascii="Times New Roman" w:hAnsi="微软雅黑" w:cstheme="minorBidi"/>
          <w:color w:val="000000"/>
          <w:sz w:val="22"/>
          <w:szCs w:val="22"/>
          <w:lang w:val="en-US" w:eastAsia="zh-CN"/>
        </w:rPr>
        <w:t>，可</w:t>
      </w:r>
      <w:r>
        <w:rPr>
          <w:rFonts w:hint="default" w:ascii="Times New Roman" w:hAnsi="微软雅黑" w:eastAsiaTheme="minorEastAsia" w:cstheme="minorBidi"/>
          <w:color w:val="000000"/>
          <w:sz w:val="22"/>
          <w:szCs w:val="22"/>
          <w:lang w:val="en-US" w:eastAsia="zh-CN"/>
        </w:rPr>
        <w:t>参照合同有效期“按 1+1+1 模式执行”进行</w:t>
      </w:r>
      <w:r>
        <w:rPr>
          <w:rFonts w:hint="eastAsia" w:ascii="Times New Roman" w:hAnsi="微软雅黑" w:cstheme="minorBidi"/>
          <w:color w:val="000000"/>
          <w:sz w:val="22"/>
          <w:szCs w:val="22"/>
          <w:lang w:val="en-US" w:eastAsia="zh-CN"/>
        </w:rPr>
        <w:t>缴纳</w:t>
      </w:r>
      <w:r>
        <w:rPr>
          <w:rFonts w:hint="default" w:ascii="Times New Roman" w:hAnsi="微软雅黑" w:eastAsiaTheme="minorEastAsia" w:cstheme="minorBidi"/>
          <w:color w:val="000000"/>
          <w:sz w:val="22"/>
          <w:szCs w:val="22"/>
          <w:highlight w:val="none"/>
          <w:lang w:val="en-US" w:eastAsia="zh-CN"/>
        </w:rPr>
        <w:t>，直至合同终止并结算完毕或根据合同约定的其他条件解除。履约保函应自出具之日起生效，</w:t>
      </w:r>
      <w:r>
        <w:rPr>
          <w:rFonts w:hint="default" w:ascii="Times New Roman" w:hAnsi="微软雅黑" w:eastAsiaTheme="minorEastAsia" w:cstheme="minorBidi"/>
          <w:color w:val="000000"/>
          <w:sz w:val="22"/>
          <w:szCs w:val="22"/>
          <w:lang w:val="en-US" w:eastAsia="zh-CN"/>
        </w:rPr>
        <w:t>覆盖合同约定的整个履约期限，直至合同终止并结算完毕或根据合同约定的其他条件解除。</w:t>
      </w:r>
    </w:p>
    <w:p>
      <w:pPr>
        <w:pStyle w:val="7"/>
        <w:numPr>
          <w:ilvl w:val="0"/>
          <w:numId w:val="0"/>
        </w:numPr>
        <w:snapToGrid w:val="0"/>
        <w:spacing w:before="269" w:after="269" w:line="360" w:lineRule="auto"/>
        <w:ind w:left="363" w:leftChars="0" w:right="125" w:rightChars="0"/>
        <w:jc w:val="left"/>
        <w:rPr>
          <w:rFonts w:hint="default" w:ascii="Times New Roman" w:hAnsi="微软雅黑" w:eastAsiaTheme="minorEastAsia" w:cstheme="minorBidi"/>
          <w:color w:val="000000"/>
          <w:kern w:val="0"/>
          <w:sz w:val="22"/>
          <w:szCs w:val="22"/>
          <w:highlight w:val="none"/>
          <w:lang w:val="en-US" w:eastAsia="zh-CN"/>
        </w:rPr>
      </w:pPr>
      <w:r>
        <w:rPr>
          <w:rFonts w:hint="eastAsia" w:ascii="Times New Roman" w:hAnsi="微软雅黑" w:eastAsiaTheme="minorEastAsia" w:cstheme="minorBidi"/>
          <w:color w:val="000000"/>
          <w:kern w:val="0"/>
          <w:sz w:val="22"/>
          <w:szCs w:val="22"/>
          <w:lang w:val="en-US" w:eastAsia="zh-CN"/>
        </w:rPr>
        <w:t>3）</w:t>
      </w:r>
      <w:r>
        <w:rPr>
          <w:rFonts w:hint="default" w:ascii="Times New Roman" w:hAnsi="微软雅黑" w:eastAsiaTheme="minorEastAsia" w:cstheme="minorBidi"/>
          <w:color w:val="000000"/>
          <w:kern w:val="0"/>
          <w:sz w:val="22"/>
          <w:szCs w:val="22"/>
          <w:highlight w:val="none"/>
          <w:lang w:val="en-US" w:eastAsia="zh-CN"/>
        </w:rPr>
        <w:t>履约保证金或履约保函的扣除条款：</w:t>
      </w:r>
    </w:p>
    <w:p>
      <w:pPr>
        <w:pStyle w:val="7"/>
        <w:numPr>
          <w:ilvl w:val="0"/>
          <w:numId w:val="0"/>
        </w:numPr>
        <w:snapToGrid w:val="0"/>
        <w:spacing w:before="269" w:after="269" w:line="240" w:lineRule="auto"/>
        <w:ind w:left="363" w:leftChars="0" w:right="125" w:rightChars="0"/>
        <w:jc w:val="left"/>
        <w:rPr>
          <w:rFonts w:hint="default" w:ascii="Times New Roman" w:hAnsi="微软雅黑" w:eastAsiaTheme="minorEastAsia" w:cstheme="minorBidi"/>
          <w:color w:val="000000"/>
          <w:kern w:val="0"/>
          <w:sz w:val="22"/>
          <w:szCs w:val="22"/>
          <w:highlight w:val="none"/>
          <w:lang w:val="en-US" w:eastAsia="zh-CN"/>
        </w:rPr>
      </w:pPr>
      <w:r>
        <w:rPr>
          <w:rFonts w:hint="default" w:ascii="Times New Roman" w:hAnsi="微软雅黑" w:eastAsiaTheme="minorEastAsia" w:cstheme="minorBidi"/>
          <w:color w:val="000000"/>
          <w:kern w:val="0"/>
          <w:sz w:val="22"/>
          <w:szCs w:val="22"/>
          <w:highlight w:val="none"/>
          <w:lang w:val="en-US" w:eastAsia="zh-CN"/>
        </w:rPr>
        <w:t>① 服务响应扣除：</w:t>
      </w:r>
    </w:p>
    <w:p>
      <w:pPr>
        <w:pStyle w:val="7"/>
        <w:numPr>
          <w:ilvl w:val="0"/>
          <w:numId w:val="0"/>
        </w:numPr>
        <w:snapToGrid w:val="0"/>
        <w:spacing w:before="269" w:after="269" w:line="240" w:lineRule="auto"/>
        <w:ind w:left="363" w:leftChars="0" w:right="125" w:rightChars="0"/>
        <w:jc w:val="left"/>
        <w:rPr>
          <w:rFonts w:hint="default" w:ascii="Times New Roman" w:hAnsi="微软雅黑" w:eastAsiaTheme="minorEastAsia" w:cstheme="minorBidi"/>
          <w:color w:val="000000"/>
          <w:kern w:val="0"/>
          <w:sz w:val="22"/>
          <w:szCs w:val="22"/>
          <w:highlight w:val="none"/>
          <w:lang w:val="en-US" w:eastAsia="zh-CN"/>
        </w:rPr>
      </w:pPr>
      <w:r>
        <w:rPr>
          <w:rFonts w:hint="default" w:ascii="Times New Roman" w:hAnsi="微软雅黑" w:eastAsiaTheme="minorEastAsia" w:cstheme="minorBidi"/>
          <w:color w:val="000000"/>
          <w:kern w:val="0"/>
          <w:sz w:val="22"/>
          <w:szCs w:val="22"/>
          <w:highlight w:val="none"/>
          <w:lang w:val="en-US" w:eastAsia="zh-CN"/>
        </w:rPr>
        <w:t>甲方发出服务指令（委托单或电话或邮件），乙方未在24小时内响应并在甲方限定的时间内</w:t>
      </w:r>
      <w:r>
        <w:rPr>
          <w:rFonts w:hint="eastAsia" w:ascii="Times New Roman" w:hAnsi="微软雅黑" w:eastAsiaTheme="minorEastAsia" w:cstheme="minorBidi"/>
          <w:color w:val="000000"/>
          <w:kern w:val="0"/>
          <w:sz w:val="22"/>
          <w:szCs w:val="22"/>
          <w:lang w:val="en-US" w:eastAsia="zh-CN"/>
        </w:rPr>
        <w:t>提供场地的</w:t>
      </w:r>
      <w:r>
        <w:rPr>
          <w:rFonts w:hint="default" w:ascii="Times New Roman" w:hAnsi="微软雅黑" w:eastAsiaTheme="minorEastAsia" w:cstheme="minorBidi"/>
          <w:color w:val="000000"/>
          <w:kern w:val="0"/>
          <w:sz w:val="22"/>
          <w:szCs w:val="22"/>
          <w:highlight w:val="none"/>
          <w:lang w:val="en-US" w:eastAsia="zh-CN"/>
        </w:rPr>
        <w:t>，甲方有权扣除乙方履约保证金，第一次扣除5%，第二次扣除10%，第三次提报履约异常。</w:t>
      </w:r>
    </w:p>
    <w:p>
      <w:pPr>
        <w:pStyle w:val="7"/>
        <w:numPr>
          <w:ilvl w:val="0"/>
          <w:numId w:val="0"/>
        </w:numPr>
        <w:snapToGrid w:val="0"/>
        <w:spacing w:before="269" w:after="269" w:line="240" w:lineRule="auto"/>
        <w:ind w:left="363" w:leftChars="0" w:right="125" w:rightChars="0"/>
        <w:jc w:val="left"/>
        <w:rPr>
          <w:rFonts w:hint="default" w:ascii="Times New Roman" w:hAnsi="微软雅黑" w:eastAsiaTheme="minorEastAsia" w:cstheme="minorBidi"/>
          <w:color w:val="000000"/>
          <w:kern w:val="0"/>
          <w:sz w:val="22"/>
          <w:szCs w:val="22"/>
          <w:highlight w:val="none"/>
          <w:lang w:val="en-US" w:eastAsia="zh-CN"/>
        </w:rPr>
      </w:pPr>
      <w:r>
        <w:rPr>
          <w:rFonts w:hint="eastAsia" w:ascii="Times New Roman" w:hAnsi="微软雅黑" w:eastAsiaTheme="minorEastAsia" w:cstheme="minorBidi"/>
          <w:color w:val="000000"/>
          <w:kern w:val="0"/>
          <w:sz w:val="22"/>
          <w:szCs w:val="22"/>
          <w:lang w:val="en-US" w:eastAsia="zh-CN"/>
        </w:rPr>
        <w:t>4）</w:t>
      </w:r>
      <w:r>
        <w:rPr>
          <w:rFonts w:hint="default" w:ascii="Times New Roman" w:hAnsi="微软雅黑" w:eastAsiaTheme="minorEastAsia" w:cstheme="minorBidi"/>
          <w:color w:val="000000"/>
          <w:kern w:val="0"/>
          <w:sz w:val="22"/>
          <w:szCs w:val="22"/>
          <w:highlight w:val="none"/>
          <w:lang w:val="en-US" w:eastAsia="zh-CN"/>
        </w:rPr>
        <w:t>扣除程序</w:t>
      </w:r>
    </w:p>
    <w:p>
      <w:pPr>
        <w:pStyle w:val="7"/>
        <w:numPr>
          <w:ilvl w:val="0"/>
          <w:numId w:val="0"/>
        </w:numPr>
        <w:snapToGrid w:val="0"/>
        <w:spacing w:before="269" w:after="269" w:line="240" w:lineRule="auto"/>
        <w:ind w:left="363" w:leftChars="0" w:right="125" w:rightChars="0"/>
        <w:jc w:val="left"/>
        <w:rPr>
          <w:rFonts w:hint="default" w:ascii="Times New Roman" w:hAnsi="微软雅黑" w:eastAsiaTheme="minorEastAsia" w:cstheme="minorBidi"/>
          <w:color w:val="000000"/>
          <w:kern w:val="0"/>
          <w:sz w:val="22"/>
          <w:szCs w:val="22"/>
          <w:highlight w:val="none"/>
          <w:lang w:val="en-US" w:eastAsia="zh-CN"/>
        </w:rPr>
      </w:pPr>
      <w:r>
        <w:rPr>
          <w:rFonts w:hint="default" w:ascii="Times New Roman" w:hAnsi="微软雅黑" w:eastAsiaTheme="minorEastAsia" w:cstheme="minorBidi"/>
          <w:color w:val="000000"/>
          <w:kern w:val="0"/>
          <w:sz w:val="22"/>
          <w:szCs w:val="22"/>
          <w:highlight w:val="none"/>
          <w:lang w:val="en-US" w:eastAsia="zh-CN"/>
        </w:rPr>
        <w:t xml:space="preserve">  ① 甲方在发现乙方违约后24小时内以书面或邮件或电话通知乙方。</w:t>
      </w:r>
    </w:p>
    <w:p>
      <w:pPr>
        <w:pStyle w:val="7"/>
        <w:numPr>
          <w:ilvl w:val="0"/>
          <w:numId w:val="0"/>
        </w:numPr>
        <w:snapToGrid w:val="0"/>
        <w:spacing w:before="269" w:after="269" w:line="240" w:lineRule="auto"/>
        <w:ind w:left="363" w:leftChars="0" w:right="125" w:rightChars="0"/>
        <w:jc w:val="left"/>
        <w:rPr>
          <w:rFonts w:hint="default" w:ascii="Times New Roman" w:hAnsi="微软雅黑" w:eastAsiaTheme="minorEastAsia" w:cstheme="minorBidi"/>
          <w:color w:val="000000"/>
          <w:kern w:val="0"/>
          <w:sz w:val="22"/>
          <w:szCs w:val="22"/>
          <w:highlight w:val="none"/>
          <w:lang w:val="en-US" w:eastAsia="zh-CN"/>
        </w:rPr>
      </w:pPr>
      <w:r>
        <w:rPr>
          <w:rFonts w:hint="default" w:ascii="Times New Roman" w:hAnsi="微软雅黑" w:eastAsiaTheme="minorEastAsia" w:cstheme="minorBidi"/>
          <w:color w:val="000000"/>
          <w:kern w:val="0"/>
          <w:sz w:val="22"/>
          <w:szCs w:val="22"/>
          <w:highlight w:val="none"/>
          <w:lang w:val="en-US" w:eastAsia="zh-CN"/>
        </w:rPr>
        <w:t xml:space="preserve">  ② 乙方在收到通知后3个工作日内书面申诉，如乙方未能在3个工作日内提出申诉，视为乙方放弃申诉权利，甲方在5个日历天内完成保证金扣除并书面告知乙方。</w:t>
      </w:r>
    </w:p>
    <w:p>
      <w:pPr>
        <w:pStyle w:val="7"/>
        <w:numPr>
          <w:ilvl w:val="0"/>
          <w:numId w:val="0"/>
        </w:numPr>
        <w:snapToGrid w:val="0"/>
        <w:spacing w:before="269" w:after="269" w:line="240" w:lineRule="auto"/>
        <w:ind w:left="363" w:leftChars="0" w:right="125" w:rightChars="0"/>
        <w:jc w:val="left"/>
        <w:rPr>
          <w:rFonts w:hint="default" w:ascii="Times New Roman" w:hAnsi="微软雅黑" w:eastAsiaTheme="minorEastAsia" w:cstheme="minorBidi"/>
          <w:color w:val="000000"/>
          <w:kern w:val="0"/>
          <w:sz w:val="22"/>
          <w:szCs w:val="22"/>
          <w:highlight w:val="none"/>
          <w:lang w:val="en-US" w:eastAsia="zh-CN"/>
        </w:rPr>
      </w:pPr>
      <w:r>
        <w:rPr>
          <w:rFonts w:hint="eastAsia" w:ascii="Times New Roman" w:hAnsi="微软雅黑" w:eastAsiaTheme="minorEastAsia" w:cstheme="minorBidi"/>
          <w:color w:val="000000"/>
          <w:kern w:val="0"/>
          <w:sz w:val="22"/>
          <w:szCs w:val="22"/>
          <w:lang w:val="en-US" w:eastAsia="zh-CN"/>
        </w:rPr>
        <w:t>5）</w:t>
      </w:r>
      <w:r>
        <w:rPr>
          <w:rFonts w:hint="default" w:ascii="Times New Roman" w:hAnsi="微软雅黑" w:eastAsiaTheme="minorEastAsia" w:cstheme="minorBidi"/>
          <w:color w:val="000000"/>
          <w:kern w:val="0"/>
          <w:sz w:val="22"/>
          <w:szCs w:val="22"/>
          <w:highlight w:val="none"/>
          <w:lang w:val="en-US" w:eastAsia="zh-CN"/>
        </w:rPr>
        <w:t>履约保证金或履约保函的的返还</w:t>
      </w:r>
    </w:p>
    <w:p>
      <w:pPr>
        <w:pStyle w:val="7"/>
        <w:numPr>
          <w:ilvl w:val="0"/>
          <w:numId w:val="0"/>
        </w:numPr>
        <w:snapToGrid w:val="0"/>
        <w:spacing w:before="269" w:after="269" w:line="240" w:lineRule="auto"/>
        <w:ind w:left="363" w:leftChars="0" w:right="125" w:rightChars="0"/>
        <w:jc w:val="left"/>
        <w:rPr>
          <w:rFonts w:hint="default" w:ascii="Times New Roman" w:hAnsi="微软雅黑" w:eastAsiaTheme="minorEastAsia" w:cstheme="minorBidi"/>
          <w:color w:val="000000"/>
          <w:kern w:val="0"/>
          <w:sz w:val="22"/>
          <w:szCs w:val="22"/>
          <w:highlight w:val="none"/>
          <w:lang w:val="en-US" w:eastAsia="zh-CN"/>
        </w:rPr>
      </w:pPr>
      <w:r>
        <w:rPr>
          <w:rFonts w:hint="default" w:ascii="Times New Roman" w:hAnsi="微软雅黑" w:eastAsiaTheme="minorEastAsia" w:cstheme="minorBidi"/>
          <w:color w:val="000000"/>
          <w:kern w:val="0"/>
          <w:sz w:val="22"/>
          <w:szCs w:val="22"/>
          <w:highlight w:val="none"/>
          <w:lang w:val="en-US" w:eastAsia="zh-CN"/>
        </w:rPr>
        <w:t>①履约保证金有效期届满后。甲方应当将该履约保证金无息退还乙方。</w:t>
      </w:r>
    </w:p>
    <w:p>
      <w:pPr>
        <w:pStyle w:val="7"/>
        <w:numPr>
          <w:ilvl w:val="0"/>
          <w:numId w:val="0"/>
        </w:numPr>
        <w:snapToGrid w:val="0"/>
        <w:spacing w:before="269" w:after="269" w:line="240" w:lineRule="auto"/>
        <w:ind w:left="363" w:leftChars="0" w:right="125" w:rightChars="0"/>
        <w:jc w:val="left"/>
        <w:rPr>
          <w:rFonts w:hint="default" w:ascii="Times New Roman" w:hAnsi="微软雅黑" w:eastAsiaTheme="minorEastAsia" w:cstheme="minorBidi"/>
          <w:color w:val="000000"/>
          <w:kern w:val="0"/>
          <w:sz w:val="22"/>
          <w:szCs w:val="22"/>
          <w:highlight w:val="none"/>
          <w:lang w:val="en-US" w:eastAsia="zh-CN"/>
        </w:rPr>
      </w:pPr>
      <w:r>
        <w:rPr>
          <w:rFonts w:hint="default" w:ascii="Times New Roman" w:hAnsi="微软雅黑" w:eastAsiaTheme="minorEastAsia" w:cstheme="minorBidi"/>
          <w:color w:val="000000"/>
          <w:kern w:val="0"/>
          <w:sz w:val="22"/>
          <w:szCs w:val="22"/>
          <w:highlight w:val="none"/>
          <w:lang w:val="en-US" w:eastAsia="zh-CN"/>
        </w:rPr>
        <w:t>②如乙方未能履行或者未能全部履行合同规定的义务，甲方有权从履约保证金中获得赔偿。履约保证金扣除完甲方应当获得的赔偿后，应当在有效期届满后无息退还乙方。</w:t>
      </w:r>
    </w:p>
    <w:p>
      <w:pPr>
        <w:pStyle w:val="7"/>
        <w:numPr>
          <w:ilvl w:val="0"/>
          <w:numId w:val="0"/>
        </w:numPr>
        <w:snapToGrid w:val="0"/>
        <w:spacing w:before="269" w:after="269" w:line="240" w:lineRule="auto"/>
        <w:ind w:left="363" w:leftChars="0" w:right="125" w:rightChars="0"/>
        <w:jc w:val="left"/>
        <w:rPr>
          <w:rFonts w:hint="default" w:ascii="Times New Roman" w:hAnsi="微软雅黑" w:eastAsiaTheme="minorEastAsia" w:cstheme="minorBidi"/>
          <w:color w:val="000000"/>
          <w:kern w:val="0"/>
          <w:sz w:val="22"/>
          <w:szCs w:val="22"/>
          <w:highlight w:val="none"/>
          <w:lang w:val="en-US" w:eastAsia="zh-CN"/>
        </w:rPr>
      </w:pPr>
      <w:r>
        <w:rPr>
          <w:rFonts w:hint="default" w:ascii="Times New Roman" w:hAnsi="微软雅黑" w:eastAsiaTheme="minorEastAsia" w:cstheme="minorBidi"/>
          <w:color w:val="000000"/>
          <w:kern w:val="0"/>
          <w:sz w:val="22"/>
          <w:szCs w:val="22"/>
          <w:highlight w:val="none"/>
          <w:lang w:val="en-US" w:eastAsia="zh-CN"/>
        </w:rPr>
        <w:t>③如若履约保证金不足以赔付甲方因乙方未能履行或者未能全部履行合同规定的义务所造成的损失的，乙方应对不足部分继续承担赔偿责任。</w:t>
      </w:r>
    </w:p>
    <w:p>
      <w:pPr>
        <w:pStyle w:val="7"/>
        <w:numPr>
          <w:ilvl w:val="0"/>
          <w:numId w:val="0"/>
        </w:numPr>
        <w:snapToGrid w:val="0"/>
        <w:spacing w:before="269" w:after="269" w:line="240" w:lineRule="auto"/>
        <w:ind w:left="363" w:leftChars="0" w:right="125" w:rightChars="0"/>
        <w:jc w:val="left"/>
        <w:rPr>
          <w:rFonts w:hint="default" w:ascii="Times New Roman" w:hAnsi="微软雅黑" w:eastAsiaTheme="minorEastAsia" w:cstheme="minorBidi"/>
          <w:color w:val="000000"/>
          <w:kern w:val="0"/>
          <w:sz w:val="22"/>
          <w:szCs w:val="22"/>
          <w:highlight w:val="none"/>
          <w:lang w:val="en-US" w:eastAsia="zh-CN"/>
        </w:rPr>
      </w:pPr>
      <w:r>
        <w:rPr>
          <w:rFonts w:hint="default" w:ascii="Times New Roman" w:hAnsi="微软雅黑" w:eastAsiaTheme="minorEastAsia" w:cstheme="minorBidi"/>
          <w:color w:val="000000"/>
          <w:kern w:val="0"/>
          <w:sz w:val="22"/>
          <w:szCs w:val="22"/>
          <w:highlight w:val="none"/>
          <w:lang w:val="en-US" w:eastAsia="zh-CN"/>
        </w:rPr>
        <w:t>④合同履行完毕后乙方向甲方提交申请，甲方将于收到乙方申请后 45 个日历天无息退还剩余履约保证金。</w:t>
      </w:r>
    </w:p>
    <w:p>
      <w:pPr>
        <w:pStyle w:val="7"/>
        <w:numPr>
          <w:ilvl w:val="0"/>
          <w:numId w:val="0"/>
        </w:numPr>
        <w:snapToGrid w:val="0"/>
        <w:spacing w:before="269" w:after="269" w:line="240" w:lineRule="auto"/>
        <w:ind w:left="363" w:leftChars="0" w:right="125" w:rightChars="0"/>
        <w:jc w:val="left"/>
        <w:rPr>
          <w:rFonts w:hint="default" w:ascii="Times New Roman" w:hAnsi="微软雅黑" w:eastAsiaTheme="minorEastAsia" w:cstheme="minorBidi"/>
          <w:color w:val="000000"/>
          <w:kern w:val="0"/>
          <w:sz w:val="22"/>
          <w:szCs w:val="22"/>
          <w:highlight w:val="none"/>
          <w:lang w:val="en-US" w:eastAsia="zh-CN"/>
        </w:rPr>
      </w:pPr>
      <w:r>
        <w:rPr>
          <w:rFonts w:hint="default" w:ascii="Times New Roman" w:hAnsi="微软雅黑" w:eastAsiaTheme="minorEastAsia" w:cstheme="minorBidi"/>
          <w:color w:val="000000"/>
          <w:kern w:val="0"/>
          <w:sz w:val="22"/>
          <w:szCs w:val="22"/>
          <w:highlight w:val="none"/>
          <w:lang w:val="en-US" w:eastAsia="zh-CN"/>
        </w:rPr>
        <w:t>⑤保函正本将在其有效期届满且招标人无未决索赔后【30】日内退还给保证人（如适用）。中标人未按时提交合格保函或保函失效未续期，构成严重违约，招标人有权解除合同并追究其责任。</w:t>
      </w:r>
      <w:bookmarkStart w:id="0" w:name="_GoBack"/>
      <w:bookmarkEnd w:id="0"/>
    </w:p>
    <w:p>
      <w:pPr>
        <w:pStyle w:val="7"/>
        <w:numPr>
          <w:ilvl w:val="0"/>
          <w:numId w:val="0"/>
        </w:numPr>
        <w:snapToGrid w:val="0"/>
        <w:spacing w:before="269" w:after="269" w:line="240" w:lineRule="auto"/>
        <w:ind w:left="363" w:leftChars="0" w:right="125" w:rightChars="0"/>
        <w:jc w:val="left"/>
        <w:rPr>
          <w:rFonts w:hint="default" w:ascii="Times New Roman" w:hAnsi="微软雅黑" w:eastAsiaTheme="minorEastAsia" w:cstheme="minorBidi"/>
          <w:color w:val="000000"/>
          <w:kern w:val="0"/>
          <w:sz w:val="22"/>
          <w:szCs w:val="22"/>
          <w:highlight w:val="none"/>
          <w:lang w:val="en-US" w:eastAsia="zh-CN"/>
        </w:rPr>
      </w:pPr>
      <w:r>
        <w:rPr>
          <w:rFonts w:hint="eastAsia" w:ascii="Times New Roman" w:hAnsi="微软雅黑" w:eastAsiaTheme="minorEastAsia" w:cstheme="minorBidi"/>
          <w:color w:val="000000"/>
          <w:kern w:val="0"/>
          <w:sz w:val="22"/>
          <w:szCs w:val="22"/>
          <w:lang w:val="en-US" w:eastAsia="zh-CN"/>
        </w:rPr>
        <w:t>6）</w:t>
      </w:r>
      <w:r>
        <w:rPr>
          <w:rFonts w:hint="default" w:ascii="Times New Roman" w:hAnsi="微软雅黑" w:eastAsiaTheme="minorEastAsia" w:cstheme="minorBidi"/>
          <w:color w:val="000000"/>
          <w:kern w:val="0"/>
          <w:sz w:val="22"/>
          <w:szCs w:val="22"/>
          <w:highlight w:val="none"/>
          <w:lang w:val="en-US" w:eastAsia="zh-CN"/>
        </w:rPr>
        <w:t>上述扣除保证金的百分比是以乙方存入甲方账号金额为基数扣除，如乙方履约保证金不足扣除的额度时甲方有权解除合同。</w:t>
      </w:r>
    </w:p>
    <w:p>
      <w:pPr>
        <w:spacing w:before="0" w:after="0"/>
        <w:ind w:left="120"/>
        <w:jc w:val="left"/>
      </w:pPr>
      <w:r>
        <w:br w:type="textWrapping"/>
      </w:r>
      <w:r>
        <w:rPr>
          <w:rFonts w:ascii="Times New Roman" w:hAnsi="微软雅黑"/>
          <w:b w:val="0"/>
          <w:i w:val="0"/>
          <w:color w:val="000000"/>
          <w:sz w:val="22"/>
        </w:rPr>
        <w:t xml:space="preserve"> </w:t>
      </w:r>
    </w:p>
    <w:p>
      <w:pPr>
        <w:spacing w:before="269" w:after="269"/>
        <w:ind w:left="300"/>
        <w:jc w:val="left"/>
      </w:pPr>
      <w:r>
        <w:rPr>
          <w:rFonts w:hint="eastAsia" w:ascii="Times New Roman" w:hAnsi="微软雅黑"/>
          <w:b/>
          <w:i w:val="0"/>
          <w:color w:val="000000"/>
          <w:sz w:val="26"/>
          <w:lang w:val="en-US" w:eastAsia="zh-CN"/>
        </w:rPr>
        <w:t>3</w:t>
      </w:r>
      <w:r>
        <w:rPr>
          <w:rFonts w:ascii="Times New Roman" w:hAnsi="微软雅黑"/>
          <w:b/>
          <w:i w:val="0"/>
          <w:color w:val="000000"/>
          <w:sz w:val="26"/>
        </w:rPr>
        <w:t>.其他</w:t>
      </w:r>
    </w:p>
    <w:p>
      <w:pPr>
        <w:spacing w:before="269" w:after="269"/>
        <w:ind w:left="360"/>
        <w:jc w:val="left"/>
      </w:pPr>
      <w:r>
        <w:rPr>
          <w:rFonts w:ascii="Times New Roman" w:hAnsi="微软雅黑"/>
          <w:b w:val="0"/>
          <w:i w:val="0"/>
          <w:color w:val="000000"/>
          <w:sz w:val="22"/>
        </w:rPr>
        <w:t>1.乙方向甲方提供经有资质的设计院盖章签字的高跨重型库房的设计图纸复印件； 2.乙方应向甲方提供高跨重型库房内配套各类设备设施的出厂合格证书、检验证书的复印件。</w:t>
      </w:r>
    </w:p>
    <w:p>
      <w:pPr>
        <w:pStyle w:val="4"/>
        <w:widowControl w:val="0"/>
        <w:numPr>
          <w:ilvl w:val="0"/>
          <w:numId w:val="0"/>
        </w:numPr>
        <w:snapToGrid w:val="0"/>
        <w:spacing w:line="480" w:lineRule="auto"/>
        <w:jc w:val="center"/>
        <w:rPr>
          <w:rFonts w:hint="eastAsia" w:ascii="宋体" w:hAnsi="宋体" w:eastAsia="宋体" w:cs="宋体"/>
          <w:b w:val="0"/>
          <w:bCs w:val="0"/>
          <w:color w:val="auto"/>
          <w:kern w:val="44"/>
          <w:sz w:val="24"/>
          <w:szCs w:val="24"/>
          <w:highlight w:val="none"/>
          <w:lang w:val="en-US" w:eastAsia="zh-CN" w:bidi="ar-SA"/>
        </w:rPr>
      </w:pPr>
      <w:r>
        <w:br w:type="textWrapping"/>
      </w:r>
      <w:r>
        <w:rPr>
          <w:rFonts w:hint="eastAsia"/>
          <w:lang w:val="en-US" w:eastAsia="zh-CN"/>
        </w:rPr>
        <w:t xml:space="preserve">                                                                   </w:t>
      </w:r>
      <w:r>
        <w:rPr>
          <w:rFonts w:ascii="Times New Roman" w:hAnsi="微软雅黑"/>
          <w:b w:val="0"/>
          <w:i w:val="0"/>
          <w:color w:val="000000"/>
          <w:sz w:val="22"/>
        </w:rPr>
        <w:t xml:space="preserve"> </w:t>
      </w:r>
      <w:r>
        <w:rPr>
          <w:rFonts w:hint="eastAsia" w:ascii="Times New Roman" w:hAnsi="微软雅黑"/>
          <w:b w:val="0"/>
          <w:i w:val="0"/>
          <w:color w:val="000000"/>
          <w:sz w:val="22"/>
          <w:lang w:val="en-US" w:eastAsia="zh-CN"/>
        </w:rPr>
        <w:t xml:space="preserve"> </w:t>
      </w:r>
      <w:r>
        <w:rPr>
          <w:rFonts w:hint="eastAsia" w:ascii="宋体" w:hAnsi="宋体" w:eastAsia="宋体" w:cs="宋体"/>
          <w:b w:val="0"/>
          <w:bCs w:val="0"/>
          <w:color w:val="auto"/>
          <w:kern w:val="44"/>
          <w:sz w:val="24"/>
          <w:szCs w:val="24"/>
          <w:highlight w:val="none"/>
          <w:lang w:val="en-US" w:eastAsia="zh-CN" w:bidi="ar-SA"/>
        </w:rPr>
        <w:t xml:space="preserve"> 编制人：（签字）</w:t>
      </w:r>
    </w:p>
    <w:p>
      <w:pPr>
        <w:spacing w:before="0" w:after="0"/>
        <w:ind w:left="120"/>
        <w:jc w:val="left"/>
      </w:pPr>
      <w:r>
        <w:rPr>
          <w:rFonts w:hint="eastAsia" w:ascii="宋体" w:hAnsi="宋体" w:eastAsia="宋体" w:cs="宋体"/>
          <w:b w:val="0"/>
          <w:bCs w:val="0"/>
          <w:color w:val="auto"/>
          <w:kern w:val="44"/>
          <w:sz w:val="24"/>
          <w:szCs w:val="24"/>
          <w:highlight w:val="none"/>
          <w:lang w:val="en-US" w:eastAsia="zh-CN" w:bidi="ar-SA"/>
        </w:rPr>
        <w:t xml:space="preserve">                                              审核人：（签字）</w:t>
      </w:r>
    </w:p>
    <w:sectPr>
      <w:pgSz w:w="11907" w:h="16839"/>
      <w:pgMar w:top="1440" w:right="1440" w:bottom="1440"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Microsoft YaHei UI">
    <w:altName w:val="Droid Sans Fallback"/>
    <w:panose1 w:val="020B0503020204020204"/>
    <w:charset w:val="86"/>
    <w:family w:val="swiss"/>
    <w:pitch w:val="default"/>
    <w:sig w:usb0="00000000" w:usb1="00000000" w:usb2="00000016" w:usb3="00000000" w:csb0="0004001F" w:csb1="00000000"/>
  </w:font>
  <w:font w:name="Droid Sans Fallback">
    <w:panose1 w:val="020B0502000000000001"/>
    <w:charset w:val="86"/>
    <w:family w:val="auto"/>
    <w:pitch w:val="default"/>
    <w:sig w:usb0="910002FF" w:usb1="2BDFFCFB" w:usb2="00000036" w:usb3="00000000" w:csb0="203F01FF" w:csb1="D7FF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F43918"/>
    <w:multiLevelType w:val="singleLevel"/>
    <w:tmpl w:val="AEF4391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compat>
    <w:useFELayout/>
    <w:splitPgBreakAndParaMark/>
    <w:compatSetting w:name="compatibilityMode" w:uri="http://schemas.microsoft.com/office/word" w:val="12"/>
  </w:compat>
  <w:rsids>
    <w:rsidRoot w:val="00000000"/>
    <w:rsid w:val="111652E4"/>
    <w:rsid w:val="3B3E3AD9"/>
    <w:rsid w:val="3F33736C"/>
    <w:rsid w:val="BAFF2BB2"/>
    <w:rsid w:val="DFAF5641"/>
    <w:rsid w:val="FDF7EB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ind w:firstLine="200" w:firstLineChars="200"/>
      <w:jc w:val="both"/>
    </w:pPr>
    <w:rPr>
      <w:rFonts w:ascii="Microsoft YaHei UI" w:hAnsi="Microsoft YaHei UI" w:eastAsia="Microsoft YaHei UI"/>
      <w:sz w:val="21"/>
      <w:szCs w:val="21"/>
    </w:rPr>
  </w:style>
  <w:style w:type="paragraph" w:styleId="3">
    <w:name w:val="Normal Indent"/>
    <w:basedOn w:val="1"/>
    <w:next w:val="1"/>
    <w:qFormat/>
    <w:uiPriority w:val="99"/>
    <w:pPr>
      <w:ind w:firstLine="420" w:firstLineChars="200"/>
    </w:pPr>
    <w:rPr>
      <w:rFonts w:ascii="Times New Roman" w:hAnsi="Times New Roman" w:eastAsia="宋体" w:cs="Times New Roman"/>
      <w:szCs w:val="24"/>
    </w:rPr>
  </w:style>
  <w:style w:type="paragraph" w:styleId="4">
    <w:name w:val="footer"/>
    <w:basedOn w:val="1"/>
    <w:next w:val="3"/>
    <w:qFormat/>
    <w:uiPriority w:val="99"/>
    <w:pPr>
      <w:tabs>
        <w:tab w:val="center" w:pos="4153"/>
        <w:tab w:val="right" w:pos="8306"/>
      </w:tabs>
      <w:snapToGrid w:val="0"/>
      <w:jc w:val="left"/>
    </w:pPr>
    <w:rPr>
      <w:sz w:val="18"/>
      <w:szCs w:val="18"/>
    </w:rPr>
  </w:style>
  <w:style w:type="paragraph" w:customStyle="1" w:styleId="7">
    <w:name w:val="Normal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TotalTime>22</TotalTime>
  <ScaleCrop>false</ScaleCrop>
  <LinksUpToDate>false</LinksUpToDate>
  <Application>WPS Office_11.8.2.12313_F1E327BC-269C-435d-A152-05C5408002CA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2026-08-04T06:40:00Z</dcterms:created>
  <dc:creator>greatwall</dc:creator>
  <cp:lastModifiedBy>greatwall</cp:lastModifiedBy>
  <dcterms:modified xsi:type="dcterms:W3CDTF">2026-08-19T10:02:32Z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49F550C9781EFFD5C938706AF9000C76</vt:lpwstr>
  </property>
</Properties>
</file>