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4"/>
        <w:numPr>
          <w:ilvl w:val="0"/>
          <w:numId w:val="0"/>
        </w:numPr>
        <w:jc w:val="center"/>
        <w:rPr>
          <w:sz w:val="72"/>
          <w:szCs w:val="72"/>
        </w:rPr>
      </w:pPr>
    </w:p>
    <w:p>
      <w:pPr>
        <w:pStyle w:val="4"/>
        <w:numPr>
          <w:ilvl w:val="0"/>
          <w:numId w:val="0"/>
        </w:numPr>
        <w:jc w:val="center"/>
        <w:rPr>
          <w:sz w:val="72"/>
          <w:szCs w:val="72"/>
        </w:rPr>
      </w:pPr>
    </w:p>
    <w:p>
      <w:pPr>
        <w:pStyle w:val="4"/>
        <w:numPr>
          <w:ilvl w:val="0"/>
          <w:numId w:val="0"/>
        </w:numPr>
        <w:jc w:val="center"/>
        <w:rPr>
          <w:sz w:val="72"/>
          <w:szCs w:val="72"/>
        </w:rPr>
      </w:pPr>
    </w:p>
    <w:p/>
    <w:p/>
    <w:p>
      <w:pPr>
        <w:jc w:val="center"/>
        <w:rPr>
          <w:rFonts w:ascii="微软雅黑" w:hAnsi="微软雅黑" w:eastAsia="微软雅黑" w:cs="Arial Unicode MS"/>
          <w:b/>
          <w:color w:val="000000"/>
          <w:spacing w:val="2"/>
          <w:w w:val="99"/>
          <w:sz w:val="52"/>
          <w:szCs w:val="52"/>
        </w:rPr>
      </w:pPr>
    </w:p>
    <w:p>
      <w:pPr>
        <w:jc w:val="center"/>
      </w:pPr>
    </w:p>
    <w:p>
      <w:pPr>
        <w:pStyle w:val="14"/>
        <w:widowControl/>
        <w:spacing w:beforeAutospacing="0" w:afterAutospacing="0"/>
        <w:jc w:val="center"/>
        <w:rPr>
          <w:rFonts w:ascii="微软雅黑" w:hAnsi="微软雅黑" w:eastAsia="微软雅黑" w:cs="Arial Unicode MS"/>
          <w:b/>
          <w:spacing w:val="2"/>
          <w:w w:val="99"/>
          <w:sz w:val="52"/>
          <w:szCs w:val="52"/>
          <w:u w:val="single"/>
        </w:rPr>
      </w:pPr>
      <w:r>
        <w:rPr>
          <w:rFonts w:hint="eastAsia" w:ascii="微软雅黑" w:hAnsi="微软雅黑" w:eastAsia="微软雅黑" w:cs="Arial Unicode MS"/>
          <w:b/>
          <w:spacing w:val="2"/>
          <w:w w:val="99"/>
          <w:sz w:val="52"/>
          <w:szCs w:val="52"/>
          <w:u w:val="single"/>
          <w:lang w:val="en-US" w:eastAsia="zh-CN"/>
        </w:rPr>
        <w:t>测井数据库存量数据自动治理及批量迁移</w:t>
      </w:r>
    </w:p>
    <w:p>
      <w:pPr>
        <w:jc w:val="center"/>
        <w:rPr>
          <w:rFonts w:ascii="微软雅黑" w:hAnsi="微软雅黑" w:eastAsia="微软雅黑" w:cs="Arial Unicode MS"/>
          <w:b/>
          <w:spacing w:val="2"/>
          <w:w w:val="99"/>
          <w:sz w:val="52"/>
          <w:szCs w:val="52"/>
          <w:u w:val="single"/>
        </w:rPr>
      </w:pPr>
      <w:r>
        <w:rPr>
          <w:rFonts w:hint="eastAsia" w:ascii="微软雅黑" w:hAnsi="微软雅黑" w:eastAsia="微软雅黑" w:cs="Arial Unicode MS"/>
          <w:b/>
          <w:spacing w:val="2"/>
          <w:w w:val="99"/>
          <w:sz w:val="52"/>
          <w:szCs w:val="52"/>
          <w:u w:val="single"/>
        </w:rPr>
        <w:t>采购技术标准</w:t>
      </w:r>
    </w:p>
    <w:p>
      <w:pPr>
        <w:jc w:val="center"/>
        <w:rPr>
          <w:rFonts w:ascii="微软雅黑" w:hAnsi="微软雅黑" w:eastAsia="微软雅黑" w:cs="Arial Unicode MS"/>
          <w:b/>
          <w:spacing w:val="2"/>
          <w:w w:val="99"/>
          <w:sz w:val="52"/>
          <w:szCs w:val="52"/>
          <w:u w:val="single"/>
        </w:rPr>
      </w:pPr>
    </w:p>
    <w:p>
      <w:pPr>
        <w:jc w:val="center"/>
        <w:rPr>
          <w:rFonts w:ascii="微软雅黑" w:hAnsi="微软雅黑" w:eastAsia="微软雅黑" w:cs="Arial Unicode MS"/>
          <w:b/>
          <w:spacing w:val="2"/>
          <w:w w:val="99"/>
          <w:sz w:val="52"/>
          <w:szCs w:val="52"/>
          <w:u w:val="single"/>
        </w:rPr>
      </w:pPr>
    </w:p>
    <w:p>
      <w:pPr>
        <w:ind w:firstLine="241" w:firstLineChars="100"/>
        <w:jc w:val="center"/>
        <w:rPr>
          <w:rFonts w:ascii="微软雅黑" w:hAnsi="微软雅黑" w:eastAsia="微软雅黑" w:cs="Arial Unicode MS"/>
          <w:b/>
          <w:spacing w:val="2"/>
          <w:w w:val="99"/>
          <w:sz w:val="24"/>
          <w:szCs w:val="24"/>
        </w:rPr>
      </w:pPr>
    </w:p>
    <w:p>
      <w:pPr>
        <w:ind w:firstLine="241" w:firstLineChars="100"/>
        <w:jc w:val="center"/>
        <w:rPr>
          <w:rFonts w:ascii="微软雅黑" w:hAnsi="微软雅黑" w:eastAsia="微软雅黑" w:cs="Arial Unicode MS"/>
          <w:b/>
          <w:spacing w:val="2"/>
          <w:w w:val="99"/>
          <w:sz w:val="24"/>
          <w:szCs w:val="24"/>
        </w:rPr>
      </w:pPr>
    </w:p>
    <w:p>
      <w:pPr>
        <w:ind w:firstLine="241" w:firstLineChars="100"/>
        <w:jc w:val="center"/>
        <w:rPr>
          <w:rFonts w:ascii="微软雅黑" w:hAnsi="微软雅黑" w:eastAsia="微软雅黑" w:cs="Arial Unicode MS"/>
          <w:b/>
          <w:spacing w:val="2"/>
          <w:w w:val="99"/>
          <w:sz w:val="24"/>
          <w:szCs w:val="24"/>
        </w:rPr>
      </w:pPr>
    </w:p>
    <w:p>
      <w:pPr>
        <w:ind w:firstLine="241" w:firstLineChars="100"/>
        <w:jc w:val="center"/>
        <w:rPr>
          <w:rFonts w:ascii="微软雅黑" w:hAnsi="微软雅黑" w:eastAsia="微软雅黑" w:cs="Arial Unicode MS"/>
          <w:b/>
          <w:spacing w:val="2"/>
          <w:w w:val="99"/>
          <w:sz w:val="24"/>
          <w:szCs w:val="24"/>
        </w:rPr>
      </w:pPr>
    </w:p>
    <w:p>
      <w:pPr>
        <w:ind w:firstLine="241" w:firstLineChars="100"/>
        <w:jc w:val="center"/>
        <w:rPr>
          <w:rFonts w:ascii="微软雅黑" w:hAnsi="微软雅黑" w:eastAsia="微软雅黑" w:cs="Arial Unicode MS"/>
          <w:b/>
          <w:spacing w:val="2"/>
          <w:w w:val="99"/>
          <w:sz w:val="24"/>
          <w:szCs w:val="24"/>
        </w:rPr>
      </w:pPr>
    </w:p>
    <w:p>
      <w:pPr>
        <w:pStyle w:val="9"/>
        <w:jc w:val="both"/>
        <w:rPr>
          <w:lang w:val="zh-CN"/>
        </w:rPr>
      </w:pPr>
      <w:r>
        <w:rPr>
          <w:sz w:val="24"/>
          <w:szCs w:val="24"/>
        </w:rPr>
        <w:br w:type="page"/>
      </w:r>
      <w:bookmarkStart w:id="0" w:name="_Toc22809320"/>
      <w:bookmarkStart w:id="1" w:name="_Toc1313"/>
      <w:bookmarkStart w:id="2" w:name="_Toc9629"/>
      <w:bookmarkStart w:id="3" w:name="_Toc22808660"/>
      <w:bookmarkStart w:id="4" w:name="_Toc22218332"/>
      <w:bookmarkStart w:id="5" w:name="_Toc19694676"/>
      <w:bookmarkStart w:id="6" w:name="_Toc15719"/>
      <w:r>
        <w:rPr>
          <w:rFonts w:hint="eastAsia"/>
          <w:lang w:val="zh-CN"/>
        </w:rPr>
        <w:t>前   言</w:t>
      </w:r>
      <w:bookmarkEnd w:id="0"/>
      <w:bookmarkEnd w:id="1"/>
      <w:bookmarkEnd w:id="2"/>
      <w:bookmarkEnd w:id="3"/>
      <w:bookmarkEnd w:id="4"/>
      <w:bookmarkEnd w:id="5"/>
      <w:bookmarkEnd w:id="6"/>
    </w:p>
    <w:p>
      <w:pPr>
        <w:pStyle w:val="9"/>
        <w:jc w:val="both"/>
        <w:rPr>
          <w:lang w:val="zh-CN"/>
        </w:rPr>
      </w:pPr>
    </w:p>
    <w:p>
      <w:pPr>
        <w:ind w:firstLine="560"/>
        <w:rPr>
          <w:sz w:val="32"/>
          <w:szCs w:val="32"/>
          <w:lang w:val="zh-CN"/>
        </w:rPr>
      </w:pPr>
      <w:r>
        <w:rPr>
          <w:rFonts w:hint="eastAsia"/>
          <w:sz w:val="32"/>
          <w:szCs w:val="32"/>
          <w:lang w:val="zh-CN"/>
        </w:rPr>
        <w:t>本采购技术标准起草单位：【中海油服油技地质工程数据中心】</w:t>
      </w:r>
    </w:p>
    <w:p>
      <w:pPr>
        <w:ind w:firstLine="560"/>
        <w:rPr>
          <w:sz w:val="32"/>
          <w:szCs w:val="32"/>
          <w:lang w:val="zh-CN"/>
        </w:rPr>
      </w:pPr>
      <w:r>
        <w:rPr>
          <w:rFonts w:hint="eastAsia"/>
          <w:sz w:val="32"/>
          <w:szCs w:val="32"/>
          <w:lang w:val="zh-CN"/>
        </w:rPr>
        <w:t>本采购技术标准主要起草人：【</w:t>
      </w:r>
      <w:r>
        <w:rPr>
          <w:rFonts w:hint="eastAsia"/>
          <w:sz w:val="32"/>
          <w:szCs w:val="32"/>
          <w:lang w:val="en-US" w:eastAsia="zh-CN"/>
        </w:rPr>
        <w:t>王俊华</w:t>
      </w:r>
      <w:r>
        <w:rPr>
          <w:rFonts w:hint="eastAsia"/>
          <w:sz w:val="32"/>
          <w:szCs w:val="32"/>
          <w:lang w:val="zh-CN"/>
        </w:rPr>
        <w:t>】</w:t>
      </w:r>
    </w:p>
    <w:p>
      <w:pPr>
        <w:ind w:firstLine="560"/>
        <w:rPr>
          <w:sz w:val="32"/>
          <w:szCs w:val="32"/>
          <w:lang w:val="zh-CN"/>
        </w:rPr>
      </w:pPr>
      <w:r>
        <w:rPr>
          <w:rFonts w:hint="eastAsia"/>
          <w:sz w:val="32"/>
          <w:szCs w:val="32"/>
          <w:lang w:val="zh-CN"/>
        </w:rPr>
        <w:t>本采购技术标准主要审查人：【</w:t>
      </w:r>
      <w:r>
        <w:rPr>
          <w:rFonts w:hint="eastAsia"/>
          <w:sz w:val="32"/>
          <w:szCs w:val="32"/>
          <w:lang w:val="en-US" w:eastAsia="zh-CN"/>
        </w:rPr>
        <w:t>樊官民</w:t>
      </w:r>
      <w:r>
        <w:rPr>
          <w:rFonts w:hint="eastAsia"/>
          <w:sz w:val="32"/>
          <w:szCs w:val="32"/>
          <w:lang w:val="zh-CN"/>
        </w:rPr>
        <w:t>】</w:t>
      </w:r>
    </w:p>
    <w:p>
      <w:pPr>
        <w:pStyle w:val="9"/>
        <w:jc w:val="both"/>
        <w:rPr>
          <w:lang w:val="zh-CN"/>
        </w:rPr>
        <w:sectPr>
          <w:headerReference r:id="rId4" w:type="first"/>
          <w:headerReference r:id="rId3" w:type="default"/>
          <w:footerReference r:id="rId5" w:type="even"/>
          <w:pgSz w:w="11907" w:h="16840"/>
          <w:pgMar w:top="284" w:right="567" w:bottom="170" w:left="851" w:header="284" w:footer="284" w:gutter="0"/>
          <w:pgNumType w:start="2" w:chapStyle="1"/>
          <w:cols w:space="720" w:num="1"/>
          <w:formProt w:val="0"/>
          <w:titlePg/>
          <w:docGrid w:linePitch="326" w:charSpace="0"/>
        </w:sectPr>
      </w:pPr>
      <w:r>
        <w:rPr>
          <w:rFonts w:hint="eastAsia"/>
          <w:lang w:val="zh-CN"/>
        </w:rPr>
        <w:t xml:space="preserve"> </w:t>
      </w:r>
    </w:p>
    <w:p>
      <w:pPr>
        <w:jc w:val="center"/>
        <w:rPr>
          <w:sz w:val="24"/>
          <w:szCs w:val="24"/>
        </w:rPr>
      </w:pPr>
      <w:r>
        <w:rPr>
          <w:rFonts w:hint="eastAsia"/>
          <w:sz w:val="24"/>
          <w:szCs w:val="24"/>
        </w:rPr>
        <w:t>目  录</w:t>
      </w:r>
    </w:p>
    <w:p>
      <w:pPr>
        <w:pStyle w:val="12"/>
        <w:tabs>
          <w:tab w:val="right" w:leader="dot" w:pos="9072"/>
        </w:tabs>
      </w:pP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TOC \o "1-3" \h \z \u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_Toc9629 </w:instrText>
      </w:r>
      <w:r>
        <w:rPr>
          <w:rFonts w:hint="eastAsia" w:ascii="微软雅黑" w:hAnsi="微软雅黑" w:eastAsia="微软雅黑" w:cs="微软雅黑"/>
          <w:szCs w:val="24"/>
        </w:rPr>
        <w:fldChar w:fldCharType="separate"/>
      </w:r>
      <w:r>
        <w:rPr>
          <w:rFonts w:hint="eastAsia"/>
          <w:lang w:val="zh-CN"/>
        </w:rPr>
        <w:t>前   言</w:t>
      </w:r>
      <w:r>
        <w:tab/>
      </w:r>
      <w:r>
        <w:fldChar w:fldCharType="begin"/>
      </w:r>
      <w:r>
        <w:instrText xml:space="preserve"> PAGEREF _Toc9629 \h </w:instrText>
      </w:r>
      <w:r>
        <w:fldChar w:fldCharType="separate"/>
      </w:r>
      <w:r>
        <w:t>3</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_Toc32418 </w:instrText>
      </w:r>
      <w:r>
        <w:rPr>
          <w:rFonts w:hint="eastAsia" w:ascii="微软雅黑" w:hAnsi="微软雅黑" w:eastAsia="微软雅黑" w:cs="微软雅黑"/>
          <w:szCs w:val="24"/>
        </w:rPr>
        <w:fldChar w:fldCharType="separate"/>
      </w:r>
      <w:r>
        <w:rPr>
          <w:rFonts w:hint="eastAsia"/>
          <w:szCs w:val="24"/>
        </w:rPr>
        <w:t>1.</w:t>
      </w:r>
      <w:r>
        <w:rPr>
          <w:szCs w:val="24"/>
        </w:rPr>
        <w:t>范围</w:t>
      </w:r>
      <w:r>
        <w:tab/>
      </w:r>
      <w:r>
        <w:fldChar w:fldCharType="begin"/>
      </w:r>
      <w:r>
        <w:instrText xml:space="preserve"> PAGEREF _Toc32418 \h </w:instrText>
      </w:r>
      <w:r>
        <w:fldChar w:fldCharType="separate"/>
      </w:r>
      <w:r>
        <w:t>1</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_Toc19445 </w:instrText>
      </w:r>
      <w:r>
        <w:rPr>
          <w:rFonts w:hint="eastAsia" w:ascii="微软雅黑" w:hAnsi="微软雅黑" w:eastAsia="微软雅黑" w:cs="微软雅黑"/>
          <w:szCs w:val="24"/>
        </w:rPr>
        <w:fldChar w:fldCharType="separate"/>
      </w:r>
      <w:r>
        <w:rPr>
          <w:szCs w:val="24"/>
        </w:rPr>
        <w:t>2. 规范</w:t>
      </w:r>
      <w:r>
        <w:rPr>
          <w:rFonts w:hint="eastAsia"/>
          <w:szCs w:val="24"/>
        </w:rPr>
        <w:t>性</w:t>
      </w:r>
      <w:r>
        <w:rPr>
          <w:szCs w:val="24"/>
        </w:rPr>
        <w:t>引用</w:t>
      </w:r>
      <w:r>
        <w:rPr>
          <w:rFonts w:hint="eastAsia"/>
          <w:szCs w:val="24"/>
        </w:rPr>
        <w:t>文件</w:t>
      </w:r>
      <w:r>
        <w:tab/>
      </w:r>
      <w:r>
        <w:fldChar w:fldCharType="begin"/>
      </w:r>
      <w:r>
        <w:instrText xml:space="preserve"> PAGEREF _Toc19445 \h </w:instrText>
      </w:r>
      <w:r>
        <w:fldChar w:fldCharType="separate"/>
      </w:r>
      <w:r>
        <w:t>1</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_Toc26630 </w:instrText>
      </w:r>
      <w:r>
        <w:rPr>
          <w:rFonts w:hint="eastAsia" w:ascii="微软雅黑" w:hAnsi="微软雅黑" w:eastAsia="微软雅黑" w:cs="微软雅黑"/>
          <w:szCs w:val="24"/>
        </w:rPr>
        <w:fldChar w:fldCharType="separate"/>
      </w:r>
      <w:r>
        <w:rPr>
          <w:rFonts w:hint="eastAsia"/>
          <w:szCs w:val="24"/>
        </w:rPr>
        <w:t>3.</w:t>
      </w:r>
      <w:r>
        <w:rPr>
          <w:rFonts w:hint="eastAsia"/>
          <w:lang w:val="en-US" w:eastAsia="zh-CN"/>
        </w:rPr>
        <w:t>术语和定义</w:t>
      </w:r>
      <w:r>
        <w:tab/>
      </w:r>
      <w:r>
        <w:fldChar w:fldCharType="begin"/>
      </w:r>
      <w:r>
        <w:instrText xml:space="preserve"> PAGEREF _Toc26630 \h </w:instrText>
      </w:r>
      <w:r>
        <w:fldChar w:fldCharType="separate"/>
      </w:r>
      <w:r>
        <w:t>1</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_Toc8225 </w:instrText>
      </w:r>
      <w:r>
        <w:rPr>
          <w:rFonts w:hint="eastAsia" w:ascii="微软雅黑" w:hAnsi="微软雅黑" w:eastAsia="微软雅黑" w:cs="微软雅黑"/>
          <w:szCs w:val="24"/>
        </w:rPr>
        <w:fldChar w:fldCharType="separate"/>
      </w:r>
      <w:r>
        <w:rPr>
          <w:rFonts w:hint="eastAsia" w:ascii="宋体" w:hAnsi="宋体" w:eastAsia="宋体" w:cs="宋体"/>
          <w:szCs w:val="24"/>
          <w:lang w:val="en-US" w:eastAsia="zh-CN"/>
        </w:rPr>
        <w:t>3.1 测井定向井数据管理及可视化应用环境</w:t>
      </w:r>
      <w:r>
        <w:tab/>
      </w:r>
      <w:r>
        <w:fldChar w:fldCharType="begin"/>
      </w:r>
      <w:r>
        <w:instrText xml:space="preserve"> PAGEREF _Toc8225 \h </w:instrText>
      </w:r>
      <w:r>
        <w:fldChar w:fldCharType="separate"/>
      </w:r>
      <w:r>
        <w:t>1</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_Toc18839 </w:instrText>
      </w:r>
      <w:r>
        <w:rPr>
          <w:rFonts w:hint="eastAsia" w:ascii="微软雅黑" w:hAnsi="微软雅黑" w:eastAsia="微软雅黑" w:cs="微软雅黑"/>
          <w:szCs w:val="24"/>
        </w:rPr>
        <w:fldChar w:fldCharType="separate"/>
      </w:r>
      <w:r>
        <w:rPr>
          <w:rFonts w:hint="eastAsia" w:ascii="宋体" w:hAnsi="宋体" w:eastAsia="宋体" w:cs="宋体"/>
          <w:szCs w:val="24"/>
          <w:lang w:val="en-US" w:eastAsia="zh-CN"/>
        </w:rPr>
        <w:t>3.2 测井数据库应用系统</w:t>
      </w:r>
      <w:r>
        <w:tab/>
      </w:r>
      <w:r>
        <w:fldChar w:fldCharType="begin"/>
      </w:r>
      <w:r>
        <w:instrText xml:space="preserve"> PAGEREF _Toc18839 \h </w:instrText>
      </w:r>
      <w:r>
        <w:fldChar w:fldCharType="separate"/>
      </w:r>
      <w:r>
        <w:t>1</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_Toc13267 </w:instrText>
      </w:r>
      <w:r>
        <w:rPr>
          <w:rFonts w:hint="eastAsia" w:ascii="微软雅黑" w:hAnsi="微软雅黑" w:eastAsia="微软雅黑" w:cs="微软雅黑"/>
          <w:szCs w:val="24"/>
        </w:rPr>
        <w:fldChar w:fldCharType="separate"/>
      </w:r>
      <w:r>
        <w:rPr>
          <w:rFonts w:asciiTheme="minorEastAsia" w:hAnsiTheme="minorEastAsia" w:eastAsiaTheme="minorEastAsia"/>
          <w:spacing w:val="-2"/>
          <w:szCs w:val="21"/>
        </w:rPr>
        <w:t>★</w:t>
      </w:r>
      <w:r>
        <w:rPr>
          <w:rFonts w:hint="eastAsia"/>
        </w:rPr>
        <w:t>4.技术要求</w:t>
      </w:r>
      <w:r>
        <w:tab/>
      </w:r>
      <w:r>
        <w:fldChar w:fldCharType="begin"/>
      </w:r>
      <w:r>
        <w:instrText xml:space="preserve"> PAGEREF _Toc13267 \h </w:instrText>
      </w:r>
      <w:r>
        <w:fldChar w:fldCharType="separate"/>
      </w:r>
      <w:r>
        <w:t>1</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_Toc28022 </w:instrText>
      </w:r>
      <w:r>
        <w:rPr>
          <w:rFonts w:hint="eastAsia" w:ascii="微软雅黑" w:hAnsi="微软雅黑" w:eastAsia="微软雅黑" w:cs="微软雅黑"/>
          <w:szCs w:val="24"/>
        </w:rPr>
        <w:fldChar w:fldCharType="separate"/>
      </w:r>
      <w:r>
        <w:rPr>
          <w:rFonts w:hint="eastAsia"/>
          <w:szCs w:val="24"/>
        </w:rPr>
        <w:t>5.</w:t>
      </w:r>
      <w:r>
        <w:rPr>
          <w:rFonts w:hint="eastAsia" w:ascii="Arial" w:hAnsi="Arial" w:cs="Arial"/>
          <w:caps/>
          <w:kern w:val="28"/>
          <w:szCs w:val="20"/>
        </w:rPr>
        <w:t>关键技术要求及参数</w:t>
      </w:r>
      <w:r>
        <w:tab/>
      </w:r>
      <w:r>
        <w:fldChar w:fldCharType="begin"/>
      </w:r>
      <w:r>
        <w:instrText xml:space="preserve"> PAGEREF _Toc28022 \h </w:instrText>
      </w:r>
      <w:r>
        <w:fldChar w:fldCharType="separate"/>
      </w:r>
      <w:r>
        <w:t>2</w:t>
      </w:r>
      <w:r>
        <w:fldChar w:fldCharType="end"/>
      </w:r>
      <w:r>
        <w:rPr>
          <w:rFonts w:hint="eastAsia" w:ascii="微软雅黑" w:hAnsi="微软雅黑" w:eastAsia="微软雅黑" w:cs="微软雅黑"/>
          <w:szCs w:val="24"/>
        </w:rPr>
        <w:fldChar w:fldCharType="end"/>
      </w:r>
    </w:p>
    <w:p>
      <w:pPr>
        <w:pStyle w:val="13"/>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_Toc4855 </w:instrText>
      </w:r>
      <w:r>
        <w:rPr>
          <w:rFonts w:hint="eastAsia" w:ascii="微软雅黑" w:hAnsi="微软雅黑" w:eastAsia="微软雅黑" w:cs="微软雅黑"/>
          <w:szCs w:val="24"/>
        </w:rPr>
        <w:fldChar w:fldCharType="separate"/>
      </w:r>
      <w:r>
        <w:rPr>
          <w:rFonts w:hint="eastAsia"/>
          <w:szCs w:val="24"/>
        </w:rPr>
        <w:t>★</w:t>
      </w:r>
      <w:r>
        <w:rPr>
          <w:rFonts w:hint="eastAsia" w:ascii="宋体" w:hAnsi="宋体" w:eastAsia="宋体" w:cs="宋体"/>
          <w:bCs w:val="0"/>
          <w:szCs w:val="24"/>
        </w:rPr>
        <w:t>5.1</w:t>
      </w:r>
      <w:r>
        <w:rPr>
          <w:rFonts w:hint="eastAsia" w:ascii="宋体" w:hAnsi="宋体" w:eastAsia="宋体" w:cs="宋体"/>
          <w:bCs w:val="0"/>
          <w:caps/>
        </w:rPr>
        <w:t>关键技术要求及参数</w:t>
      </w:r>
      <w:r>
        <w:tab/>
      </w:r>
      <w:r>
        <w:fldChar w:fldCharType="begin"/>
      </w:r>
      <w:r>
        <w:instrText xml:space="preserve"> PAGEREF _Toc4855 \h </w:instrText>
      </w:r>
      <w:r>
        <w:fldChar w:fldCharType="separate"/>
      </w:r>
      <w:r>
        <w:t>2</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_Toc14573 </w:instrText>
      </w:r>
      <w:r>
        <w:rPr>
          <w:rFonts w:hint="eastAsia" w:ascii="微软雅黑" w:hAnsi="微软雅黑" w:eastAsia="微软雅黑" w:cs="微软雅黑"/>
          <w:szCs w:val="24"/>
        </w:rPr>
        <w:fldChar w:fldCharType="separate"/>
      </w:r>
      <w:r>
        <w:rPr>
          <w:rFonts w:hint="eastAsia"/>
          <w:szCs w:val="24"/>
        </w:rPr>
        <w:t>6.检测和试验</w:t>
      </w:r>
      <w:r>
        <w:tab/>
      </w:r>
      <w:r>
        <w:fldChar w:fldCharType="begin"/>
      </w:r>
      <w:r>
        <w:instrText xml:space="preserve"> PAGEREF _Toc14573 \h </w:instrText>
      </w:r>
      <w:r>
        <w:fldChar w:fldCharType="separate"/>
      </w:r>
      <w:r>
        <w:t>3</w:t>
      </w:r>
      <w:r>
        <w:fldChar w:fldCharType="end"/>
      </w:r>
      <w:r>
        <w:rPr>
          <w:rFonts w:hint="eastAsia" w:ascii="微软雅黑" w:hAnsi="微软雅黑" w:eastAsia="微软雅黑" w:cs="微软雅黑"/>
          <w:szCs w:val="24"/>
        </w:rPr>
        <w:fldChar w:fldCharType="end"/>
      </w:r>
    </w:p>
    <w:p>
      <w:pPr>
        <w:pStyle w:val="13"/>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_Toc6799 </w:instrText>
      </w:r>
      <w:r>
        <w:rPr>
          <w:rFonts w:hint="eastAsia" w:ascii="微软雅黑" w:hAnsi="微软雅黑" w:eastAsia="微软雅黑" w:cs="微软雅黑"/>
          <w:szCs w:val="24"/>
        </w:rPr>
        <w:fldChar w:fldCharType="separate"/>
      </w:r>
      <w:r>
        <w:rPr>
          <w:rFonts w:hint="eastAsia" w:ascii="宋体" w:hAnsi="宋体" w:eastAsia="宋体" w:cs="宋体"/>
          <w:bCs w:val="0"/>
          <w:caps/>
          <w:szCs w:val="24"/>
          <w:lang w:val="en-US" w:eastAsia="zh-CN"/>
        </w:rPr>
        <w:t>6.1 系统功能测试</w:t>
      </w:r>
      <w:r>
        <w:tab/>
      </w:r>
      <w:r>
        <w:fldChar w:fldCharType="begin"/>
      </w:r>
      <w:r>
        <w:instrText xml:space="preserve"> PAGEREF _Toc6799 \h </w:instrText>
      </w:r>
      <w:r>
        <w:fldChar w:fldCharType="separate"/>
      </w:r>
      <w:r>
        <w:t>3</w:t>
      </w:r>
      <w:r>
        <w:fldChar w:fldCharType="end"/>
      </w:r>
      <w:r>
        <w:rPr>
          <w:rFonts w:hint="eastAsia" w:ascii="微软雅黑" w:hAnsi="微软雅黑" w:eastAsia="微软雅黑" w:cs="微软雅黑"/>
          <w:szCs w:val="24"/>
        </w:rPr>
        <w:fldChar w:fldCharType="end"/>
      </w:r>
    </w:p>
    <w:p>
      <w:pPr>
        <w:pStyle w:val="13"/>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_Toc30280 </w:instrText>
      </w:r>
      <w:r>
        <w:rPr>
          <w:rFonts w:hint="eastAsia" w:ascii="微软雅黑" w:hAnsi="微软雅黑" w:eastAsia="微软雅黑" w:cs="微软雅黑"/>
          <w:szCs w:val="24"/>
        </w:rPr>
        <w:fldChar w:fldCharType="separate"/>
      </w:r>
      <w:r>
        <w:rPr>
          <w:rFonts w:hint="eastAsia" w:ascii="宋体" w:hAnsi="宋体" w:eastAsia="宋体" w:cs="宋体"/>
          <w:bCs w:val="0"/>
          <w:caps/>
          <w:szCs w:val="24"/>
          <w:lang w:val="en-US" w:eastAsia="zh-CN"/>
        </w:rPr>
        <w:t>6.2 迁移测试</w:t>
      </w:r>
      <w:r>
        <w:tab/>
      </w:r>
      <w:r>
        <w:fldChar w:fldCharType="begin"/>
      </w:r>
      <w:r>
        <w:instrText xml:space="preserve"> PAGEREF _Toc30280 \h </w:instrText>
      </w:r>
      <w:r>
        <w:fldChar w:fldCharType="separate"/>
      </w:r>
      <w:r>
        <w:t>4</w:t>
      </w:r>
      <w:r>
        <w:fldChar w:fldCharType="end"/>
      </w:r>
      <w:r>
        <w:rPr>
          <w:rFonts w:hint="eastAsia" w:ascii="微软雅黑" w:hAnsi="微软雅黑" w:eastAsia="微软雅黑" w:cs="微软雅黑"/>
          <w:szCs w:val="24"/>
        </w:rPr>
        <w:fldChar w:fldCharType="end"/>
      </w:r>
    </w:p>
    <w:p>
      <w:pPr>
        <w:pStyle w:val="13"/>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_Toc12203 </w:instrText>
      </w:r>
      <w:r>
        <w:rPr>
          <w:rFonts w:hint="eastAsia" w:ascii="微软雅黑" w:hAnsi="微软雅黑" w:eastAsia="微软雅黑" w:cs="微软雅黑"/>
          <w:szCs w:val="24"/>
        </w:rPr>
        <w:fldChar w:fldCharType="separate"/>
      </w:r>
      <w:r>
        <w:rPr>
          <w:rFonts w:hint="eastAsia" w:ascii="宋体" w:hAnsi="宋体" w:eastAsia="宋体" w:cs="宋体"/>
          <w:bCs w:val="0"/>
          <w:caps/>
          <w:szCs w:val="24"/>
          <w:lang w:val="en-US" w:eastAsia="zh-CN"/>
        </w:rPr>
        <w:t>6.3 安全测试</w:t>
      </w:r>
      <w:r>
        <w:tab/>
      </w:r>
      <w:r>
        <w:fldChar w:fldCharType="begin"/>
      </w:r>
      <w:r>
        <w:instrText xml:space="preserve"> PAGEREF _Toc12203 \h </w:instrText>
      </w:r>
      <w:r>
        <w:fldChar w:fldCharType="separate"/>
      </w:r>
      <w:r>
        <w:t>4</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_Toc29324 </w:instrText>
      </w:r>
      <w:r>
        <w:rPr>
          <w:rFonts w:hint="eastAsia" w:ascii="微软雅黑" w:hAnsi="微软雅黑" w:eastAsia="微软雅黑" w:cs="微软雅黑"/>
          <w:szCs w:val="24"/>
        </w:rPr>
        <w:fldChar w:fldCharType="separate"/>
      </w:r>
      <w:r>
        <w:rPr>
          <w:rFonts w:hint="eastAsia" w:ascii="Cambria" w:hAnsi="Cambria" w:cs="Times New Roman"/>
          <w:caps w:val="0"/>
          <w:kern w:val="0"/>
          <w:szCs w:val="24"/>
        </w:rPr>
        <w:t>7.铭牌／标识、涂敷、包装、运输、储存</w:t>
      </w:r>
      <w:r>
        <w:tab/>
      </w:r>
      <w:r>
        <w:fldChar w:fldCharType="begin"/>
      </w:r>
      <w:r>
        <w:instrText xml:space="preserve"> PAGEREF _Toc29324 \h </w:instrText>
      </w:r>
      <w:r>
        <w:fldChar w:fldCharType="separate"/>
      </w:r>
      <w:r>
        <w:t>4</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_Toc7874 </w:instrText>
      </w:r>
      <w:r>
        <w:rPr>
          <w:rFonts w:hint="eastAsia" w:ascii="微软雅黑" w:hAnsi="微软雅黑" w:eastAsia="微软雅黑" w:cs="微软雅黑"/>
          <w:szCs w:val="24"/>
        </w:rPr>
        <w:fldChar w:fldCharType="separate"/>
      </w:r>
      <w:r>
        <w:rPr>
          <w:rFonts w:hint="eastAsia" w:ascii="Cambria" w:hAnsi="Cambria" w:cs="Times New Roman"/>
          <w:caps w:val="0"/>
          <w:kern w:val="0"/>
          <w:szCs w:val="24"/>
        </w:rPr>
        <w:t>8.技术文件</w:t>
      </w:r>
      <w:r>
        <w:tab/>
      </w:r>
      <w:r>
        <w:fldChar w:fldCharType="begin"/>
      </w:r>
      <w:r>
        <w:instrText xml:space="preserve"> PAGEREF _Toc7874 \h </w:instrText>
      </w:r>
      <w:r>
        <w:fldChar w:fldCharType="separate"/>
      </w:r>
      <w:r>
        <w:t>4</w:t>
      </w:r>
      <w:r>
        <w:fldChar w:fldCharType="end"/>
      </w:r>
      <w:r>
        <w:rPr>
          <w:rFonts w:hint="eastAsia" w:ascii="微软雅黑" w:hAnsi="微软雅黑" w:eastAsia="微软雅黑" w:cs="微软雅黑"/>
          <w:szCs w:val="24"/>
        </w:rPr>
        <w:fldChar w:fldCharType="end"/>
      </w:r>
    </w:p>
    <w:p>
      <w:pPr>
        <w:pStyle w:val="13"/>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_Toc13765 </w:instrText>
      </w:r>
      <w:r>
        <w:rPr>
          <w:rFonts w:hint="eastAsia" w:ascii="微软雅黑" w:hAnsi="微软雅黑" w:eastAsia="微软雅黑" w:cs="微软雅黑"/>
          <w:szCs w:val="24"/>
        </w:rPr>
        <w:fldChar w:fldCharType="separate"/>
      </w:r>
      <w:r>
        <w:rPr>
          <w:rFonts w:hint="eastAsia"/>
          <w:szCs w:val="24"/>
        </w:rPr>
        <w:t>8.</w:t>
      </w:r>
      <w:r>
        <w:rPr>
          <w:rFonts w:hint="eastAsia"/>
          <w:szCs w:val="24"/>
          <w:lang w:val="en-US" w:eastAsia="zh-CN"/>
        </w:rPr>
        <w:t xml:space="preserve">1 </w:t>
      </w:r>
      <w:r>
        <w:rPr>
          <w:rFonts w:hint="eastAsia"/>
          <w:szCs w:val="24"/>
        </w:rPr>
        <w:t>投标技术文件</w:t>
      </w:r>
      <w:r>
        <w:tab/>
      </w:r>
      <w:r>
        <w:fldChar w:fldCharType="begin"/>
      </w:r>
      <w:r>
        <w:instrText xml:space="preserve"> PAGEREF _Toc13765 \h </w:instrText>
      </w:r>
      <w:r>
        <w:fldChar w:fldCharType="separate"/>
      </w:r>
      <w:r>
        <w:t>4</w:t>
      </w:r>
      <w:r>
        <w:fldChar w:fldCharType="end"/>
      </w:r>
      <w:r>
        <w:rPr>
          <w:rFonts w:hint="eastAsia" w:ascii="微软雅黑" w:hAnsi="微软雅黑" w:eastAsia="微软雅黑" w:cs="微软雅黑"/>
          <w:szCs w:val="24"/>
        </w:rPr>
        <w:fldChar w:fldCharType="end"/>
      </w:r>
    </w:p>
    <w:p>
      <w:pPr>
        <w:pStyle w:val="13"/>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_Toc28474 </w:instrText>
      </w:r>
      <w:r>
        <w:rPr>
          <w:rFonts w:hint="eastAsia" w:ascii="微软雅黑" w:hAnsi="微软雅黑" w:eastAsia="微软雅黑" w:cs="微软雅黑"/>
          <w:szCs w:val="24"/>
        </w:rPr>
        <w:fldChar w:fldCharType="separate"/>
      </w:r>
      <w:r>
        <w:rPr>
          <w:rFonts w:hint="eastAsia"/>
          <w:szCs w:val="24"/>
          <w:lang w:val="en-US" w:eastAsia="zh-CN"/>
        </w:rPr>
        <w:t xml:space="preserve">8.2 </w:t>
      </w:r>
      <w:r>
        <w:rPr>
          <w:rFonts w:hint="eastAsia"/>
          <w:szCs w:val="24"/>
        </w:rPr>
        <w:t>交付技术文件</w:t>
      </w:r>
      <w:r>
        <w:tab/>
      </w:r>
      <w:r>
        <w:fldChar w:fldCharType="begin"/>
      </w:r>
      <w:r>
        <w:instrText xml:space="preserve"> PAGEREF _Toc28474 \h </w:instrText>
      </w:r>
      <w:r>
        <w:fldChar w:fldCharType="separate"/>
      </w:r>
      <w:r>
        <w:t>4</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_Toc4877 </w:instrText>
      </w:r>
      <w:r>
        <w:rPr>
          <w:rFonts w:hint="eastAsia" w:ascii="微软雅黑" w:hAnsi="微软雅黑" w:eastAsia="微软雅黑" w:cs="微软雅黑"/>
          <w:szCs w:val="24"/>
        </w:rPr>
        <w:fldChar w:fldCharType="separate"/>
      </w:r>
      <w:r>
        <w:rPr>
          <w:rFonts w:hint="eastAsia" w:ascii="Cambria" w:hAnsi="Cambria" w:cs="Times New Roman"/>
          <w:caps w:val="0"/>
          <w:kern w:val="0"/>
          <w:szCs w:val="24"/>
        </w:rPr>
        <w:t>9.工作进度、监造和现场验收</w:t>
      </w:r>
      <w:r>
        <w:tab/>
      </w:r>
      <w:r>
        <w:fldChar w:fldCharType="begin"/>
      </w:r>
      <w:r>
        <w:instrText xml:space="preserve"> PAGEREF _Toc4877 \h </w:instrText>
      </w:r>
      <w:r>
        <w:fldChar w:fldCharType="separate"/>
      </w:r>
      <w:r>
        <w:t>5</w:t>
      </w:r>
      <w:r>
        <w:fldChar w:fldCharType="end"/>
      </w:r>
      <w:r>
        <w:rPr>
          <w:rFonts w:hint="eastAsia" w:ascii="微软雅黑" w:hAnsi="微软雅黑" w:eastAsia="微软雅黑" w:cs="微软雅黑"/>
          <w:szCs w:val="24"/>
        </w:rPr>
        <w:fldChar w:fldCharType="end"/>
      </w:r>
    </w:p>
    <w:p>
      <w:pPr>
        <w:pStyle w:val="12"/>
        <w:tabs>
          <w:tab w:val="right" w:leader="dot" w:pos="9072"/>
        </w:tabs>
      </w:pPr>
      <w:r>
        <w:rPr>
          <w:rFonts w:hint="eastAsia" w:ascii="微软雅黑" w:hAnsi="微软雅黑" w:eastAsia="微软雅黑" w:cs="微软雅黑"/>
          <w:szCs w:val="24"/>
        </w:rPr>
        <w:fldChar w:fldCharType="begin"/>
      </w:r>
      <w:r>
        <w:rPr>
          <w:rFonts w:hint="eastAsia" w:ascii="微软雅黑" w:hAnsi="微软雅黑" w:eastAsia="微软雅黑" w:cs="微软雅黑"/>
          <w:szCs w:val="24"/>
        </w:rPr>
        <w:instrText xml:space="preserve"> HYPERLINK \l _Toc5100 </w:instrText>
      </w:r>
      <w:r>
        <w:rPr>
          <w:rFonts w:hint="eastAsia" w:ascii="微软雅黑" w:hAnsi="微软雅黑" w:eastAsia="微软雅黑" w:cs="微软雅黑"/>
          <w:szCs w:val="24"/>
        </w:rPr>
        <w:fldChar w:fldCharType="separate"/>
      </w:r>
      <w:r>
        <w:rPr>
          <w:rFonts w:hint="eastAsia" w:ascii="Cambria" w:hAnsi="Cambria" w:cs="Times New Roman"/>
          <w:caps w:val="0"/>
          <w:kern w:val="0"/>
          <w:szCs w:val="24"/>
        </w:rPr>
        <w:t>10.售后服务及培训</w:t>
      </w:r>
      <w:r>
        <w:tab/>
      </w:r>
      <w:r>
        <w:fldChar w:fldCharType="begin"/>
      </w:r>
      <w:r>
        <w:instrText xml:space="preserve"> PAGEREF _Toc5100 \h </w:instrText>
      </w:r>
      <w:r>
        <w:fldChar w:fldCharType="separate"/>
      </w:r>
      <w:r>
        <w:t>5</w:t>
      </w:r>
      <w:r>
        <w:fldChar w:fldCharType="end"/>
      </w:r>
      <w:r>
        <w:rPr>
          <w:rFonts w:hint="eastAsia" w:ascii="微软雅黑" w:hAnsi="微软雅黑" w:eastAsia="微软雅黑" w:cs="微软雅黑"/>
          <w:szCs w:val="24"/>
        </w:rPr>
        <w:fldChar w:fldCharType="end"/>
      </w:r>
    </w:p>
    <w:p>
      <w:pPr>
        <w:rPr>
          <w:rFonts w:ascii="宋体" w:hAnsi="宋体"/>
          <w:sz w:val="24"/>
          <w:szCs w:val="24"/>
        </w:rPr>
      </w:pPr>
      <w:r>
        <w:rPr>
          <w:rFonts w:hint="eastAsia" w:ascii="微软雅黑" w:hAnsi="微软雅黑" w:eastAsia="微软雅黑" w:cs="微软雅黑"/>
          <w:szCs w:val="24"/>
        </w:rPr>
        <w:fldChar w:fldCharType="end"/>
      </w:r>
    </w:p>
    <w:p>
      <w:pPr>
        <w:rPr>
          <w:sz w:val="24"/>
          <w:szCs w:val="24"/>
        </w:rPr>
      </w:pPr>
    </w:p>
    <w:p>
      <w:pPr>
        <w:rPr>
          <w:sz w:val="24"/>
          <w:szCs w:val="24"/>
        </w:rPr>
      </w:pPr>
    </w:p>
    <w:p>
      <w:pPr>
        <w:rPr>
          <w:sz w:val="24"/>
          <w:szCs w:val="24"/>
        </w:rPr>
      </w:pPr>
    </w:p>
    <w:p>
      <w:pPr>
        <w:rPr>
          <w:sz w:val="24"/>
          <w:szCs w:val="24"/>
        </w:rPr>
      </w:pPr>
    </w:p>
    <w:p>
      <w:pPr>
        <w:rPr>
          <w:sz w:val="24"/>
          <w:szCs w:val="24"/>
        </w:rPr>
        <w:sectPr>
          <w:headerReference r:id="rId7" w:type="first"/>
          <w:footerReference r:id="rId9" w:type="first"/>
          <w:headerReference r:id="rId6" w:type="default"/>
          <w:footerReference r:id="rId8" w:type="default"/>
          <w:pgSz w:w="11907" w:h="16840"/>
          <w:pgMar w:top="1440" w:right="1134" w:bottom="1440" w:left="1701" w:header="851" w:footer="851" w:gutter="0"/>
          <w:pgNumType w:start="3"/>
          <w:cols w:space="720" w:num="1"/>
          <w:formProt w:val="0"/>
          <w:docGrid w:linePitch="326" w:charSpace="0"/>
        </w:sectPr>
      </w:pPr>
    </w:p>
    <w:p>
      <w:pPr>
        <w:pStyle w:val="9"/>
        <w:spacing w:line="360" w:lineRule="auto"/>
        <w:jc w:val="both"/>
        <w:rPr>
          <w:sz w:val="24"/>
          <w:szCs w:val="24"/>
        </w:rPr>
      </w:pPr>
      <w:bookmarkStart w:id="7" w:name="_Toc32418"/>
      <w:r>
        <w:rPr>
          <w:rFonts w:hint="eastAsia"/>
          <w:sz w:val="24"/>
          <w:szCs w:val="24"/>
        </w:rPr>
        <w:t>1.</w:t>
      </w:r>
      <w:r>
        <w:rPr>
          <w:sz w:val="24"/>
          <w:szCs w:val="24"/>
        </w:rPr>
        <w:t>范围</w:t>
      </w:r>
      <w:bookmarkEnd w:id="7"/>
    </w:p>
    <w:p>
      <w:pPr>
        <w:pStyle w:val="8"/>
        <w:spacing w:line="360" w:lineRule="auto"/>
        <w:ind w:firstLine="424" w:firstLineChars="177"/>
        <w:rPr>
          <w:rFonts w:hint="eastAsia" w:ascii="Times New Roman" w:hAnsi="Times New Roman" w:cs="宋体"/>
        </w:rPr>
      </w:pPr>
      <w:r>
        <w:rPr>
          <w:rFonts w:hint="eastAsia"/>
          <w:sz w:val="24"/>
          <w:szCs w:val="24"/>
        </w:rPr>
        <w:t>本采购技术标准</w:t>
      </w:r>
      <w:r>
        <w:rPr>
          <w:rFonts w:hint="eastAsia"/>
          <w:sz w:val="24"/>
          <w:szCs w:val="24"/>
          <w:lang w:val="en-US" w:eastAsia="zh-CN"/>
        </w:rPr>
        <w:t>是</w:t>
      </w:r>
      <w:r>
        <w:rPr>
          <w:rFonts w:hint="eastAsia" w:ascii="Times New Roman" w:hAnsi="Times New Roman" w:cs="宋体"/>
        </w:rPr>
        <w:t>为</w:t>
      </w:r>
      <w:r>
        <w:rPr>
          <w:rFonts w:hint="eastAsia" w:ascii="Times New Roman" w:hAnsi="Times New Roman" w:cs="宋体"/>
          <w:lang w:val="en-US" w:eastAsia="zh-CN"/>
        </w:rPr>
        <w:t>夯实测井定向井数据管理与可视化应用环境的数据基础，为可视化应用提供高质量的规模数据源</w:t>
      </w:r>
      <w:r>
        <w:rPr>
          <w:rFonts w:hint="eastAsia" w:ascii="Times New Roman" w:hAnsi="Times New Roman" w:cs="宋体"/>
        </w:rPr>
        <w:t>，</w:t>
      </w:r>
      <w:r>
        <w:rPr>
          <w:rFonts w:hint="eastAsia" w:ascii="Times New Roman" w:hAnsi="Times New Roman" w:cs="宋体"/>
          <w:lang w:val="en-US" w:eastAsia="zh-CN"/>
        </w:rPr>
        <w:t>为推广应用提供数据保障，</w:t>
      </w:r>
      <w:r>
        <w:rPr>
          <w:rFonts w:hint="eastAsia"/>
          <w:szCs w:val="24"/>
        </w:rPr>
        <w:t>《</w:t>
      </w:r>
      <w:r>
        <w:rPr>
          <w:rFonts w:hint="eastAsia" w:ascii="Times New Roman" w:hAnsi="Times New Roman" w:cs="宋体"/>
        </w:rPr>
        <w:t>测井数据库</w:t>
      </w:r>
      <w:r>
        <w:rPr>
          <w:rFonts w:hint="eastAsia" w:ascii="Times New Roman" w:hAnsi="Times New Roman" w:cs="宋体"/>
          <w:lang w:val="en-US" w:eastAsia="zh-CN"/>
        </w:rPr>
        <w:t>存量</w:t>
      </w:r>
      <w:r>
        <w:rPr>
          <w:rFonts w:hint="eastAsia" w:ascii="Times New Roman" w:hAnsi="Times New Roman" w:cs="宋体"/>
        </w:rPr>
        <w:t>数据自动</w:t>
      </w:r>
      <w:r>
        <w:rPr>
          <w:rFonts w:hint="eastAsia" w:ascii="Times New Roman" w:hAnsi="Times New Roman" w:cs="宋体"/>
          <w:lang w:val="en-US" w:eastAsia="zh-CN"/>
        </w:rPr>
        <w:t>治理</w:t>
      </w:r>
      <w:r>
        <w:rPr>
          <w:rFonts w:hint="eastAsia" w:ascii="Times New Roman" w:hAnsi="Times New Roman" w:cs="宋体"/>
        </w:rPr>
        <w:t>与批量迁移</w:t>
      </w:r>
      <w:r>
        <w:rPr>
          <w:rFonts w:hint="eastAsia"/>
          <w:szCs w:val="24"/>
        </w:rPr>
        <w:t>》项目总体目标是</w:t>
      </w:r>
      <w:r>
        <w:rPr>
          <w:rFonts w:hint="eastAsia" w:ascii="宋体" w:hAnsi="宋体"/>
          <w:color w:val="000000"/>
        </w:rPr>
        <w:t>基于</w:t>
      </w:r>
      <w:r>
        <w:rPr>
          <w:rFonts w:hint="eastAsia" w:ascii="宋体" w:hAnsi="宋体"/>
          <w:color w:val="000000"/>
          <w:lang w:val="en-US" w:eastAsia="zh-CN"/>
        </w:rPr>
        <w:t>测井定向井数据管理与可视化应用环境</w:t>
      </w:r>
      <w:r>
        <w:rPr>
          <w:rFonts w:hint="eastAsia" w:ascii="宋体" w:hAnsi="宋体"/>
          <w:color w:val="000000"/>
        </w:rPr>
        <w:t>，</w:t>
      </w:r>
      <w:r>
        <w:rPr>
          <w:rFonts w:hint="eastAsia" w:ascii="宋体" w:hAnsi="宋体"/>
          <w:color w:val="000000"/>
          <w:lang w:val="en-US" w:eastAsia="zh-CN"/>
        </w:rPr>
        <w:t>开发测井数据库存量数据自动治理及批量迁移软件模块，实现测井数据库存量数据自动治理并迁移到数据管理及可视化应用环境中，再由应用环境提供入公司湖支持。</w:t>
      </w:r>
    </w:p>
    <w:p>
      <w:pPr>
        <w:pStyle w:val="9"/>
        <w:numPr>
          <w:ilvl w:val="0"/>
          <w:numId w:val="2"/>
        </w:numPr>
        <w:spacing w:line="360" w:lineRule="auto"/>
        <w:jc w:val="both"/>
        <w:rPr>
          <w:sz w:val="24"/>
          <w:szCs w:val="24"/>
        </w:rPr>
      </w:pPr>
      <w:bookmarkStart w:id="8" w:name="_Toc19445"/>
      <w:r>
        <w:rPr>
          <w:sz w:val="24"/>
          <w:szCs w:val="24"/>
        </w:rPr>
        <w:t>规范</w:t>
      </w:r>
      <w:r>
        <w:rPr>
          <w:rFonts w:hint="eastAsia"/>
          <w:sz w:val="24"/>
          <w:szCs w:val="24"/>
        </w:rPr>
        <w:t>性</w:t>
      </w:r>
      <w:r>
        <w:rPr>
          <w:sz w:val="24"/>
          <w:szCs w:val="24"/>
        </w:rPr>
        <w:t>引用</w:t>
      </w:r>
      <w:r>
        <w:rPr>
          <w:rFonts w:hint="eastAsia"/>
          <w:sz w:val="24"/>
          <w:szCs w:val="24"/>
        </w:rPr>
        <w:t>文件</w:t>
      </w:r>
      <w:bookmarkEnd w:id="8"/>
      <w:bookmarkStart w:id="9" w:name="_Toc19694679"/>
    </w:p>
    <w:p>
      <w:pPr>
        <w:rPr>
          <w:sz w:val="24"/>
          <w:szCs w:val="24"/>
        </w:rPr>
      </w:pPr>
      <w:r>
        <w:rPr>
          <w:rFonts w:hint="eastAsia"/>
          <w:sz w:val="24"/>
          <w:szCs w:val="24"/>
        </w:rPr>
        <w:t xml:space="preserve">  无。</w:t>
      </w:r>
    </w:p>
    <w:p>
      <w:pPr>
        <w:rPr>
          <w:sz w:val="24"/>
          <w:szCs w:val="24"/>
        </w:rPr>
      </w:pPr>
    </w:p>
    <w:p>
      <w:pPr>
        <w:pStyle w:val="4"/>
        <w:numPr>
          <w:ilvl w:val="0"/>
          <w:numId w:val="0"/>
        </w:numPr>
        <w:tabs>
          <w:tab w:val="left" w:pos="608"/>
        </w:tabs>
        <w:spacing w:line="360" w:lineRule="auto"/>
        <w:rPr>
          <w:rFonts w:hint="default" w:eastAsia="宋体"/>
          <w:lang w:val="en-US" w:eastAsia="zh-CN"/>
        </w:rPr>
      </w:pPr>
      <w:bookmarkStart w:id="10" w:name="_Toc26630"/>
      <w:r>
        <w:rPr>
          <w:rFonts w:hint="eastAsia"/>
          <w:szCs w:val="24"/>
        </w:rPr>
        <w:t>3.</w:t>
      </w:r>
      <w:bookmarkEnd w:id="9"/>
      <w:r>
        <w:rPr>
          <w:rFonts w:hint="eastAsia"/>
          <w:lang w:val="en-US" w:eastAsia="zh-CN"/>
        </w:rPr>
        <w:t>术语和定义</w:t>
      </w:r>
      <w:bookmarkEnd w:id="10"/>
    </w:p>
    <w:p>
      <w:pPr>
        <w:pStyle w:val="9"/>
        <w:jc w:val="both"/>
        <w:rPr>
          <w:rFonts w:hint="eastAsia" w:ascii="宋体" w:hAnsi="宋体" w:eastAsia="宋体" w:cs="宋体"/>
          <w:sz w:val="24"/>
          <w:szCs w:val="24"/>
          <w:lang w:val="en-US" w:eastAsia="zh-CN"/>
        </w:rPr>
      </w:pPr>
      <w:bookmarkStart w:id="11" w:name="_Toc8225"/>
      <w:r>
        <w:rPr>
          <w:rFonts w:hint="eastAsia" w:ascii="宋体" w:hAnsi="宋体" w:eastAsia="宋体" w:cs="宋体"/>
          <w:sz w:val="24"/>
          <w:szCs w:val="24"/>
          <w:lang w:val="en-US" w:eastAsia="zh-CN"/>
        </w:rPr>
        <w:t>3.1 测井定向井数据管理及可视化应用环境</w:t>
      </w:r>
      <w:bookmarkEnd w:id="11"/>
    </w:p>
    <w:p>
      <w:pPr>
        <w:pStyle w:val="8"/>
        <w:spacing w:line="360" w:lineRule="auto"/>
        <w:ind w:firstLine="480" w:firstLineChars="200"/>
        <w:rPr>
          <w:rFonts w:hint="eastAsia"/>
          <w:szCs w:val="24"/>
          <w:lang w:val="en-US" w:eastAsia="zh-CN"/>
        </w:rPr>
      </w:pPr>
      <w:r>
        <w:rPr>
          <w:rFonts w:hint="eastAsia"/>
          <w:szCs w:val="24"/>
          <w:lang w:val="en-US" w:eastAsia="zh-CN"/>
        </w:rPr>
        <w:t>测井定向井数据管理及可视化应用环境指油田技术事业部于</w:t>
      </w:r>
      <w:r>
        <w:rPr>
          <w:rFonts w:hint="eastAsia" w:ascii="宋体" w:hAnsi="宋体" w:eastAsia="宋体" w:cs="宋体"/>
          <w:szCs w:val="24"/>
          <w:lang w:val="en-US" w:eastAsia="zh-CN"/>
        </w:rPr>
        <w:t>2025年至2026</w:t>
      </w:r>
      <w:r>
        <w:rPr>
          <w:rFonts w:hint="eastAsia"/>
          <w:szCs w:val="24"/>
          <w:lang w:val="en-US" w:eastAsia="zh-CN"/>
        </w:rPr>
        <w:t>年开发的测井定向井业务数据的管理及可视化应用环境软件，简称数据管理及应用环境。</w:t>
      </w:r>
    </w:p>
    <w:p>
      <w:pPr>
        <w:pStyle w:val="9"/>
        <w:jc w:val="both"/>
        <w:rPr>
          <w:rFonts w:hint="eastAsia" w:ascii="宋体" w:hAnsi="宋体" w:eastAsia="宋体" w:cs="宋体"/>
          <w:sz w:val="24"/>
          <w:szCs w:val="24"/>
          <w:lang w:val="en-US" w:eastAsia="zh-CN"/>
        </w:rPr>
      </w:pPr>
      <w:bookmarkStart w:id="12" w:name="_Toc18839"/>
      <w:r>
        <w:rPr>
          <w:rFonts w:hint="eastAsia" w:ascii="宋体" w:hAnsi="宋体" w:eastAsia="宋体" w:cs="宋体"/>
          <w:sz w:val="24"/>
          <w:szCs w:val="24"/>
          <w:lang w:val="en-US" w:eastAsia="zh-CN"/>
        </w:rPr>
        <w:t>3.2 测井数据库应用系统</w:t>
      </w:r>
      <w:bookmarkEnd w:id="12"/>
    </w:p>
    <w:p>
      <w:pPr>
        <w:pStyle w:val="8"/>
        <w:spacing w:line="360" w:lineRule="auto"/>
        <w:ind w:firstLine="480" w:firstLineChars="200"/>
        <w:rPr>
          <w:rFonts w:hint="default"/>
          <w:szCs w:val="24"/>
          <w:lang w:val="en-US" w:eastAsia="zh-CN"/>
        </w:rPr>
      </w:pPr>
      <w:r>
        <w:rPr>
          <w:rFonts w:hint="eastAsia"/>
          <w:szCs w:val="24"/>
          <w:lang w:val="en-US" w:eastAsia="zh-CN"/>
        </w:rPr>
        <w:t>测井数据库应用系统指油田技术事业部</w:t>
      </w:r>
      <w:r>
        <w:rPr>
          <w:rFonts w:hint="eastAsia" w:ascii="宋体" w:hAnsi="宋体" w:eastAsia="宋体" w:cs="宋体"/>
          <w:szCs w:val="24"/>
          <w:lang w:val="en-US" w:eastAsia="zh-CN"/>
        </w:rPr>
        <w:t>于2005年至2007年开</w:t>
      </w:r>
      <w:r>
        <w:rPr>
          <w:rFonts w:hint="eastAsia"/>
          <w:szCs w:val="24"/>
          <w:lang w:val="en-US" w:eastAsia="zh-CN"/>
        </w:rPr>
        <w:t>发的用于管理测井及相关数据资料的测井数据库应用系统，简称测井数据库。</w:t>
      </w:r>
    </w:p>
    <w:p>
      <w:pPr>
        <w:pStyle w:val="4"/>
        <w:numPr>
          <w:ilvl w:val="0"/>
          <w:numId w:val="0"/>
        </w:numPr>
        <w:tabs>
          <w:tab w:val="left" w:pos="608"/>
        </w:tabs>
        <w:spacing w:line="360" w:lineRule="auto"/>
        <w:rPr>
          <w:rFonts w:hint="eastAsia"/>
        </w:rPr>
      </w:pPr>
      <w:bookmarkStart w:id="13" w:name="_Toc13267"/>
      <w:r>
        <w:rPr>
          <w:rFonts w:asciiTheme="minorEastAsia" w:hAnsiTheme="minorEastAsia" w:eastAsiaTheme="minorEastAsia"/>
          <w:spacing w:val="-2"/>
          <w:sz w:val="21"/>
          <w:szCs w:val="21"/>
        </w:rPr>
        <w:t>★</w:t>
      </w:r>
      <w:r>
        <w:rPr>
          <w:rFonts w:hint="eastAsia"/>
        </w:rPr>
        <w:t>4.</w:t>
      </w:r>
      <w:bookmarkStart w:id="14" w:name="_Toc21188"/>
      <w:r>
        <w:rPr>
          <w:rFonts w:hint="eastAsia"/>
        </w:rPr>
        <w:t>技术要求</w:t>
      </w:r>
      <w:bookmarkEnd w:id="13"/>
      <w:bookmarkEnd w:id="14"/>
    </w:p>
    <w:p>
      <w:pPr>
        <w:pStyle w:val="8"/>
        <w:spacing w:line="360" w:lineRule="auto"/>
        <w:ind w:firstLine="480" w:firstLineChars="200"/>
        <w:rPr>
          <w:rFonts w:hint="eastAsia" w:ascii="Times New Roman" w:hAnsi="Times New Roman"/>
        </w:rPr>
      </w:pPr>
      <w:r>
        <w:rPr>
          <w:rFonts w:hint="eastAsia" w:ascii="Times New Roman" w:hAnsi="Times New Roman" w:cs="宋体"/>
        </w:rPr>
        <w:t>为</w:t>
      </w:r>
      <w:r>
        <w:rPr>
          <w:rFonts w:hint="eastAsia" w:ascii="Times New Roman" w:hAnsi="Times New Roman" w:cs="宋体"/>
          <w:lang w:val="en-US" w:eastAsia="zh-CN"/>
        </w:rPr>
        <w:t>夯实测井定向井数据管理与可视化应用环境的数据基础，为可视化应用提供高质量的规模数据源</w:t>
      </w:r>
      <w:r>
        <w:rPr>
          <w:rFonts w:hint="eastAsia" w:ascii="Times New Roman" w:hAnsi="Times New Roman" w:cs="宋体"/>
        </w:rPr>
        <w:t>，</w:t>
      </w:r>
      <w:r>
        <w:rPr>
          <w:rFonts w:hint="eastAsia" w:ascii="Times New Roman" w:hAnsi="Times New Roman" w:cs="宋体"/>
          <w:lang w:val="en-US" w:eastAsia="zh-CN"/>
        </w:rPr>
        <w:t>为推广应用提供数据保障，</w:t>
      </w:r>
      <w:r>
        <w:rPr>
          <w:rFonts w:hint="eastAsia"/>
          <w:szCs w:val="24"/>
        </w:rPr>
        <w:t>《</w:t>
      </w:r>
      <w:r>
        <w:rPr>
          <w:rFonts w:hint="eastAsia" w:ascii="Times New Roman" w:hAnsi="Times New Roman" w:cs="宋体"/>
        </w:rPr>
        <w:t>测井数据库</w:t>
      </w:r>
      <w:r>
        <w:rPr>
          <w:rFonts w:hint="eastAsia" w:ascii="Times New Roman" w:hAnsi="Times New Roman" w:cs="宋体"/>
          <w:lang w:val="en-US" w:eastAsia="zh-CN"/>
        </w:rPr>
        <w:t>存量</w:t>
      </w:r>
      <w:r>
        <w:rPr>
          <w:rFonts w:hint="eastAsia" w:ascii="Times New Roman" w:hAnsi="Times New Roman" w:cs="宋体"/>
        </w:rPr>
        <w:t>数据自动</w:t>
      </w:r>
      <w:r>
        <w:rPr>
          <w:rFonts w:hint="eastAsia" w:ascii="Times New Roman" w:hAnsi="Times New Roman" w:cs="宋体"/>
          <w:lang w:val="en-US" w:eastAsia="zh-CN"/>
        </w:rPr>
        <w:t>治理</w:t>
      </w:r>
      <w:r>
        <w:rPr>
          <w:rFonts w:hint="eastAsia" w:ascii="Times New Roman" w:hAnsi="Times New Roman" w:cs="宋体"/>
        </w:rPr>
        <w:t>与批量迁移</w:t>
      </w:r>
      <w:r>
        <w:rPr>
          <w:rFonts w:hint="eastAsia"/>
          <w:szCs w:val="24"/>
        </w:rPr>
        <w:t>》项目总体目标是</w:t>
      </w:r>
      <w:r>
        <w:rPr>
          <w:rFonts w:hint="eastAsia" w:ascii="宋体" w:hAnsi="宋体"/>
          <w:color w:val="000000"/>
        </w:rPr>
        <w:t>基于</w:t>
      </w:r>
      <w:r>
        <w:rPr>
          <w:rFonts w:hint="eastAsia" w:ascii="宋体" w:hAnsi="宋体"/>
          <w:color w:val="000000"/>
          <w:lang w:val="en-US" w:eastAsia="zh-CN"/>
        </w:rPr>
        <w:t>测井定向井数据管理与可视化应用环境</w:t>
      </w:r>
      <w:r>
        <w:rPr>
          <w:rFonts w:hint="eastAsia" w:ascii="宋体" w:hAnsi="宋体"/>
          <w:color w:val="000000"/>
        </w:rPr>
        <w:t>，</w:t>
      </w:r>
      <w:r>
        <w:rPr>
          <w:rFonts w:hint="eastAsia" w:ascii="宋体" w:hAnsi="宋体"/>
          <w:color w:val="000000"/>
          <w:lang w:val="en-US" w:eastAsia="zh-CN"/>
        </w:rPr>
        <w:t>开发测井数据库存量数据自动治理及批量迁移软件模块，实现测井数据库存量数据自动治理并迁移到数据管理及应用环境中，再由应用环境提供入公司湖支持。为环境的</w:t>
      </w:r>
      <w:r>
        <w:rPr>
          <w:rFonts w:hint="eastAsia" w:ascii="宋体" w:hAnsi="宋体"/>
          <w:color w:val="000000"/>
        </w:rPr>
        <w:t>数据共享和软件体系化协同</w:t>
      </w:r>
      <w:r>
        <w:rPr>
          <w:rFonts w:hint="eastAsia" w:ascii="宋体" w:hAnsi="宋体"/>
          <w:color w:val="000000"/>
          <w:lang w:val="en-US" w:eastAsia="zh-CN"/>
        </w:rPr>
        <w:t>处理提供高质量数据支持</w:t>
      </w:r>
      <w:r>
        <w:rPr>
          <w:rFonts w:hint="eastAsia" w:ascii="Times New Roman" w:hAnsi="Times New Roman"/>
        </w:rPr>
        <w:t>。</w:t>
      </w:r>
    </w:p>
    <w:p>
      <w:pPr>
        <w:pStyle w:val="8"/>
        <w:spacing w:line="360" w:lineRule="auto"/>
        <w:rPr>
          <w:rFonts w:hint="eastAsia" w:ascii="宋体" w:hAnsi="宋体" w:eastAsia="宋体" w:cs="Arial"/>
          <w:bCs/>
          <w:color w:val="000000"/>
        </w:rPr>
      </w:pPr>
      <w:r>
        <w:rPr>
          <w:rFonts w:hint="eastAsia" w:ascii="宋体" w:hAnsi="宋体" w:eastAsia="宋体" w:cs="Arial"/>
          <w:bCs/>
          <w:color w:val="000000"/>
        </w:rPr>
        <w:t>建设内容主要包括：</w:t>
      </w:r>
    </w:p>
    <w:p>
      <w:pPr>
        <w:numPr>
          <w:ilvl w:val="0"/>
          <w:numId w:val="3"/>
        </w:numPr>
        <w:spacing w:after="0" w:line="360" w:lineRule="auto"/>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调研并分析测井数据库存量数据现状；</w:t>
      </w:r>
    </w:p>
    <w:p>
      <w:pPr>
        <w:numPr>
          <w:ilvl w:val="0"/>
          <w:numId w:val="3"/>
        </w:numPr>
        <w:spacing w:after="0" w:line="360" w:lineRule="auto"/>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根据存量数据现状，制定自动治理及批量迁移入湖的技术方案；</w:t>
      </w:r>
    </w:p>
    <w:p>
      <w:pPr>
        <w:numPr>
          <w:ilvl w:val="0"/>
          <w:numId w:val="3"/>
        </w:numPr>
        <w:spacing w:after="0" w:line="360" w:lineRule="auto"/>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研究多版本资料和数据自动识别和优选方法，剔除多余版本；</w:t>
      </w:r>
    </w:p>
    <w:p>
      <w:pPr>
        <w:numPr>
          <w:ilvl w:val="0"/>
          <w:numId w:val="3"/>
        </w:numPr>
        <w:spacing w:after="0" w:line="360" w:lineRule="auto"/>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研究历史不同标准资料自动分析解析方法，实现不同标准的兼容性；</w:t>
      </w:r>
    </w:p>
    <w:p>
      <w:pPr>
        <w:numPr>
          <w:ilvl w:val="0"/>
          <w:numId w:val="3"/>
        </w:numPr>
        <w:spacing w:after="0" w:line="360" w:lineRule="auto"/>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研究存量数据的质控和修复自动化方法，实现迁移时数据自动质控和自理；</w:t>
      </w:r>
    </w:p>
    <w:p>
      <w:pPr>
        <w:numPr>
          <w:ilvl w:val="0"/>
          <w:numId w:val="3"/>
        </w:numPr>
        <w:spacing w:after="0" w:line="360" w:lineRule="auto"/>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基于应用环境，开发自动治理和批量迁移的软件模块；</w:t>
      </w:r>
    </w:p>
    <w:p>
      <w:pPr>
        <w:numPr>
          <w:ilvl w:val="0"/>
          <w:numId w:val="3"/>
        </w:numPr>
        <w:spacing w:after="0" w:line="360" w:lineRule="auto"/>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实现异常数据自动转入问题数据栈，开发在线交互编辑软件模块，实现问题数据交互修正入库；</w:t>
      </w:r>
    </w:p>
    <w:p>
      <w:pPr>
        <w:numPr>
          <w:ilvl w:val="0"/>
          <w:numId w:val="3"/>
        </w:numPr>
        <w:spacing w:after="0" w:line="360" w:lineRule="auto"/>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实现剔除的多版本数据自动分类归档，并自动编写归档记录；</w:t>
      </w:r>
    </w:p>
    <w:p>
      <w:pPr>
        <w:numPr>
          <w:ilvl w:val="0"/>
          <w:numId w:val="3"/>
        </w:numPr>
        <w:spacing w:after="0" w:line="360" w:lineRule="auto"/>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基于应用环境实现数据质控和审批，数据自动入湖。</w:t>
      </w:r>
    </w:p>
    <w:p>
      <w:pPr>
        <w:pStyle w:val="9"/>
        <w:numPr>
          <w:ilvl w:val="0"/>
          <w:numId w:val="4"/>
        </w:numPr>
        <w:spacing w:line="360" w:lineRule="auto"/>
        <w:jc w:val="both"/>
        <w:rPr>
          <w:rFonts w:hint="eastAsia" w:ascii="Arial" w:hAnsi="Arial" w:cs="Arial"/>
          <w:caps/>
          <w:kern w:val="28"/>
          <w:sz w:val="24"/>
          <w:szCs w:val="20"/>
        </w:rPr>
      </w:pPr>
      <w:bookmarkStart w:id="15" w:name="_Toc28022"/>
      <w:r>
        <w:rPr>
          <w:rFonts w:hint="eastAsia" w:ascii="Arial" w:hAnsi="Arial" w:cs="Arial"/>
          <w:caps/>
          <w:kern w:val="28"/>
          <w:sz w:val="24"/>
          <w:szCs w:val="20"/>
        </w:rPr>
        <w:t>关键技术要求及参数</w:t>
      </w:r>
      <w:bookmarkEnd w:id="15"/>
    </w:p>
    <w:p>
      <w:pPr>
        <w:pStyle w:val="5"/>
        <w:numPr>
          <w:ilvl w:val="1"/>
          <w:numId w:val="4"/>
        </w:numPr>
        <w:spacing w:line="360" w:lineRule="auto"/>
        <w:rPr>
          <w:rFonts w:hint="eastAsia" w:ascii="宋体" w:hAnsi="宋体" w:eastAsia="宋体" w:cs="宋体"/>
          <w:b/>
          <w:bCs w:val="0"/>
          <w:caps/>
          <w:lang w:val="en-US" w:eastAsia="zh-CN"/>
        </w:rPr>
      </w:pPr>
      <w:r>
        <w:rPr>
          <w:rFonts w:hint="eastAsia" w:ascii="宋体" w:hAnsi="宋体" w:cs="宋体"/>
          <w:b/>
          <w:bCs w:val="0"/>
          <w:caps/>
          <w:lang w:val="en-US" w:eastAsia="zh-CN"/>
        </w:rPr>
        <w:t>供货范围</w:t>
      </w:r>
    </w:p>
    <w:p>
      <w:pPr>
        <w:pStyle w:val="2"/>
        <w:numPr>
          <w:ilvl w:val="0"/>
          <w:numId w:val="5"/>
        </w:numPr>
        <w:ind w:left="425" w:leftChars="0" w:hanging="425" w:firstLineChars="0"/>
        <w:rPr>
          <w:rFonts w:hint="eastAsia"/>
          <w:sz w:val="24"/>
          <w:szCs w:val="24"/>
          <w:lang w:val="en-US" w:eastAsia="zh-CN"/>
        </w:rPr>
      </w:pPr>
      <w:r>
        <w:rPr>
          <w:rFonts w:hint="eastAsia"/>
          <w:sz w:val="24"/>
          <w:szCs w:val="24"/>
          <w:lang w:val="en-US" w:eastAsia="zh-CN"/>
        </w:rPr>
        <w:t>数据自动治理与批量迁移模块设计及开发</w:t>
      </w:r>
    </w:p>
    <w:p>
      <w:pPr>
        <w:pStyle w:val="2"/>
        <w:numPr>
          <w:ilvl w:val="0"/>
          <w:numId w:val="0"/>
        </w:numPr>
        <w:spacing w:line="360" w:lineRule="auto"/>
        <w:ind w:leftChars="0" w:firstLine="480" w:firstLineChars="200"/>
        <w:rPr>
          <w:rFonts w:hint="default"/>
          <w:sz w:val="24"/>
          <w:szCs w:val="24"/>
          <w:lang w:val="en-US" w:eastAsia="zh-CN"/>
        </w:rPr>
      </w:pPr>
      <w:r>
        <w:rPr>
          <w:rFonts w:hint="eastAsia"/>
          <w:sz w:val="24"/>
          <w:szCs w:val="24"/>
          <w:lang w:val="en-US" w:eastAsia="zh-CN"/>
        </w:rPr>
        <w:t>基于测井定向井数据治理及可视化应用环境，根据测井数据库应用系统中存量数据现状，设计数据自动治理方法，及数据批量迁移的软件模块，针对异常</w:t>
      </w:r>
      <w:r>
        <w:rPr>
          <w:rFonts w:hint="eastAsia" w:ascii="宋体" w:hAnsi="宋体" w:eastAsia="宋体"/>
          <w:sz w:val="24"/>
          <w:szCs w:val="24"/>
          <w:lang w:val="en-US" w:eastAsia="zh-CN"/>
        </w:rPr>
        <w:t>数据，</w:t>
      </w:r>
      <w:r>
        <w:rPr>
          <w:rFonts w:hint="eastAsia" w:ascii="宋体" w:hAnsi="宋体"/>
          <w:sz w:val="24"/>
          <w:szCs w:val="24"/>
          <w:lang w:val="en-US" w:eastAsia="zh-CN"/>
        </w:rPr>
        <w:t>设计</w:t>
      </w:r>
      <w:r>
        <w:rPr>
          <w:rFonts w:hint="eastAsia" w:ascii="宋体" w:hAnsi="宋体" w:eastAsia="宋体"/>
          <w:sz w:val="24"/>
          <w:szCs w:val="24"/>
          <w:lang w:val="en-US" w:eastAsia="zh-CN"/>
        </w:rPr>
        <w:t>开发</w:t>
      </w:r>
      <w:r>
        <w:rPr>
          <w:rFonts w:hint="eastAsia" w:ascii="宋体" w:hAnsi="宋体"/>
          <w:sz w:val="24"/>
          <w:szCs w:val="24"/>
          <w:lang w:val="en-US" w:eastAsia="zh-CN"/>
        </w:rPr>
        <w:t>出</w:t>
      </w:r>
      <w:r>
        <w:rPr>
          <w:rFonts w:hint="eastAsia" w:ascii="宋体" w:hAnsi="宋体" w:eastAsia="宋体"/>
          <w:sz w:val="24"/>
          <w:szCs w:val="24"/>
          <w:lang w:val="en-US" w:eastAsia="zh-CN"/>
        </w:rPr>
        <w:t>在线交互编辑软件模块</w:t>
      </w:r>
      <w:r>
        <w:rPr>
          <w:rFonts w:hint="eastAsia" w:ascii="宋体" w:hAnsi="宋体"/>
          <w:sz w:val="24"/>
          <w:szCs w:val="24"/>
          <w:lang w:val="en-US" w:eastAsia="zh-CN"/>
        </w:rPr>
        <w:t>，实现数据通过软件批量迁移到</w:t>
      </w:r>
      <w:r>
        <w:rPr>
          <w:rFonts w:hint="eastAsia"/>
          <w:sz w:val="24"/>
          <w:szCs w:val="24"/>
          <w:lang w:val="en-US" w:eastAsia="zh-CN"/>
        </w:rPr>
        <w:t>测井定向井数据治理及可视化应用环境中。</w:t>
      </w:r>
    </w:p>
    <w:p>
      <w:pPr>
        <w:pStyle w:val="2"/>
        <w:numPr>
          <w:ilvl w:val="0"/>
          <w:numId w:val="5"/>
        </w:numPr>
        <w:ind w:left="425" w:leftChars="0" w:hanging="425" w:firstLineChars="0"/>
        <w:rPr>
          <w:rFonts w:hint="eastAsia"/>
          <w:sz w:val="24"/>
          <w:szCs w:val="24"/>
          <w:lang w:val="en-US" w:eastAsia="zh-CN"/>
        </w:rPr>
      </w:pPr>
      <w:r>
        <w:rPr>
          <w:rFonts w:hint="eastAsia"/>
          <w:sz w:val="24"/>
          <w:szCs w:val="24"/>
          <w:lang w:val="en-US" w:eastAsia="zh-CN"/>
        </w:rPr>
        <w:t>迁移模块测试</w:t>
      </w:r>
    </w:p>
    <w:p>
      <w:pPr>
        <w:pStyle w:val="2"/>
        <w:numPr>
          <w:ilvl w:val="0"/>
          <w:numId w:val="0"/>
        </w:numPr>
        <w:spacing w:line="360" w:lineRule="auto"/>
        <w:ind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制定测试方案，根据方案对迁移模块进行测试，并对出现的问题进行修改完善，确保数据迁移的完整性和正确性。</w:t>
      </w:r>
    </w:p>
    <w:p>
      <w:pPr>
        <w:pStyle w:val="2"/>
        <w:numPr>
          <w:ilvl w:val="0"/>
          <w:numId w:val="5"/>
        </w:numPr>
        <w:ind w:left="425" w:leftChars="0" w:hanging="425" w:firstLineChars="0"/>
        <w:rPr>
          <w:rFonts w:hint="default"/>
          <w:sz w:val="24"/>
          <w:szCs w:val="24"/>
          <w:lang w:val="en-US" w:eastAsia="zh-CN"/>
        </w:rPr>
      </w:pPr>
      <w:r>
        <w:rPr>
          <w:rFonts w:hint="eastAsia"/>
          <w:sz w:val="24"/>
          <w:szCs w:val="24"/>
          <w:lang w:val="en-US" w:eastAsia="zh-CN"/>
        </w:rPr>
        <w:t>数据批量迁移</w:t>
      </w:r>
    </w:p>
    <w:p>
      <w:pPr>
        <w:pStyle w:val="2"/>
        <w:numPr>
          <w:ilvl w:val="0"/>
          <w:numId w:val="0"/>
        </w:numPr>
        <w:ind w:leftChars="0"/>
        <w:rPr>
          <w:rFonts w:hint="default" w:ascii="宋体" w:hAnsi="宋体" w:eastAsia="宋体"/>
          <w:sz w:val="24"/>
          <w:szCs w:val="24"/>
          <w:lang w:val="en-US" w:eastAsia="zh-CN"/>
        </w:rPr>
      </w:pPr>
      <w:r>
        <w:rPr>
          <w:rFonts w:hint="eastAsia"/>
          <w:lang w:val="en-US" w:eastAsia="zh-CN"/>
        </w:rPr>
        <w:t xml:space="preserve">   </w:t>
      </w:r>
      <w:r>
        <w:rPr>
          <w:rFonts w:hint="eastAsia" w:ascii="宋体" w:hAnsi="宋体" w:eastAsia="宋体"/>
          <w:sz w:val="24"/>
          <w:szCs w:val="24"/>
          <w:lang w:val="en-US" w:eastAsia="zh-CN"/>
        </w:rPr>
        <w:t>组织人力通过软件模块完成数据的批量迁移，针对少量异常数据进行人机交互修正入库。</w:t>
      </w:r>
    </w:p>
    <w:p>
      <w:pPr>
        <w:pStyle w:val="5"/>
        <w:numPr>
          <w:ilvl w:val="0"/>
          <w:numId w:val="0"/>
        </w:numPr>
        <w:spacing w:line="360" w:lineRule="auto"/>
        <w:rPr>
          <w:bCs w:val="0"/>
          <w:caps/>
        </w:rPr>
      </w:pPr>
      <w:bookmarkStart w:id="16" w:name="_Toc168643323"/>
      <w:bookmarkStart w:id="17" w:name="_Toc4855"/>
      <w:r>
        <w:rPr>
          <w:rFonts w:hint="eastAsia"/>
          <w:szCs w:val="24"/>
        </w:rPr>
        <w:t>★</w:t>
      </w:r>
      <w:r>
        <w:rPr>
          <w:rFonts w:hint="eastAsia" w:ascii="宋体" w:hAnsi="宋体" w:eastAsia="宋体" w:cs="宋体"/>
          <w:b/>
          <w:bCs w:val="0"/>
          <w:szCs w:val="24"/>
        </w:rPr>
        <w:t>5.</w:t>
      </w:r>
      <w:bookmarkEnd w:id="16"/>
      <w:r>
        <w:rPr>
          <w:rFonts w:hint="eastAsia" w:ascii="宋体" w:hAnsi="宋体" w:cs="宋体"/>
          <w:b/>
          <w:bCs w:val="0"/>
          <w:szCs w:val="24"/>
          <w:lang w:val="en-US" w:eastAsia="zh-CN"/>
        </w:rPr>
        <w:t xml:space="preserve">2 </w:t>
      </w:r>
      <w:r>
        <w:rPr>
          <w:rFonts w:hint="eastAsia" w:ascii="宋体" w:hAnsi="宋体" w:eastAsia="宋体" w:cs="宋体"/>
          <w:b/>
          <w:bCs w:val="0"/>
          <w:caps/>
        </w:rPr>
        <w:t>关键技术要求及参数</w:t>
      </w:r>
      <w:bookmarkEnd w:id="17"/>
    </w:p>
    <w:p>
      <w:pPr>
        <w:spacing w:line="360" w:lineRule="auto"/>
        <w:ind w:left="660" w:hanging="660" w:hangingChars="300"/>
        <w:rPr>
          <w:rFonts w:hint="eastAsia" w:ascii="Arial" w:hAnsi="Arial" w:eastAsia="宋体" w:cs="Arial"/>
          <w:bCs/>
          <w:sz w:val="22"/>
          <w:szCs w:val="22"/>
          <w:lang w:val="en-US" w:eastAsia="zh-CN"/>
        </w:rPr>
      </w:pPr>
      <w:r>
        <w:rPr>
          <w:rFonts w:hint="eastAsia" w:ascii="Arial" w:hAnsi="Arial" w:eastAsia="宋体" w:cs="Arial"/>
          <w:bCs/>
          <w:sz w:val="22"/>
          <w:szCs w:val="22"/>
          <w:lang w:val="en-US" w:eastAsia="zh-CN"/>
        </w:rPr>
        <w:t xml:space="preserve"> 数据规范性要求</w:t>
      </w:r>
    </w:p>
    <w:p>
      <w:pPr>
        <w:numPr>
          <w:ilvl w:val="0"/>
          <w:numId w:val="6"/>
        </w:numPr>
        <w:spacing w:line="360" w:lineRule="auto"/>
        <w:ind w:left="425" w:leftChars="0" w:hanging="425" w:firstLineChars="0"/>
        <w:rPr>
          <w:rFonts w:hint="default"/>
          <w:lang w:val="en-US" w:eastAsia="zh-CN"/>
        </w:rPr>
      </w:pPr>
      <w:r>
        <w:rPr>
          <w:rFonts w:hint="eastAsia" w:ascii="宋体" w:hAnsi="宋体" w:eastAsia="宋体" w:cs="宋体"/>
          <w:bCs/>
          <w:color w:val="000000"/>
          <w:sz w:val="24"/>
          <w:szCs w:val="24"/>
          <w:lang w:val="en-US" w:eastAsia="zh-CN" w:bidi="ar"/>
        </w:rPr>
        <w:t>迁移后的数据符合集团及公司标准，拥有统一的数据命名规范；</w:t>
      </w:r>
    </w:p>
    <w:p>
      <w:pPr>
        <w:numPr>
          <w:ilvl w:val="0"/>
          <w:numId w:val="6"/>
        </w:numPr>
        <w:spacing w:line="360" w:lineRule="auto"/>
        <w:ind w:left="425" w:leftChars="0" w:hanging="425" w:firstLineChars="0"/>
        <w:rPr>
          <w:rFonts w:hint="default"/>
          <w:lang w:val="en-US" w:eastAsia="zh-CN"/>
        </w:rPr>
      </w:pPr>
      <w:r>
        <w:rPr>
          <w:rFonts w:hint="eastAsia" w:ascii="宋体" w:hAnsi="宋体" w:eastAsia="宋体" w:cs="宋体"/>
          <w:bCs/>
          <w:color w:val="000000"/>
          <w:sz w:val="24"/>
          <w:szCs w:val="24"/>
          <w:lang w:val="en-US" w:eastAsia="zh-CN" w:bidi="ar"/>
        </w:rPr>
        <w:t>数据质量满足直接应用要求，不再存在多个版本；</w:t>
      </w:r>
    </w:p>
    <w:p>
      <w:pPr>
        <w:numPr>
          <w:ilvl w:val="0"/>
          <w:numId w:val="6"/>
        </w:numPr>
        <w:spacing w:line="360" w:lineRule="auto"/>
        <w:ind w:left="425" w:leftChars="0" w:hanging="425" w:firstLineChars="0"/>
        <w:rPr>
          <w:rFonts w:hint="default" w:ascii="宋体" w:hAnsi="宋体" w:eastAsia="宋体" w:cs="宋体"/>
          <w:bCs/>
          <w:color w:val="000000"/>
          <w:sz w:val="24"/>
          <w:szCs w:val="24"/>
          <w:lang w:val="en-US" w:eastAsia="zh-CN" w:bidi="ar"/>
        </w:rPr>
      </w:pPr>
      <w:r>
        <w:rPr>
          <w:rFonts w:hint="eastAsia" w:ascii="宋体" w:hAnsi="宋体" w:eastAsia="宋体" w:cs="宋体"/>
          <w:bCs/>
          <w:color w:val="000000"/>
          <w:sz w:val="24"/>
          <w:szCs w:val="24"/>
          <w:lang w:val="en-US" w:eastAsia="zh-CN" w:bidi="ar"/>
        </w:rPr>
        <w:t>数据管理从文档管理提升到数据结构化管理。</w:t>
      </w:r>
    </w:p>
    <w:p>
      <w:pPr>
        <w:spacing w:line="360" w:lineRule="auto"/>
        <w:ind w:left="660" w:hanging="660" w:hangingChars="300"/>
        <w:rPr>
          <w:rFonts w:hint="default" w:ascii="Arial" w:hAnsi="Arial" w:eastAsia="宋体" w:cs="Arial"/>
          <w:bCs/>
          <w:sz w:val="22"/>
          <w:szCs w:val="22"/>
          <w:lang w:val="en-US" w:eastAsia="zh-CN"/>
        </w:rPr>
      </w:pPr>
      <w:r>
        <w:rPr>
          <w:rFonts w:hint="eastAsia" w:ascii="Arial" w:hAnsi="Arial" w:eastAsia="宋体" w:cs="Arial"/>
          <w:bCs/>
          <w:sz w:val="22"/>
          <w:szCs w:val="22"/>
          <w:lang w:val="en-US" w:eastAsia="zh-CN"/>
        </w:rPr>
        <w:t>计划实现数据在线自动迁移功能</w:t>
      </w:r>
    </w:p>
    <w:p>
      <w:pPr>
        <w:pStyle w:val="29"/>
        <w:numPr>
          <w:ilvl w:val="0"/>
          <w:numId w:val="7"/>
        </w:numPr>
        <w:ind w:left="425" w:leftChars="0" w:hanging="425" w:firstLineChars="0"/>
        <w:rPr>
          <w:rFonts w:hint="default" w:ascii="宋体" w:hAnsi="宋体" w:eastAsia="宋体" w:cs="Times New Roman"/>
          <w:sz w:val="24"/>
          <w:lang w:val="en-US" w:eastAsia="zh-CN"/>
        </w:rPr>
      </w:pPr>
      <w:r>
        <w:rPr>
          <w:rFonts w:hint="eastAsia" w:ascii="宋体" w:hAnsi="宋体" w:eastAsia="宋体" w:cs="Times New Roman"/>
          <w:sz w:val="24"/>
        </w:rPr>
        <w:t>迁移前后文件的MD5值校验一致性需达到100%，确保非结构化文档</w:t>
      </w:r>
      <w:r>
        <w:rPr>
          <w:rFonts w:hint="eastAsia" w:ascii="宋体" w:hAnsi="宋体" w:eastAsia="宋体" w:cs="Times New Roman"/>
          <w:sz w:val="24"/>
          <w:lang w:val="en-US" w:eastAsia="zh-CN"/>
        </w:rPr>
        <w:t>无损迁移；</w:t>
      </w:r>
    </w:p>
    <w:p>
      <w:pPr>
        <w:pStyle w:val="29"/>
        <w:numPr>
          <w:ilvl w:val="0"/>
          <w:numId w:val="7"/>
        </w:numPr>
        <w:ind w:left="425" w:leftChars="0" w:hanging="425" w:firstLineChars="0"/>
        <w:rPr>
          <w:rFonts w:hint="default" w:ascii="宋体" w:hAnsi="宋体" w:eastAsia="宋体" w:cs="Times New Roman"/>
          <w:sz w:val="24"/>
          <w:lang w:val="en-US" w:eastAsia="zh-CN"/>
        </w:rPr>
      </w:pPr>
      <w:r>
        <w:rPr>
          <w:rFonts w:hint="eastAsia" w:ascii="宋体" w:hAnsi="宋体" w:eastAsia="宋体" w:cs="Times New Roman"/>
          <w:sz w:val="24"/>
        </w:rPr>
        <w:t>测井数据</w:t>
      </w:r>
      <w:r>
        <w:rPr>
          <w:rFonts w:hint="eastAsia" w:ascii="宋体" w:hAnsi="宋体" w:eastAsia="宋体" w:cs="Times New Roman"/>
          <w:sz w:val="24"/>
          <w:lang w:eastAsia="zh-CN"/>
        </w:rPr>
        <w:t>（</w:t>
      </w:r>
      <w:r>
        <w:rPr>
          <w:rFonts w:hint="eastAsia" w:ascii="宋体" w:hAnsi="宋体" w:eastAsia="宋体" w:cs="Times New Roman"/>
          <w:sz w:val="24"/>
        </w:rPr>
        <w:t>包括las、dlis、xtf、cff、eff、edx等</w:t>
      </w:r>
      <w:r>
        <w:rPr>
          <w:rFonts w:hint="eastAsia" w:ascii="宋体" w:hAnsi="宋体" w:eastAsia="宋体" w:cs="Times New Roman"/>
          <w:sz w:val="24"/>
          <w:lang w:eastAsia="zh-CN"/>
        </w:rPr>
        <w:t>）</w:t>
      </w:r>
      <w:r>
        <w:rPr>
          <w:rFonts w:hint="eastAsia" w:ascii="宋体" w:hAnsi="宋体" w:eastAsia="宋体" w:cs="Times New Roman"/>
          <w:sz w:val="24"/>
        </w:rPr>
        <w:t>，解编入库的比例需达到100%</w:t>
      </w:r>
      <w:r>
        <w:rPr>
          <w:rFonts w:hint="eastAsia" w:ascii="宋体" w:hAnsi="宋体" w:eastAsia="宋体" w:cs="Times New Roman"/>
          <w:sz w:val="24"/>
          <w:lang w:val="en-US" w:eastAsia="zh-CN"/>
        </w:rPr>
        <w:t>；</w:t>
      </w:r>
    </w:p>
    <w:p>
      <w:pPr>
        <w:pStyle w:val="29"/>
        <w:numPr>
          <w:ilvl w:val="0"/>
          <w:numId w:val="7"/>
        </w:numPr>
        <w:ind w:left="425" w:leftChars="0" w:hanging="425" w:firstLineChars="0"/>
        <w:rPr>
          <w:rFonts w:hint="default" w:ascii="宋体" w:hAnsi="宋体" w:eastAsia="宋体" w:cs="Times New Roman"/>
          <w:sz w:val="24"/>
          <w:lang w:val="en-US" w:eastAsia="zh-CN"/>
        </w:rPr>
      </w:pPr>
      <w:r>
        <w:rPr>
          <w:rFonts w:hint="eastAsia" w:ascii="宋体" w:hAnsi="宋体" w:eastAsia="宋体" w:cs="Times New Roman"/>
          <w:sz w:val="24"/>
          <w:lang w:val="en-US" w:eastAsia="zh-CN"/>
        </w:rPr>
        <w:t>除异常数据外数据自动迁移完成率</w:t>
      </w:r>
      <w:r>
        <w:rPr>
          <w:rFonts w:hint="eastAsia" w:ascii="宋体" w:hAnsi="宋体" w:eastAsia="宋体" w:cs="Times New Roman"/>
          <w:sz w:val="24"/>
        </w:rPr>
        <w:t>100%</w:t>
      </w:r>
      <w:r>
        <w:rPr>
          <w:rFonts w:hint="eastAsia" w:ascii="宋体" w:hAnsi="宋体" w:eastAsia="宋体" w:cs="Times New Roman"/>
          <w:sz w:val="24"/>
          <w:lang w:eastAsia="zh-CN"/>
        </w:rPr>
        <w:t>，</w:t>
      </w:r>
      <w:r>
        <w:rPr>
          <w:rFonts w:hint="eastAsia" w:ascii="宋体" w:hAnsi="宋体" w:eastAsia="宋体" w:cs="Times New Roman"/>
          <w:sz w:val="24"/>
          <w:lang w:val="en-US" w:eastAsia="zh-CN"/>
        </w:rPr>
        <w:t>正确率100%</w:t>
      </w:r>
      <w:r>
        <w:rPr>
          <w:rFonts w:hint="eastAsia" w:ascii="宋体" w:hAnsi="宋体" w:eastAsia="宋体" w:cs="Times New Roman"/>
          <w:sz w:val="24"/>
          <w:lang w:eastAsia="zh-CN"/>
        </w:rPr>
        <w:t>；</w:t>
      </w:r>
    </w:p>
    <w:p>
      <w:pPr>
        <w:pStyle w:val="29"/>
        <w:numPr>
          <w:ilvl w:val="0"/>
          <w:numId w:val="7"/>
        </w:numPr>
        <w:ind w:left="425" w:leftChars="0" w:hanging="425" w:firstLineChars="0"/>
        <w:rPr>
          <w:rFonts w:hint="default" w:ascii="宋体" w:hAnsi="宋体" w:eastAsia="宋体" w:cs="Times New Roman"/>
          <w:sz w:val="24"/>
          <w:lang w:val="en-US" w:eastAsia="zh-CN"/>
        </w:rPr>
      </w:pPr>
      <w:r>
        <w:rPr>
          <w:rFonts w:hint="eastAsia" w:ascii="宋体" w:hAnsi="宋体" w:eastAsia="宋体" w:cs="Times New Roman"/>
          <w:sz w:val="24"/>
          <w:lang w:val="en-US" w:eastAsia="zh-CN"/>
        </w:rPr>
        <w:t>实现问题数据自动检测，自动归入问题数据栈；</w:t>
      </w:r>
    </w:p>
    <w:p>
      <w:pPr>
        <w:pStyle w:val="29"/>
        <w:numPr>
          <w:ilvl w:val="0"/>
          <w:numId w:val="7"/>
        </w:numPr>
        <w:ind w:left="425" w:leftChars="0" w:hanging="425" w:firstLineChars="0"/>
        <w:rPr>
          <w:rFonts w:hint="eastAsia" w:ascii="宋体" w:hAnsi="宋体" w:eastAsia="宋体" w:cs="Times New Roman"/>
          <w:sz w:val="24"/>
          <w:lang w:val="en-US" w:eastAsia="zh-CN"/>
        </w:rPr>
      </w:pPr>
      <w:r>
        <w:rPr>
          <w:rFonts w:hint="eastAsia" w:ascii="宋体" w:hAnsi="宋体" w:eastAsia="宋体" w:cs="Times New Roman"/>
          <w:sz w:val="24"/>
          <w:lang w:val="en-US" w:eastAsia="zh-CN"/>
        </w:rPr>
        <w:t>确保数据没有多版本，重复率为0，剔除的多版本文档和数据文件确保保存归档，归档率100%。</w:t>
      </w:r>
    </w:p>
    <w:p>
      <w:pPr>
        <w:spacing w:line="360" w:lineRule="auto"/>
        <w:ind w:left="660" w:hanging="660" w:hangingChars="300"/>
        <w:rPr>
          <w:rFonts w:hint="default" w:ascii="Arial" w:hAnsi="Arial" w:eastAsia="宋体" w:cs="Arial"/>
          <w:bCs/>
          <w:sz w:val="22"/>
          <w:szCs w:val="22"/>
          <w:lang w:val="en-US" w:eastAsia="zh-CN"/>
        </w:rPr>
      </w:pPr>
      <w:r>
        <w:rPr>
          <w:rFonts w:hint="eastAsia" w:ascii="Arial" w:hAnsi="Arial" w:eastAsia="宋体" w:cs="Arial"/>
          <w:bCs/>
          <w:sz w:val="22"/>
          <w:szCs w:val="22"/>
          <w:lang w:val="en-US" w:eastAsia="zh-CN"/>
        </w:rPr>
        <w:t>计划实现异常数据在线交互编辑修正功能</w:t>
      </w:r>
    </w:p>
    <w:p>
      <w:pPr>
        <w:pStyle w:val="29"/>
        <w:numPr>
          <w:ilvl w:val="0"/>
          <w:numId w:val="8"/>
        </w:numPr>
        <w:ind w:left="425" w:leftChars="0" w:hanging="425" w:firstLineChars="0"/>
        <w:rPr>
          <w:rFonts w:hint="eastAsia" w:ascii="宋体" w:hAnsi="宋体" w:eastAsia="宋体" w:cs="宋体"/>
          <w:bCs/>
          <w:color w:val="000000"/>
          <w:sz w:val="24"/>
          <w:szCs w:val="24"/>
          <w:lang w:val="en-US" w:eastAsia="zh-CN" w:bidi="ar"/>
        </w:rPr>
      </w:pPr>
      <w:r>
        <w:rPr>
          <w:rFonts w:hint="eastAsia" w:ascii="宋体" w:hAnsi="宋体" w:eastAsia="宋体" w:cs="宋体"/>
          <w:bCs/>
          <w:color w:val="000000"/>
          <w:sz w:val="24"/>
          <w:szCs w:val="24"/>
          <w:lang w:val="en-US" w:eastAsia="zh-CN" w:bidi="ar"/>
        </w:rPr>
        <w:t>实现问题数据与解析识别结果在线可视化对比分析；</w:t>
      </w:r>
    </w:p>
    <w:p>
      <w:pPr>
        <w:pStyle w:val="29"/>
        <w:numPr>
          <w:ilvl w:val="0"/>
          <w:numId w:val="8"/>
        </w:numPr>
        <w:ind w:left="425" w:leftChars="0" w:hanging="425" w:firstLineChars="0"/>
        <w:rPr>
          <w:bCs w:val="0"/>
          <w:caps/>
          <w:kern w:val="28"/>
          <w:sz w:val="24"/>
          <w:szCs w:val="20"/>
        </w:rPr>
      </w:pPr>
      <w:r>
        <w:rPr>
          <w:rFonts w:hint="eastAsia" w:ascii="宋体" w:hAnsi="宋体" w:eastAsia="宋体" w:cs="宋体"/>
          <w:bCs/>
          <w:color w:val="000000"/>
          <w:sz w:val="24"/>
          <w:szCs w:val="24"/>
          <w:lang w:val="en-US" w:eastAsia="zh-CN" w:bidi="ar"/>
        </w:rPr>
        <w:t>实现问题数据在线编辑修改及提交。</w:t>
      </w:r>
    </w:p>
    <w:p>
      <w:pPr>
        <w:pStyle w:val="5"/>
        <w:numPr>
          <w:ilvl w:val="0"/>
          <w:numId w:val="0"/>
        </w:numPr>
        <w:spacing w:line="360" w:lineRule="auto"/>
        <w:rPr>
          <w:rFonts w:hint="eastAsia" w:ascii="宋体" w:hAnsi="宋体" w:eastAsia="宋体" w:cs="宋体"/>
          <w:b/>
          <w:bCs w:val="0"/>
          <w:caps/>
        </w:rPr>
      </w:pPr>
      <w:bookmarkStart w:id="18" w:name="_Toc2542"/>
      <w:bookmarkStart w:id="19" w:name="_Toc1349"/>
      <w:r>
        <w:rPr>
          <w:rFonts w:hint="eastAsia" w:ascii="宋体" w:hAnsi="宋体" w:eastAsia="宋体" w:cs="宋体"/>
          <w:b/>
          <w:bCs w:val="0"/>
          <w:caps/>
        </w:rPr>
        <w:t>5.</w:t>
      </w:r>
      <w:r>
        <w:rPr>
          <w:rFonts w:hint="eastAsia" w:ascii="宋体" w:hAnsi="宋体" w:cs="宋体"/>
          <w:b/>
          <w:bCs w:val="0"/>
          <w:caps/>
          <w:lang w:val="en-US" w:eastAsia="zh-CN"/>
        </w:rPr>
        <w:t xml:space="preserve">3 </w:t>
      </w:r>
      <w:r>
        <w:rPr>
          <w:rFonts w:hint="eastAsia" w:ascii="宋体" w:hAnsi="宋体" w:eastAsia="宋体" w:cs="宋体"/>
          <w:b/>
          <w:bCs w:val="0"/>
          <w:caps/>
        </w:rPr>
        <w:t>一般技术要求</w:t>
      </w:r>
      <w:bookmarkEnd w:id="18"/>
      <w:bookmarkEnd w:id="19"/>
    </w:p>
    <w:p>
      <w:pPr>
        <w:numPr>
          <w:ilvl w:val="0"/>
          <w:numId w:val="9"/>
        </w:numPr>
        <w:spacing w:line="360" w:lineRule="auto"/>
        <w:ind w:left="425" w:leftChars="0" w:hanging="425" w:firstLineChars="0"/>
        <w:rPr>
          <w:rFonts w:hint="eastAsia"/>
          <w:kern w:val="2"/>
          <w:sz w:val="22"/>
          <w:szCs w:val="22"/>
          <w:lang w:val="en-US" w:eastAsia="zh-CN"/>
        </w:rPr>
      </w:pPr>
      <w:r>
        <w:rPr>
          <w:rFonts w:hint="eastAsia"/>
          <w:kern w:val="2"/>
          <w:sz w:val="22"/>
          <w:szCs w:val="22"/>
          <w:lang w:val="en-US" w:eastAsia="zh-CN"/>
        </w:rPr>
        <w:t>数据库表空间确保系统响应时间≤3秒；</w:t>
      </w:r>
    </w:p>
    <w:p>
      <w:pPr>
        <w:numPr>
          <w:ilvl w:val="0"/>
          <w:numId w:val="9"/>
        </w:numPr>
        <w:spacing w:line="360" w:lineRule="auto"/>
        <w:ind w:left="425" w:leftChars="0" w:hanging="425" w:firstLineChars="0"/>
        <w:rPr>
          <w:rFonts w:hint="eastAsia"/>
          <w:sz w:val="22"/>
          <w:szCs w:val="22"/>
          <w:lang w:val="en-US" w:eastAsia="zh-CN"/>
        </w:rPr>
      </w:pPr>
      <w:r>
        <w:rPr>
          <w:rFonts w:hint="eastAsia"/>
          <w:sz w:val="22"/>
          <w:szCs w:val="22"/>
        </w:rPr>
        <w:t>软件开发应遵从java开发规范；</w:t>
      </w:r>
    </w:p>
    <w:p>
      <w:pPr>
        <w:numPr>
          <w:ilvl w:val="0"/>
          <w:numId w:val="9"/>
        </w:numPr>
        <w:spacing w:line="360" w:lineRule="auto"/>
        <w:ind w:left="425" w:leftChars="0" w:hanging="425" w:firstLineChars="0"/>
        <w:rPr>
          <w:rFonts w:hint="default"/>
          <w:sz w:val="22"/>
          <w:szCs w:val="22"/>
          <w:lang w:val="en-US"/>
        </w:rPr>
      </w:pPr>
      <w:r>
        <w:rPr>
          <w:rFonts w:hint="eastAsia"/>
          <w:sz w:val="22"/>
          <w:szCs w:val="22"/>
        </w:rPr>
        <w:t>源代码中对类、方法、接口有详细注释；</w:t>
      </w:r>
    </w:p>
    <w:p>
      <w:pPr>
        <w:numPr>
          <w:ilvl w:val="0"/>
          <w:numId w:val="9"/>
        </w:numPr>
        <w:spacing w:line="360" w:lineRule="auto"/>
        <w:ind w:left="425" w:leftChars="0" w:hanging="425" w:firstLineChars="0"/>
        <w:rPr>
          <w:rFonts w:hint="eastAsia"/>
          <w:sz w:val="22"/>
          <w:szCs w:val="22"/>
          <w:lang w:val="en-US" w:eastAsia="zh-CN"/>
        </w:rPr>
      </w:pPr>
      <w:r>
        <w:rPr>
          <w:rFonts w:hint="eastAsia"/>
          <w:sz w:val="22"/>
          <w:szCs w:val="22"/>
          <w:lang w:val="en-US" w:eastAsia="zh-CN"/>
        </w:rPr>
        <w:t>技术合同研究期间提供研究进展月报；</w:t>
      </w:r>
    </w:p>
    <w:p>
      <w:pPr>
        <w:numPr>
          <w:ilvl w:val="0"/>
          <w:numId w:val="9"/>
        </w:numPr>
        <w:spacing w:line="360" w:lineRule="auto"/>
        <w:ind w:left="425" w:leftChars="0" w:hanging="425" w:firstLineChars="0"/>
        <w:rPr>
          <w:rFonts w:hint="default" w:ascii="Arial" w:hAnsi="Arial" w:eastAsia="宋体" w:cs="Arial"/>
          <w:color w:val="31849B"/>
          <w:sz w:val="22"/>
          <w:szCs w:val="22"/>
          <w:lang w:val="en-US" w:eastAsia="zh-CN"/>
        </w:rPr>
      </w:pPr>
      <w:r>
        <w:rPr>
          <w:rFonts w:hint="eastAsia" w:cs="Arial"/>
          <w:sz w:val="22"/>
          <w:szCs w:val="22"/>
          <w:lang w:val="en-US" w:eastAsia="zh-CN"/>
        </w:rPr>
        <w:t>服务端采用java语言，Springboot架构；</w:t>
      </w:r>
    </w:p>
    <w:p>
      <w:pPr>
        <w:numPr>
          <w:ilvl w:val="0"/>
          <w:numId w:val="9"/>
        </w:numPr>
        <w:spacing w:line="360" w:lineRule="auto"/>
        <w:ind w:left="425" w:leftChars="0" w:hanging="425" w:firstLineChars="0"/>
      </w:pPr>
      <w:r>
        <w:rPr>
          <w:rFonts w:hint="eastAsia"/>
          <w:sz w:val="22"/>
          <w:szCs w:val="22"/>
          <w:lang w:val="en-US" w:eastAsia="zh-CN"/>
        </w:rPr>
        <w:t>前端页面采用Vue框架。</w:t>
      </w:r>
    </w:p>
    <w:p>
      <w:pPr>
        <w:pStyle w:val="9"/>
        <w:spacing w:line="360" w:lineRule="auto"/>
        <w:jc w:val="both"/>
        <w:rPr>
          <w:sz w:val="24"/>
          <w:szCs w:val="24"/>
        </w:rPr>
      </w:pPr>
      <w:bookmarkStart w:id="20" w:name="_Toc14573"/>
      <w:bookmarkStart w:id="21" w:name="_Toc25067023"/>
      <w:r>
        <w:rPr>
          <w:rFonts w:hint="eastAsia"/>
          <w:sz w:val="24"/>
          <w:szCs w:val="24"/>
        </w:rPr>
        <w:t>6.</w:t>
      </w:r>
      <w:bookmarkStart w:id="22" w:name="_Toc14031"/>
      <w:r>
        <w:rPr>
          <w:rFonts w:hint="eastAsia"/>
          <w:sz w:val="24"/>
          <w:szCs w:val="24"/>
        </w:rPr>
        <w:t>检测和试验</w:t>
      </w:r>
      <w:bookmarkEnd w:id="20"/>
      <w:bookmarkEnd w:id="21"/>
      <w:bookmarkEnd w:id="22"/>
    </w:p>
    <w:p>
      <w:pPr>
        <w:pStyle w:val="5"/>
        <w:numPr>
          <w:ilvl w:val="0"/>
          <w:numId w:val="0"/>
        </w:numPr>
        <w:bidi w:val="0"/>
        <w:spacing w:line="360" w:lineRule="auto"/>
        <w:rPr>
          <w:rFonts w:hint="eastAsia" w:ascii="宋体" w:hAnsi="宋体" w:eastAsia="宋体" w:cs="宋体"/>
          <w:b/>
          <w:bCs w:val="0"/>
          <w:caps/>
          <w:sz w:val="24"/>
          <w:szCs w:val="24"/>
          <w:lang w:val="en-US" w:eastAsia="zh-CN"/>
        </w:rPr>
      </w:pPr>
      <w:bookmarkStart w:id="23" w:name="_Toc6799"/>
      <w:bookmarkStart w:id="24" w:name="_Toc29140"/>
      <w:r>
        <w:rPr>
          <w:rFonts w:hint="eastAsia" w:ascii="宋体" w:hAnsi="宋体" w:eastAsia="宋体" w:cs="宋体"/>
          <w:b/>
          <w:bCs w:val="0"/>
          <w:caps/>
          <w:sz w:val="24"/>
          <w:szCs w:val="24"/>
          <w:lang w:val="en-US" w:eastAsia="zh-CN"/>
        </w:rPr>
        <w:t>6.1 系统功能测试</w:t>
      </w:r>
      <w:bookmarkEnd w:id="23"/>
    </w:p>
    <w:p>
      <w:pPr>
        <w:numPr>
          <w:ilvl w:val="0"/>
          <w:numId w:val="10"/>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开发自测：由开发人员执行，完成各自负责开发的功能后立刻进行测试，确保功能页面、逻辑和数据正常与需求描述相符；</w:t>
      </w:r>
    </w:p>
    <w:p>
      <w:pPr>
        <w:numPr>
          <w:ilvl w:val="0"/>
          <w:numId w:val="10"/>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单元测试：由测试工程师和业务人员执行，对开发人员已完成的单个功能进行测试，参考需求分析文档和原型设计确保功能逻辑、页面与需求和设计相符；</w:t>
      </w:r>
    </w:p>
    <w:p>
      <w:pPr>
        <w:numPr>
          <w:ilvl w:val="0"/>
          <w:numId w:val="10"/>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集成测试：由测试工程师和业务人员执行，系统开发到一定程度，对已经开发完成的多个功能进行统一测试，参考需求分析文档和原型设计，主要测试功能之间的逻辑关系以及多功能的系统稳定性；</w:t>
      </w:r>
    </w:p>
    <w:p>
      <w:pPr>
        <w:numPr>
          <w:ilvl w:val="0"/>
          <w:numId w:val="10"/>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冒烟测试：由测试工程师、业务人员和项目负责人执行，系统功能基本开发完成，对平台中所有功能进行全面测试，参考需求分析文档和原型设计，主要测试系统功能与需求的匹配度、系统稳定性以及系统易用性；</w:t>
      </w:r>
    </w:p>
    <w:p>
      <w:pPr>
        <w:numPr>
          <w:ilvl w:val="0"/>
          <w:numId w:val="10"/>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回归测试：在所有测试阶段针对测试出的问题和需要调整的功能，会在禅道中记录，修改完成后会安排回归测试，测试通过则关闭此问题，形成测试工作的闭环管理。</w:t>
      </w:r>
    </w:p>
    <w:p>
      <w:pPr>
        <w:pStyle w:val="5"/>
        <w:numPr>
          <w:ilvl w:val="0"/>
          <w:numId w:val="0"/>
        </w:numPr>
        <w:bidi w:val="0"/>
        <w:spacing w:line="360" w:lineRule="auto"/>
        <w:rPr>
          <w:rFonts w:hint="eastAsia" w:ascii="宋体" w:hAnsi="宋体" w:eastAsia="宋体" w:cs="宋体"/>
          <w:b/>
          <w:bCs w:val="0"/>
          <w:caps/>
          <w:sz w:val="24"/>
          <w:szCs w:val="24"/>
          <w:lang w:val="en-US" w:eastAsia="zh-CN"/>
        </w:rPr>
      </w:pPr>
      <w:bookmarkStart w:id="25" w:name="_Toc30280"/>
      <w:bookmarkStart w:id="26" w:name="_Toc31693"/>
      <w:r>
        <w:rPr>
          <w:rFonts w:hint="eastAsia" w:ascii="宋体" w:hAnsi="宋体" w:eastAsia="宋体" w:cs="宋体"/>
          <w:b/>
          <w:bCs w:val="0"/>
          <w:caps/>
          <w:sz w:val="24"/>
          <w:szCs w:val="24"/>
          <w:lang w:val="en-US" w:eastAsia="zh-CN"/>
        </w:rPr>
        <w:t>6.2 迁移测试</w:t>
      </w:r>
      <w:bookmarkEnd w:id="25"/>
      <w:bookmarkEnd w:id="26"/>
    </w:p>
    <w:p>
      <w:pPr>
        <w:numPr>
          <w:ilvl w:val="0"/>
          <w:numId w:val="11"/>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lang w:val="en-US" w:eastAsia="zh-CN"/>
        </w:rPr>
        <w:t>完整性</w:t>
      </w:r>
      <w:r>
        <w:rPr>
          <w:rFonts w:hint="eastAsia" w:ascii="宋体" w:hAnsi="宋体"/>
          <w:color w:val="000000"/>
          <w:sz w:val="24"/>
        </w:rPr>
        <w:t>测试：</w:t>
      </w:r>
      <w:r>
        <w:rPr>
          <w:rFonts w:hint="eastAsia" w:ascii="宋体" w:hAnsi="宋体"/>
          <w:color w:val="000000"/>
          <w:sz w:val="24"/>
          <w:lang w:val="en-US" w:eastAsia="zh-CN"/>
        </w:rPr>
        <w:t>在选择一个区域的一个油田作为试点，试验性数据迁移达到100%后再进行前面迁移</w:t>
      </w:r>
      <w:r>
        <w:rPr>
          <w:rFonts w:hint="eastAsia" w:ascii="宋体" w:hAnsi="宋体"/>
          <w:color w:val="000000"/>
          <w:sz w:val="24"/>
        </w:rPr>
        <w:t>；</w:t>
      </w:r>
    </w:p>
    <w:p>
      <w:pPr>
        <w:numPr>
          <w:ilvl w:val="0"/>
          <w:numId w:val="11"/>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并发测试：多用户多终端同时与数据平台进行交互时，数据平台的响应时间；</w:t>
      </w:r>
    </w:p>
    <w:p>
      <w:pPr>
        <w:numPr>
          <w:ilvl w:val="0"/>
          <w:numId w:val="11"/>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以上测试均出测试报告。</w:t>
      </w:r>
    </w:p>
    <w:p>
      <w:pPr>
        <w:pStyle w:val="5"/>
        <w:numPr>
          <w:ilvl w:val="0"/>
          <w:numId w:val="0"/>
        </w:numPr>
        <w:bidi w:val="0"/>
        <w:spacing w:line="360" w:lineRule="auto"/>
        <w:rPr>
          <w:rFonts w:hint="eastAsia" w:ascii="宋体" w:hAnsi="宋体" w:eastAsia="宋体" w:cs="宋体"/>
          <w:b/>
          <w:bCs w:val="0"/>
          <w:caps/>
          <w:sz w:val="24"/>
          <w:szCs w:val="24"/>
          <w:lang w:val="en-US" w:eastAsia="zh-CN"/>
        </w:rPr>
      </w:pPr>
      <w:bookmarkStart w:id="27" w:name="_Toc12203"/>
      <w:bookmarkStart w:id="28" w:name="_Toc4461"/>
      <w:r>
        <w:rPr>
          <w:rFonts w:hint="eastAsia" w:ascii="宋体" w:hAnsi="宋体" w:eastAsia="宋体" w:cs="宋体"/>
          <w:b/>
          <w:bCs w:val="0"/>
          <w:caps/>
          <w:sz w:val="24"/>
          <w:szCs w:val="24"/>
          <w:lang w:val="en-US" w:eastAsia="zh-CN"/>
        </w:rPr>
        <w:t>6.3 安全测试</w:t>
      </w:r>
      <w:bookmarkEnd w:id="27"/>
      <w:bookmarkEnd w:id="28"/>
    </w:p>
    <w:p>
      <w:pPr>
        <w:numPr>
          <w:ilvl w:val="0"/>
          <w:numId w:val="12"/>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注入式漏洞：通过SQL注入获取机密数据等漏洞的扫描；</w:t>
      </w:r>
    </w:p>
    <w:p>
      <w:pPr>
        <w:numPr>
          <w:ilvl w:val="0"/>
          <w:numId w:val="12"/>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异常处理：程序产生错误的时候提示的消息中含有敏感数据进行隐藏；</w:t>
      </w:r>
    </w:p>
    <w:p>
      <w:pPr>
        <w:numPr>
          <w:ilvl w:val="0"/>
          <w:numId w:val="12"/>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存储相关：视频、图片等数据进行权限管理；</w:t>
      </w:r>
    </w:p>
    <w:p>
      <w:pPr>
        <w:numPr>
          <w:ilvl w:val="0"/>
          <w:numId w:val="12"/>
        </w:numPr>
        <w:spacing w:line="360" w:lineRule="auto"/>
        <w:ind w:left="425" w:leftChars="0" w:hanging="425" w:firstLineChars="0"/>
        <w:jc w:val="left"/>
        <w:rPr>
          <w:rFonts w:hint="eastAsia" w:ascii="宋体" w:hAnsi="宋体"/>
          <w:color w:val="000000"/>
          <w:sz w:val="24"/>
        </w:rPr>
      </w:pPr>
      <w:r>
        <w:rPr>
          <w:rFonts w:hint="eastAsia" w:ascii="宋体" w:hAnsi="宋体"/>
          <w:color w:val="000000"/>
          <w:sz w:val="24"/>
        </w:rPr>
        <w:t>配置管理：端口号，服务器相关配置是否加密存储；</w:t>
      </w:r>
    </w:p>
    <w:p>
      <w:pPr>
        <w:numPr>
          <w:ilvl w:val="0"/>
          <w:numId w:val="12"/>
        </w:numPr>
        <w:spacing w:line="360" w:lineRule="auto"/>
        <w:ind w:left="425" w:leftChars="0" w:hanging="425" w:firstLineChars="0"/>
        <w:jc w:val="left"/>
        <w:rPr>
          <w:rFonts w:hint="eastAsia" w:ascii="宋体" w:hAnsi="宋体" w:eastAsia="宋体"/>
          <w:color w:val="000000"/>
          <w:sz w:val="24"/>
          <w:lang w:eastAsia="zh-CN"/>
        </w:rPr>
      </w:pPr>
      <w:r>
        <w:rPr>
          <w:rFonts w:hint="eastAsia" w:ascii="宋体" w:hAnsi="宋体"/>
          <w:color w:val="000000"/>
          <w:sz w:val="24"/>
        </w:rPr>
        <w:t>权限控制：不同用户只能看到自己权限下的页面与数据</w:t>
      </w:r>
      <w:r>
        <w:rPr>
          <w:rFonts w:hint="eastAsia" w:ascii="宋体" w:hAnsi="宋体"/>
          <w:color w:val="000000"/>
          <w:sz w:val="24"/>
          <w:lang w:eastAsia="zh-CN"/>
        </w:rPr>
        <w:t>。</w:t>
      </w:r>
    </w:p>
    <w:p>
      <w:pPr>
        <w:pStyle w:val="4"/>
        <w:numPr>
          <w:ilvl w:val="0"/>
          <w:numId w:val="0"/>
        </w:numPr>
        <w:tabs>
          <w:tab w:val="left" w:pos="608"/>
        </w:tabs>
        <w:spacing w:line="360" w:lineRule="auto"/>
        <w:rPr>
          <w:rFonts w:ascii="Cambria" w:hAnsi="Cambria" w:cs="Times New Roman"/>
          <w:caps w:val="0"/>
          <w:kern w:val="0"/>
          <w:szCs w:val="24"/>
        </w:rPr>
      </w:pPr>
      <w:bookmarkStart w:id="29" w:name="_Toc29324"/>
      <w:r>
        <w:rPr>
          <w:rFonts w:hint="eastAsia" w:ascii="Cambria" w:hAnsi="Cambria" w:cs="Times New Roman"/>
          <w:caps w:val="0"/>
          <w:kern w:val="0"/>
          <w:szCs w:val="24"/>
        </w:rPr>
        <w:t>7.铭牌／标识、涂敷、包装、运输、储存</w:t>
      </w:r>
      <w:bookmarkEnd w:id="24"/>
      <w:bookmarkEnd w:id="29"/>
    </w:p>
    <w:p>
      <w:pPr>
        <w:spacing w:line="360" w:lineRule="auto"/>
        <w:ind w:firstLine="480" w:firstLineChars="200"/>
        <w:contextualSpacing/>
        <w:rPr>
          <w:sz w:val="24"/>
          <w:szCs w:val="24"/>
        </w:rPr>
      </w:pPr>
      <w:r>
        <w:rPr>
          <w:rFonts w:hint="eastAsia"/>
          <w:sz w:val="24"/>
          <w:szCs w:val="24"/>
          <w:lang w:val="en-US" w:eastAsia="zh-CN"/>
        </w:rPr>
        <w:t>无</w:t>
      </w:r>
    </w:p>
    <w:p>
      <w:pPr>
        <w:pStyle w:val="4"/>
        <w:numPr>
          <w:ilvl w:val="0"/>
          <w:numId w:val="0"/>
        </w:numPr>
        <w:tabs>
          <w:tab w:val="left" w:pos="608"/>
        </w:tabs>
        <w:spacing w:line="360" w:lineRule="auto"/>
        <w:rPr>
          <w:rFonts w:ascii="Arial" w:hAnsi="Arial" w:cs="Arial"/>
          <w:bCs/>
          <w:sz w:val="24"/>
          <w:szCs w:val="24"/>
        </w:rPr>
      </w:pPr>
      <w:bookmarkStart w:id="30" w:name="_Toc7874"/>
      <w:bookmarkStart w:id="31" w:name="_Toc9029"/>
      <w:r>
        <w:rPr>
          <w:rFonts w:hint="eastAsia" w:ascii="Cambria" w:hAnsi="Cambria" w:cs="Times New Roman"/>
          <w:caps w:val="0"/>
          <w:kern w:val="0"/>
          <w:szCs w:val="24"/>
        </w:rPr>
        <w:t>8.技术文件</w:t>
      </w:r>
      <w:bookmarkEnd w:id="30"/>
      <w:bookmarkEnd w:id="31"/>
    </w:p>
    <w:p>
      <w:pPr>
        <w:pStyle w:val="5"/>
        <w:numPr>
          <w:ilvl w:val="0"/>
          <w:numId w:val="0"/>
        </w:numPr>
        <w:spacing w:line="360" w:lineRule="auto"/>
        <w:rPr>
          <w:szCs w:val="24"/>
        </w:rPr>
      </w:pPr>
      <w:bookmarkStart w:id="32" w:name="_Toc13765"/>
      <w:r>
        <w:rPr>
          <w:rFonts w:hint="eastAsia"/>
          <w:szCs w:val="24"/>
        </w:rPr>
        <w:t>8.</w:t>
      </w:r>
      <w:r>
        <w:rPr>
          <w:rFonts w:hint="eastAsia"/>
          <w:szCs w:val="24"/>
          <w:lang w:val="en-US" w:eastAsia="zh-CN"/>
        </w:rPr>
        <w:t xml:space="preserve">1 </w:t>
      </w:r>
      <w:r>
        <w:rPr>
          <w:rFonts w:hint="eastAsia"/>
          <w:szCs w:val="24"/>
        </w:rPr>
        <w:t>投标技术文件</w:t>
      </w:r>
      <w:bookmarkEnd w:id="32"/>
    </w:p>
    <w:p>
      <w:pPr>
        <w:pStyle w:val="23"/>
        <w:spacing w:line="360" w:lineRule="auto"/>
        <w:ind w:left="420" w:leftChars="200" w:firstLine="0"/>
        <w:contextualSpacing/>
        <w:rPr>
          <w:rFonts w:ascii="Arial" w:hAnsi="Arial" w:cs="Arial"/>
          <w:bCs/>
          <w:sz w:val="24"/>
          <w:szCs w:val="24"/>
        </w:rPr>
      </w:pPr>
      <w:r>
        <w:rPr>
          <w:rFonts w:hint="eastAsia" w:cs="Arial"/>
          <w:bCs/>
          <w:sz w:val="24"/>
          <w:szCs w:val="24"/>
        </w:rPr>
        <w:t>（1）</w:t>
      </w:r>
      <w:r>
        <w:rPr>
          <w:rFonts w:hint="eastAsia" w:ascii="Arial" w:hAnsi="Arial" w:cs="Arial"/>
          <w:bCs/>
          <w:sz w:val="24"/>
          <w:szCs w:val="24"/>
        </w:rPr>
        <w:t>分供和分包情况；</w:t>
      </w:r>
    </w:p>
    <w:p>
      <w:pPr>
        <w:pStyle w:val="23"/>
        <w:spacing w:line="360" w:lineRule="auto"/>
        <w:ind w:left="420" w:leftChars="200" w:firstLine="0"/>
        <w:contextualSpacing/>
        <w:rPr>
          <w:rFonts w:hint="eastAsia" w:ascii="Arial" w:hAnsi="Arial" w:eastAsia="宋体" w:cs="Arial"/>
          <w:bCs/>
          <w:sz w:val="24"/>
          <w:szCs w:val="24"/>
          <w:lang w:eastAsia="zh-CN"/>
        </w:rPr>
      </w:pPr>
      <w:r>
        <w:rPr>
          <w:rFonts w:hint="eastAsia" w:cs="Arial"/>
          <w:bCs/>
          <w:sz w:val="24"/>
          <w:szCs w:val="24"/>
        </w:rPr>
        <w:t>（2）</w:t>
      </w:r>
      <w:r>
        <w:rPr>
          <w:rFonts w:hint="eastAsia" w:ascii="Arial" w:hAnsi="Arial" w:cs="Arial"/>
          <w:bCs/>
          <w:sz w:val="24"/>
          <w:szCs w:val="24"/>
          <w:lang w:val="en-US" w:eastAsia="zh-CN"/>
        </w:rPr>
        <w:t>实施</w:t>
      </w:r>
      <w:r>
        <w:rPr>
          <w:rFonts w:hint="eastAsia" w:ascii="Arial" w:hAnsi="Arial" w:cs="Arial"/>
          <w:bCs/>
          <w:sz w:val="24"/>
          <w:szCs w:val="24"/>
        </w:rPr>
        <w:t>计划</w:t>
      </w:r>
      <w:r>
        <w:rPr>
          <w:rFonts w:hint="eastAsia" w:ascii="Arial" w:hAnsi="Arial" w:cs="Arial"/>
          <w:bCs/>
          <w:sz w:val="24"/>
          <w:szCs w:val="24"/>
          <w:lang w:eastAsia="zh-CN"/>
        </w:rPr>
        <w:t>；</w:t>
      </w:r>
    </w:p>
    <w:p>
      <w:pPr>
        <w:pStyle w:val="23"/>
        <w:spacing w:line="360" w:lineRule="auto"/>
        <w:ind w:left="420" w:leftChars="200" w:firstLine="0"/>
        <w:contextualSpacing/>
        <w:rPr>
          <w:rFonts w:hint="eastAsia" w:ascii="Arial" w:hAnsi="Arial" w:cs="Arial"/>
          <w:bCs/>
          <w:sz w:val="24"/>
          <w:szCs w:val="24"/>
          <w:lang w:val="en-US" w:eastAsia="zh-CN"/>
        </w:rPr>
      </w:pPr>
      <w:r>
        <w:rPr>
          <w:rFonts w:hint="eastAsia" w:ascii="Arial" w:hAnsi="Arial" w:cs="Arial"/>
          <w:bCs/>
          <w:sz w:val="24"/>
          <w:szCs w:val="24"/>
          <w:lang w:val="en-US" w:eastAsia="zh-CN"/>
        </w:rPr>
        <w:t>（3）其它必要的技术文件。</w:t>
      </w:r>
    </w:p>
    <w:p>
      <w:pPr>
        <w:pStyle w:val="5"/>
        <w:numPr>
          <w:ilvl w:val="0"/>
          <w:numId w:val="0"/>
        </w:numPr>
        <w:spacing w:line="360" w:lineRule="auto"/>
        <w:rPr>
          <w:szCs w:val="24"/>
        </w:rPr>
      </w:pPr>
      <w:bookmarkStart w:id="33" w:name="_Toc28474"/>
      <w:r>
        <w:rPr>
          <w:rFonts w:hint="eastAsia"/>
          <w:szCs w:val="24"/>
          <w:lang w:val="en-US" w:eastAsia="zh-CN"/>
        </w:rPr>
        <w:t xml:space="preserve">8.2 </w:t>
      </w:r>
      <w:r>
        <w:rPr>
          <w:rFonts w:hint="eastAsia"/>
          <w:szCs w:val="24"/>
        </w:rPr>
        <w:t>交付技术文件</w:t>
      </w:r>
      <w:bookmarkEnd w:id="33"/>
    </w:p>
    <w:p>
      <w:pPr>
        <w:pStyle w:val="21"/>
        <w:numPr>
          <w:ilvl w:val="0"/>
          <w:numId w:val="13"/>
        </w:numPr>
        <w:suppressAutoHyphens w:val="0"/>
        <w:spacing w:line="360" w:lineRule="auto"/>
        <w:rPr>
          <w:rFonts w:ascii="Times New Roman" w:hAnsi="Times New Roman"/>
          <w:szCs w:val="24"/>
          <w:lang w:val="en-US" w:eastAsia="zh-CN"/>
        </w:rPr>
      </w:pPr>
      <w:r>
        <w:rPr>
          <w:rFonts w:hint="eastAsia" w:ascii="宋体" w:hAnsi="宋体" w:cs="宋体"/>
          <w:kern w:val="2"/>
          <w:szCs w:val="24"/>
          <w:lang w:val="en-US" w:eastAsia="zh-CN"/>
        </w:rPr>
        <w:t>详细设计报告；</w:t>
      </w:r>
    </w:p>
    <w:p>
      <w:pPr>
        <w:pStyle w:val="21"/>
        <w:numPr>
          <w:ilvl w:val="0"/>
          <w:numId w:val="13"/>
        </w:numPr>
        <w:suppressAutoHyphens w:val="0"/>
        <w:spacing w:line="360" w:lineRule="auto"/>
        <w:rPr>
          <w:rFonts w:ascii="Times New Roman" w:hAnsi="Times New Roman"/>
          <w:szCs w:val="24"/>
          <w:lang w:val="en-US" w:eastAsia="zh-CN"/>
        </w:rPr>
      </w:pPr>
      <w:r>
        <w:rPr>
          <w:rFonts w:hint="eastAsia" w:ascii="Times New Roman" w:hAnsi="Times New Roman"/>
          <w:szCs w:val="24"/>
          <w:lang w:val="en-US" w:eastAsia="zh-CN"/>
        </w:rPr>
        <w:t>系统测试报告</w:t>
      </w:r>
      <w:r>
        <w:rPr>
          <w:rFonts w:ascii="Times New Roman" w:hAnsi="Times New Roman"/>
          <w:szCs w:val="24"/>
          <w:lang w:val="en-US" w:eastAsia="zh-CN"/>
        </w:rPr>
        <w:t>；</w:t>
      </w:r>
    </w:p>
    <w:p>
      <w:pPr>
        <w:pStyle w:val="21"/>
        <w:numPr>
          <w:ilvl w:val="0"/>
          <w:numId w:val="13"/>
        </w:numPr>
        <w:suppressAutoHyphens w:val="0"/>
        <w:spacing w:line="360" w:lineRule="auto"/>
        <w:rPr>
          <w:rFonts w:ascii="Times New Roman" w:hAnsi="Times New Roman"/>
          <w:szCs w:val="24"/>
          <w:lang w:val="en-US" w:eastAsia="zh-CN"/>
        </w:rPr>
      </w:pPr>
      <w:r>
        <w:rPr>
          <w:rFonts w:hint="eastAsia" w:ascii="宋体" w:hAnsi="宋体" w:cs="宋体"/>
          <w:kern w:val="2"/>
          <w:szCs w:val="24"/>
          <w:lang w:val="en-US" w:eastAsia="zh-CN"/>
        </w:rPr>
        <w:t>系统软件程序源代码；</w:t>
      </w:r>
    </w:p>
    <w:p>
      <w:pPr>
        <w:pStyle w:val="21"/>
        <w:numPr>
          <w:ilvl w:val="0"/>
          <w:numId w:val="13"/>
        </w:numPr>
        <w:suppressAutoHyphens w:val="0"/>
        <w:spacing w:line="360" w:lineRule="auto"/>
        <w:rPr>
          <w:sz w:val="24"/>
          <w:szCs w:val="24"/>
        </w:rPr>
      </w:pPr>
      <w:r>
        <w:rPr>
          <w:rFonts w:hint="eastAsia" w:ascii="Times New Roman" w:hAnsi="Times New Roman"/>
          <w:szCs w:val="24"/>
          <w:lang w:val="en-US" w:eastAsia="zh-CN"/>
        </w:rPr>
        <w:t>数据迁移清单。</w:t>
      </w:r>
    </w:p>
    <w:p>
      <w:pPr>
        <w:pStyle w:val="4"/>
        <w:numPr>
          <w:ilvl w:val="0"/>
          <w:numId w:val="0"/>
        </w:numPr>
        <w:tabs>
          <w:tab w:val="left" w:pos="608"/>
        </w:tabs>
        <w:spacing w:line="360" w:lineRule="auto"/>
        <w:rPr>
          <w:rFonts w:ascii="Cambria" w:hAnsi="Cambria" w:cs="Times New Roman"/>
          <w:caps w:val="0"/>
          <w:kern w:val="0"/>
          <w:szCs w:val="24"/>
        </w:rPr>
      </w:pPr>
      <w:bookmarkStart w:id="34" w:name="_Toc24482"/>
      <w:bookmarkStart w:id="35" w:name="_Toc4877"/>
      <w:r>
        <w:rPr>
          <w:rFonts w:hint="eastAsia" w:ascii="Cambria" w:hAnsi="Cambria" w:cs="Times New Roman"/>
          <w:caps w:val="0"/>
          <w:kern w:val="0"/>
          <w:szCs w:val="24"/>
        </w:rPr>
        <w:t>9.工作进度、监造和现场验收</w:t>
      </w:r>
      <w:bookmarkEnd w:id="34"/>
      <w:bookmarkEnd w:id="35"/>
    </w:p>
    <w:p>
      <w:pPr>
        <w:pStyle w:val="21"/>
        <w:suppressAutoHyphens w:val="0"/>
        <w:spacing w:line="360" w:lineRule="auto"/>
        <w:ind w:firstLine="480" w:firstLineChars="200"/>
        <w:rPr>
          <w:rFonts w:ascii="Times New Roman" w:hAnsi="Times New Roman"/>
          <w:szCs w:val="24"/>
          <w:lang w:val="en-US" w:eastAsia="zh-CN"/>
        </w:rPr>
      </w:pPr>
      <w:bookmarkStart w:id="36" w:name="_Toc2193"/>
      <w:bookmarkStart w:id="37" w:name="_Toc11330"/>
      <w:r>
        <w:rPr>
          <w:rFonts w:ascii="Times New Roman" w:hAnsi="Times New Roman"/>
          <w:szCs w:val="24"/>
          <w:lang w:val="en-US" w:eastAsia="zh-CN"/>
        </w:rPr>
        <w:t>合同签订后，</w:t>
      </w:r>
      <w:r>
        <w:rPr>
          <w:rFonts w:hint="eastAsia" w:ascii="Times New Roman" w:hAnsi="Times New Roman"/>
          <w:szCs w:val="24"/>
          <w:lang w:val="en-US" w:eastAsia="zh-CN"/>
        </w:rPr>
        <w:t>乙</w:t>
      </w:r>
      <w:r>
        <w:rPr>
          <w:rFonts w:ascii="Times New Roman" w:hAnsi="Times New Roman"/>
          <w:szCs w:val="24"/>
          <w:lang w:val="en-US" w:eastAsia="zh-CN"/>
        </w:rPr>
        <w:t>方应指定负责本</w:t>
      </w:r>
      <w:r>
        <w:rPr>
          <w:rFonts w:hint="eastAsia" w:ascii="Times New Roman" w:hAnsi="Times New Roman"/>
          <w:szCs w:val="24"/>
          <w:lang w:val="en-US" w:eastAsia="zh-CN"/>
        </w:rPr>
        <w:t>项目</w:t>
      </w:r>
      <w:r>
        <w:rPr>
          <w:rFonts w:ascii="Times New Roman" w:hAnsi="Times New Roman"/>
          <w:szCs w:val="24"/>
          <w:lang w:val="en-US" w:eastAsia="zh-CN"/>
        </w:rPr>
        <w:t>的项目经理，</w:t>
      </w:r>
      <w:r>
        <w:rPr>
          <w:rFonts w:hint="eastAsia" w:ascii="Times New Roman" w:hAnsi="Times New Roman"/>
          <w:szCs w:val="24"/>
          <w:lang w:val="en-US" w:eastAsia="zh-CN"/>
        </w:rPr>
        <w:t>并要求驻厂，</w:t>
      </w:r>
      <w:r>
        <w:rPr>
          <w:rFonts w:ascii="Times New Roman" w:hAnsi="Times New Roman"/>
          <w:szCs w:val="24"/>
          <w:lang w:val="en-US" w:eastAsia="zh-CN"/>
        </w:rPr>
        <w:t>以协调供方在</w:t>
      </w:r>
      <w:r>
        <w:rPr>
          <w:rFonts w:hint="eastAsia" w:ascii="Times New Roman" w:hAnsi="Times New Roman"/>
          <w:szCs w:val="24"/>
          <w:lang w:val="en-US" w:eastAsia="zh-CN"/>
        </w:rPr>
        <w:t>项目</w:t>
      </w:r>
      <w:r>
        <w:rPr>
          <w:rFonts w:ascii="Times New Roman" w:hAnsi="Times New Roman"/>
          <w:szCs w:val="24"/>
          <w:lang w:val="en-US" w:eastAsia="zh-CN"/>
        </w:rPr>
        <w:t>全过程的各项工作，如：</w:t>
      </w:r>
      <w:r>
        <w:rPr>
          <w:rFonts w:hint="eastAsia" w:ascii="Times New Roman" w:hAnsi="Times New Roman"/>
          <w:szCs w:val="24"/>
          <w:lang w:val="en-US" w:eastAsia="zh-CN"/>
        </w:rPr>
        <w:t>项目</w:t>
      </w:r>
      <w:r>
        <w:rPr>
          <w:rFonts w:ascii="Times New Roman" w:hAnsi="Times New Roman"/>
          <w:szCs w:val="24"/>
          <w:lang w:val="en-US" w:eastAsia="zh-CN"/>
        </w:rPr>
        <w:t>进度、设计、</w:t>
      </w:r>
      <w:r>
        <w:rPr>
          <w:rFonts w:hint="eastAsia" w:ascii="Times New Roman" w:hAnsi="Times New Roman"/>
          <w:szCs w:val="24"/>
          <w:lang w:val="en-US" w:eastAsia="zh-CN"/>
        </w:rPr>
        <w:t>实施</w:t>
      </w:r>
      <w:r>
        <w:rPr>
          <w:rFonts w:ascii="Times New Roman" w:hAnsi="Times New Roman"/>
          <w:szCs w:val="24"/>
          <w:lang w:val="en-US" w:eastAsia="zh-CN"/>
        </w:rPr>
        <w:t>方案、现场</w:t>
      </w:r>
      <w:r>
        <w:rPr>
          <w:rFonts w:hint="eastAsia" w:ascii="Times New Roman" w:hAnsi="Times New Roman"/>
          <w:szCs w:val="24"/>
          <w:lang w:val="en-US" w:eastAsia="zh-CN"/>
        </w:rPr>
        <w:t>测试、</w:t>
      </w:r>
      <w:r>
        <w:rPr>
          <w:rFonts w:ascii="Times New Roman" w:hAnsi="Times New Roman"/>
          <w:szCs w:val="24"/>
          <w:lang w:val="en-US" w:eastAsia="zh-CN"/>
        </w:rPr>
        <w:t>验收、服务及培训等。</w:t>
      </w:r>
    </w:p>
    <w:p>
      <w:pPr>
        <w:pStyle w:val="21"/>
        <w:suppressAutoHyphens w:val="0"/>
        <w:spacing w:line="360" w:lineRule="auto"/>
        <w:rPr>
          <w:rFonts w:ascii="宋体" w:hAnsi="宋体"/>
        </w:rPr>
      </w:pPr>
      <w:r>
        <w:rPr>
          <w:rFonts w:hint="eastAsia" w:ascii="宋体" w:hAnsi="宋体"/>
        </w:rPr>
        <w:t>本项目分为</w:t>
      </w:r>
      <w:r>
        <w:rPr>
          <w:rFonts w:hint="eastAsia" w:ascii="宋体" w:hAnsi="宋体"/>
          <w:lang w:val="en-US" w:eastAsia="zh-CN"/>
        </w:rPr>
        <w:t>两</w:t>
      </w:r>
      <w:r>
        <w:rPr>
          <w:rFonts w:hint="eastAsia" w:ascii="宋体" w:hAnsi="宋体"/>
        </w:rPr>
        <w:t>个阶段，</w:t>
      </w:r>
      <w:r>
        <w:rPr>
          <w:rFonts w:hint="eastAsia" w:ascii="宋体" w:hAnsi="宋体"/>
          <w:lang w:val="en-US" w:eastAsia="zh-CN"/>
        </w:rPr>
        <w:t>合同签订后</w:t>
      </w:r>
      <w:r>
        <w:rPr>
          <w:rFonts w:hint="eastAsia"/>
          <w:szCs w:val="24"/>
          <w:lang w:val="en-US" w:eastAsia="zh-CN"/>
        </w:rPr>
        <w:t>至2026年11月30日，</w:t>
      </w:r>
      <w:r>
        <w:rPr>
          <w:rFonts w:hint="eastAsia" w:ascii="宋体" w:hAnsi="宋体"/>
        </w:rPr>
        <w:t>具体进度安排详见下面的项目里程碑列表：</w:t>
      </w:r>
    </w:p>
    <w:p>
      <w:pPr>
        <w:pStyle w:val="21"/>
        <w:suppressAutoHyphens w:val="0"/>
        <w:spacing w:line="360" w:lineRule="auto"/>
        <w:ind w:firstLine="440" w:firstLineChars="200"/>
        <w:rPr>
          <w:rFonts w:hint="eastAsia" w:ascii="Times New Roman" w:hAnsi="Times New Roman"/>
          <w:sz w:val="22"/>
          <w:szCs w:val="22"/>
          <w:highlight w:val="yellow"/>
          <w:lang w:val="en-US" w:eastAsia="zh-CN"/>
        </w:rPr>
      </w:pPr>
    </w:p>
    <w:tbl>
      <w:tblPr>
        <w:tblStyle w:val="16"/>
        <w:tblpPr w:leftFromText="180" w:rightFromText="180" w:vertAnchor="text" w:horzAnchor="page" w:tblpX="1350" w:tblpY="215"/>
        <w:tblOverlap w:val="never"/>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681"/>
        <w:gridCol w:w="2303"/>
        <w:gridCol w:w="5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shd w:val="clear" w:color="auto" w:fill="D9D9D9"/>
            <w:noWrap w:val="0"/>
            <w:vAlign w:val="top"/>
          </w:tcPr>
          <w:p>
            <w:pPr>
              <w:jc w:val="center"/>
              <w:rPr>
                <w:b/>
                <w:sz w:val="24"/>
                <w:szCs w:val="24"/>
              </w:rPr>
            </w:pPr>
            <w:r>
              <w:rPr>
                <w:rFonts w:hint="eastAsia"/>
                <w:b/>
                <w:sz w:val="24"/>
                <w:szCs w:val="24"/>
              </w:rPr>
              <w:t>阶段</w:t>
            </w:r>
          </w:p>
        </w:tc>
        <w:tc>
          <w:tcPr>
            <w:tcW w:w="1681" w:type="dxa"/>
            <w:shd w:val="clear" w:color="auto" w:fill="D9D9D9"/>
            <w:noWrap w:val="0"/>
            <w:vAlign w:val="top"/>
          </w:tcPr>
          <w:p>
            <w:pPr>
              <w:jc w:val="center"/>
              <w:rPr>
                <w:rFonts w:hint="eastAsia"/>
                <w:b/>
                <w:sz w:val="24"/>
                <w:szCs w:val="24"/>
              </w:rPr>
            </w:pPr>
            <w:r>
              <w:rPr>
                <w:rFonts w:hint="eastAsia"/>
                <w:b/>
                <w:sz w:val="24"/>
                <w:szCs w:val="24"/>
              </w:rPr>
              <w:t>时间</w:t>
            </w:r>
          </w:p>
        </w:tc>
        <w:tc>
          <w:tcPr>
            <w:tcW w:w="2303" w:type="dxa"/>
            <w:shd w:val="clear" w:color="auto" w:fill="D9D9D9"/>
            <w:noWrap w:val="0"/>
            <w:vAlign w:val="top"/>
          </w:tcPr>
          <w:p>
            <w:pPr>
              <w:jc w:val="center"/>
              <w:rPr>
                <w:b/>
                <w:sz w:val="24"/>
                <w:szCs w:val="24"/>
              </w:rPr>
            </w:pPr>
            <w:r>
              <w:rPr>
                <w:rFonts w:hint="eastAsia"/>
                <w:b/>
                <w:sz w:val="24"/>
                <w:szCs w:val="24"/>
              </w:rPr>
              <w:t>工作内容</w:t>
            </w:r>
          </w:p>
        </w:tc>
        <w:tc>
          <w:tcPr>
            <w:tcW w:w="5270" w:type="dxa"/>
            <w:shd w:val="clear" w:color="auto" w:fill="D9D9D9"/>
            <w:noWrap w:val="0"/>
            <w:vAlign w:val="top"/>
          </w:tcPr>
          <w:p>
            <w:pPr>
              <w:jc w:val="center"/>
              <w:rPr>
                <w:b/>
                <w:sz w:val="24"/>
                <w:szCs w:val="24"/>
              </w:rPr>
            </w:pPr>
            <w:r>
              <w:rPr>
                <w:rFonts w:hint="eastAsia"/>
                <w:b/>
                <w:sz w:val="24"/>
                <w:szCs w:val="24"/>
              </w:rPr>
              <w:t>里程碑交付物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center"/>
          </w:tcPr>
          <w:p>
            <w:pPr>
              <w:pStyle w:val="23"/>
              <w:spacing w:line="360" w:lineRule="auto"/>
              <w:ind w:firstLine="0"/>
              <w:jc w:val="center"/>
              <w:rPr>
                <w:rFonts w:hint="eastAsia" w:ascii="宋体" w:hAnsi="宋体"/>
                <w:sz w:val="24"/>
                <w:szCs w:val="24"/>
              </w:rPr>
            </w:pPr>
            <w:r>
              <w:rPr>
                <w:rFonts w:hint="eastAsia" w:ascii="宋体" w:hAnsi="宋体"/>
                <w:sz w:val="24"/>
                <w:szCs w:val="24"/>
              </w:rPr>
              <w:t>第一阶段</w:t>
            </w:r>
          </w:p>
        </w:tc>
        <w:tc>
          <w:tcPr>
            <w:tcW w:w="1681" w:type="dxa"/>
            <w:noWrap w:val="0"/>
            <w:vAlign w:val="center"/>
          </w:tcPr>
          <w:p>
            <w:pPr>
              <w:spacing w:line="360" w:lineRule="auto"/>
              <w:jc w:val="center"/>
              <w:rPr>
                <w:rFonts w:hint="default" w:ascii="宋体" w:hAnsi="宋体" w:eastAsia="宋体"/>
                <w:bCs w:val="0"/>
                <w:sz w:val="24"/>
                <w:szCs w:val="24"/>
                <w:lang w:val="en-US" w:eastAsia="zh-CN"/>
              </w:rPr>
            </w:pPr>
            <w:r>
              <w:rPr>
                <w:rFonts w:hint="eastAsia" w:ascii="宋体" w:hAnsi="宋体"/>
                <w:color w:val="000000"/>
                <w:sz w:val="24"/>
              </w:rPr>
              <w:t>合同签订之日起</w:t>
            </w:r>
            <w:r>
              <w:rPr>
                <w:rFonts w:hint="eastAsia"/>
                <w:szCs w:val="24"/>
                <w:lang w:val="en-US" w:eastAsia="zh-CN"/>
              </w:rPr>
              <w:t>-合同签订1个月内</w:t>
            </w:r>
          </w:p>
        </w:tc>
        <w:tc>
          <w:tcPr>
            <w:tcW w:w="2303" w:type="dxa"/>
            <w:noWrap w:val="0"/>
            <w:vAlign w:val="center"/>
          </w:tcPr>
          <w:p>
            <w:pPr>
              <w:spacing w:line="360" w:lineRule="auto"/>
              <w:jc w:val="center"/>
              <w:rPr>
                <w:rFonts w:hint="default" w:ascii="宋体" w:hAnsi="宋体" w:eastAsia="宋体"/>
                <w:bCs w:val="0"/>
                <w:sz w:val="24"/>
                <w:szCs w:val="24"/>
                <w:lang w:val="en-US" w:eastAsia="zh-CN"/>
              </w:rPr>
            </w:pPr>
            <w:r>
              <w:rPr>
                <w:rFonts w:hint="eastAsia" w:ascii="宋体" w:hAnsi="宋体"/>
                <w:bCs w:val="0"/>
                <w:sz w:val="24"/>
                <w:szCs w:val="24"/>
                <w:lang w:val="en-US" w:eastAsia="zh-CN"/>
              </w:rPr>
              <w:t>测井数据库存量数据</w:t>
            </w:r>
            <w:r>
              <w:rPr>
                <w:rFonts w:hint="eastAsia" w:ascii="宋体" w:hAnsi="宋体"/>
                <w:bCs w:val="0"/>
                <w:sz w:val="24"/>
                <w:szCs w:val="24"/>
              </w:rPr>
              <w:t>调研</w:t>
            </w:r>
            <w:r>
              <w:rPr>
                <w:rFonts w:hint="eastAsia" w:ascii="宋体" w:hAnsi="宋体"/>
                <w:bCs w:val="0"/>
                <w:sz w:val="24"/>
                <w:szCs w:val="24"/>
                <w:lang w:eastAsia="zh-CN"/>
              </w:rPr>
              <w:t>、</w:t>
            </w:r>
            <w:r>
              <w:rPr>
                <w:rFonts w:hint="eastAsia" w:ascii="宋体" w:hAnsi="宋体"/>
                <w:bCs w:val="0"/>
                <w:sz w:val="24"/>
                <w:szCs w:val="24"/>
              </w:rPr>
              <w:t>需求分析</w:t>
            </w:r>
            <w:r>
              <w:rPr>
                <w:rFonts w:hint="eastAsia" w:ascii="宋体" w:hAnsi="宋体"/>
                <w:bCs w:val="0"/>
                <w:sz w:val="24"/>
                <w:szCs w:val="24"/>
                <w:lang w:val="en-US" w:eastAsia="zh-CN"/>
              </w:rPr>
              <w:t>，及迁移技术方案详细设计阶段</w:t>
            </w:r>
          </w:p>
        </w:tc>
        <w:tc>
          <w:tcPr>
            <w:tcW w:w="5270" w:type="dxa"/>
            <w:noWrap w:val="0"/>
            <w:vAlign w:val="center"/>
          </w:tcPr>
          <w:p>
            <w:pPr>
              <w:pStyle w:val="2"/>
              <w:ind w:left="0" w:leftChars="0" w:firstLine="0" w:firstLineChars="0"/>
              <w:jc w:val="center"/>
              <w:rPr>
                <w:rFonts w:hint="default"/>
                <w:lang w:val="en-US" w:eastAsia="zh-CN"/>
              </w:rPr>
            </w:pPr>
            <w:r>
              <w:rPr>
                <w:rFonts w:hint="eastAsia" w:ascii="宋体" w:hAnsi="宋体" w:eastAsia="宋体" w:cs="宋体"/>
                <w:b w:val="0"/>
                <w:bCs w:val="0"/>
                <w:sz w:val="24"/>
                <w:szCs w:val="24"/>
                <w:lang w:val="en-US" w:eastAsia="zh-CN"/>
              </w:rPr>
              <w:t>《测井数据库存量数据迁移技术方案》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center"/>
          </w:tcPr>
          <w:p>
            <w:pPr>
              <w:pStyle w:val="23"/>
              <w:spacing w:line="360" w:lineRule="auto"/>
              <w:ind w:firstLine="0"/>
              <w:jc w:val="center"/>
              <w:rPr>
                <w:rFonts w:hint="eastAsia" w:ascii="宋体" w:hAnsi="宋体"/>
                <w:sz w:val="24"/>
                <w:szCs w:val="24"/>
              </w:rPr>
            </w:pPr>
            <w:r>
              <w:rPr>
                <w:rFonts w:hint="eastAsia" w:ascii="宋体" w:hAnsi="宋体"/>
                <w:sz w:val="24"/>
                <w:szCs w:val="24"/>
              </w:rPr>
              <w:t>第</w:t>
            </w:r>
            <w:r>
              <w:rPr>
                <w:rFonts w:hint="eastAsia" w:ascii="宋体" w:hAnsi="宋体"/>
                <w:sz w:val="24"/>
                <w:szCs w:val="24"/>
                <w:lang w:val="en-US" w:eastAsia="zh-CN"/>
              </w:rPr>
              <w:t>二</w:t>
            </w:r>
            <w:r>
              <w:rPr>
                <w:rFonts w:hint="eastAsia" w:ascii="宋体" w:hAnsi="宋体"/>
                <w:sz w:val="24"/>
                <w:szCs w:val="24"/>
              </w:rPr>
              <w:t>阶段</w:t>
            </w:r>
          </w:p>
        </w:tc>
        <w:tc>
          <w:tcPr>
            <w:tcW w:w="1681" w:type="dxa"/>
            <w:noWrap w:val="0"/>
            <w:vAlign w:val="center"/>
          </w:tcPr>
          <w:p>
            <w:pPr>
              <w:spacing w:line="360" w:lineRule="auto"/>
              <w:jc w:val="center"/>
              <w:rPr>
                <w:rFonts w:hint="default" w:ascii="宋体" w:hAnsi="宋体" w:eastAsia="宋体"/>
                <w:sz w:val="24"/>
                <w:szCs w:val="24"/>
                <w:lang w:val="en-US" w:eastAsia="zh-CN"/>
              </w:rPr>
            </w:pPr>
            <w:r>
              <w:rPr>
                <w:rFonts w:hint="eastAsia" w:ascii="宋体" w:hAnsi="宋体"/>
                <w:sz w:val="24"/>
                <w:szCs w:val="24"/>
                <w:lang w:val="en-US" w:eastAsia="zh-CN"/>
              </w:rPr>
              <w:t>第一阶段验收后-2026年11月30日</w:t>
            </w:r>
          </w:p>
        </w:tc>
        <w:tc>
          <w:tcPr>
            <w:tcW w:w="2303" w:type="dxa"/>
            <w:noWrap w:val="0"/>
            <w:vAlign w:val="center"/>
          </w:tcPr>
          <w:p>
            <w:pPr>
              <w:spacing w:line="360" w:lineRule="auto"/>
              <w:jc w:val="center"/>
              <w:rPr>
                <w:rFonts w:hint="default" w:ascii="宋体" w:hAnsi="宋体" w:eastAsia="宋体"/>
                <w:sz w:val="24"/>
                <w:szCs w:val="24"/>
                <w:lang w:val="en-US" w:eastAsia="zh-CN"/>
              </w:rPr>
            </w:pPr>
            <w:r>
              <w:rPr>
                <w:rFonts w:hint="eastAsia" w:ascii="宋体" w:hAnsi="宋体"/>
                <w:sz w:val="24"/>
                <w:szCs w:val="24"/>
                <w:lang w:val="en-US" w:eastAsia="zh-CN"/>
              </w:rPr>
              <w:t>迁移软件模块开发，及数据迁移阶段</w:t>
            </w:r>
          </w:p>
        </w:tc>
        <w:tc>
          <w:tcPr>
            <w:tcW w:w="5270" w:type="dxa"/>
            <w:noWrap w:val="0"/>
            <w:vAlign w:val="center"/>
          </w:tcPr>
          <w:p>
            <w:pPr>
              <w:spacing w:after="0" w:line="360" w:lineRule="auto"/>
              <w:ind w:left="0" w:leftChars="0" w:firstLine="0" w:firstLineChars="0"/>
              <w:jc w:val="center"/>
              <w:rPr>
                <w:rFonts w:hint="eastAsia" w:ascii="Times New Roman" w:hAnsi="Times New Roman"/>
                <w:szCs w:val="24"/>
                <w:lang w:val="en-US" w:eastAsia="zh-CN"/>
              </w:rPr>
            </w:pP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测井数据库存量数据迁移报告》</w:t>
            </w:r>
          </w:p>
        </w:tc>
      </w:tr>
    </w:tbl>
    <w:p>
      <w:pPr>
        <w:pStyle w:val="4"/>
        <w:numPr>
          <w:ilvl w:val="0"/>
          <w:numId w:val="0"/>
        </w:numPr>
        <w:tabs>
          <w:tab w:val="left" w:pos="608"/>
        </w:tabs>
        <w:spacing w:line="360" w:lineRule="auto"/>
        <w:rPr>
          <w:rFonts w:ascii="Cambria" w:hAnsi="Cambria" w:cs="Times New Roman"/>
          <w:caps w:val="0"/>
          <w:kern w:val="0"/>
          <w:szCs w:val="24"/>
        </w:rPr>
      </w:pPr>
      <w:bookmarkStart w:id="38" w:name="_Toc5100"/>
      <w:r>
        <w:rPr>
          <w:rFonts w:hint="eastAsia" w:ascii="Cambria" w:hAnsi="Cambria" w:cs="Times New Roman"/>
          <w:caps w:val="0"/>
          <w:kern w:val="0"/>
          <w:szCs w:val="24"/>
        </w:rPr>
        <w:t>10.售后服务及培训</w:t>
      </w:r>
      <w:bookmarkEnd w:id="36"/>
      <w:bookmarkEnd w:id="37"/>
      <w:bookmarkEnd w:id="38"/>
      <w:bookmarkStart w:id="41" w:name="_GoBack"/>
      <w:bookmarkEnd w:id="41"/>
    </w:p>
    <w:p>
      <w:pPr>
        <w:pStyle w:val="2"/>
        <w:ind w:left="0" w:leftChars="0" w:firstLine="480" w:firstLineChars="200"/>
        <w:rPr>
          <w:rFonts w:hint="default" w:eastAsia="宋体"/>
          <w:sz w:val="24"/>
          <w:szCs w:val="24"/>
          <w:lang w:val="en-US" w:eastAsia="zh-CN"/>
        </w:rPr>
      </w:pPr>
      <w:bookmarkStart w:id="39" w:name="_Toc74645190"/>
      <w:bookmarkStart w:id="40" w:name="_Toc100664937"/>
      <w:r>
        <w:rPr>
          <w:rFonts w:hint="eastAsia"/>
          <w:sz w:val="24"/>
          <w:szCs w:val="24"/>
          <w:lang w:val="en-US" w:eastAsia="zh-CN"/>
        </w:rPr>
        <w:t>合同验收一年内，供方需对我方技术人员提供免费的技术培训与支持服务。</w:t>
      </w:r>
    </w:p>
    <w:bookmarkEnd w:id="39"/>
    <w:bookmarkEnd w:id="40"/>
    <w:p>
      <w:pPr>
        <w:pStyle w:val="6"/>
        <w:ind w:firstLine="0"/>
        <w:rPr>
          <w:b/>
          <w:kern w:val="2"/>
          <w:szCs w:val="24"/>
        </w:rPr>
      </w:pPr>
      <w:r>
        <w:rPr>
          <w:rFonts w:hint="eastAsia"/>
          <w:b/>
          <w:kern w:val="2"/>
          <w:szCs w:val="24"/>
        </w:rPr>
        <w:t xml:space="preserve">附录：详细供货范围 </w:t>
      </w:r>
    </w:p>
    <w:tbl>
      <w:tblPr>
        <w:tblStyle w:val="16"/>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2"/>
        <w:gridCol w:w="896"/>
        <w:gridCol w:w="4399"/>
        <w:gridCol w:w="25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2" w:type="dxa"/>
            <w:tcBorders>
              <w:bottom w:val="single" w:color="auto" w:sz="4" w:space="0"/>
            </w:tcBorders>
          </w:tcPr>
          <w:p>
            <w:pPr>
              <w:spacing w:line="360" w:lineRule="auto"/>
              <w:jc w:val="center"/>
              <w:rPr>
                <w:rFonts w:ascii="宋体" w:hAnsi="宋体" w:cs="宋体"/>
                <w:kern w:val="2"/>
                <w:sz w:val="24"/>
                <w:szCs w:val="24"/>
              </w:rPr>
            </w:pPr>
            <w:r>
              <w:rPr>
                <w:rFonts w:hint="eastAsia" w:ascii="宋体" w:hAnsi="宋体" w:cs="宋体"/>
                <w:kern w:val="2"/>
                <w:sz w:val="24"/>
                <w:szCs w:val="24"/>
              </w:rPr>
              <w:t>序号</w:t>
            </w:r>
          </w:p>
        </w:tc>
        <w:tc>
          <w:tcPr>
            <w:tcW w:w="896" w:type="dxa"/>
            <w:tcBorders>
              <w:bottom w:val="single" w:color="auto" w:sz="4" w:space="0"/>
            </w:tcBorders>
          </w:tcPr>
          <w:p>
            <w:pPr>
              <w:spacing w:line="360" w:lineRule="auto"/>
              <w:jc w:val="center"/>
              <w:rPr>
                <w:rFonts w:ascii="宋体" w:hAnsi="宋体" w:cs="宋体"/>
                <w:kern w:val="2"/>
                <w:sz w:val="24"/>
                <w:szCs w:val="24"/>
              </w:rPr>
            </w:pPr>
            <w:r>
              <w:rPr>
                <w:rFonts w:hint="eastAsia" w:ascii="宋体" w:hAnsi="宋体" w:cs="宋体"/>
                <w:kern w:val="2"/>
                <w:sz w:val="24"/>
                <w:szCs w:val="24"/>
              </w:rPr>
              <w:t>数量</w:t>
            </w:r>
          </w:p>
        </w:tc>
        <w:tc>
          <w:tcPr>
            <w:tcW w:w="4399" w:type="dxa"/>
            <w:tcBorders>
              <w:bottom w:val="single" w:color="auto" w:sz="4" w:space="0"/>
            </w:tcBorders>
          </w:tcPr>
          <w:p>
            <w:pPr>
              <w:spacing w:line="360" w:lineRule="auto"/>
              <w:jc w:val="center"/>
              <w:rPr>
                <w:rFonts w:ascii="宋体" w:hAnsi="宋体" w:cs="宋体"/>
                <w:kern w:val="2"/>
                <w:sz w:val="24"/>
                <w:szCs w:val="24"/>
              </w:rPr>
            </w:pPr>
            <w:r>
              <w:rPr>
                <w:rFonts w:hint="eastAsia" w:ascii="宋体" w:hAnsi="宋体" w:cs="宋体"/>
                <w:kern w:val="2"/>
                <w:sz w:val="24"/>
                <w:szCs w:val="24"/>
              </w:rPr>
              <w:t>名称</w:t>
            </w:r>
          </w:p>
        </w:tc>
        <w:tc>
          <w:tcPr>
            <w:tcW w:w="2570" w:type="dxa"/>
            <w:tcBorders>
              <w:bottom w:val="single" w:color="auto" w:sz="4" w:space="0"/>
            </w:tcBorders>
          </w:tcPr>
          <w:p>
            <w:pPr>
              <w:spacing w:line="360" w:lineRule="auto"/>
              <w:jc w:val="center"/>
              <w:rPr>
                <w:rFonts w:ascii="宋体" w:hAnsi="宋体" w:cs="宋体"/>
                <w:kern w:val="2"/>
                <w:sz w:val="24"/>
                <w:szCs w:val="24"/>
              </w:rPr>
            </w:pPr>
            <w:r>
              <w:rPr>
                <w:rFonts w:hint="eastAsia" w:ascii="宋体" w:hAnsi="宋体" w:cs="宋体"/>
                <w:kern w:val="2"/>
                <w:sz w:val="24"/>
                <w:szCs w:val="24"/>
              </w:rPr>
              <w:t>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772" w:type="dxa"/>
            <w:tcBorders>
              <w:top w:val="single" w:color="auto" w:sz="4" w:space="0"/>
              <w:left w:val="single" w:color="auto" w:sz="4" w:space="0"/>
              <w:bottom w:val="single" w:color="auto" w:sz="4" w:space="0"/>
              <w:right w:val="single" w:color="auto" w:sz="4" w:space="0"/>
            </w:tcBorders>
            <w:vAlign w:val="center"/>
          </w:tcPr>
          <w:p>
            <w:pPr>
              <w:spacing w:before="12" w:line="360" w:lineRule="auto"/>
              <w:contextualSpacing/>
              <w:jc w:val="center"/>
              <w:rPr>
                <w:rFonts w:hint="eastAsia" w:ascii="宋体" w:hAnsi="宋体" w:eastAsia="宋体" w:cs="宋体"/>
                <w:b w:val="0"/>
                <w:bCs/>
                <w:sz w:val="22"/>
                <w:szCs w:val="22"/>
              </w:rPr>
            </w:pPr>
            <w:r>
              <w:rPr>
                <w:rFonts w:hint="eastAsia" w:ascii="宋体" w:hAnsi="宋体" w:eastAsia="宋体" w:cs="宋体"/>
                <w:b w:val="0"/>
                <w:bCs/>
                <w:sz w:val="22"/>
                <w:szCs w:val="22"/>
              </w:rPr>
              <w:t>1</w:t>
            </w:r>
          </w:p>
        </w:tc>
        <w:tc>
          <w:tcPr>
            <w:tcW w:w="896" w:type="dxa"/>
            <w:tcBorders>
              <w:top w:val="single" w:color="auto" w:sz="4" w:space="0"/>
              <w:left w:val="single" w:color="auto" w:sz="4" w:space="0"/>
              <w:bottom w:val="single" w:color="auto" w:sz="4" w:space="0"/>
              <w:right w:val="single" w:color="auto" w:sz="4" w:space="0"/>
            </w:tcBorders>
            <w:vAlign w:val="center"/>
          </w:tcPr>
          <w:p>
            <w:pPr>
              <w:spacing w:before="12" w:line="360" w:lineRule="auto"/>
              <w:contextualSpacing/>
              <w:jc w:val="center"/>
              <w:rPr>
                <w:rFonts w:hint="eastAsia" w:ascii="宋体" w:hAnsi="宋体" w:eastAsia="宋体" w:cs="宋体"/>
                <w:b w:val="0"/>
                <w:bCs/>
                <w:sz w:val="22"/>
                <w:szCs w:val="22"/>
                <w:lang w:eastAsia="zh-CN"/>
              </w:rPr>
            </w:pPr>
            <w:r>
              <w:rPr>
                <w:rFonts w:hint="eastAsia" w:ascii="宋体" w:hAnsi="宋体" w:cs="宋体"/>
                <w:b w:val="0"/>
                <w:bCs/>
                <w:sz w:val="22"/>
                <w:szCs w:val="22"/>
                <w:lang w:val="en-US" w:eastAsia="zh-CN"/>
              </w:rPr>
              <w:t>3</w:t>
            </w:r>
          </w:p>
        </w:tc>
        <w:tc>
          <w:tcPr>
            <w:tcW w:w="4399" w:type="dxa"/>
            <w:tcBorders>
              <w:top w:val="single" w:color="auto" w:sz="4" w:space="0"/>
              <w:left w:val="single" w:color="auto" w:sz="4" w:space="0"/>
              <w:bottom w:val="single" w:color="auto" w:sz="4" w:space="0"/>
              <w:right w:val="single" w:color="auto" w:sz="4" w:space="0"/>
            </w:tcBorders>
            <w:vAlign w:val="center"/>
          </w:tcPr>
          <w:p>
            <w:pPr>
              <w:pStyle w:val="2"/>
              <w:numPr>
                <w:ilvl w:val="0"/>
                <w:numId w:val="0"/>
              </w:numPr>
              <w:ind w:leftChars="0"/>
              <w:rPr>
                <w:rFonts w:hint="default" w:eastAsia="宋体"/>
                <w:sz w:val="22"/>
                <w:szCs w:val="22"/>
                <w:lang w:val="en-US" w:eastAsia="zh-CN"/>
              </w:rPr>
            </w:pPr>
            <w:r>
              <w:rPr>
                <w:rFonts w:hint="eastAsia" w:ascii="宋体" w:hAnsi="宋体" w:eastAsia="宋体" w:cs="宋体"/>
                <w:b w:val="0"/>
                <w:bCs w:val="0"/>
                <w:sz w:val="24"/>
                <w:szCs w:val="24"/>
                <w:lang w:val="en-US" w:eastAsia="zh-CN"/>
              </w:rPr>
              <w:t>《测井数据库存量数据迁移技术方案》</w:t>
            </w:r>
          </w:p>
        </w:tc>
        <w:tc>
          <w:tcPr>
            <w:tcW w:w="2570" w:type="dxa"/>
            <w:tcBorders>
              <w:top w:val="single" w:color="auto" w:sz="4" w:space="0"/>
              <w:left w:val="single" w:color="auto" w:sz="4" w:space="0"/>
              <w:bottom w:val="single" w:color="auto" w:sz="4" w:space="0"/>
              <w:right w:val="single" w:color="auto" w:sz="4" w:space="0"/>
            </w:tcBorders>
            <w:vAlign w:val="center"/>
          </w:tcPr>
          <w:p>
            <w:pPr>
              <w:spacing w:before="12" w:line="360" w:lineRule="auto"/>
              <w:contextualSpacing/>
              <w:rPr>
                <w:rFonts w:hint="default" w:eastAsia="宋体"/>
                <w:sz w:val="22"/>
                <w:szCs w:val="22"/>
                <w:lang w:val="en-US" w:eastAsia="zh-CN"/>
              </w:rPr>
            </w:pPr>
            <w:r>
              <w:rPr>
                <w:rFonts w:hint="eastAsia"/>
                <w:sz w:val="22"/>
                <w:szCs w:val="22"/>
                <w:lang w:val="en-US" w:eastAsia="zh-CN"/>
              </w:rPr>
              <w:t>电子版1份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772" w:type="dxa"/>
            <w:tcBorders>
              <w:top w:val="single" w:color="auto" w:sz="4" w:space="0"/>
              <w:left w:val="single" w:color="auto" w:sz="4" w:space="0"/>
              <w:bottom w:val="single" w:color="auto" w:sz="4" w:space="0"/>
              <w:right w:val="single" w:color="auto" w:sz="4" w:space="0"/>
            </w:tcBorders>
            <w:vAlign w:val="center"/>
          </w:tcPr>
          <w:p>
            <w:pPr>
              <w:spacing w:before="12" w:line="360" w:lineRule="auto"/>
              <w:contextualSpacing/>
              <w:jc w:val="center"/>
              <w:rPr>
                <w:rFonts w:hint="eastAsia" w:ascii="宋体" w:hAnsi="宋体" w:eastAsia="宋体" w:cs="宋体"/>
                <w:b w:val="0"/>
                <w:bCs/>
                <w:sz w:val="22"/>
                <w:szCs w:val="22"/>
              </w:rPr>
            </w:pPr>
            <w:r>
              <w:rPr>
                <w:rFonts w:hint="eastAsia" w:ascii="宋体" w:hAnsi="宋体" w:eastAsia="宋体" w:cs="宋体"/>
                <w:b w:val="0"/>
                <w:bCs/>
                <w:sz w:val="22"/>
                <w:szCs w:val="22"/>
              </w:rPr>
              <w:t>2</w:t>
            </w:r>
          </w:p>
        </w:tc>
        <w:tc>
          <w:tcPr>
            <w:tcW w:w="896" w:type="dxa"/>
            <w:tcBorders>
              <w:top w:val="single" w:color="auto" w:sz="4" w:space="0"/>
              <w:left w:val="single" w:color="auto" w:sz="4" w:space="0"/>
              <w:bottom w:val="single" w:color="auto" w:sz="4" w:space="0"/>
              <w:right w:val="single" w:color="auto" w:sz="4" w:space="0"/>
            </w:tcBorders>
            <w:vAlign w:val="center"/>
          </w:tcPr>
          <w:p>
            <w:pPr>
              <w:spacing w:before="12" w:line="360" w:lineRule="auto"/>
              <w:contextualSpacing/>
              <w:jc w:val="center"/>
              <w:rPr>
                <w:rFonts w:hint="eastAsia" w:ascii="宋体" w:hAnsi="宋体" w:eastAsia="宋体" w:cs="宋体"/>
                <w:b w:val="0"/>
                <w:bCs/>
                <w:sz w:val="22"/>
                <w:szCs w:val="22"/>
                <w:lang w:eastAsia="zh-CN"/>
              </w:rPr>
            </w:pPr>
            <w:r>
              <w:rPr>
                <w:rFonts w:hint="eastAsia" w:ascii="宋体" w:hAnsi="宋体" w:cs="宋体"/>
                <w:b w:val="0"/>
                <w:bCs/>
                <w:sz w:val="22"/>
                <w:szCs w:val="22"/>
                <w:lang w:val="en-US" w:eastAsia="zh-CN"/>
              </w:rPr>
              <w:t>3</w:t>
            </w:r>
          </w:p>
        </w:tc>
        <w:tc>
          <w:tcPr>
            <w:tcW w:w="4399" w:type="dxa"/>
            <w:tcBorders>
              <w:top w:val="single" w:color="auto" w:sz="4" w:space="0"/>
              <w:left w:val="single" w:color="auto" w:sz="4" w:space="0"/>
              <w:bottom w:val="single" w:color="auto" w:sz="4" w:space="0"/>
              <w:right w:val="single" w:color="auto" w:sz="4" w:space="0"/>
            </w:tcBorders>
            <w:vAlign w:val="center"/>
          </w:tcPr>
          <w:p>
            <w:pPr>
              <w:pStyle w:val="2"/>
              <w:numPr>
                <w:ilvl w:val="0"/>
                <w:numId w:val="0"/>
              </w:numPr>
              <w:ind w:leftChars="0"/>
              <w:rPr>
                <w:rFonts w:hint="default" w:eastAsia="宋体"/>
                <w:sz w:val="22"/>
                <w:szCs w:val="22"/>
                <w:lang w:val="en-US" w:eastAsia="zh-CN"/>
              </w:rPr>
            </w:pP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测井数据库存量数据迁移报告》</w:t>
            </w:r>
          </w:p>
        </w:tc>
        <w:tc>
          <w:tcPr>
            <w:tcW w:w="2570" w:type="dxa"/>
            <w:tcBorders>
              <w:top w:val="single" w:color="auto" w:sz="4" w:space="0"/>
              <w:left w:val="single" w:color="auto" w:sz="4" w:space="0"/>
              <w:bottom w:val="single" w:color="auto" w:sz="4" w:space="0"/>
              <w:right w:val="single" w:color="auto" w:sz="4" w:space="0"/>
            </w:tcBorders>
            <w:vAlign w:val="center"/>
          </w:tcPr>
          <w:p>
            <w:pPr>
              <w:spacing w:before="12" w:line="360" w:lineRule="auto"/>
              <w:contextualSpacing/>
              <w:rPr>
                <w:rFonts w:hint="default" w:eastAsia="宋体"/>
                <w:sz w:val="22"/>
                <w:szCs w:val="22"/>
                <w:lang w:val="en-US" w:eastAsia="zh-CN"/>
              </w:rPr>
            </w:pPr>
            <w:r>
              <w:rPr>
                <w:rFonts w:hint="eastAsia"/>
                <w:sz w:val="22"/>
                <w:szCs w:val="22"/>
                <w:lang w:val="en-US" w:eastAsia="zh-CN"/>
              </w:rPr>
              <w:t>电子版1份</w:t>
            </w:r>
          </w:p>
        </w:tc>
      </w:tr>
    </w:tbl>
    <w:p>
      <w:pPr>
        <w:rPr>
          <w:sz w:val="24"/>
          <w:szCs w:val="24"/>
        </w:rPr>
      </w:pPr>
    </w:p>
    <w:sectPr>
      <w:footerReference r:id="rId10"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Univers">
    <w:altName w:val="Segoe Print"/>
    <w:panose1 w:val="00000000000000000000"/>
    <w:charset w:val="00"/>
    <w:family w:val="swiss"/>
    <w:pitch w:val="default"/>
    <w:sig w:usb0="00000000" w:usb1="00000000" w:usb2="00000000" w:usb3="00000000" w:csb0="0000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Segoe Print">
    <w:panose1 w:val="02000600000000000000"/>
    <w:charset w:val="00"/>
    <w:family w:val="auto"/>
    <w:pitch w:val="default"/>
    <w:sig w:usb0="0000028F" w:usb1="00000000" w:usb2="00000000" w:usb3="00000000" w:csb0="2000009F" w:csb1="47010000"/>
  </w:font>
  <w:font w:name="Mongolian Baiti">
    <w:panose1 w:val="03000500000000000000"/>
    <w:charset w:val="00"/>
    <w:family w:val="auto"/>
    <w:pitch w:val="default"/>
    <w:sig w:usb0="80000023" w:usb1="00000000" w:usb2="00020000" w:usb3="00000000" w:csb0="00000001" w:csb1="00000000"/>
  </w:font>
  <w:font w:name="MT Extra">
    <w:panose1 w:val="05050102010205020202"/>
    <w:charset w:val="00"/>
    <w:family w:val="auto"/>
    <w:pitch w:val="default"/>
    <w:sig w:usb0="80000000" w:usb1="00000000" w:usb2="00000000" w:usb3="00000000" w:csb0="00000000" w:csb1="00000000"/>
  </w:font>
  <w:font w:name="Ink Free">
    <w:panose1 w:val="03080402000500000000"/>
    <w:charset w:val="00"/>
    <w:family w:val="auto"/>
    <w:pitch w:val="default"/>
    <w:sig w:usb0="80000003" w:usb1="00000000" w:usb2="00000000" w:usb3="00000000" w:csb0="00000001" w:csb1="00000000"/>
  </w:font>
  <w:font w:name="Ebrima">
    <w:panose1 w:val="02000000000000000000"/>
    <w:charset w:val="00"/>
    <w:family w:val="auto"/>
    <w:pitch w:val="default"/>
    <w:sig w:usb0="A000505F" w:usb1="02000041" w:usb2="00000800" w:usb3="00000404" w:csb0="00000093" w:csb1="00000000"/>
  </w:font>
  <w:font w:name="Javanese Text">
    <w:panose1 w:val="02000000000000000000"/>
    <w:charset w:val="00"/>
    <w:family w:val="auto"/>
    <w:pitch w:val="default"/>
    <w:sig w:usb0="80000003" w:usb1="00002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汉真广标简体">
    <w:panose1 w:val="02000000000000000000"/>
    <w:charset w:val="86"/>
    <w:family w:val="auto"/>
    <w:pitch w:val="default"/>
    <w:sig w:usb0="A00002BF" w:usb1="184F6CFA" w:usb2="00000000" w:usb3="00000000" w:csb0="00040001" w:csb1="00000000"/>
  </w:font>
  <w:font w:name="方正粗活意简体">
    <w:panose1 w:val="02000000000000000000"/>
    <w:charset w:val="86"/>
    <w:family w:val="auto"/>
    <w:pitch w:val="default"/>
    <w:sig w:usb0="A00002BF" w:usb1="184F6CFA" w:usb2="00000012" w:usb3="00000000" w:csb0="00040001" w:csb1="00000000"/>
  </w:font>
  <w:font w:name="方正美黑简体">
    <w:panose1 w:val="02000000000000000000"/>
    <w:charset w:val="86"/>
    <w:family w:val="auto"/>
    <w:pitch w:val="default"/>
    <w:sig w:usb0="A00002BF" w:usb1="184F6CFA" w:usb2="00000012" w:usb3="00000000" w:csb0="0004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ind w:left="2319" w:hanging="2319"/>
      <w:rPr>
        <w:rStyle w:val="19"/>
        <w:b w:val="0"/>
        <w:i w:val="0"/>
        <w:caps w:val="0"/>
      </w:rPr>
    </w:pPr>
    <w:r>
      <w:fldChar w:fldCharType="begin"/>
    </w:r>
    <w:r>
      <w:rPr>
        <w:rStyle w:val="19"/>
        <w:b w:val="0"/>
        <w:i w:val="0"/>
        <w:caps w:val="0"/>
      </w:rPr>
      <w:instrText xml:space="preserve">PAGE  </w:instrText>
    </w:r>
    <w:r>
      <w:fldChar w:fldCharType="separate"/>
    </w:r>
    <w:r>
      <w:rPr>
        <w:rStyle w:val="19"/>
        <w:b w:val="0"/>
        <w:i w:val="0"/>
        <w:caps w:val="0"/>
      </w:rPr>
      <w:t>18</w:t>
    </w:r>
    <w:r>
      <w:fldChar w:fldCharType="end"/>
    </w:r>
  </w:p>
  <w:p>
    <w:pPr>
      <w:pStyle w:val="10"/>
      <w:ind w:left="2319" w:right="360" w:hanging="23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rFonts w:hint="eastAsia"/>
        <w:u w:val="single"/>
      </w:rPr>
      <w:t xml:space="preserve">                                                                                      </w:t>
    </w:r>
  </w:p>
  <w:p>
    <w:pPr>
      <w:rPr>
        <w:sz w:val="22"/>
        <w:szCs w:val="22"/>
      </w:rPr>
    </w:pPr>
    <w:r>
      <w:rPr>
        <w:rFonts w:hint="eastAsia"/>
        <w:sz w:val="22"/>
        <w:szCs w:val="22"/>
      </w:rPr>
      <w:t>高压泥浆泵</w:t>
    </w:r>
    <w:r>
      <w:rPr>
        <w:sz w:val="22"/>
        <w:szCs w:val="22"/>
      </w:rPr>
      <w:t>购书                                                    第</w:t>
    </w:r>
    <w:r>
      <w:rPr>
        <w:b/>
        <w:bCs w:val="0"/>
        <w:i/>
        <w:caps/>
        <w:sz w:val="22"/>
        <w:szCs w:val="22"/>
      </w:rPr>
      <w:fldChar w:fldCharType="begin"/>
    </w:r>
    <w:r>
      <w:rPr>
        <w:rStyle w:val="19"/>
        <w:rFonts w:ascii="Arial" w:hAnsi="Arial"/>
        <w:b w:val="0"/>
        <w:bCs w:val="0"/>
        <w:i w:val="0"/>
        <w:caps w:val="0"/>
        <w:sz w:val="22"/>
        <w:szCs w:val="22"/>
      </w:rPr>
      <w:instrText xml:space="preserve"> PAGE </w:instrText>
    </w:r>
    <w:r>
      <w:rPr>
        <w:b/>
        <w:bCs w:val="0"/>
        <w:i/>
        <w:caps/>
        <w:sz w:val="22"/>
        <w:szCs w:val="22"/>
      </w:rPr>
      <w:fldChar w:fldCharType="separate"/>
    </w:r>
    <w:r>
      <w:rPr>
        <w:rStyle w:val="19"/>
        <w:rFonts w:ascii="Arial" w:hAnsi="Arial"/>
        <w:b w:val="0"/>
        <w:bCs w:val="0"/>
        <w:i w:val="0"/>
        <w:caps w:val="0"/>
        <w:sz w:val="22"/>
        <w:szCs w:val="22"/>
      </w:rPr>
      <w:t>153629332</w:t>
    </w:r>
    <w:r>
      <w:rPr>
        <w:b/>
        <w:bCs w:val="0"/>
        <w:i/>
        <w:caps/>
        <w:sz w:val="22"/>
        <w:szCs w:val="22"/>
      </w:rPr>
      <w:fldChar w:fldCharType="end"/>
    </w:r>
    <w:r>
      <w:rPr>
        <w:rStyle w:val="19"/>
        <w:rFonts w:ascii="Arial" w:hAnsi="Arial"/>
        <w:b w:val="0"/>
        <w:bCs w:val="0"/>
        <w:i w:val="0"/>
        <w:caps w:val="0"/>
        <w:sz w:val="22"/>
        <w:szCs w:val="22"/>
      </w:rPr>
      <w:t>页 共</w:t>
    </w:r>
    <w:r>
      <w:rPr>
        <w:b/>
        <w:bCs w:val="0"/>
        <w:i/>
        <w:caps/>
        <w:sz w:val="22"/>
        <w:szCs w:val="22"/>
      </w:rPr>
      <w:fldChar w:fldCharType="begin"/>
    </w:r>
    <w:r>
      <w:rPr>
        <w:rStyle w:val="19"/>
        <w:rFonts w:ascii="Arial" w:hAnsi="Arial"/>
        <w:b w:val="0"/>
        <w:bCs w:val="0"/>
        <w:i w:val="0"/>
        <w:caps w:val="0"/>
        <w:sz w:val="22"/>
        <w:szCs w:val="22"/>
      </w:rPr>
      <w:instrText xml:space="preserve"> NUMPAGES </w:instrText>
    </w:r>
    <w:r>
      <w:rPr>
        <w:b/>
        <w:bCs w:val="0"/>
        <w:i/>
        <w:caps/>
        <w:sz w:val="22"/>
        <w:szCs w:val="22"/>
      </w:rPr>
      <w:fldChar w:fldCharType="separate"/>
    </w:r>
    <w:r>
      <w:rPr>
        <w:rStyle w:val="19"/>
        <w:rFonts w:ascii="Arial" w:hAnsi="Arial"/>
        <w:b w:val="0"/>
        <w:bCs w:val="0"/>
        <w:i w:val="0"/>
        <w:caps w:val="0"/>
        <w:sz w:val="22"/>
        <w:szCs w:val="22"/>
      </w:rPr>
      <w:t>12</w:t>
    </w:r>
    <w:r>
      <w:rPr>
        <w:b/>
        <w:bCs w:val="0"/>
        <w:i/>
        <w:caps/>
        <w:sz w:val="22"/>
        <w:szCs w:val="22"/>
      </w:rPr>
      <w:fldChar w:fldCharType="end"/>
    </w:r>
    <w:r>
      <w:rPr>
        <w:rStyle w:val="19"/>
        <w:rFonts w:ascii="Arial" w:hAnsi="Arial"/>
        <w:b w:val="0"/>
        <w:bCs w:val="0"/>
        <w:i w:val="0"/>
        <w:caps w:val="0"/>
        <w:sz w:val="22"/>
        <w:szCs w:val="22"/>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4</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4</w:t>
                    </w:r>
                    <w:r>
                      <w:rPr>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2310" w:leftChars="1100" w:firstLine="6720" w:firstLineChars="3200"/>
      <w:jc w:val="left"/>
      <w:rPr>
        <w:rFonts w:ascii="Arial" w:hAnsi="Arial" w:cs="Arial"/>
        <w:b w:val="0"/>
        <w:i w:val="0"/>
        <w:caps w:val="0"/>
        <w:sz w:val="21"/>
      </w:rPr>
    </w:pPr>
    <w:r>
      <w:rPr>
        <w:rFonts w:hint="eastAsia" w:ascii="Arial" w:hAnsi="Arial" w:cs="Arial"/>
        <w:b w:val="0"/>
        <w:i w:val="0"/>
        <w:caps w:val="0"/>
        <w:sz w:val="21"/>
      </w:rPr>
      <w:t>技术标准文件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2319" w:hanging="2319"/>
      <w:rPr>
        <w:b w:val="0"/>
        <w:i w:val="0"/>
        <w:sz w:val="21"/>
        <w:szCs w:val="21"/>
      </w:rPr>
    </w:pPr>
    <w:r>
      <w:rPr>
        <w:rFonts w:hint="eastAsia"/>
      </w:rPr>
      <w:t xml:space="preserve"> </w:t>
    </w:r>
    <w:r>
      <w:t xml:space="preserve">                                                                     </w:t>
    </w:r>
    <w:r>
      <w:rPr>
        <w:rFonts w:hint="eastAsia"/>
        <w:b w:val="0"/>
        <w:i w:val="0"/>
        <w:sz w:val="21"/>
        <w:szCs w:val="21"/>
      </w:rPr>
      <w:t>技术标准文件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536"/>
        <w:tab w:val="right" w:pos="9072"/>
        <w:tab w:val="clear" w:pos="4153"/>
        <w:tab w:val="clear" w:pos="8306"/>
      </w:tabs>
      <w:ind w:right="720"/>
      <w:jc w:val="right"/>
      <w:rPr>
        <w:b w:val="0"/>
        <w:i w:val="0"/>
        <w:sz w:val="21"/>
        <w:szCs w:val="21"/>
      </w:rPr>
    </w:pPr>
    <w:r>
      <w:rPr>
        <w:rFonts w:hint="eastAsia"/>
        <w:b w:val="0"/>
        <w:i w:val="0"/>
        <w:sz w:val="21"/>
        <w:szCs w:val="21"/>
      </w:rPr>
      <w:t>技术标准文件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ascii="Arial" w:hAnsi="Arial" w:cs="Arial"/>
        <w:b w:val="0"/>
      </w:rPr>
    </w:pPr>
    <w:r>
      <w:rPr>
        <w:rFonts w:ascii="Arial" w:hAnsi="Arial" w:cs="Arial"/>
        <w:b w:val="0"/>
        <w:i w:val="0"/>
        <w:sz w:val="22"/>
        <w:szCs w:val="22"/>
      </w:rPr>
      <w:t>渤中28-2</w:t>
    </w:r>
    <w:r>
      <w:rPr>
        <w:rFonts w:ascii="Arial" w:cs="Arial"/>
        <w:b w:val="0"/>
        <w:i w:val="0"/>
        <w:sz w:val="22"/>
        <w:szCs w:val="22"/>
      </w:rPr>
      <w:t>南模块钻机详细设计</w:t>
    </w:r>
    <w:r>
      <w:rPr>
        <w:rFonts w:ascii="Arial" w:hAnsi="Arial" w:cs="Arial"/>
        <w:b w:val="0"/>
        <w:i w:val="0"/>
        <w:sz w:val="22"/>
        <w:szCs w:val="22"/>
      </w:rPr>
      <w:t xml:space="preserve">                   BZ28-2S-RFQ-MDR-MA-0002   </w:t>
    </w:r>
    <w:r>
      <w:rPr>
        <w:rFonts w:ascii="Arial" w:cs="Arial"/>
        <w:b w:val="0"/>
        <w:i w:val="0"/>
        <w:sz w:val="22"/>
        <w:szCs w:val="22"/>
      </w:rPr>
      <w:t>版次：</w:t>
    </w:r>
    <w:r>
      <w:rPr>
        <w:rFonts w:ascii="Arial" w:hAnsi="Arial" w:cs="Arial"/>
        <w:b w:val="0"/>
        <w:i w:val="0"/>
        <w:sz w:val="22"/>
        <w:szCs w:val="22"/>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9F6CF"/>
    <w:multiLevelType w:val="singleLevel"/>
    <w:tmpl w:val="94C9F6CF"/>
    <w:lvl w:ilvl="0" w:tentative="0">
      <w:start w:val="1"/>
      <w:numFmt w:val="decimal"/>
      <w:lvlText w:val="%1)"/>
      <w:lvlJc w:val="left"/>
      <w:pPr>
        <w:ind w:left="425" w:hanging="425"/>
      </w:pPr>
      <w:rPr>
        <w:rFonts w:hint="default"/>
      </w:rPr>
    </w:lvl>
  </w:abstractNum>
  <w:abstractNum w:abstractNumId="1">
    <w:nsid w:val="97D475CB"/>
    <w:multiLevelType w:val="singleLevel"/>
    <w:tmpl w:val="97D475CB"/>
    <w:lvl w:ilvl="0" w:tentative="0">
      <w:start w:val="1"/>
      <w:numFmt w:val="decimal"/>
      <w:lvlText w:val="%1)"/>
      <w:lvlJc w:val="left"/>
      <w:pPr>
        <w:ind w:left="425" w:hanging="425"/>
      </w:pPr>
      <w:rPr>
        <w:rFonts w:hint="default"/>
      </w:rPr>
    </w:lvl>
  </w:abstractNum>
  <w:abstractNum w:abstractNumId="2">
    <w:nsid w:val="9EB3C748"/>
    <w:multiLevelType w:val="multilevel"/>
    <w:tmpl w:val="9EB3C748"/>
    <w:lvl w:ilvl="0" w:tentative="0">
      <w:start w:val="5"/>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A7B2E379"/>
    <w:multiLevelType w:val="singleLevel"/>
    <w:tmpl w:val="A7B2E379"/>
    <w:lvl w:ilvl="0" w:tentative="0">
      <w:start w:val="1"/>
      <w:numFmt w:val="decimal"/>
      <w:lvlText w:val="%1."/>
      <w:lvlJc w:val="left"/>
      <w:pPr>
        <w:ind w:left="425" w:hanging="425"/>
      </w:pPr>
      <w:rPr>
        <w:rFonts w:hint="default"/>
      </w:rPr>
    </w:lvl>
  </w:abstractNum>
  <w:abstractNum w:abstractNumId="4">
    <w:nsid w:val="BBF55C72"/>
    <w:multiLevelType w:val="singleLevel"/>
    <w:tmpl w:val="BBF55C72"/>
    <w:lvl w:ilvl="0" w:tentative="0">
      <w:start w:val="1"/>
      <w:numFmt w:val="decimal"/>
      <w:lvlText w:val="%1)"/>
      <w:lvlJc w:val="left"/>
      <w:pPr>
        <w:ind w:left="425" w:hanging="425"/>
      </w:pPr>
      <w:rPr>
        <w:rFonts w:hint="default"/>
      </w:rPr>
    </w:lvl>
  </w:abstractNum>
  <w:abstractNum w:abstractNumId="5">
    <w:nsid w:val="C7966605"/>
    <w:multiLevelType w:val="singleLevel"/>
    <w:tmpl w:val="C7966605"/>
    <w:lvl w:ilvl="0" w:tentative="0">
      <w:start w:val="1"/>
      <w:numFmt w:val="decimal"/>
      <w:lvlText w:val="%1."/>
      <w:lvlJc w:val="left"/>
      <w:pPr>
        <w:ind w:left="425" w:hanging="425"/>
      </w:pPr>
      <w:rPr>
        <w:rFonts w:hint="default"/>
      </w:rPr>
    </w:lvl>
  </w:abstractNum>
  <w:abstractNum w:abstractNumId="6">
    <w:nsid w:val="F54FEA62"/>
    <w:multiLevelType w:val="singleLevel"/>
    <w:tmpl w:val="F54FEA62"/>
    <w:lvl w:ilvl="0" w:tentative="0">
      <w:start w:val="1"/>
      <w:numFmt w:val="decimal"/>
      <w:lvlText w:val="%1)"/>
      <w:lvlJc w:val="left"/>
      <w:pPr>
        <w:ind w:left="425" w:hanging="425"/>
      </w:pPr>
      <w:rPr>
        <w:rFonts w:hint="default" w:ascii="宋体" w:hAnsi="宋体" w:eastAsia="宋体" w:cs="宋体"/>
      </w:rPr>
    </w:lvl>
  </w:abstractNum>
  <w:abstractNum w:abstractNumId="7">
    <w:nsid w:val="FFFFFFFB"/>
    <w:multiLevelType w:val="multilevel"/>
    <w:tmpl w:val="FFFFFFFB"/>
    <w:lvl w:ilvl="0" w:tentative="0">
      <w:start w:val="1"/>
      <w:numFmt w:val="decimal"/>
      <w:pStyle w:val="4"/>
      <w:lvlText w:val="%1"/>
      <w:legacy w:legacy="1" w:legacySpace="170" w:legacyIndent="0"/>
      <w:lvlJc w:val="left"/>
      <w:rPr>
        <w:rFonts w:hint="default" w:ascii="Arial" w:hAnsi="Arial" w:cs="Arial"/>
        <w:b/>
        <w:i w:val="0"/>
        <w:sz w:val="22"/>
        <w:szCs w:val="22"/>
      </w:rPr>
    </w:lvl>
    <w:lvl w:ilvl="1" w:tentative="0">
      <w:start w:val="1"/>
      <w:numFmt w:val="decimal"/>
      <w:pStyle w:val="5"/>
      <w:lvlText w:val="%1.%2"/>
      <w:legacy w:legacy="1" w:legacySpace="170" w:legacyIndent="0"/>
      <w:lvlJc w:val="left"/>
      <w:rPr>
        <w:rFonts w:hint="default" w:ascii="Arial" w:hAnsi="Arial" w:cs="Arial"/>
        <w:b w:val="0"/>
        <w:i w:val="0"/>
        <w:sz w:val="22"/>
        <w:szCs w:val="22"/>
      </w:rPr>
    </w:lvl>
    <w:lvl w:ilvl="2" w:tentative="0">
      <w:start w:val="1"/>
      <w:numFmt w:val="decimal"/>
      <w:lvlText w:val="%1.%2.%3"/>
      <w:legacy w:legacy="1" w:legacySpace="170" w:legacyIndent="0"/>
      <w:lvlJc w:val="left"/>
      <w:rPr>
        <w:rFonts w:hint="default" w:ascii="Arial" w:hAnsi="Arial" w:cs="Arial"/>
        <w:b w:val="0"/>
        <w:i w:val="0"/>
        <w:sz w:val="22"/>
        <w:szCs w:val="22"/>
      </w:rPr>
    </w:lvl>
    <w:lvl w:ilvl="3" w:tentative="0">
      <w:start w:val="1"/>
      <w:numFmt w:val="decimal"/>
      <w:lvlText w:val="%1.%2.%3.%4"/>
      <w:legacy w:legacy="1" w:legacySpace="170" w:legacyIndent="0"/>
      <w:lvlJc w:val="left"/>
    </w:lvl>
    <w:lvl w:ilvl="4" w:tentative="0">
      <w:start w:val="1"/>
      <w:numFmt w:val="decimal"/>
      <w:lvlText w:val="%1.%2.%3.%4.%5"/>
      <w:legacy w:legacy="1" w:legacySpace="170" w:legacyIndent="0"/>
      <w:lvlJc w:val="left"/>
    </w:lvl>
    <w:lvl w:ilvl="5" w:tentative="0">
      <w:start w:val="1"/>
      <w:numFmt w:val="decimal"/>
      <w:lvlText w:val="%1.%2.%3.%4.%5.%6  "/>
      <w:legacy w:legacy="1" w:legacySpace="170" w:legacyIndent="0"/>
      <w:lvlJc w:val="left"/>
    </w:lvl>
    <w:lvl w:ilvl="6" w:tentative="0">
      <w:start w:val="1"/>
      <w:numFmt w:val="lowerLetter"/>
      <w:lvlText w:val="%7."/>
      <w:legacy w:legacy="1" w:legacySpace="0" w:legacyIndent="397"/>
      <w:lvlJc w:val="left"/>
      <w:pPr>
        <w:ind w:left="794" w:hanging="397"/>
      </w:pPr>
    </w:lvl>
    <w:lvl w:ilvl="7" w:tentative="0">
      <w:start w:val="1"/>
      <w:numFmt w:val="upperLetter"/>
      <w:lvlText w:val="APPENDIX  %8 "/>
      <w:legacy w:legacy="1" w:legacySpace="170" w:legacyIndent="0"/>
      <w:lvlJc w:val="center"/>
      <w:pPr>
        <w:ind w:left="397"/>
      </w:pPr>
      <w:rPr>
        <w:rFonts w:hint="default" w:ascii="Univers" w:hAnsi="Univers" w:cs="Times New Roman"/>
        <w:b/>
        <w:i/>
        <w:color w:val="000000"/>
        <w:sz w:val="28"/>
        <w:szCs w:val="28"/>
      </w:rPr>
    </w:lvl>
    <w:lvl w:ilvl="8" w:tentative="0">
      <w:start w:val="1"/>
      <w:numFmt w:val="none"/>
      <w:lvlText w:val=""/>
      <w:legacy w:legacy="1" w:legacySpace="0" w:legacyIndent="397"/>
      <w:lvlJc w:val="left"/>
      <w:pPr>
        <w:ind w:left="794" w:hanging="397"/>
      </w:pPr>
      <w:rPr>
        <w:rFonts w:hint="default" w:ascii="Wingdings" w:hAnsi="Wingdings" w:cs="Times New Roman"/>
        <w:b/>
        <w:i w:val="0"/>
        <w:sz w:val="24"/>
        <w:szCs w:val="24"/>
      </w:rPr>
    </w:lvl>
  </w:abstractNum>
  <w:abstractNum w:abstractNumId="8">
    <w:nsid w:val="25B9C742"/>
    <w:multiLevelType w:val="singleLevel"/>
    <w:tmpl w:val="25B9C742"/>
    <w:lvl w:ilvl="0" w:tentative="0">
      <w:start w:val="1"/>
      <w:numFmt w:val="decimal"/>
      <w:lvlText w:val="%1)"/>
      <w:lvlJc w:val="left"/>
      <w:pPr>
        <w:ind w:left="425" w:hanging="425"/>
      </w:pPr>
      <w:rPr>
        <w:rFonts w:hint="default"/>
      </w:rPr>
    </w:lvl>
  </w:abstractNum>
  <w:abstractNum w:abstractNumId="9">
    <w:nsid w:val="444348C9"/>
    <w:multiLevelType w:val="singleLevel"/>
    <w:tmpl w:val="444348C9"/>
    <w:lvl w:ilvl="0" w:tentative="0">
      <w:start w:val="1"/>
      <w:numFmt w:val="decimal"/>
      <w:lvlText w:val="%1."/>
      <w:lvlJc w:val="left"/>
      <w:pPr>
        <w:ind w:left="425" w:hanging="425"/>
      </w:pPr>
      <w:rPr>
        <w:rFonts w:hint="default"/>
      </w:rPr>
    </w:lvl>
  </w:abstractNum>
  <w:abstractNum w:abstractNumId="10">
    <w:nsid w:val="4C381A58"/>
    <w:multiLevelType w:val="singleLevel"/>
    <w:tmpl w:val="4C381A58"/>
    <w:lvl w:ilvl="0" w:tentative="0">
      <w:start w:val="2"/>
      <w:numFmt w:val="decimal"/>
      <w:lvlText w:val="%1."/>
      <w:lvlJc w:val="left"/>
      <w:pPr>
        <w:tabs>
          <w:tab w:val="left" w:pos="312"/>
        </w:tabs>
      </w:pPr>
    </w:lvl>
  </w:abstractNum>
  <w:abstractNum w:abstractNumId="11">
    <w:nsid w:val="5E096EB0"/>
    <w:multiLevelType w:val="singleLevel"/>
    <w:tmpl w:val="5E096EB0"/>
    <w:lvl w:ilvl="0" w:tentative="0">
      <w:start w:val="1"/>
      <w:numFmt w:val="decimal"/>
      <w:lvlText w:val="%1)"/>
      <w:lvlJc w:val="left"/>
      <w:pPr>
        <w:ind w:left="425" w:hanging="425"/>
      </w:pPr>
      <w:rPr>
        <w:rFonts w:hint="default" w:ascii="Times New Roman" w:hAnsi="Times New Roman" w:eastAsia="宋体" w:cs="Times New Roman"/>
        <w:color w:val="000000" w:themeColor="text1"/>
        <w14:textFill>
          <w14:solidFill>
            <w14:schemeClr w14:val="tx1"/>
          </w14:solidFill>
        </w14:textFill>
      </w:rPr>
    </w:lvl>
  </w:abstractNum>
  <w:abstractNum w:abstractNumId="12">
    <w:nsid w:val="61BA554E"/>
    <w:multiLevelType w:val="multilevel"/>
    <w:tmpl w:val="61BA554E"/>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7"/>
  </w:num>
  <w:num w:numId="2">
    <w:abstractNumId w:val="10"/>
  </w:num>
  <w:num w:numId="3">
    <w:abstractNumId w:val="0"/>
  </w:num>
  <w:num w:numId="4">
    <w:abstractNumId w:val="2"/>
  </w:num>
  <w:num w:numId="5">
    <w:abstractNumId w:val="8"/>
  </w:num>
  <w:num w:numId="6">
    <w:abstractNumId w:val="4"/>
  </w:num>
  <w:num w:numId="7">
    <w:abstractNumId w:val="1"/>
  </w:num>
  <w:num w:numId="8">
    <w:abstractNumId w:val="6"/>
  </w:num>
  <w:num w:numId="9">
    <w:abstractNumId w:val="11"/>
  </w:num>
  <w:num w:numId="10">
    <w:abstractNumId w:val="5"/>
  </w:num>
  <w:num w:numId="11">
    <w:abstractNumId w:val="3"/>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9EE"/>
    <w:rsid w:val="0001060F"/>
    <w:rsid w:val="00051017"/>
    <w:rsid w:val="00060589"/>
    <w:rsid w:val="0006417B"/>
    <w:rsid w:val="00086FE6"/>
    <w:rsid w:val="000C4FCE"/>
    <w:rsid w:val="00112E66"/>
    <w:rsid w:val="00180E39"/>
    <w:rsid w:val="00222AE0"/>
    <w:rsid w:val="002B3010"/>
    <w:rsid w:val="002C0615"/>
    <w:rsid w:val="002D0B87"/>
    <w:rsid w:val="00320D28"/>
    <w:rsid w:val="0032198D"/>
    <w:rsid w:val="0041143F"/>
    <w:rsid w:val="004163C4"/>
    <w:rsid w:val="00426902"/>
    <w:rsid w:val="00467ABD"/>
    <w:rsid w:val="00483E12"/>
    <w:rsid w:val="004931B4"/>
    <w:rsid w:val="004E2D87"/>
    <w:rsid w:val="00511508"/>
    <w:rsid w:val="00543698"/>
    <w:rsid w:val="005663A7"/>
    <w:rsid w:val="0057202B"/>
    <w:rsid w:val="005A4011"/>
    <w:rsid w:val="005E5554"/>
    <w:rsid w:val="006048A0"/>
    <w:rsid w:val="00624A0F"/>
    <w:rsid w:val="00651E85"/>
    <w:rsid w:val="007218FC"/>
    <w:rsid w:val="00724BFE"/>
    <w:rsid w:val="007349A8"/>
    <w:rsid w:val="00783F86"/>
    <w:rsid w:val="00826FC5"/>
    <w:rsid w:val="008465D0"/>
    <w:rsid w:val="008806F5"/>
    <w:rsid w:val="00914500"/>
    <w:rsid w:val="009458FD"/>
    <w:rsid w:val="00980855"/>
    <w:rsid w:val="009D6B9E"/>
    <w:rsid w:val="009F5D4B"/>
    <w:rsid w:val="00A05894"/>
    <w:rsid w:val="00A37D0F"/>
    <w:rsid w:val="00A75582"/>
    <w:rsid w:val="00AB3734"/>
    <w:rsid w:val="00B519EE"/>
    <w:rsid w:val="00B6038F"/>
    <w:rsid w:val="00B70327"/>
    <w:rsid w:val="00B9662B"/>
    <w:rsid w:val="00BB40A9"/>
    <w:rsid w:val="00BC5646"/>
    <w:rsid w:val="00BC7466"/>
    <w:rsid w:val="00BF1285"/>
    <w:rsid w:val="00CB6C5A"/>
    <w:rsid w:val="00CF6643"/>
    <w:rsid w:val="00D47B86"/>
    <w:rsid w:val="00D75756"/>
    <w:rsid w:val="00D955FE"/>
    <w:rsid w:val="00DA4269"/>
    <w:rsid w:val="00E54254"/>
    <w:rsid w:val="00E74224"/>
    <w:rsid w:val="00E940B7"/>
    <w:rsid w:val="00EF7E23"/>
    <w:rsid w:val="00F463C3"/>
    <w:rsid w:val="00F607E8"/>
    <w:rsid w:val="00F825DD"/>
    <w:rsid w:val="01264972"/>
    <w:rsid w:val="023751DB"/>
    <w:rsid w:val="02D74371"/>
    <w:rsid w:val="03D51A97"/>
    <w:rsid w:val="042332DB"/>
    <w:rsid w:val="04EB450E"/>
    <w:rsid w:val="05E60BF0"/>
    <w:rsid w:val="066427A8"/>
    <w:rsid w:val="06B521F5"/>
    <w:rsid w:val="075011AD"/>
    <w:rsid w:val="08CB226F"/>
    <w:rsid w:val="091F7F85"/>
    <w:rsid w:val="09DE1BB2"/>
    <w:rsid w:val="0A652CB7"/>
    <w:rsid w:val="0A71039F"/>
    <w:rsid w:val="0ADC66BC"/>
    <w:rsid w:val="0BF409A8"/>
    <w:rsid w:val="0C7236C8"/>
    <w:rsid w:val="0C73097D"/>
    <w:rsid w:val="0D447587"/>
    <w:rsid w:val="0DBE68E0"/>
    <w:rsid w:val="0E58119A"/>
    <w:rsid w:val="0E8A1A67"/>
    <w:rsid w:val="0F521008"/>
    <w:rsid w:val="107776B6"/>
    <w:rsid w:val="11A8593A"/>
    <w:rsid w:val="12BE16B9"/>
    <w:rsid w:val="12DD1D4C"/>
    <w:rsid w:val="14AE78FC"/>
    <w:rsid w:val="15AD7A54"/>
    <w:rsid w:val="16054437"/>
    <w:rsid w:val="179975A5"/>
    <w:rsid w:val="18184883"/>
    <w:rsid w:val="18403F55"/>
    <w:rsid w:val="19145B32"/>
    <w:rsid w:val="191B53AE"/>
    <w:rsid w:val="19567BD8"/>
    <w:rsid w:val="19B80818"/>
    <w:rsid w:val="19BB766E"/>
    <w:rsid w:val="1A11166F"/>
    <w:rsid w:val="1A2F252B"/>
    <w:rsid w:val="1A734275"/>
    <w:rsid w:val="1B0F3C4A"/>
    <w:rsid w:val="1D135199"/>
    <w:rsid w:val="1E3F4E33"/>
    <w:rsid w:val="1F2775B4"/>
    <w:rsid w:val="1F562FA0"/>
    <w:rsid w:val="1FDE7EFC"/>
    <w:rsid w:val="219A548B"/>
    <w:rsid w:val="2368508B"/>
    <w:rsid w:val="23D009C8"/>
    <w:rsid w:val="245A738E"/>
    <w:rsid w:val="24D11BB9"/>
    <w:rsid w:val="24FD3A97"/>
    <w:rsid w:val="25722E92"/>
    <w:rsid w:val="25C71CE1"/>
    <w:rsid w:val="263E318C"/>
    <w:rsid w:val="266775A0"/>
    <w:rsid w:val="2673217B"/>
    <w:rsid w:val="26FC499D"/>
    <w:rsid w:val="280E79AB"/>
    <w:rsid w:val="28700CFC"/>
    <w:rsid w:val="287B25A8"/>
    <w:rsid w:val="289528A1"/>
    <w:rsid w:val="29DB3B8E"/>
    <w:rsid w:val="2A3076E8"/>
    <w:rsid w:val="2AAF7B02"/>
    <w:rsid w:val="2B7D3FB4"/>
    <w:rsid w:val="2BA11700"/>
    <w:rsid w:val="2C892B73"/>
    <w:rsid w:val="2C996C53"/>
    <w:rsid w:val="2D23097E"/>
    <w:rsid w:val="2D70619B"/>
    <w:rsid w:val="2DED7A1F"/>
    <w:rsid w:val="2DF810DB"/>
    <w:rsid w:val="2EDA0B43"/>
    <w:rsid w:val="30231E8D"/>
    <w:rsid w:val="314C78B3"/>
    <w:rsid w:val="319D2FB5"/>
    <w:rsid w:val="32063D1D"/>
    <w:rsid w:val="322670A0"/>
    <w:rsid w:val="33D307EF"/>
    <w:rsid w:val="34436003"/>
    <w:rsid w:val="34CF09FA"/>
    <w:rsid w:val="35ED6C2F"/>
    <w:rsid w:val="362446C1"/>
    <w:rsid w:val="368D4F2E"/>
    <w:rsid w:val="37AC2084"/>
    <w:rsid w:val="37E3140C"/>
    <w:rsid w:val="38196914"/>
    <w:rsid w:val="382A6706"/>
    <w:rsid w:val="38320464"/>
    <w:rsid w:val="3A18649F"/>
    <w:rsid w:val="3A813E4A"/>
    <w:rsid w:val="3ACB0060"/>
    <w:rsid w:val="3B5F4174"/>
    <w:rsid w:val="3B794D15"/>
    <w:rsid w:val="3BE14825"/>
    <w:rsid w:val="3D653EAE"/>
    <w:rsid w:val="3E68639E"/>
    <w:rsid w:val="3ED26354"/>
    <w:rsid w:val="3F081650"/>
    <w:rsid w:val="3F177888"/>
    <w:rsid w:val="3F4A17A3"/>
    <w:rsid w:val="406D5519"/>
    <w:rsid w:val="41826325"/>
    <w:rsid w:val="418768EA"/>
    <w:rsid w:val="41AC774B"/>
    <w:rsid w:val="431F6C20"/>
    <w:rsid w:val="44CF2687"/>
    <w:rsid w:val="45C833BC"/>
    <w:rsid w:val="473A632C"/>
    <w:rsid w:val="48F7721B"/>
    <w:rsid w:val="49154618"/>
    <w:rsid w:val="492B763D"/>
    <w:rsid w:val="498B626F"/>
    <w:rsid w:val="4D091551"/>
    <w:rsid w:val="4D30560B"/>
    <w:rsid w:val="4D4C3ECB"/>
    <w:rsid w:val="4EAD5E2F"/>
    <w:rsid w:val="4EB02473"/>
    <w:rsid w:val="4EE94FAC"/>
    <w:rsid w:val="4F3325E9"/>
    <w:rsid w:val="4F3A632D"/>
    <w:rsid w:val="4F690F10"/>
    <w:rsid w:val="4F904CD4"/>
    <w:rsid w:val="4FA82268"/>
    <w:rsid w:val="510435BA"/>
    <w:rsid w:val="51526FC6"/>
    <w:rsid w:val="51955C29"/>
    <w:rsid w:val="529B6A73"/>
    <w:rsid w:val="52C13B4A"/>
    <w:rsid w:val="52F61E27"/>
    <w:rsid w:val="532A6051"/>
    <w:rsid w:val="54445537"/>
    <w:rsid w:val="550120CD"/>
    <w:rsid w:val="57300BC7"/>
    <w:rsid w:val="57471F1B"/>
    <w:rsid w:val="576C26F5"/>
    <w:rsid w:val="57874C1F"/>
    <w:rsid w:val="57F04385"/>
    <w:rsid w:val="592B138A"/>
    <w:rsid w:val="59D9301F"/>
    <w:rsid w:val="59D9632D"/>
    <w:rsid w:val="5A022CD3"/>
    <w:rsid w:val="5A6B3A85"/>
    <w:rsid w:val="5AD6369E"/>
    <w:rsid w:val="5B4D43AD"/>
    <w:rsid w:val="5BB86188"/>
    <w:rsid w:val="5DBC2AD7"/>
    <w:rsid w:val="5E952CD3"/>
    <w:rsid w:val="5EA058BB"/>
    <w:rsid w:val="5EBF17CC"/>
    <w:rsid w:val="5F85537A"/>
    <w:rsid w:val="5FA37FB6"/>
    <w:rsid w:val="60E80F88"/>
    <w:rsid w:val="611A4046"/>
    <w:rsid w:val="619B57FA"/>
    <w:rsid w:val="61BF7AD5"/>
    <w:rsid w:val="62E34EB0"/>
    <w:rsid w:val="62EE3628"/>
    <w:rsid w:val="6317659E"/>
    <w:rsid w:val="6392569A"/>
    <w:rsid w:val="645F20F3"/>
    <w:rsid w:val="65862367"/>
    <w:rsid w:val="66387DF3"/>
    <w:rsid w:val="6711313B"/>
    <w:rsid w:val="680A36E9"/>
    <w:rsid w:val="688D0505"/>
    <w:rsid w:val="68F03F5F"/>
    <w:rsid w:val="69DA2C46"/>
    <w:rsid w:val="6A0A6618"/>
    <w:rsid w:val="6A11270F"/>
    <w:rsid w:val="6A935267"/>
    <w:rsid w:val="6B074472"/>
    <w:rsid w:val="6C5B3897"/>
    <w:rsid w:val="6E2161ED"/>
    <w:rsid w:val="6EFD40E2"/>
    <w:rsid w:val="703924AB"/>
    <w:rsid w:val="703B5F47"/>
    <w:rsid w:val="70AB4167"/>
    <w:rsid w:val="7101548C"/>
    <w:rsid w:val="716F71A9"/>
    <w:rsid w:val="71EB1D88"/>
    <w:rsid w:val="720A6ACC"/>
    <w:rsid w:val="720F1394"/>
    <w:rsid w:val="726873C1"/>
    <w:rsid w:val="72A31D3E"/>
    <w:rsid w:val="72A3781F"/>
    <w:rsid w:val="72B10ABA"/>
    <w:rsid w:val="74722E7A"/>
    <w:rsid w:val="74C652D1"/>
    <w:rsid w:val="74CE6716"/>
    <w:rsid w:val="75581C92"/>
    <w:rsid w:val="75E83951"/>
    <w:rsid w:val="7605782D"/>
    <w:rsid w:val="76BD1215"/>
    <w:rsid w:val="77563B42"/>
    <w:rsid w:val="776A67B8"/>
    <w:rsid w:val="77DE08BF"/>
    <w:rsid w:val="77E55B44"/>
    <w:rsid w:val="78D36A7A"/>
    <w:rsid w:val="79DA6577"/>
    <w:rsid w:val="7A4F34C8"/>
    <w:rsid w:val="7B263BDD"/>
    <w:rsid w:val="7B2B48AF"/>
    <w:rsid w:val="7B6F2A05"/>
    <w:rsid w:val="7CA44F6B"/>
    <w:rsid w:val="7CAA3813"/>
    <w:rsid w:val="7D612254"/>
    <w:rsid w:val="7D731185"/>
    <w:rsid w:val="7D9F145E"/>
    <w:rsid w:val="7E2A1707"/>
    <w:rsid w:val="7E970C71"/>
    <w:rsid w:val="7FC96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宋体" w:cs="Arial"/>
      <w:bCs/>
      <w:sz w:val="21"/>
      <w:szCs w:val="21"/>
      <w:lang w:val="en-US" w:eastAsia="zh-CN" w:bidi="ar-SA"/>
    </w:rPr>
  </w:style>
  <w:style w:type="paragraph" w:styleId="4">
    <w:name w:val="heading 1"/>
    <w:basedOn w:val="1"/>
    <w:next w:val="1"/>
    <w:qFormat/>
    <w:uiPriority w:val="0"/>
    <w:pPr>
      <w:numPr>
        <w:ilvl w:val="0"/>
        <w:numId w:val="1"/>
      </w:numPr>
      <w:adjustRightInd w:val="0"/>
      <w:spacing w:before="120" w:after="120" w:line="400" w:lineRule="atLeast"/>
      <w:jc w:val="left"/>
      <w:textAlignment w:val="baseline"/>
      <w:outlineLvl w:val="0"/>
    </w:pPr>
    <w:rPr>
      <w:b/>
      <w:caps/>
      <w:kern w:val="28"/>
      <w:sz w:val="24"/>
      <w:szCs w:val="20"/>
    </w:rPr>
  </w:style>
  <w:style w:type="paragraph" w:styleId="5">
    <w:name w:val="heading 2"/>
    <w:basedOn w:val="4"/>
    <w:next w:val="1"/>
    <w:qFormat/>
    <w:uiPriority w:val="0"/>
    <w:pPr>
      <w:numPr>
        <w:ilvl w:val="1"/>
      </w:numPr>
      <w:outlineLvl w:val="1"/>
    </w:pPr>
    <w:rPr>
      <w:b w:val="0"/>
      <w:caps w:val="0"/>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tabs>
        <w:tab w:val="left" w:pos="567"/>
        <w:tab w:val="left" w:pos="1134"/>
        <w:tab w:val="left" w:pos="1701"/>
        <w:tab w:val="left" w:pos="2268"/>
      </w:tabs>
      <w:ind w:firstLine="420" w:firstLineChars="200"/>
    </w:pPr>
  </w:style>
  <w:style w:type="paragraph" w:styleId="3">
    <w:name w:val="Body Text Indent"/>
    <w:basedOn w:val="1"/>
    <w:qFormat/>
    <w:uiPriority w:val="0"/>
    <w:pPr>
      <w:spacing w:after="120"/>
      <w:ind w:left="420" w:leftChars="200"/>
    </w:pPr>
  </w:style>
  <w:style w:type="paragraph" w:styleId="6">
    <w:name w:val="Normal Indent"/>
    <w:basedOn w:val="1"/>
    <w:qFormat/>
    <w:uiPriority w:val="0"/>
    <w:pPr>
      <w:tabs>
        <w:tab w:val="left" w:pos="1040"/>
      </w:tabs>
      <w:adjustRightInd w:val="0"/>
      <w:snapToGrid w:val="0"/>
      <w:spacing w:before="80" w:after="80" w:line="288" w:lineRule="auto"/>
      <w:ind w:firstLine="420"/>
    </w:pPr>
    <w:rPr>
      <w:rFonts w:ascii="Univers" w:hAnsi="Univers" w:cs="Times New Roman"/>
      <w:bCs w:val="0"/>
      <w:sz w:val="24"/>
      <w:szCs w:val="20"/>
    </w:rPr>
  </w:style>
  <w:style w:type="paragraph" w:styleId="7">
    <w:name w:val="annotation text"/>
    <w:basedOn w:val="1"/>
    <w:link w:val="27"/>
    <w:qFormat/>
    <w:uiPriority w:val="0"/>
    <w:pPr>
      <w:jc w:val="left"/>
    </w:pPr>
  </w:style>
  <w:style w:type="paragraph" w:styleId="8">
    <w:name w:val="Body Text"/>
    <w:basedOn w:val="1"/>
    <w:next w:val="9"/>
    <w:qFormat/>
    <w:uiPriority w:val="0"/>
    <w:pPr>
      <w:adjustRightInd w:val="0"/>
      <w:spacing w:before="120" w:after="120" w:line="400" w:lineRule="atLeast"/>
      <w:textAlignment w:val="baseline"/>
    </w:pPr>
    <w:rPr>
      <w:sz w:val="24"/>
      <w:szCs w:val="20"/>
    </w:rPr>
  </w:style>
  <w:style w:type="paragraph" w:styleId="9">
    <w:name w:val="Title"/>
    <w:basedOn w:val="1"/>
    <w:next w:val="1"/>
    <w:qFormat/>
    <w:uiPriority w:val="0"/>
    <w:pPr>
      <w:spacing w:before="240" w:after="60"/>
      <w:jc w:val="center"/>
      <w:outlineLvl w:val="0"/>
    </w:pPr>
    <w:rPr>
      <w:rFonts w:ascii="Cambria" w:hAnsi="Cambria" w:cs="Times New Roman"/>
      <w:b/>
      <w:sz w:val="32"/>
      <w:szCs w:val="32"/>
    </w:rPr>
  </w:style>
  <w:style w:type="paragraph" w:styleId="10">
    <w:name w:val="footer"/>
    <w:qFormat/>
    <w:uiPriority w:val="99"/>
    <w:pPr>
      <w:widowControl w:val="0"/>
      <w:pBdr>
        <w:top w:val="single" w:color="auto" w:sz="6" w:space="1"/>
      </w:pBdr>
      <w:tabs>
        <w:tab w:val="center" w:pos="4153"/>
        <w:tab w:val="right" w:pos="8306"/>
      </w:tabs>
      <w:adjustRightInd w:val="0"/>
      <w:spacing w:line="240" w:lineRule="atLeast"/>
      <w:textAlignment w:val="baseline"/>
    </w:pPr>
    <w:rPr>
      <w:rFonts w:ascii="Times New Roman" w:hAnsi="Times New Roman" w:eastAsia="宋体" w:cs="Times New Roman"/>
      <w:b/>
      <w:i/>
      <w:caps/>
      <w:sz w:val="24"/>
      <w:lang w:val="en-US" w:eastAsia="zh-CN" w:bidi="ar-SA"/>
    </w:rPr>
  </w:style>
  <w:style w:type="paragraph" w:styleId="11">
    <w:name w:val="header"/>
    <w:qFormat/>
    <w:uiPriority w:val="99"/>
    <w:pPr>
      <w:widowControl w:val="0"/>
      <w:pBdr>
        <w:bottom w:val="single" w:color="auto" w:sz="6" w:space="1"/>
      </w:pBdr>
      <w:tabs>
        <w:tab w:val="center" w:pos="4153"/>
        <w:tab w:val="right" w:pos="8306"/>
      </w:tabs>
      <w:adjustRightInd w:val="0"/>
      <w:spacing w:line="240" w:lineRule="atLeast"/>
      <w:jc w:val="center"/>
      <w:textAlignment w:val="baseline"/>
    </w:pPr>
    <w:rPr>
      <w:rFonts w:ascii="Times New Roman" w:hAnsi="Times New Roman" w:eastAsia="宋体" w:cs="Times New Roman"/>
      <w:b/>
      <w:i/>
      <w:caps/>
      <w:sz w:val="24"/>
      <w:lang w:val="en-US" w:eastAsia="zh-CN" w:bidi="ar-SA"/>
    </w:rPr>
  </w:style>
  <w:style w:type="paragraph" w:styleId="12">
    <w:name w:val="toc 1"/>
    <w:basedOn w:val="1"/>
    <w:next w:val="1"/>
    <w:qFormat/>
    <w:uiPriority w:val="39"/>
    <w:pPr>
      <w:spacing w:before="120" w:after="120"/>
      <w:jc w:val="left"/>
    </w:pPr>
    <w:rPr>
      <w:rFonts w:eastAsia="Arial"/>
      <w:b/>
      <w:caps/>
      <w:sz w:val="22"/>
      <w:szCs w:val="20"/>
    </w:rPr>
  </w:style>
  <w:style w:type="paragraph" w:styleId="13">
    <w:name w:val="toc 2"/>
    <w:basedOn w:val="12"/>
    <w:next w:val="1"/>
    <w:qFormat/>
    <w:uiPriority w:val="39"/>
    <w:pPr>
      <w:spacing w:before="0" w:after="0"/>
      <w:ind w:left="240"/>
    </w:pPr>
    <w:rPr>
      <w:b w:val="0"/>
      <w:bCs w:val="0"/>
      <w:caps w:val="0"/>
      <w:szCs w:val="24"/>
    </w:rPr>
  </w:style>
  <w:style w:type="paragraph" w:styleId="14">
    <w:name w:val="Normal (Web)"/>
    <w:basedOn w:val="1"/>
    <w:qFormat/>
    <w:uiPriority w:val="0"/>
    <w:pPr>
      <w:spacing w:beforeAutospacing="1" w:afterAutospacing="1"/>
      <w:jc w:val="left"/>
    </w:pPr>
    <w:rPr>
      <w:rFonts w:cs="Times New Roman"/>
      <w:sz w:val="24"/>
    </w:rPr>
  </w:style>
  <w:style w:type="paragraph" w:styleId="15">
    <w:name w:val="annotation subject"/>
    <w:basedOn w:val="7"/>
    <w:next w:val="7"/>
    <w:link w:val="28"/>
    <w:qFormat/>
    <w:uiPriority w:val="0"/>
    <w:rPr>
      <w:b/>
    </w:rPr>
  </w:style>
  <w:style w:type="character" w:styleId="18">
    <w:name w:val="Strong"/>
    <w:basedOn w:val="17"/>
    <w:qFormat/>
    <w:uiPriority w:val="0"/>
    <w:rPr>
      <w:b/>
    </w:rPr>
  </w:style>
  <w:style w:type="character" w:styleId="19">
    <w:name w:val="page number"/>
    <w:qFormat/>
    <w:uiPriority w:val="0"/>
    <w:rPr>
      <w:rFonts w:ascii="Times New Roman" w:hAnsi="Times New Roman" w:eastAsia="宋体"/>
      <w:b/>
      <w:i/>
      <w:caps/>
      <w:sz w:val="24"/>
    </w:rPr>
  </w:style>
  <w:style w:type="character" w:styleId="20">
    <w:name w:val="annotation reference"/>
    <w:basedOn w:val="17"/>
    <w:qFormat/>
    <w:uiPriority w:val="0"/>
    <w:rPr>
      <w:sz w:val="21"/>
      <w:szCs w:val="21"/>
    </w:rPr>
  </w:style>
  <w:style w:type="paragraph" w:customStyle="1" w:styleId="21">
    <w:name w:val="WW-Body Text 2"/>
    <w:basedOn w:val="1"/>
    <w:qFormat/>
    <w:uiPriority w:val="0"/>
    <w:pPr>
      <w:widowControl/>
      <w:suppressAutoHyphens/>
      <w:jc w:val="left"/>
    </w:pPr>
    <w:rPr>
      <w:rFonts w:cs="Times New Roman"/>
      <w:bCs w:val="0"/>
      <w:sz w:val="24"/>
      <w:szCs w:val="20"/>
      <w:lang w:val="en-GB"/>
    </w:rPr>
  </w:style>
  <w:style w:type="character" w:customStyle="1" w:styleId="22">
    <w:name w:val="fontstyle01"/>
    <w:qFormat/>
    <w:uiPriority w:val="0"/>
    <w:rPr>
      <w:rFonts w:hint="eastAsia" w:ascii="宋体" w:hAnsi="宋体" w:eastAsia="宋体"/>
      <w:color w:val="000000"/>
      <w:sz w:val="22"/>
      <w:szCs w:val="22"/>
    </w:rPr>
  </w:style>
  <w:style w:type="paragraph" w:styleId="23">
    <w:name w:val="List Paragraph"/>
    <w:basedOn w:val="1"/>
    <w:qFormat/>
    <w:uiPriority w:val="34"/>
    <w:pPr>
      <w:widowControl/>
      <w:ind w:firstLine="420"/>
    </w:pPr>
    <w:rPr>
      <w:rFonts w:ascii="Calibri" w:hAnsi="Calibri" w:cs="Calibri"/>
      <w:bCs w:val="0"/>
    </w:rPr>
  </w:style>
  <w:style w:type="character" w:customStyle="1" w:styleId="24">
    <w:name w:val="font01"/>
    <w:basedOn w:val="17"/>
    <w:qFormat/>
    <w:uiPriority w:val="0"/>
    <w:rPr>
      <w:rFonts w:hint="eastAsia" w:ascii="宋体" w:hAnsi="宋体" w:eastAsia="宋体" w:cs="宋体"/>
      <w:color w:val="000000"/>
      <w:sz w:val="18"/>
      <w:szCs w:val="18"/>
      <w:u w:val="none"/>
    </w:rPr>
  </w:style>
  <w:style w:type="character" w:customStyle="1" w:styleId="25">
    <w:name w:val="font41"/>
    <w:basedOn w:val="17"/>
    <w:qFormat/>
    <w:uiPriority w:val="0"/>
    <w:rPr>
      <w:rFonts w:hint="eastAsia" w:ascii="宋体" w:hAnsi="宋体" w:eastAsia="宋体" w:cs="宋体"/>
      <w:color w:val="000000"/>
      <w:sz w:val="18"/>
      <w:szCs w:val="18"/>
      <w:u w:val="none"/>
      <w:vertAlign w:val="superscript"/>
    </w:rPr>
  </w:style>
  <w:style w:type="paragraph" w:customStyle="1" w:styleId="26">
    <w:name w:val="Revision"/>
    <w:hidden/>
    <w:unhideWhenUsed/>
    <w:qFormat/>
    <w:uiPriority w:val="99"/>
    <w:rPr>
      <w:rFonts w:ascii="Arial" w:hAnsi="Arial" w:eastAsia="宋体" w:cs="Arial"/>
      <w:bCs/>
      <w:sz w:val="21"/>
      <w:szCs w:val="21"/>
      <w:lang w:val="en-US" w:eastAsia="zh-CN" w:bidi="ar-SA"/>
    </w:rPr>
  </w:style>
  <w:style w:type="character" w:customStyle="1" w:styleId="27">
    <w:name w:val="批注文字 字符"/>
    <w:basedOn w:val="17"/>
    <w:link w:val="7"/>
    <w:qFormat/>
    <w:uiPriority w:val="0"/>
    <w:rPr>
      <w:rFonts w:ascii="Arial" w:hAnsi="Arial" w:cs="Arial"/>
      <w:bCs/>
      <w:sz w:val="21"/>
      <w:szCs w:val="21"/>
    </w:rPr>
  </w:style>
  <w:style w:type="character" w:customStyle="1" w:styleId="28">
    <w:name w:val="批注主题 字符"/>
    <w:basedOn w:val="27"/>
    <w:link w:val="15"/>
    <w:qFormat/>
    <w:uiPriority w:val="0"/>
    <w:rPr>
      <w:rFonts w:ascii="Arial" w:hAnsi="Arial" w:cs="Arial"/>
      <w:b/>
      <w:sz w:val="21"/>
      <w:szCs w:val="21"/>
    </w:rPr>
  </w:style>
  <w:style w:type="paragraph" w:customStyle="1" w:styleId="29">
    <w:name w:val="默认段落字体 Para Char"/>
    <w:basedOn w:val="30"/>
    <w:next w:val="1"/>
    <w:qFormat/>
    <w:uiPriority w:val="0"/>
    <w:pPr>
      <w:spacing w:line="360" w:lineRule="auto"/>
      <w:ind w:firstLine="720" w:firstLineChars="200"/>
    </w:pPr>
    <w:rPr>
      <w:rFonts w:eastAsia="仿宋"/>
      <w:kern w:val="10"/>
      <w:szCs w:val="28"/>
    </w:rPr>
  </w:style>
  <w:style w:type="paragraph" w:customStyle="1" w:styleId="30">
    <w:name w:val="Normal_1"/>
    <w:next w:val="29"/>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374</Words>
  <Characters>2137</Characters>
  <Lines>17</Lines>
  <Paragraphs>5</Paragraphs>
  <TotalTime>3</TotalTime>
  <ScaleCrop>false</ScaleCrop>
  <LinksUpToDate>false</LinksUpToDate>
  <CharactersWithSpaces>2506</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2026-03-26T07:29:00Z</dcterms:created>
  <dc:creator>qixiao4</dc:creator>
  <cp:lastModifiedBy>ex_zhanglx10</cp:lastModifiedBy>
  <cp:lastPrinted>2026-05-13T06:44:06Z</cp:lastPrinted>
  <dcterms:modified xsi:type="dcterms:W3CDTF">2026-05-13T06:59:33Z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650CFB3930D7416D8343CABCD013326D</vt:lpwstr>
  </property>
</Properties>
</file>