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60" w:after="0" w:line="384" w:lineRule="auto"/>
        <w:ind w:left="120"/>
        <w:jc w:val="center"/>
      </w:pPr>
      <w:r>
        <w:rPr>
          <w:rFonts w:ascii="宋体" w:hAnsi="宋体" w:eastAsia="宋体" w:cs="宋体"/>
        </w:rPr>
        <w:drawing>
          <wp:inline distT="0" distB="0" distL="0" distR="0">
            <wp:extent cx="2181225" cy="19621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spacing w:before="270" w:after="0" w:line="384" w:lineRule="auto"/>
        <w:ind w:left="120"/>
        <w:jc w:val="center"/>
      </w:pPr>
      <w:r>
        <w:rPr>
          <w:rFonts w:ascii="宋体" w:hAnsi="宋体" w:eastAsia="宋体" w:cs="宋体"/>
          <w:b/>
          <w:i w:val="0"/>
          <w:color w:val="000000"/>
          <w:sz w:val="36"/>
        </w:rPr>
        <w:t xml:space="preserve"> 采购技术要求书 </w:t>
      </w:r>
    </w:p>
    <w:p>
      <w:pPr>
        <w:spacing w:before="210" w:after="0" w:line="384" w:lineRule="auto"/>
        <w:ind w:left="120"/>
        <w:jc w:val="center"/>
      </w:pPr>
      <w:r>
        <w:rPr>
          <w:rFonts w:ascii="宋体" w:hAnsi="宋体" w:eastAsia="宋体" w:cs="宋体"/>
          <w:b/>
          <w:i w:val="0"/>
          <w:color w:val="000000"/>
          <w:sz w:val="32"/>
        </w:rPr>
        <w:t xml:space="preserve"> 铜镍合金管2项 </w:t>
      </w:r>
    </w:p>
    <w:p>
      <w:pPr>
        <w:spacing w:before="150" w:after="0" w:line="384" w:lineRule="auto"/>
        <w:ind w:left="120"/>
        <w:jc w:val="center"/>
      </w:pPr>
      <w:r>
        <w:rPr>
          <w:rFonts w:ascii="宋体" w:hAnsi="宋体" w:eastAsia="宋体" w:cs="宋体"/>
          <w:b w:val="0"/>
          <w:i w:val="0"/>
          <w:color w:val="000000"/>
          <w:sz w:val="28"/>
        </w:rPr>
        <w:t xml:space="preserve"> 装备技术有限公司设施优化升级技术服务中心 </w:t>
      </w:r>
    </w:p>
    <w:p>
      <w:pPr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</w:rPr>
        <w:br w:type="page"/>
      </w:r>
    </w:p>
    <w:p>
      <w:pPr>
        <w:pStyle w:val="2"/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  <w:b/>
          <w:i w:val="0"/>
          <w:color w:val="000000"/>
          <w:sz w:val="32"/>
        </w:rPr>
        <w:t>一、项目概况及总体要求</w:t>
      </w:r>
    </w:p>
    <w:p>
      <w:pPr>
        <w:spacing w:before="269" w:after="269" w:line="384" w:lineRule="auto"/>
        <w:ind w:left="300"/>
        <w:jc w:val="left"/>
      </w:pPr>
      <w:r>
        <w:rPr>
          <w:rFonts w:ascii="宋体" w:hAnsi="宋体" w:eastAsia="宋体" w:cs="宋体"/>
          <w:b/>
          <w:i w:val="0"/>
          <w:color w:val="000000"/>
          <w:sz w:val="26"/>
        </w:rPr>
        <w:t>1.项目概况</w:t>
      </w:r>
    </w:p>
    <w:p>
      <w:pPr>
        <w:spacing w:before="0" w:after="0" w:line="384" w:lineRule="auto"/>
        <w:ind w:left="36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曹妃甸11-135油田综合调整项目设施改造工程，为保证项目施工进度，需采购以下物料。</w:t>
      </w: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标准应用情况概述：本需求应用《EEMUA 234》90/10 Copper nickel alloy piping for offshore applications Specification。 </w:t>
      </w: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spacing w:before="269" w:after="269" w:line="384" w:lineRule="auto"/>
        <w:ind w:left="300"/>
        <w:jc w:val="left"/>
      </w:pPr>
      <w:r>
        <w:rPr>
          <w:rFonts w:ascii="宋体" w:hAnsi="宋体" w:eastAsia="宋体" w:cs="宋体"/>
          <w:b/>
          <w:i w:val="0"/>
          <w:color w:val="000000"/>
          <w:sz w:val="26"/>
        </w:rPr>
        <w:t>2.采购物资名称</w:t>
      </w:r>
    </w:p>
    <w:p>
      <w:pPr>
        <w:spacing w:before="0" w:after="0" w:line="384" w:lineRule="auto"/>
        <w:ind w:left="36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铜镍合金管 </w:t>
      </w: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spacing w:before="269" w:after="269" w:line="384" w:lineRule="auto"/>
        <w:ind w:left="300"/>
        <w:jc w:val="left"/>
      </w:pPr>
      <w:r>
        <w:rPr>
          <w:rFonts w:ascii="宋体" w:hAnsi="宋体" w:eastAsia="宋体" w:cs="宋体"/>
          <w:b/>
          <w:i w:val="0"/>
          <w:color w:val="000000"/>
          <w:sz w:val="26"/>
        </w:rPr>
        <w:t>3.主要技术规格</w:t>
      </w:r>
    </w:p>
    <w:p>
      <w:pPr>
        <w:spacing w:before="0" w:after="0" w:line="384" w:lineRule="auto"/>
        <w:ind w:left="36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铜镍合金管\C70600\圆\OD57.0mm×2.5mm\EEMUA 234</w:t>
      </w: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铜镍合金管\C70600\圆\OD108mm×3mm\EEMUA 234 </w:t>
      </w: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spacing w:before="269" w:after="269" w:line="384" w:lineRule="auto"/>
        <w:ind w:left="300"/>
        <w:jc w:val="left"/>
      </w:pPr>
      <w:r>
        <w:rPr>
          <w:rFonts w:ascii="宋体" w:hAnsi="宋体" w:eastAsia="宋体" w:cs="宋体"/>
          <w:b/>
          <w:i w:val="0"/>
          <w:color w:val="000000"/>
          <w:sz w:val="26"/>
        </w:rPr>
        <w:t>4.数量</w:t>
      </w:r>
    </w:p>
    <w:p>
      <w:pPr>
        <w:spacing w:before="0" w:after="0" w:line="384" w:lineRule="auto"/>
        <w:ind w:left="36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铜镍合金管\C70600\圆\OD57.0mm×2.5mm\EEMUA 234 (206.82公斤）</w:t>
      </w: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铜镍合金管\C70600\圆\OD108mm×3mm\EEMUA 234（106.2公斤） </w:t>
      </w: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spacing w:before="269" w:after="269" w:line="384" w:lineRule="auto"/>
        <w:ind w:left="300"/>
        <w:jc w:val="left"/>
      </w:pPr>
      <w:r>
        <w:rPr>
          <w:rFonts w:ascii="宋体" w:hAnsi="宋体" w:eastAsia="宋体" w:cs="宋体"/>
          <w:b/>
          <w:i w:val="0"/>
          <w:color w:val="000000"/>
          <w:sz w:val="26"/>
        </w:rPr>
        <w:t>5.交货地点</w:t>
      </w:r>
    </w:p>
    <w:p>
      <w:pPr>
        <w:spacing w:before="0" w:after="0" w:line="384" w:lineRule="auto"/>
        <w:ind w:left="36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天津市滨海新区渤海石油路688号三号码头 </w:t>
      </w: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spacing w:before="269" w:after="269" w:line="384" w:lineRule="auto"/>
        <w:ind w:left="300"/>
        <w:jc w:val="left"/>
      </w:pPr>
      <w:r>
        <w:rPr>
          <w:rFonts w:ascii="宋体" w:hAnsi="宋体" w:eastAsia="宋体" w:cs="宋体"/>
          <w:b/>
          <w:i w:val="0"/>
          <w:color w:val="000000"/>
          <w:sz w:val="26"/>
        </w:rPr>
        <w:t>6.交货期</w:t>
      </w:r>
    </w:p>
    <w:p>
      <w:pPr>
        <w:spacing w:before="0" w:after="0" w:line="384" w:lineRule="auto"/>
        <w:ind w:left="36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自双方合同签署生效之日起45日内送货 </w:t>
      </w: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pStyle w:val="2"/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  <w:b/>
          <w:i w:val="0"/>
          <w:color w:val="000000"/>
          <w:sz w:val="32"/>
        </w:rPr>
        <w:t>二、需求一览表</w:t>
      </w:r>
    </w:p>
    <w:tbl>
      <w:tblPr>
        <w:tblStyle w:val="12"/>
        <w:tblW w:w="5000" w:type="pct"/>
        <w:tblCellSpacing w:w="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524"/>
        <w:gridCol w:w="1344"/>
        <w:gridCol w:w="3257"/>
        <w:gridCol w:w="1070"/>
        <w:gridCol w:w="524"/>
        <w:gridCol w:w="524"/>
        <w:gridCol w:w="14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tblCellSpacing w:w="0" w:type="dxa"/>
        </w:trPr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序号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物资名称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物资编码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规格型号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数量及单位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交货期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交货地点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tblCellSpacing w:w="0" w:type="dxa"/>
        </w:trPr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铜镍合金管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85400602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铜镍合金管\C70600\圆\OD57.0mm×2.5mm\EEMUA 234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206.82公斤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合同签订后45天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三号码头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6m×9根，(26005R2)金县1-1油田CEPA平台6口调整井地面配套工程-结构管汇及管线预制项目税率13%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tblCellSpacing w:w="0" w:type="dxa"/>
        </w:trPr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铜镍合金管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85438661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铜镍合金管\C70600\圆\OD108mm×3mm\EEMUA 234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106.2公斤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合同签订后45天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三号码头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6m×2根，(25016R2)曹妃甸11-135油田综合调整项目设施改造工程-收发球筒及管线预制项目税率13%</w:t>
            </w:r>
          </w:p>
        </w:tc>
      </w:tr>
    </w:tbl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pStyle w:val="2"/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  <w:b/>
          <w:i w:val="0"/>
          <w:color w:val="000000"/>
          <w:sz w:val="32"/>
        </w:rPr>
        <w:t>三、设计/使用条件</w:t>
      </w:r>
    </w:p>
    <w:p>
      <w:pPr>
        <w:spacing w:before="269" w:after="269" w:line="384" w:lineRule="auto"/>
        <w:ind w:left="300"/>
        <w:jc w:val="left"/>
      </w:pPr>
      <w:r>
        <w:rPr>
          <w:rFonts w:ascii="宋体" w:hAnsi="宋体" w:eastAsia="宋体" w:cs="宋体"/>
          <w:b/>
          <w:i w:val="0"/>
          <w:color w:val="000000"/>
          <w:sz w:val="26"/>
        </w:rPr>
        <w:t>1.设计要求</w:t>
      </w:r>
    </w:p>
    <w:p>
      <w:pPr>
        <w:spacing w:before="0" w:after="0" w:line="384" w:lineRule="auto"/>
        <w:ind w:left="36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《EEMUA 234》 90/10 Copper nickel alloy piping for offshore applications Specification </w:t>
      </w: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spacing w:before="269" w:after="269" w:line="384" w:lineRule="auto"/>
        <w:ind w:left="300"/>
        <w:jc w:val="left"/>
      </w:pPr>
      <w:r>
        <w:rPr>
          <w:rFonts w:ascii="宋体" w:hAnsi="宋体" w:eastAsia="宋体" w:cs="宋体"/>
          <w:b/>
          <w:i w:val="0"/>
          <w:color w:val="000000"/>
          <w:sz w:val="26"/>
        </w:rPr>
        <w:t>2.到货/安装或使用地点</w:t>
      </w:r>
    </w:p>
    <w:p>
      <w:pPr>
        <w:spacing w:before="0" w:after="0" w:line="384" w:lineRule="auto"/>
        <w:ind w:left="36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天津市滨海新区渤海石油路688号三号码头 </w:t>
      </w: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spacing w:before="269" w:after="269" w:line="384" w:lineRule="auto"/>
        <w:ind w:left="300"/>
        <w:jc w:val="left"/>
      </w:pPr>
      <w:r>
        <w:rPr>
          <w:rFonts w:ascii="宋体" w:hAnsi="宋体" w:eastAsia="宋体" w:cs="宋体"/>
          <w:b/>
          <w:i w:val="0"/>
          <w:color w:val="000000"/>
          <w:sz w:val="26"/>
        </w:rPr>
        <w:t>3.作业环境要求</w:t>
      </w:r>
    </w:p>
    <w:p>
      <w:pPr>
        <w:spacing w:before="0" w:after="0" w:line="384" w:lineRule="auto"/>
        <w:ind w:left="36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潮湿、含盐的腐蚀性环境 </w:t>
      </w: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pStyle w:val="2"/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  <w:b/>
          <w:i w:val="0"/>
          <w:color w:val="000000"/>
          <w:sz w:val="32"/>
        </w:rPr>
        <w:t>四、技术要求</w:t>
      </w:r>
    </w:p>
    <w:p>
      <w:pPr>
        <w:spacing w:before="269" w:after="269" w:line="384" w:lineRule="auto"/>
        <w:ind w:left="300"/>
        <w:jc w:val="left"/>
      </w:pPr>
      <w:r>
        <w:rPr>
          <w:rFonts w:ascii="宋体" w:hAnsi="宋体" w:eastAsia="宋体" w:cs="宋体"/>
          <w:b/>
          <w:i w:val="0"/>
          <w:color w:val="000000"/>
          <w:sz w:val="26"/>
        </w:rPr>
        <w:t>1.技术参数</w:t>
      </w:r>
    </w:p>
    <w:p>
      <w:pPr>
        <w:spacing w:before="269" w:after="269" w:line="384" w:lineRule="auto"/>
        <w:ind w:left="36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铜镍合金管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铜镍合金管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1. 铜镍合金管应为90/10铜镍合金（Cu-10Ni），其化学成分应符合EEMUA 234标准要求，其中铜（Cu）含量为88.6%～91.0%，镍（Ni）含量为8.5%～10.5%，铁（Fe）含量为1.0%～2.0%，锰（Mn）含量≤1.8%，锌（Zn）≤1.0%，硫（S）≤0.06%，碳（C）≤0.05%，其余为微量杂质元素，总和不超过0.5%。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2. 管材应采用无缝或焊接工艺制造，焊接管应采用自动钨极惰性气体保护焊（GTAW），焊缝应进行100%射线探伤检测（RT），符合ASME B16.23或EEMUA 234规定的Ⅰ级验收标准。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3. 管材的力学性能应满足：抗拉强度（Rm）≥240 MPa，屈服强度（Rp0.2）≥120 MPa，断后伸长率（A50mm）≥30%，布氏硬度（HB）≤85，且在冷弯试验中经180°弯曲后无裂纹或分层现象。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4. 管材外径和壁厚公差应符合ASTM B466或EEMUA 234规定，外径公差为±0.15 mm（外径≤50 mm）或±0.3%（外径＞50 mm），壁厚公差为±10%或±0.1 mm（取较大值）。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5. 管材内、外表面应光滑、清洁，无氧化皮、裂纹、折叠、气孔、夹杂等影响使用的缺陷，表面粗糙度Ra≤3.2 μm，必要时应进行酸洗或机械抛光处理。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6. 管材应具备良好的耐海水腐蚀性能，在天然海水中进行为期30天的挂片试验后，平均腐蚀速率不得超过0.0025 mm/年，且无局部腐蚀或点蚀现象。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7. 所有管材应提供符合EEMUA 234要求的材料质保书（MTC），包括炉号、批号、化学成分、力学性能、无损检测结果及热处理状态，并可追溯至原始制造记录。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8. 管材应进行固溶热处理，处理温度为700～750℃，保温后快速水冷或空冷，确保组织均匀且无碳化物析出，金相组织应为单相奥氏体结构，晶粒度等级不低于5级（ASTM E112）。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9. 每批次管材应按EEMUA 234要求进行批次检验，每批不超过500根，每批至少抽取2根进行化学成分、力学性能和金相检验，检验不合格则整批拒收。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10. 管材应通过氨熏试验（Ammonia Fuming Test），在室温下暴露于饱和氨气环境中24小时后，表面无龟裂或应力腐蚀开裂迹象，以验证残余应力控制水平。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11. 产品应符合EEMUA 234《90/10 Copper Nickel Alloy Piping for Offshore Applications – Specification》的全部技术要求，并优先执行该标准中关于海上平台应用的特殊规定，包括安装适应性、焊接兼容性和长期服役可靠性。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1</w:t>
      </w:r>
      <w:r>
        <w:rPr>
          <w:rFonts w:hint="eastAsia" w:cs="宋体"/>
          <w:b w:val="0"/>
          <w:i w:val="0"/>
          <w:color w:val="000000"/>
          <w:sz w:val="24"/>
          <w:lang w:val="en-US" w:eastAsia="zh-CN"/>
        </w:rPr>
        <w:t>2</w:t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>. 所有管材在出厂前应进行水压试验或气压试验，试验压力不低于设计压力的1.5倍，保压时间不少于10分钟，无渗漏、无塑性变形。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1</w:t>
      </w:r>
      <w:r>
        <w:rPr>
          <w:rFonts w:hint="eastAsia" w:cs="宋体"/>
          <w:b w:val="0"/>
          <w:i w:val="0"/>
          <w:color w:val="000000"/>
          <w:sz w:val="24"/>
          <w:lang w:val="en-US" w:eastAsia="zh-CN"/>
        </w:rPr>
        <w:t>3</w:t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>. 管材端部应加装保护环，包装应防潮、防撞，标识清晰，标明材质、规格、炉批号、标准号、制造厂名及“Copper-Nickel 90/10”字样，符合EEMUA 234第10章运输与储存要求。</w:t>
      </w:r>
    </w:p>
    <w:p>
      <w:pPr>
        <w:spacing w:before="0" w:after="0" w:line="384" w:lineRule="auto"/>
        <w:ind w:left="36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spacing w:before="269" w:after="269" w:line="384" w:lineRule="auto"/>
        <w:ind w:left="36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铜镍合金管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铜镍合金管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1. 铜镍合金管应为90/10铜镍合金（Cu-10Ni），其化学成分应符合EEMUA 234标准要求，其中铜（Cu）含量为88.6%～91.0%，镍（Ni）含量为8.5%～10.5%，铁（Fe）含量为1.0%～2.0%，锰（Mn）含量≤1.8%，锌（Zn）≤1.0%，硫（S）≤0.06%，碳（C）≤0.05%，其余为微量杂质元素，总和不超过0.5%。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2. 管材应采用无缝或焊接工艺制造，焊接管应采用自动钨极惰性气体保护焊（GTAW），焊缝应进行100%射线探伤检测（RT），符合ASME B16.23或EEMUA 234规定的Ⅰ级验收标准。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3. 管材的力学性能应满足：抗拉强度（Rm）≥240 MPa，屈服强度（Rp0.2）≥120 MPa，断后伸长率（A50mm）≥30%，布氏硬度（HB）≤85，且在冷弯试验中经180°弯曲后无裂纹或分层现象。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4. 管材外径和壁厚公差应符合ASTM B466或EEMUA 234规定，外径公差为±0.15 mm（外径≤50 mm）或±0.3%（外径＞50 mm），壁厚公差为±10%或±0.1 mm（取较大值）。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5. 管材内、外表面应光滑、清洁，无氧化皮、裂纹、折叠、气孔、夹杂等影响使用的缺陷，表面粗糙度Ra≤3.2 μm，必要时应进行酸洗或机械抛光处理。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6. 管材应具备良好的耐海水腐蚀性能，在天然海水中进行为期30天的挂片试验后，平均腐蚀速率不得超过0.0025 mm/年，且无局部腐蚀或点蚀现象。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7. 所有管材应提供符合EEMUA 234要求的材料质保书（MTC），包括炉号、批号、化学成分、力学性能、无损检测结果及热处理状态，并可追溯至原始制造记录。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8. 管材应进行固溶热处理，处理温度为700～750℃，保温后快速水冷或空冷，确保组织均匀且无碳化物析出，金相组织应为单相奥氏体结构，晶粒度等级不低于5级（ASTM E112）。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9. 每批次管材应按EEMUA 234要求进行批次检验，每批不超过500根，每批至少抽取2根进行化学成分、力学性能和金相检验，检验不合格则整批拒收。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10. 管材应通过氨熏试验（Ammonia Fuming Test），在室温下暴露于饱和氨气环境中24小时后，表面无龟裂或应力腐蚀开裂迹象，以验证残余应力控制水平。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11. 产品应符合EEMUA 234《90/10 Copper Nickel Alloy Piping for Offshore Applications – Specification》的全部技术要求，并优先执行该标准中关于海上平台应用的特殊规定，包括安装适应性、焊接兼容性和长期服役可靠性。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1</w:t>
      </w:r>
      <w:r>
        <w:rPr>
          <w:rFonts w:hint="eastAsia" w:cs="宋体"/>
          <w:b w:val="0"/>
          <w:i w:val="0"/>
          <w:color w:val="000000"/>
          <w:sz w:val="24"/>
          <w:lang w:val="en-US" w:eastAsia="zh-CN"/>
        </w:rPr>
        <w:t>2</w:t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>. 所有管材在出厂前应进行水压试验或气压试验，试验压力不低于设计压力的1.5倍，保压时间不少于10分钟，无渗漏、无塑性变形。</w:t>
      </w:r>
    </w:p>
    <w:p>
      <w:pPr>
        <w:spacing w:before="269" w:after="269" w:line="384" w:lineRule="auto"/>
        <w:ind w:left="81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1</w:t>
      </w:r>
      <w:r>
        <w:rPr>
          <w:rFonts w:hint="eastAsia" w:cs="宋体"/>
          <w:b w:val="0"/>
          <w:i w:val="0"/>
          <w:color w:val="000000"/>
          <w:sz w:val="24"/>
          <w:lang w:val="en-US" w:eastAsia="zh-CN"/>
        </w:rPr>
        <w:t>3</w:t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>. 管材端部应加装保护环，包装应防潮、防撞，标识清晰，标明材质、规格、炉批号、标准号、制造厂名及“Copper-Nickel 90/10”字样，符合EEMUA 234第10章运输与储存要求。</w:t>
      </w:r>
    </w:p>
    <w:p>
      <w:pPr>
        <w:spacing w:before="0" w:after="0" w:line="384" w:lineRule="auto"/>
        <w:ind w:left="360"/>
        <w:jc w:val="left"/>
        <w:rPr>
          <w:rFonts w:ascii="宋体" w:hAnsi="宋体" w:eastAsia="宋体" w:cs="宋体"/>
          <w:b w:val="0"/>
          <w:i w:val="0"/>
          <w:color w:val="000000"/>
          <w:sz w:val="24"/>
        </w:rPr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spacing w:before="0" w:after="0" w:line="384" w:lineRule="auto"/>
        <w:ind w:left="360"/>
        <w:jc w:val="left"/>
        <w:rPr>
          <w:rFonts w:ascii="宋体" w:hAnsi="宋体" w:eastAsia="宋体" w:cs="宋体"/>
          <w:b w:val="0"/>
          <w:i w:val="0"/>
          <w:color w:val="000000"/>
          <w:sz w:val="24"/>
        </w:rPr>
      </w:pP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pStyle w:val="2"/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  <w:b/>
          <w:i w:val="0"/>
          <w:color w:val="000000"/>
          <w:sz w:val="32"/>
        </w:rPr>
        <w:t>五、标识、包装、运输和存储</w:t>
      </w:r>
    </w:p>
    <w:p>
      <w:pPr>
        <w:spacing w:before="269" w:after="269" w:line="384" w:lineRule="auto"/>
        <w:ind w:left="300"/>
        <w:jc w:val="left"/>
      </w:pPr>
      <w:r>
        <w:rPr>
          <w:rFonts w:ascii="宋体" w:hAnsi="宋体" w:eastAsia="宋体" w:cs="宋体"/>
          <w:b/>
          <w:i w:val="0"/>
          <w:color w:val="000000"/>
          <w:sz w:val="26"/>
        </w:rPr>
        <w:t>1.产品标识</w:t>
      </w:r>
    </w:p>
    <w:p>
      <w:pPr>
        <w:spacing w:before="0" w:after="0" w:line="384" w:lineRule="auto"/>
        <w:ind w:left="36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所有管线材料均应适用 ASTM，ASME /ANSI 或 API 规范，以及本文件中的最低要求，具有永久性识别标记 </w:t>
      </w: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spacing w:before="269" w:after="269" w:line="384" w:lineRule="auto"/>
        <w:ind w:left="300"/>
        <w:jc w:val="left"/>
      </w:pPr>
      <w:r>
        <w:rPr>
          <w:rFonts w:ascii="宋体" w:hAnsi="宋体" w:eastAsia="宋体" w:cs="宋体"/>
          <w:b/>
          <w:i w:val="0"/>
          <w:color w:val="000000"/>
          <w:sz w:val="26"/>
        </w:rPr>
        <w:t>2.产品包装</w:t>
      </w:r>
    </w:p>
    <w:p>
      <w:pPr>
        <w:spacing w:before="0" w:after="0" w:line="384" w:lineRule="auto"/>
        <w:ind w:left="36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对于应捆扎在一起的小尺寸管线，在同一捆扎中应有一个标签。所有规格应写在标签上。 </w:t>
      </w: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spacing w:before="269" w:after="269" w:line="384" w:lineRule="auto"/>
        <w:ind w:left="300"/>
        <w:jc w:val="left"/>
      </w:pPr>
      <w:r>
        <w:rPr>
          <w:rFonts w:ascii="宋体" w:hAnsi="宋体" w:eastAsia="宋体" w:cs="宋体"/>
          <w:b/>
          <w:i w:val="0"/>
          <w:color w:val="000000"/>
          <w:sz w:val="26"/>
        </w:rPr>
        <w:t>3.产品运输</w:t>
      </w:r>
    </w:p>
    <w:p>
      <w:pPr>
        <w:spacing w:before="0" w:after="0" w:line="384" w:lineRule="auto"/>
        <w:ind w:left="36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汽车运输 </w:t>
      </w: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spacing w:before="269" w:after="269" w:line="384" w:lineRule="auto"/>
        <w:ind w:left="300"/>
        <w:jc w:val="left"/>
      </w:pPr>
      <w:r>
        <w:rPr>
          <w:rFonts w:ascii="宋体" w:hAnsi="宋体" w:eastAsia="宋体" w:cs="宋体"/>
          <w:b/>
          <w:i w:val="0"/>
          <w:color w:val="000000"/>
          <w:sz w:val="26"/>
        </w:rPr>
        <w:t>4.产品存储</w:t>
      </w:r>
    </w:p>
    <w:p>
      <w:pPr>
        <w:spacing w:before="0" w:after="0" w:line="384" w:lineRule="auto"/>
        <w:ind w:left="36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除非另有规定，否则管线在安装前应得到充分的保护，以经受住作业现场至少六个月的无棚存放。机加工过的外表面在运输和随后的存储期间应加以保护，以防腐蚀。不允许异种材料相互接触。所有管线的处理，储存和运输方式均应避免损坏管壁，管端和涂层。堆叠管子（裸露）时，应将每根管子的长度与相邻的管子分开，用1/2英寸的橡胶垫片或经买方认可的垫片，禁止使用绳索 </w:t>
      </w: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pStyle w:val="2"/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  <w:b/>
          <w:i w:val="0"/>
          <w:color w:val="000000"/>
          <w:sz w:val="32"/>
        </w:rPr>
        <w:t>六、技术文件</w:t>
      </w:r>
    </w:p>
    <w:p>
      <w:pPr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1"/>
        </w:rPr>
        <w:t>《EEMUA 234》 90/10 Copper nickel alloy piping for offshore applications Specification</w:t>
      </w: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pStyle w:val="2"/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  <w:b/>
          <w:i w:val="0"/>
          <w:color w:val="000000"/>
          <w:sz w:val="32"/>
        </w:rPr>
        <w:t>七、质量保证</w:t>
      </w:r>
    </w:p>
    <w:p>
      <w:pPr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1、到货验收不合格，无条件退换货，保修期内出现产品质量问题厂家负责处理。</w:t>
      </w:r>
    </w:p>
    <w:p>
      <w:pPr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2、产品质保期为到货验收合格后12个月内。</w:t>
      </w:r>
    </w:p>
    <w:p>
      <w:pPr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3、送货时必须带有相关证书，包括但不限于产品合格证书、材质证书（均加盖供货商公章原件双份）。</w:t>
      </w:r>
    </w:p>
    <w:p>
      <w:pPr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4、材料到货清单与采办清单的信息须一致且符合采办技术要求。如出现产品质量证书或标识不符合，采购方可要求供货方提供原厂书面说明、提供原始试验记录、和退还货的处理方式，采购方有权利选择上述任何一种处理方式，供货方须给予积极配合。</w:t>
      </w:r>
    </w:p>
    <w:p>
      <w:pPr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5、如材质证书不符，需追加复检试验，费用由供货方承担。</w:t>
      </w:r>
    </w:p>
    <w:p>
      <w:pPr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>6、验收前所有形式的损坏均为供货方责任，所有损失由供货方承担，买方不预验收入库，直至供货方处理好为止。</w:t>
      </w: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  <w:bookmarkStart w:id="0" w:name="_GoBack"/>
      <w:bookmarkEnd w:id="0"/>
    </w:p>
    <w:p>
      <w:pPr>
        <w:pStyle w:val="2"/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  <w:b/>
          <w:i w:val="0"/>
          <w:color w:val="000000"/>
          <w:sz w:val="32"/>
        </w:rPr>
        <w:t>八、其他要求</w:t>
      </w:r>
    </w:p>
    <w:p>
      <w:pPr>
        <w:spacing w:before="269" w:after="269" w:line="384" w:lineRule="auto"/>
        <w:ind w:left="300"/>
        <w:jc w:val="left"/>
      </w:pPr>
      <w:r>
        <w:rPr>
          <w:rFonts w:ascii="宋体" w:hAnsi="宋体" w:eastAsia="宋体" w:cs="宋体"/>
          <w:b/>
          <w:i w:val="0"/>
          <w:color w:val="000000"/>
          <w:sz w:val="26"/>
        </w:rPr>
        <w:t>1.技术联系人</w:t>
      </w:r>
    </w:p>
    <w:p>
      <w:pPr>
        <w:spacing w:before="0" w:after="0" w:line="384" w:lineRule="auto"/>
        <w:ind w:left="360"/>
        <w:jc w:val="left"/>
      </w:pP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技术联系人：黄岚钊 技术联系人方式：18844062722 </w:t>
      </w:r>
    </w:p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p>
      <w:pPr>
        <w:pStyle w:val="2"/>
        <w:spacing w:before="269" w:after="269" w:line="384" w:lineRule="auto"/>
        <w:ind w:left="120"/>
        <w:jc w:val="left"/>
      </w:pPr>
      <w:r>
        <w:rPr>
          <w:rFonts w:ascii="宋体" w:hAnsi="宋体" w:eastAsia="宋体" w:cs="宋体"/>
          <w:b/>
          <w:i w:val="0"/>
          <w:color w:val="000000"/>
          <w:sz w:val="32"/>
        </w:rPr>
        <w:t>九、技术评审项</w:t>
      </w:r>
    </w:p>
    <w:tbl>
      <w:tblPr>
        <w:tblStyle w:val="12"/>
        <w:tblW w:w="5000" w:type="pct"/>
        <w:tblCellSpacing w:w="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3"/>
        <w:gridCol w:w="58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CellSpacing w:w="0" w:type="dxa"/>
        </w:trPr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评审因素（技术评审项）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评审标准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tblCellSpacing w:w="0" w:type="dxa"/>
        </w:trPr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★关键技术指标1（铜镍管件产品）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所有产品需要执行美国机械工程师协会（ASME）规范标准，承诺满足EEMUA 234标准要求；所有依据的标准均为最新版。（偏离表无偏离视为满足）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tblCellSpacing w:w="0" w:type="dxa"/>
        </w:trPr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★关键技术指标2（铜镍管件产品）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投标人投标时须提供所有产品制造商有效的第三方（CCS或ABS或DNV或BV）产品型式认可证书或工厂认可证书，证书须覆盖招标文件分项报价表涉及的产品类型和材质。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tblCellSpacing w:w="0" w:type="dxa"/>
        </w:trPr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★关键技术指标3（铜镍管件产品）</w:t>
            </w:r>
          </w:p>
        </w:tc>
        <w:tc>
          <w:tcPr>
            <w:tcW w:w="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>
            <w:pPr>
              <w:spacing w:before="0" w:after="0" w:line="384" w:lineRule="auto"/>
              <w:ind w:left="0"/>
              <w:jc w:val="left"/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4"/>
              </w:rPr>
              <w:t>投标方须承诺提供产品合格证书，内容包括热处理类型、化学分析结果、原材料、机械力学性能试验结果、水压试验结果、供货状态、炉批号等。（偏离表无偏离视为满足）</w:t>
            </w:r>
          </w:p>
        </w:tc>
      </w:tr>
    </w:tbl>
    <w:p>
      <w:pPr>
        <w:spacing w:before="0" w:after="0" w:line="384" w:lineRule="auto"/>
        <w:ind w:left="120"/>
        <w:jc w:val="left"/>
      </w:pPr>
      <w:r>
        <w:rPr>
          <w:rFonts w:ascii="宋体" w:hAnsi="宋体" w:eastAsia="宋体" w:cs="宋体"/>
        </w:rPr>
        <w:br w:type="textWrapping"/>
      </w:r>
      <w:r>
        <w:rPr>
          <w:rFonts w:ascii="宋体" w:hAnsi="宋体" w:eastAsia="宋体" w:cs="宋体"/>
          <w:b w:val="0"/>
          <w:i w:val="0"/>
          <w:color w:val="000000"/>
          <w:sz w:val="24"/>
        </w:rPr>
        <w:t xml:space="preserve"> </w:t>
      </w: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7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EF10CC"/>
    <w:rsid w:val="5E243B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8">
    <w:name w:val="annotation text"/>
    <w:basedOn w:val="1"/>
    <w:semiHidden/>
    <w:unhideWhenUsed/>
    <w:uiPriority w:val="99"/>
    <w:pPr>
      <w:jc w:val="left"/>
    </w:p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0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11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13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mphasis"/>
    <w:basedOn w:val="14"/>
    <w:qFormat/>
    <w:uiPriority w:val="20"/>
    <w:rPr>
      <w:i/>
      <w:iCs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</w:rPr>
  </w:style>
  <w:style w:type="character" w:customStyle="1" w:styleId="17">
    <w:name w:val="Header Char"/>
    <w:basedOn w:val="14"/>
    <w:link w:val="9"/>
    <w:qFormat/>
    <w:uiPriority w:val="99"/>
  </w:style>
  <w:style w:type="character" w:customStyle="1" w:styleId="18">
    <w:name w:val="Heading 1 Char"/>
    <w:basedOn w:val="14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Heading 2 Char"/>
    <w:basedOn w:val="1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Heading 3 Char"/>
    <w:basedOn w:val="1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Heading 4 Char"/>
    <w:basedOn w:val="14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Subtitle Char"/>
    <w:basedOn w:val="14"/>
    <w:link w:val="10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Title Char"/>
    <w:basedOn w:val="14"/>
    <w:link w:val="11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TotalTime>1</TotalTime>
  <ScaleCrop>false</ScaleCrop>
  <LinksUpToDate>false</LinksUpToDate>
  <Application>WPS Office_11.8.2.12309_F1E327BC-269C-435d-A152-05C5408002CA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2026-07-27T23:44:00Z</dcterms:created>
  <dc:creator>shiwei</dc:creator>
  <cp:lastModifiedBy>ex_huanglzh2</cp:lastModifiedBy>
  <dcterms:modified xsi:type="dcterms:W3CDTF">2026-07-28T08:28:54Z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46A5CE758401443B850CC624FE08DA72</vt:lpwstr>
  </property>
</Properties>
</file>