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Times New Roman" w:hAnsi="Times New Roman" w:eastAsia="方正小标宋简体" w:cs="Times New Roman"/>
          <w:bCs/>
          <w:kern w:val="44"/>
          <w:sz w:val="44"/>
          <w:szCs w:val="44"/>
        </w:rPr>
      </w:pPr>
      <w:r>
        <w:rPr>
          <w:rFonts w:ascii="Times New Roman" w:hAnsi="Times New Roman" w:eastAsia="方正小标宋简体" w:cs="Times New Roman"/>
          <w:bCs/>
          <w:kern w:val="44"/>
          <w:sz w:val="44"/>
          <w:szCs w:val="44"/>
        </w:rPr>
        <w:t>采办计划公告</w:t>
      </w:r>
    </w:p>
    <w:p>
      <w:pPr>
        <w:tabs>
          <w:tab w:val="left" w:pos="993"/>
          <w:tab w:val="left" w:pos="1134"/>
          <w:tab w:val="left" w:pos="1418"/>
        </w:tabs>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为便于供应商及时了解项目采办信息，现将</w:t>
      </w:r>
      <w:r>
        <w:rPr>
          <w:rFonts w:hint="eastAsia" w:ascii="Times New Roman" w:hAnsi="Times New Roman" w:eastAsia="仿宋_GB2312" w:cs="Times New Roman"/>
          <w:sz w:val="32"/>
          <w:szCs w:val="32"/>
          <w:u w:val="single"/>
          <w:lang w:val="en-US" w:eastAsia="zh-CN"/>
        </w:rPr>
        <w:t>销售公司东莞公司首站压力管道管段图补充设计服务</w:t>
      </w:r>
      <w:r>
        <w:rPr>
          <w:rFonts w:ascii="Times New Roman" w:hAnsi="Times New Roman" w:eastAsia="仿宋_GB2312" w:cs="Times New Roman"/>
          <w:sz w:val="32"/>
          <w:szCs w:val="32"/>
        </w:rPr>
        <w:t>的采办计划公开如下：</w:t>
      </w:r>
    </w:p>
    <w:tbl>
      <w:tblPr>
        <w:tblStyle w:val="6"/>
        <w:tblW w:w="10309" w:type="dxa"/>
        <w:tblInd w:w="-8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1121"/>
        <w:gridCol w:w="1740"/>
        <w:gridCol w:w="1050"/>
        <w:gridCol w:w="5280"/>
        <w:gridCol w:w="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vAlign w:val="center"/>
          </w:tcPr>
          <w:p>
            <w:pPr>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序号</w:t>
            </w:r>
          </w:p>
        </w:tc>
        <w:tc>
          <w:tcPr>
            <w:tcW w:w="1121" w:type="dxa"/>
            <w:vAlign w:val="center"/>
          </w:tcPr>
          <w:p>
            <w:pPr>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采办包</w:t>
            </w:r>
          </w:p>
          <w:p>
            <w:pPr>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名称</w:t>
            </w:r>
          </w:p>
        </w:tc>
        <w:tc>
          <w:tcPr>
            <w:tcW w:w="1740" w:type="dxa"/>
            <w:vAlign w:val="center"/>
          </w:tcPr>
          <w:p>
            <w:pPr>
              <w:jc w:val="center"/>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采购范围与主要技术指标</w:t>
            </w:r>
          </w:p>
        </w:tc>
        <w:tc>
          <w:tcPr>
            <w:tcW w:w="1050" w:type="dxa"/>
            <w:vAlign w:val="center"/>
          </w:tcPr>
          <w:p>
            <w:pPr>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预计发标时间</w:t>
            </w:r>
          </w:p>
          <w:p>
            <w:pPr>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（填写到月）</w:t>
            </w:r>
          </w:p>
        </w:tc>
        <w:tc>
          <w:tcPr>
            <w:tcW w:w="5280" w:type="dxa"/>
            <w:vAlign w:val="center"/>
          </w:tcPr>
          <w:p>
            <w:pPr>
              <w:jc w:val="center"/>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供应商资质基本要求</w:t>
            </w:r>
          </w:p>
        </w:tc>
        <w:tc>
          <w:tcPr>
            <w:tcW w:w="668" w:type="dxa"/>
            <w:vAlign w:val="center"/>
          </w:tcPr>
          <w:p>
            <w:pPr>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4" w:hRule="atLeast"/>
        </w:trPr>
        <w:tc>
          <w:tcPr>
            <w:tcW w:w="450" w:type="dxa"/>
            <w:vAlign w:val="center"/>
          </w:tcPr>
          <w:p>
            <w:pPr>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1</w:t>
            </w:r>
          </w:p>
        </w:tc>
        <w:tc>
          <w:tcPr>
            <w:tcW w:w="1121" w:type="dxa"/>
            <w:vAlign w:val="center"/>
          </w:tcPr>
          <w:p>
            <w:pPr>
              <w:rPr>
                <w:rFonts w:hint="default" w:ascii="Times New Roman" w:hAnsi="Times New Roman" w:eastAsia="仿宋" w:cs="Times New Roman"/>
                <w:kern w:val="0"/>
                <w:sz w:val="24"/>
                <w:szCs w:val="24"/>
                <w:u w:val="single"/>
                <w:lang w:val="en-US" w:eastAsia="zh-CN"/>
              </w:rPr>
            </w:pPr>
            <w:r>
              <w:rPr>
                <w:rFonts w:hint="eastAsia" w:ascii="Times New Roman" w:hAnsi="Times New Roman" w:eastAsia="仿宋" w:cs="Times New Roman"/>
                <w:kern w:val="0"/>
                <w:sz w:val="24"/>
                <w:szCs w:val="24"/>
                <w:u w:val="none"/>
                <w:lang w:val="en-US" w:eastAsia="zh-CN"/>
              </w:rPr>
              <w:t>销售公司东莞公司首站压力管道管段图补充设计服务</w:t>
            </w:r>
          </w:p>
        </w:tc>
        <w:tc>
          <w:tcPr>
            <w:tcW w:w="1740" w:type="dxa"/>
            <w:vAlign w:val="center"/>
          </w:tcPr>
          <w:p>
            <w:pPr>
              <w:numPr>
                <w:ilvl w:val="0"/>
                <w:numId w:val="0"/>
              </w:numPr>
              <w:jc w:val="left"/>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采购范围：对中海油销售东莞储运有限公司大亚湾首站已投入使用的汽油、柴油、航煤压力管道共计约2900m进行补充绘制管道单线图（轴测图）。</w:t>
            </w:r>
          </w:p>
          <w:p>
            <w:pPr>
              <w:numPr>
                <w:ilvl w:val="0"/>
                <w:numId w:val="0"/>
              </w:numPr>
              <w:jc w:val="left"/>
              <w:rPr>
                <w:rFonts w:hint="eastAsia"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工期：自合同签订及现场具备施工测绘条件之日起，服务工期为25个工作日。特殊情况需延期的，须提前3个工作日提交书面延期申请，经甲方审批同意后方可顺延。</w:t>
            </w:r>
          </w:p>
          <w:p>
            <w:pPr>
              <w:numPr>
                <w:ilvl w:val="0"/>
                <w:numId w:val="0"/>
              </w:numPr>
              <w:jc w:val="left"/>
              <w:rPr>
                <w:rFonts w:hint="default" w:ascii="Times New Roman" w:hAnsi="Times New Roman" w:eastAsia="仿宋" w:cs="Times New Roman"/>
                <w:kern w:val="0"/>
                <w:sz w:val="24"/>
                <w:szCs w:val="24"/>
                <w:lang w:val="en-US" w:eastAsia="zh-CN"/>
              </w:rPr>
            </w:pPr>
            <w:r>
              <w:rPr>
                <w:rFonts w:hint="eastAsia" w:ascii="Times New Roman" w:hAnsi="Times New Roman" w:eastAsia="仿宋" w:cs="Times New Roman"/>
                <w:kern w:val="0"/>
                <w:sz w:val="24"/>
                <w:szCs w:val="24"/>
                <w:lang w:val="en-US" w:eastAsia="zh-CN"/>
              </w:rPr>
              <w:t>服务地点：惠州市大亚湾中海油惠州石化储运部南厂区</w:t>
            </w:r>
          </w:p>
          <w:p>
            <w:pPr>
              <w:numPr>
                <w:ilvl w:val="0"/>
                <w:numId w:val="0"/>
              </w:numPr>
              <w:jc w:val="left"/>
              <w:rPr>
                <w:rFonts w:hint="default" w:ascii="Times New Roman" w:hAnsi="Times New Roman" w:eastAsia="仿宋" w:cs="Times New Roman"/>
                <w:kern w:val="0"/>
                <w:sz w:val="24"/>
                <w:szCs w:val="24"/>
                <w:lang w:val="en-US" w:eastAsia="zh-CN"/>
              </w:rPr>
            </w:pPr>
            <w:r>
              <w:rPr>
                <w:rFonts w:ascii="仿宋" w:hAnsi="仿宋" w:eastAsia="仿宋" w:cs="仿宋"/>
                <w:i w:val="0"/>
                <w:iCs w:val="0"/>
                <w:caps w:val="0"/>
                <w:color w:val="000000"/>
                <w:spacing w:val="0"/>
                <w:sz w:val="24"/>
                <w:szCs w:val="24"/>
              </w:rPr>
              <w:t>其他技术要求详见计划公告附件 技术文件</w:t>
            </w:r>
            <w:bookmarkStart w:id="0" w:name="_GoBack"/>
            <w:bookmarkEnd w:id="0"/>
          </w:p>
        </w:tc>
        <w:tc>
          <w:tcPr>
            <w:tcW w:w="1050" w:type="dxa"/>
            <w:vAlign w:val="center"/>
          </w:tcPr>
          <w:p>
            <w:pPr>
              <w:jc w:val="center"/>
              <w:rPr>
                <w:rFonts w:ascii="Times New Roman" w:hAnsi="Times New Roman" w:eastAsia="仿宋" w:cs="Times New Roman"/>
                <w:kern w:val="0"/>
                <w:sz w:val="24"/>
                <w:szCs w:val="24"/>
                <w:u w:val="single"/>
              </w:rPr>
            </w:pPr>
            <w:r>
              <w:rPr>
                <w:rFonts w:hint="eastAsia" w:ascii="Times New Roman" w:hAnsi="Times New Roman" w:eastAsia="仿宋" w:cs="Times New Roman"/>
                <w:kern w:val="0"/>
                <w:sz w:val="24"/>
                <w:szCs w:val="24"/>
                <w:u w:val="none"/>
              </w:rPr>
              <w:t>202</w:t>
            </w:r>
            <w:r>
              <w:rPr>
                <w:rFonts w:hint="eastAsia" w:ascii="Times New Roman" w:hAnsi="Times New Roman" w:eastAsia="仿宋" w:cs="Times New Roman"/>
                <w:kern w:val="0"/>
                <w:sz w:val="24"/>
                <w:szCs w:val="24"/>
                <w:u w:val="none"/>
                <w:lang w:val="en-US" w:eastAsia="zh-CN"/>
              </w:rPr>
              <w:t>6</w:t>
            </w:r>
            <w:r>
              <w:rPr>
                <w:rFonts w:hint="eastAsia" w:ascii="Times New Roman" w:hAnsi="Times New Roman" w:eastAsia="仿宋" w:cs="Times New Roman"/>
                <w:kern w:val="0"/>
                <w:sz w:val="24"/>
                <w:szCs w:val="24"/>
                <w:u w:val="none"/>
              </w:rPr>
              <w:t>年</w:t>
            </w:r>
            <w:r>
              <w:rPr>
                <w:rFonts w:hint="eastAsia" w:ascii="Times New Roman" w:hAnsi="Times New Roman" w:eastAsia="仿宋" w:cs="Times New Roman"/>
                <w:kern w:val="0"/>
                <w:sz w:val="24"/>
                <w:szCs w:val="24"/>
                <w:u w:val="none"/>
                <w:lang w:val="en-US" w:eastAsia="zh-CN"/>
              </w:rPr>
              <w:t>10</w:t>
            </w:r>
            <w:r>
              <w:rPr>
                <w:rFonts w:hint="eastAsia" w:ascii="Times New Roman" w:hAnsi="Times New Roman" w:eastAsia="仿宋" w:cs="Times New Roman"/>
                <w:kern w:val="0"/>
                <w:sz w:val="24"/>
                <w:szCs w:val="24"/>
                <w:u w:val="none"/>
              </w:rPr>
              <w:t>月</w:t>
            </w:r>
          </w:p>
        </w:tc>
        <w:tc>
          <w:tcPr>
            <w:tcW w:w="5280" w:type="dxa"/>
            <w:vAlign w:val="center"/>
          </w:tcPr>
          <w:p>
            <w:pPr>
              <w:numPr>
                <w:ilvl w:val="0"/>
                <w:numId w:val="0"/>
              </w:numPr>
              <w:rPr>
                <w:rFonts w:hint="eastAsia" w:ascii="仿宋" w:hAnsi="仿宋" w:eastAsia="仿宋" w:cs="仿宋"/>
                <w:kern w:val="0"/>
                <w:sz w:val="24"/>
                <w:szCs w:val="24"/>
                <w:u w:val="none"/>
                <w:lang w:val="en-US" w:eastAsia="zh-CN"/>
              </w:rPr>
            </w:pPr>
            <w:r>
              <w:rPr>
                <w:rFonts w:hint="eastAsia" w:ascii="仿宋" w:hAnsi="仿宋" w:eastAsia="仿宋" w:cs="仿宋"/>
                <w:b/>
                <w:bCs/>
                <w:kern w:val="0"/>
                <w:sz w:val="24"/>
                <w:szCs w:val="24"/>
                <w:u w:val="none"/>
                <w:lang w:val="en-US" w:eastAsia="zh-CN"/>
              </w:rPr>
              <w:t>1.营业执照</w:t>
            </w:r>
          </w:p>
          <w:p>
            <w:pPr>
              <w:numPr>
                <w:ilvl w:val="0"/>
                <w:numId w:val="0"/>
              </w:numPr>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投标人具有合法有效的企业法人营业执照、税务登记证及组织机构代码证或证照合一的营业执照，投标时需提供原件扫描件（原件备查）。</w:t>
            </w:r>
          </w:p>
          <w:p>
            <w:pPr>
              <w:numPr>
                <w:ilvl w:val="0"/>
                <w:numId w:val="0"/>
              </w:numPr>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投标人为事业单位的，应具有合法有效的事业单位法人证书，投标时需提供原件扫描件（原件备查）。</w:t>
            </w:r>
          </w:p>
          <w:p>
            <w:pPr>
              <w:numPr>
                <w:ilvl w:val="0"/>
                <w:numId w:val="0"/>
              </w:numPr>
              <w:ind w:firstLine="480" w:firstLineChars="200"/>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投标人为分公司的，提供具有合法有效的营业执照和上级法人单位授权书（授权该分公司投标和签订合同），认可该分公司和上级法人单位的资质、资格和业绩，不认可同一上级法人单位的其它分公司的资质、资格和业绩，投标时需提供原件扫描件（原件备查）。分公司与上级法人单位只可一家参与投标，同时参与投标的，投标均无效。</w:t>
            </w:r>
          </w:p>
          <w:p>
            <w:pPr>
              <w:numPr>
                <w:ilvl w:val="0"/>
                <w:numId w:val="0"/>
              </w:numPr>
              <w:rPr>
                <w:rFonts w:hint="eastAsia" w:ascii="仿宋" w:hAnsi="仿宋" w:eastAsia="仿宋" w:cs="仿宋"/>
                <w:b/>
                <w:bCs/>
                <w:color w:val="auto"/>
                <w:kern w:val="0"/>
                <w:sz w:val="24"/>
                <w:szCs w:val="24"/>
                <w:lang w:val="en-US" w:eastAsia="zh-CN"/>
              </w:rPr>
            </w:pPr>
            <w:r>
              <w:rPr>
                <w:rFonts w:hint="eastAsia" w:ascii="仿宋" w:hAnsi="仿宋" w:eastAsia="仿宋" w:cs="仿宋"/>
                <w:b/>
                <w:bCs/>
                <w:color w:val="auto"/>
                <w:kern w:val="0"/>
                <w:sz w:val="24"/>
                <w:szCs w:val="24"/>
                <w:lang w:val="en-US" w:eastAsia="zh-CN"/>
              </w:rPr>
              <w:t>2.资质要求：</w:t>
            </w:r>
          </w:p>
          <w:p>
            <w:pPr>
              <w:numPr>
                <w:ilvl w:val="0"/>
                <w:numId w:val="0"/>
              </w:numPr>
              <w:rPr>
                <w:rFonts w:hint="eastAsia" w:ascii="仿宋" w:hAnsi="仿宋" w:eastAsia="仿宋" w:cs="仿宋"/>
                <w:color w:val="auto"/>
                <w:kern w:val="0"/>
                <w:sz w:val="24"/>
                <w:szCs w:val="24"/>
                <w:lang w:val="en-US" w:eastAsia="zh-CN"/>
              </w:rPr>
            </w:pPr>
            <w:r>
              <w:rPr>
                <w:rFonts w:hint="eastAsia" w:ascii="仿宋" w:hAnsi="仿宋" w:eastAsia="仿宋" w:cs="仿宋"/>
                <w:kern w:val="0"/>
                <w:sz w:val="24"/>
                <w:szCs w:val="24"/>
                <w:u w:val="none"/>
                <w:lang w:val="en-US" w:eastAsia="zh-CN"/>
              </w:rPr>
              <w:t>(1)</w:t>
            </w:r>
            <w:r>
              <w:rPr>
                <w:rFonts w:hint="eastAsia" w:ascii="仿宋" w:hAnsi="仿宋" w:eastAsia="仿宋" w:cs="仿宋"/>
                <w:color w:val="auto"/>
                <w:kern w:val="0"/>
                <w:sz w:val="24"/>
                <w:szCs w:val="24"/>
                <w:lang w:val="en-US" w:eastAsia="zh-CN"/>
              </w:rPr>
              <w:t>有效的化工石化医药行业（石油及化工产品储运）专业乙级或以上资质，并可在全国建筑市场监管公共服务平台核实（https://jzsc.mohurd.gov.cn/)。应答时需提供原件扫描件（原件备查）。</w:t>
            </w:r>
          </w:p>
          <w:p>
            <w:pPr>
              <w:numPr>
                <w:ilvl w:val="0"/>
                <w:numId w:val="0"/>
              </w:numPr>
              <w:rPr>
                <w:rFonts w:hint="eastAsia" w:ascii="仿宋" w:hAnsi="仿宋" w:eastAsia="仿宋" w:cs="仿宋"/>
                <w:color w:val="auto"/>
                <w:kern w:val="0"/>
                <w:sz w:val="24"/>
                <w:szCs w:val="24"/>
                <w:lang w:val="en-US" w:eastAsia="zh-CN"/>
              </w:rPr>
            </w:pPr>
            <w:r>
              <w:rPr>
                <w:rFonts w:hint="eastAsia" w:ascii="仿宋" w:hAnsi="仿宋" w:eastAsia="仿宋" w:cs="仿宋"/>
                <w:kern w:val="0"/>
                <w:sz w:val="24"/>
                <w:szCs w:val="24"/>
                <w:u w:val="none"/>
                <w:lang w:val="en-US" w:eastAsia="zh-CN"/>
              </w:rPr>
              <w:t>(2)</w:t>
            </w:r>
            <w:r>
              <w:rPr>
                <w:rFonts w:hint="eastAsia" w:ascii="仿宋" w:hAnsi="仿宋" w:eastAsia="仿宋" w:cs="仿宋"/>
                <w:color w:val="auto"/>
                <w:kern w:val="0"/>
                <w:sz w:val="24"/>
                <w:szCs w:val="24"/>
                <w:lang w:val="en-US" w:eastAsia="zh-CN"/>
              </w:rPr>
              <w:t>具有有效的《特种设备生产许可证（压力管道设计）》GC2类工业管道‌设计许可，并可在全国特种设备公示信息查询平台核实（https://cnse.e-cqs.cn/info-pub/pub）。应答时需提供原件扫描件（原件备查）。</w:t>
            </w:r>
          </w:p>
          <w:p>
            <w:pPr>
              <w:numPr>
                <w:ilvl w:val="0"/>
                <w:numId w:val="0"/>
              </w:numPr>
              <w:ind w:leftChars="0"/>
              <w:rPr>
                <w:rFonts w:hint="eastAsia" w:ascii="仿宋" w:hAnsi="仿宋" w:eastAsia="仿宋" w:cs="仿宋"/>
                <w:b/>
                <w:bCs/>
                <w:kern w:val="0"/>
                <w:sz w:val="24"/>
                <w:szCs w:val="24"/>
              </w:rPr>
            </w:pPr>
            <w:r>
              <w:rPr>
                <w:rFonts w:hint="eastAsia" w:ascii="仿宋" w:hAnsi="仿宋" w:eastAsia="仿宋" w:cs="仿宋"/>
                <w:b/>
                <w:bCs/>
                <w:kern w:val="0"/>
                <w:sz w:val="24"/>
                <w:szCs w:val="24"/>
                <w:lang w:val="en-US" w:eastAsia="zh-CN"/>
              </w:rPr>
              <w:t>3.</w:t>
            </w:r>
            <w:r>
              <w:rPr>
                <w:rFonts w:hint="eastAsia" w:ascii="仿宋" w:hAnsi="仿宋" w:eastAsia="仿宋" w:cs="仿宋"/>
                <w:b/>
                <w:bCs/>
                <w:kern w:val="0"/>
                <w:sz w:val="24"/>
                <w:szCs w:val="24"/>
              </w:rPr>
              <w:t>业绩</w:t>
            </w:r>
            <w:r>
              <w:rPr>
                <w:rFonts w:hint="eastAsia" w:ascii="仿宋" w:hAnsi="仿宋" w:eastAsia="仿宋" w:cs="仿宋"/>
                <w:b/>
                <w:bCs/>
                <w:kern w:val="0"/>
                <w:sz w:val="24"/>
                <w:szCs w:val="24"/>
                <w:lang w:val="en-US" w:eastAsia="zh-CN"/>
              </w:rPr>
              <w:t>要求</w:t>
            </w:r>
          </w:p>
          <w:p>
            <w:pPr>
              <w:numPr>
                <w:ilvl w:val="0"/>
                <w:numId w:val="0"/>
              </w:numPr>
              <w:ind w:leftChars="0" w:firstLine="480" w:firstLineChars="200"/>
              <w:rPr>
                <w:rFonts w:hint="eastAsia" w:ascii="仿宋" w:hAnsi="仿宋" w:eastAsia="仿宋" w:cs="仿宋"/>
                <w:kern w:val="0"/>
                <w:sz w:val="24"/>
                <w:szCs w:val="24"/>
                <w:u w:val="none"/>
                <w:lang w:val="en-US" w:eastAsia="zh-CN"/>
              </w:rPr>
            </w:pPr>
            <w:r>
              <w:rPr>
                <w:rFonts w:hint="eastAsia" w:ascii="仿宋" w:hAnsi="仿宋" w:eastAsia="仿宋" w:cs="仿宋"/>
                <w:kern w:val="0"/>
                <w:sz w:val="24"/>
                <w:szCs w:val="24"/>
                <w:u w:val="none"/>
                <w:lang w:val="en-US" w:eastAsia="zh-CN"/>
              </w:rPr>
              <w:t>投标人自2023年1月1日起至投标截止日，至少具有1项设计服务已完工验收业绩</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提供符合业绩要求的合同及验收证明扫描件。</w:t>
            </w:r>
          </w:p>
          <w:p>
            <w:pPr>
              <w:numPr>
                <w:ilvl w:val="0"/>
                <w:numId w:val="0"/>
              </w:numPr>
              <w:ind w:leftChars="0"/>
              <w:rPr>
                <w:rFonts w:hint="eastAsia" w:ascii="仿宋" w:hAnsi="仿宋" w:eastAsia="仿宋" w:cs="仿宋"/>
                <w:b/>
                <w:bCs/>
                <w:kern w:val="0"/>
                <w:sz w:val="24"/>
                <w:szCs w:val="24"/>
                <w:u w:val="none"/>
                <w:lang w:val="en-US" w:eastAsia="zh-CN"/>
              </w:rPr>
            </w:pPr>
            <w:r>
              <w:rPr>
                <w:rFonts w:hint="eastAsia" w:ascii="仿宋" w:hAnsi="仿宋" w:eastAsia="仿宋" w:cs="仿宋"/>
                <w:b/>
                <w:bCs/>
                <w:kern w:val="0"/>
                <w:sz w:val="24"/>
                <w:szCs w:val="24"/>
                <w:u w:val="none"/>
                <w:lang w:val="en-US" w:eastAsia="zh-CN"/>
              </w:rPr>
              <w:t>4.投标人不得存在的其他情形：</w:t>
            </w:r>
          </w:p>
          <w:p>
            <w:pPr>
              <w:numPr>
                <w:ilvl w:val="0"/>
                <w:numId w:val="0"/>
              </w:numPr>
              <w:rPr>
                <w:rFonts w:hint="eastAsia" w:ascii="仿宋" w:hAnsi="仿宋" w:eastAsia="仿宋" w:cs="仿宋"/>
                <w:kern w:val="0"/>
                <w:sz w:val="24"/>
                <w:szCs w:val="24"/>
                <w:u w:val="none"/>
                <w:lang w:val="en-US" w:eastAsia="zh-CN"/>
              </w:rPr>
            </w:pPr>
            <w:r>
              <w:rPr>
                <w:rFonts w:hint="eastAsia" w:ascii="仿宋" w:hAnsi="仿宋" w:eastAsia="仿宋" w:cs="仿宋"/>
                <w:kern w:val="0"/>
                <w:sz w:val="24"/>
                <w:szCs w:val="24"/>
                <w:u w:val="none"/>
                <w:lang w:val="en-US" w:eastAsia="zh-CN"/>
              </w:rPr>
              <w:t>(1)投标人自2</w:t>
            </w:r>
            <w:r>
              <w:rPr>
                <w:rFonts w:hint="eastAsia" w:ascii="仿宋" w:hAnsi="仿宋" w:eastAsia="仿宋" w:cs="仿宋"/>
                <w:kern w:val="0"/>
                <w:sz w:val="24"/>
                <w:szCs w:val="24"/>
                <w:highlight w:val="none"/>
                <w:u w:val="none"/>
                <w:lang w:val="en-US" w:eastAsia="zh-CN"/>
              </w:rPr>
              <w:t>023</w:t>
            </w:r>
            <w:r>
              <w:rPr>
                <w:rFonts w:hint="eastAsia" w:ascii="仿宋" w:hAnsi="仿宋" w:eastAsia="仿宋" w:cs="仿宋"/>
                <w:kern w:val="0"/>
                <w:sz w:val="24"/>
                <w:szCs w:val="24"/>
                <w:u w:val="none"/>
                <w:lang w:val="en-US" w:eastAsia="zh-CN"/>
              </w:rPr>
              <w:t>年1月1日起至投标截止时间止（以事故书面认定材料出具时间为准）所承担的服务项目出现重大及以上安全事故，且经过官方机构或第三方权威机构调查并出具了明确的书面证据，认定应由投标人承担重大及以上安全事故责任并对投标人进行处理的；</w:t>
            </w:r>
          </w:p>
          <w:p>
            <w:pPr>
              <w:numPr>
                <w:ilvl w:val="0"/>
                <w:numId w:val="0"/>
              </w:numPr>
              <w:rPr>
                <w:rFonts w:hint="eastAsia" w:ascii="仿宋" w:hAnsi="仿宋" w:eastAsia="仿宋" w:cs="仿宋"/>
                <w:kern w:val="0"/>
                <w:sz w:val="24"/>
                <w:szCs w:val="24"/>
                <w:u w:val="none"/>
                <w:lang w:val="en-US" w:eastAsia="zh-CN"/>
              </w:rPr>
            </w:pPr>
            <w:r>
              <w:rPr>
                <w:rFonts w:hint="eastAsia" w:ascii="仿宋" w:hAnsi="仿宋" w:eastAsia="仿宋" w:cs="仿宋"/>
                <w:kern w:val="0"/>
                <w:sz w:val="24"/>
                <w:szCs w:val="24"/>
                <w:u w:val="none"/>
                <w:lang w:val="en-US" w:eastAsia="zh-CN"/>
              </w:rPr>
              <w:t>(2)投标人在中国海油供应链数字化平台“供应商档案”的“标签”为“违规冻结”且“档案状态”被标注为“受控”的；或“供应商档案”的“标签”为“违规冻结”且“档案状态”被标注为“品类受控”，且受控品类为本次采购相关品类的；</w:t>
            </w:r>
          </w:p>
          <w:p>
            <w:pPr>
              <w:numPr>
                <w:ilvl w:val="0"/>
                <w:numId w:val="0"/>
              </w:numPr>
              <w:rPr>
                <w:rFonts w:hint="eastAsia" w:ascii="仿宋" w:hAnsi="仿宋" w:eastAsia="仿宋" w:cs="仿宋"/>
                <w:kern w:val="0"/>
                <w:sz w:val="24"/>
                <w:szCs w:val="24"/>
                <w:u w:val="none"/>
                <w:lang w:val="en-US" w:eastAsia="zh-CN"/>
              </w:rPr>
            </w:pPr>
            <w:r>
              <w:rPr>
                <w:rFonts w:hint="eastAsia" w:ascii="仿宋" w:hAnsi="仿宋" w:eastAsia="仿宋" w:cs="仿宋"/>
                <w:kern w:val="0"/>
                <w:sz w:val="24"/>
                <w:szCs w:val="24"/>
                <w:u w:val="none"/>
                <w:lang w:val="en-US" w:eastAsia="zh-CN"/>
              </w:rPr>
              <w:t>(3)投标人在中国海油供应链数字化平台“供应商管理模块”中“供应商风控管理”的“企业快捷查询”结果显示的登记状态为“存续”之外的其它情形的；</w:t>
            </w:r>
          </w:p>
          <w:p>
            <w:pPr>
              <w:numPr>
                <w:ilvl w:val="0"/>
                <w:numId w:val="0"/>
              </w:numPr>
              <w:rPr>
                <w:rFonts w:hint="eastAsia" w:ascii="仿宋" w:hAnsi="仿宋" w:eastAsia="仿宋" w:cs="仿宋"/>
                <w:kern w:val="0"/>
                <w:sz w:val="24"/>
                <w:szCs w:val="24"/>
                <w:u w:val="none"/>
                <w:lang w:val="en-US" w:eastAsia="zh-CN"/>
              </w:rPr>
            </w:pPr>
            <w:r>
              <w:rPr>
                <w:rFonts w:hint="eastAsia" w:ascii="仿宋" w:hAnsi="仿宋" w:eastAsia="仿宋" w:cs="仿宋"/>
                <w:kern w:val="0"/>
                <w:sz w:val="24"/>
                <w:szCs w:val="24"/>
                <w:u w:val="none"/>
                <w:lang w:val="en-US" w:eastAsia="zh-CN"/>
              </w:rPr>
              <w:t>(4)投标人在“信用中国”网站（https://www.creditchina.gov.cn/）被列入严重失信主体名单；</w:t>
            </w:r>
          </w:p>
          <w:p>
            <w:pPr>
              <w:numPr>
                <w:ilvl w:val="0"/>
                <w:numId w:val="0"/>
              </w:numPr>
              <w:rPr>
                <w:rFonts w:hint="eastAsia" w:ascii="仿宋" w:hAnsi="仿宋" w:eastAsia="仿宋" w:cs="仿宋"/>
                <w:kern w:val="0"/>
                <w:sz w:val="24"/>
                <w:szCs w:val="24"/>
                <w:u w:val="none"/>
                <w:lang w:val="en-US" w:eastAsia="zh-CN"/>
              </w:rPr>
            </w:pPr>
            <w:r>
              <w:rPr>
                <w:rFonts w:hint="eastAsia" w:ascii="仿宋" w:hAnsi="仿宋" w:eastAsia="仿宋" w:cs="仿宋"/>
                <w:kern w:val="0"/>
                <w:sz w:val="24"/>
                <w:szCs w:val="24"/>
                <w:u w:val="none"/>
                <w:lang w:val="en-US" w:eastAsia="zh-CN"/>
              </w:rPr>
              <w:t xml:space="preserve">(5)投标人在国家企业信用信息公示系统（http://www.gsxt.gov.cn）被列入严重违法失信名单（黑名单）信息或营业执照登记状态为吊销或注销的；  </w:t>
            </w:r>
          </w:p>
          <w:p>
            <w:pPr>
              <w:numPr>
                <w:ilvl w:val="0"/>
                <w:numId w:val="0"/>
              </w:numPr>
              <w:rPr>
                <w:rFonts w:hint="eastAsia" w:ascii="仿宋" w:hAnsi="仿宋" w:eastAsia="仿宋" w:cs="仿宋"/>
                <w:kern w:val="0"/>
                <w:sz w:val="24"/>
                <w:szCs w:val="24"/>
                <w:u w:val="none"/>
                <w:lang w:val="en-US" w:eastAsia="zh-CN"/>
              </w:rPr>
            </w:pPr>
            <w:r>
              <w:rPr>
                <w:rFonts w:hint="eastAsia" w:ascii="仿宋" w:hAnsi="仿宋" w:eastAsia="仿宋" w:cs="仿宋"/>
                <w:kern w:val="0"/>
                <w:sz w:val="24"/>
                <w:szCs w:val="24"/>
                <w:u w:val="none"/>
                <w:lang w:val="en-US" w:eastAsia="zh-CN"/>
              </w:rPr>
              <w:t>(6)投标人在“中国执行信息公开网”网站（http://zxgk.court.gov.cn/）被列入失信被执行人名单；</w:t>
            </w:r>
          </w:p>
          <w:p>
            <w:pPr>
              <w:numPr>
                <w:ilvl w:val="0"/>
                <w:numId w:val="0"/>
              </w:numPr>
              <w:rPr>
                <w:rFonts w:hint="eastAsia" w:ascii="仿宋" w:hAnsi="仿宋" w:eastAsia="仿宋" w:cs="仿宋"/>
                <w:kern w:val="0"/>
                <w:sz w:val="24"/>
                <w:szCs w:val="24"/>
                <w:u w:val="none"/>
                <w:lang w:val="en-US" w:eastAsia="zh-CN"/>
              </w:rPr>
            </w:pPr>
            <w:r>
              <w:rPr>
                <w:rFonts w:hint="eastAsia" w:ascii="仿宋" w:hAnsi="仿宋" w:eastAsia="仿宋" w:cs="仿宋"/>
                <w:kern w:val="0"/>
                <w:sz w:val="24"/>
                <w:szCs w:val="24"/>
                <w:u w:val="none"/>
                <w:lang w:val="en-US" w:eastAsia="zh-CN"/>
              </w:rPr>
              <w:t>(7)投标人与本采购项目其他投标人单位负责人为同一人或存在控股、管理关系的；</w:t>
            </w:r>
          </w:p>
          <w:p>
            <w:pPr>
              <w:numPr>
                <w:ilvl w:val="0"/>
                <w:numId w:val="0"/>
              </w:numPr>
              <w:rPr>
                <w:rFonts w:hint="eastAsia" w:ascii="仿宋" w:hAnsi="仿宋" w:eastAsia="仿宋" w:cs="仿宋"/>
                <w:kern w:val="0"/>
                <w:sz w:val="24"/>
                <w:szCs w:val="24"/>
                <w:u w:val="none"/>
                <w:lang w:val="en-US" w:eastAsia="zh-CN"/>
              </w:rPr>
            </w:pPr>
            <w:r>
              <w:rPr>
                <w:rFonts w:hint="eastAsia" w:ascii="仿宋" w:hAnsi="仿宋" w:eastAsia="仿宋" w:cs="仿宋"/>
                <w:kern w:val="0"/>
                <w:sz w:val="24"/>
                <w:szCs w:val="24"/>
                <w:u w:val="none"/>
                <w:lang w:val="en-US" w:eastAsia="zh-CN"/>
              </w:rPr>
              <w:t xml:space="preserve">(8)投标人与采购人、采购机构有利害关系且可能影响采购公正性的；  </w:t>
            </w:r>
          </w:p>
          <w:p>
            <w:pPr>
              <w:numPr>
                <w:ilvl w:val="0"/>
                <w:numId w:val="0"/>
              </w:numPr>
              <w:rPr>
                <w:rFonts w:hint="eastAsia" w:ascii="仿宋" w:hAnsi="仿宋" w:eastAsia="仿宋" w:cs="仿宋"/>
                <w:kern w:val="0"/>
                <w:sz w:val="24"/>
                <w:szCs w:val="24"/>
                <w:u w:val="none"/>
                <w:lang w:val="en-US" w:eastAsia="zh-CN"/>
              </w:rPr>
            </w:pPr>
            <w:r>
              <w:rPr>
                <w:rFonts w:hint="eastAsia" w:ascii="仿宋" w:hAnsi="仿宋" w:eastAsia="仿宋" w:cs="仿宋"/>
                <w:kern w:val="0"/>
                <w:sz w:val="24"/>
                <w:szCs w:val="24"/>
                <w:u w:val="none"/>
                <w:lang w:val="en-US" w:eastAsia="zh-CN"/>
              </w:rPr>
              <w:t>(9)投标人存在危害国家安全和损害中海油合法权益的情形，在中国海油内涉及国家机密或商业秘密的项目中存在不遵守相关法律法规及政府主管部门要求的情形。</w:t>
            </w:r>
          </w:p>
          <w:p>
            <w:pPr>
              <w:numPr>
                <w:ilvl w:val="0"/>
                <w:numId w:val="0"/>
              </w:numPr>
              <w:rPr>
                <w:rFonts w:ascii="Times New Roman" w:hAnsi="Times New Roman" w:eastAsia="仿宋" w:cs="Times New Roman"/>
                <w:kern w:val="0"/>
                <w:sz w:val="22"/>
                <w:szCs w:val="24"/>
                <w:u w:val="single"/>
              </w:rPr>
            </w:pPr>
            <w:r>
              <w:rPr>
                <w:rFonts w:hint="eastAsia" w:ascii="仿宋" w:hAnsi="仿宋" w:eastAsia="仿宋" w:cs="仿宋"/>
                <w:kern w:val="0"/>
                <w:sz w:val="24"/>
                <w:szCs w:val="24"/>
                <w:highlight w:val="none"/>
                <w:u w:val="none"/>
                <w:lang w:val="en-US" w:eastAsia="zh-CN"/>
              </w:rPr>
              <w:t>(10)投标人所提供的（勘察/设计/监理）资质证书无法在全国建筑市场监管公共服务平台（https://jzsc.mohurd.gov.cn/)查询到或经查询失效，经澄清仍无法提供有效证据的。</w:t>
            </w:r>
          </w:p>
        </w:tc>
        <w:tc>
          <w:tcPr>
            <w:tcW w:w="668" w:type="dxa"/>
            <w:vAlign w:val="center"/>
          </w:tcPr>
          <w:p>
            <w:pPr>
              <w:rPr>
                <w:rFonts w:ascii="Times New Roman" w:hAnsi="Times New Roman" w:eastAsia="仿宋" w:cs="Times New Roman"/>
                <w:kern w:val="0"/>
                <w:sz w:val="24"/>
                <w:szCs w:val="24"/>
                <w:u w:val="single"/>
              </w:rPr>
            </w:pPr>
          </w:p>
        </w:tc>
      </w:tr>
    </w:tbl>
    <w:p>
      <w:pPr>
        <w:tabs>
          <w:tab w:val="left" w:pos="993"/>
          <w:tab w:val="left" w:pos="1134"/>
          <w:tab w:val="left" w:pos="1418"/>
        </w:tabs>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本次公开的采办计划是本项目采办工作的初步安排，实际采购应以相关采购公告和采购文件为准，所有提供和反馈的信息只作为项目采办参考。</w:t>
      </w:r>
    </w:p>
    <w:p>
      <w:pPr>
        <w:tabs>
          <w:tab w:val="left" w:pos="993"/>
          <w:tab w:val="left" w:pos="1134"/>
          <w:tab w:val="left" w:pos="1418"/>
        </w:tabs>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本次公告有效期是（</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日）至（</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日）止。在此期间，有意参与</w:t>
      </w:r>
      <w:r>
        <w:rPr>
          <w:rFonts w:hint="eastAsia" w:ascii="Times New Roman" w:hAnsi="Times New Roman" w:eastAsia="仿宋_GB2312" w:cs="Times New Roman"/>
          <w:sz w:val="32"/>
          <w:szCs w:val="32"/>
          <w:lang w:val="en-US" w:eastAsia="zh-CN"/>
        </w:rPr>
        <w:t>此</w:t>
      </w:r>
      <w:r>
        <w:rPr>
          <w:rFonts w:ascii="Times New Roman" w:hAnsi="Times New Roman" w:eastAsia="仿宋_GB2312" w:cs="Times New Roman"/>
          <w:sz w:val="32"/>
          <w:szCs w:val="32"/>
        </w:rPr>
        <w:t>采办包的系统用户可在集团公司采办系统中提交反馈材料。</w:t>
      </w:r>
    </w:p>
    <w:p>
      <w:pPr>
        <w:tabs>
          <w:tab w:val="left" w:pos="993"/>
          <w:tab w:val="left" w:pos="1134"/>
          <w:tab w:val="left" w:pos="1418"/>
        </w:tabs>
        <w:spacing w:line="560" w:lineRule="exact"/>
        <w:ind w:firstLine="640" w:firstLineChars="200"/>
        <w:rPr>
          <w:rFonts w:ascii="Times New Roman" w:hAnsi="Times New Roman" w:eastAsia="仿宋_GB2312" w:cs="Times New Roman"/>
          <w:sz w:val="32"/>
          <w:szCs w:val="32"/>
        </w:rPr>
      </w:pPr>
    </w:p>
    <w:p>
      <w:pPr>
        <w:tabs>
          <w:tab w:val="left" w:pos="993"/>
          <w:tab w:val="left" w:pos="1134"/>
          <w:tab w:val="left" w:pos="1418"/>
        </w:tabs>
        <w:spacing w:line="600" w:lineRule="exact"/>
        <w:ind w:right="480" w:firstLine="960" w:firstLineChars="300"/>
        <w:jc w:val="center"/>
        <w:rPr>
          <w:rFonts w:hint="eastAsia" w:ascii="Times New Roman" w:hAnsi="Times New Roman" w:eastAsia="仿宋_GB2312" w:cs="Times New Roman"/>
          <w:sz w:val="32"/>
          <w:szCs w:val="32"/>
        </w:rPr>
      </w:pPr>
    </w:p>
    <w:p>
      <w:pPr>
        <w:tabs>
          <w:tab w:val="left" w:pos="993"/>
          <w:tab w:val="left" w:pos="1134"/>
          <w:tab w:val="left" w:pos="1418"/>
        </w:tabs>
        <w:spacing w:line="600" w:lineRule="exact"/>
        <w:ind w:right="480" w:firstLine="960" w:firstLineChars="300"/>
        <w:jc w:val="cente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中海油销售东莞储运有限公司</w:t>
      </w:r>
    </w:p>
    <w:p>
      <w:pPr>
        <w:tabs>
          <w:tab w:val="left" w:pos="993"/>
          <w:tab w:val="left" w:pos="1134"/>
          <w:tab w:val="left" w:pos="1418"/>
        </w:tabs>
        <w:spacing w:line="600" w:lineRule="exact"/>
        <w:ind w:right="480" w:firstLine="960" w:firstLineChars="300"/>
        <w:jc w:val="cente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09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0AB"/>
    <w:rsid w:val="00005376"/>
    <w:rsid w:val="000E5E5D"/>
    <w:rsid w:val="001C6536"/>
    <w:rsid w:val="002E3C4A"/>
    <w:rsid w:val="0034654E"/>
    <w:rsid w:val="004029A6"/>
    <w:rsid w:val="00412F1F"/>
    <w:rsid w:val="00452906"/>
    <w:rsid w:val="004B19DE"/>
    <w:rsid w:val="00784407"/>
    <w:rsid w:val="007B2129"/>
    <w:rsid w:val="00830DF3"/>
    <w:rsid w:val="00960A0B"/>
    <w:rsid w:val="009661A6"/>
    <w:rsid w:val="00A028CC"/>
    <w:rsid w:val="00A2309A"/>
    <w:rsid w:val="00A76505"/>
    <w:rsid w:val="00AE20AB"/>
    <w:rsid w:val="00B750BF"/>
    <w:rsid w:val="00B81FFF"/>
    <w:rsid w:val="00B9655D"/>
    <w:rsid w:val="00BA5604"/>
    <w:rsid w:val="00C11041"/>
    <w:rsid w:val="00C872FF"/>
    <w:rsid w:val="00C9196A"/>
    <w:rsid w:val="00D82C2B"/>
    <w:rsid w:val="00DD6DC0"/>
    <w:rsid w:val="00ED277A"/>
    <w:rsid w:val="00F24851"/>
    <w:rsid w:val="00F25346"/>
    <w:rsid w:val="00F37DC9"/>
    <w:rsid w:val="00F6744B"/>
    <w:rsid w:val="014A5E2B"/>
    <w:rsid w:val="06B46FA1"/>
    <w:rsid w:val="08C87D94"/>
    <w:rsid w:val="094C1D4E"/>
    <w:rsid w:val="0B3705F5"/>
    <w:rsid w:val="0D2B601B"/>
    <w:rsid w:val="0E333017"/>
    <w:rsid w:val="10580BDC"/>
    <w:rsid w:val="12D41335"/>
    <w:rsid w:val="14B33029"/>
    <w:rsid w:val="18295325"/>
    <w:rsid w:val="185253ED"/>
    <w:rsid w:val="19115BE1"/>
    <w:rsid w:val="1AE85E1A"/>
    <w:rsid w:val="1D7C08CD"/>
    <w:rsid w:val="1F3306E2"/>
    <w:rsid w:val="2006711A"/>
    <w:rsid w:val="200D799B"/>
    <w:rsid w:val="21472FA9"/>
    <w:rsid w:val="21DB2198"/>
    <w:rsid w:val="24784D12"/>
    <w:rsid w:val="259E4C8C"/>
    <w:rsid w:val="25F7277A"/>
    <w:rsid w:val="27E06460"/>
    <w:rsid w:val="288C73C5"/>
    <w:rsid w:val="29EA6661"/>
    <w:rsid w:val="2A73604A"/>
    <w:rsid w:val="2ACC68CB"/>
    <w:rsid w:val="2DB21507"/>
    <w:rsid w:val="2EEC1ED5"/>
    <w:rsid w:val="32A60224"/>
    <w:rsid w:val="32E723C0"/>
    <w:rsid w:val="38C14FF8"/>
    <w:rsid w:val="39162226"/>
    <w:rsid w:val="39923F83"/>
    <w:rsid w:val="3CD73B17"/>
    <w:rsid w:val="3DA51E2F"/>
    <w:rsid w:val="43BC4AF1"/>
    <w:rsid w:val="44361A90"/>
    <w:rsid w:val="488937B4"/>
    <w:rsid w:val="4C5249FB"/>
    <w:rsid w:val="4CD6771E"/>
    <w:rsid w:val="4CED6ED3"/>
    <w:rsid w:val="4F2966ED"/>
    <w:rsid w:val="510653FA"/>
    <w:rsid w:val="51585734"/>
    <w:rsid w:val="5D70511E"/>
    <w:rsid w:val="5FE252DE"/>
    <w:rsid w:val="607E2BDE"/>
    <w:rsid w:val="614F5711"/>
    <w:rsid w:val="664C2AD3"/>
    <w:rsid w:val="66D828CB"/>
    <w:rsid w:val="6DF46A7E"/>
    <w:rsid w:val="6E7D144C"/>
    <w:rsid w:val="6F9D5C29"/>
    <w:rsid w:val="73A45FA2"/>
    <w:rsid w:val="77141BF6"/>
    <w:rsid w:val="7A6D2D01"/>
    <w:rsid w:val="7AE06F50"/>
    <w:rsid w:val="7B452CBB"/>
    <w:rsid w:val="7D2C7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9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CNOOC</Company>
  <Pages>3</Pages>
  <Words>55</Words>
  <Characters>314</Characters>
  <Lines>2</Lines>
  <Paragraphs>1</Paragraphs>
  <TotalTime>1</TotalTime>
  <ScaleCrop>false</ScaleCrop>
  <LinksUpToDate>false</LinksUpToDate>
  <CharactersWithSpaces>368</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2021-04-29T03:47:00Z</dcterms:created>
  <dc:creator>季云峰/采办项目组/集团公司机关</dc:creator>
  <cp:lastModifiedBy>Administrator</cp:lastModifiedBy>
  <dcterms:modified xsi:type="dcterms:W3CDTF">2026-09-17T06:29:22Z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EEA6173EBD824408BDE64713D16307E3</vt:lpwstr>
  </property>
</Properties>
</file>