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20" w:after="120" w:line="360" w:lineRule="auto"/>
        <w:ind w:right="-20"/>
        <w:jc w:val="center"/>
        <w:rPr>
          <w:rFonts w:ascii="Arial Unicode MS" w:eastAsia="Arial Unicode MS" w:cs="Arial Unicode MS"/>
          <w:b/>
          <w:color w:val="auto"/>
          <w:spacing w:val="2"/>
          <w:w w:val="99"/>
          <w:sz w:val="52"/>
          <w:szCs w:val="52"/>
          <w:highlight w:val="none"/>
        </w:rPr>
      </w:pPr>
      <w:bookmarkStart w:id="0" w:name="_Toc319241180"/>
      <w:bookmarkStart w:id="1" w:name="_Toc319240737"/>
      <w:bookmarkStart w:id="2" w:name="_Toc230827873"/>
      <w:bookmarkStart w:id="3" w:name="_Toc163354557"/>
      <w:bookmarkStart w:id="4" w:name="_Toc230827772"/>
      <w:bookmarkStart w:id="5" w:name="_Toc212976764"/>
      <w:bookmarkStart w:id="6" w:name="_Toc171416141"/>
      <w:bookmarkStart w:id="7" w:name="_Toc290985189"/>
      <w:bookmarkStart w:id="8" w:name="_Toc230827830"/>
      <w:bookmarkStart w:id="9" w:name="_Toc163363164"/>
      <w:r>
        <w:rPr>
          <w:color w:val="auto"/>
          <w:highlight w:val="none"/>
        </w:rPr>
        <w:drawing>
          <wp:anchor distT="0" distB="0" distL="114300" distR="114300" simplePos="0" relativeHeight="251659264" behindDoc="1" locked="0" layoutInCell="1" allowOverlap="1">
            <wp:simplePos x="0" y="0"/>
            <wp:positionH relativeFrom="column">
              <wp:posOffset>1871345</wp:posOffset>
            </wp:positionH>
            <wp:positionV relativeFrom="paragraph">
              <wp:posOffset>-328930</wp:posOffset>
            </wp:positionV>
            <wp:extent cx="1596390" cy="1438275"/>
            <wp:effectExtent l="0" t="0" r="3810" b="9525"/>
            <wp:wrapTight wrapText="bothSides">
              <wp:wrapPolygon>
                <wp:start x="7714" y="0"/>
                <wp:lineTo x="7200" y="2289"/>
                <wp:lineTo x="6043" y="2432"/>
                <wp:lineTo x="2700" y="4148"/>
                <wp:lineTo x="2443" y="4864"/>
                <wp:lineTo x="900" y="6866"/>
                <wp:lineTo x="0" y="9155"/>
                <wp:lineTo x="-129" y="9870"/>
                <wp:lineTo x="-129" y="13732"/>
                <wp:lineTo x="386" y="16021"/>
                <wp:lineTo x="1671" y="18310"/>
                <wp:lineTo x="4114" y="20599"/>
                <wp:lineTo x="6300" y="21457"/>
                <wp:lineTo x="6557" y="21457"/>
                <wp:lineTo x="10543" y="21457"/>
                <wp:lineTo x="10800" y="21457"/>
                <wp:lineTo x="12729" y="20742"/>
                <wp:lineTo x="15557" y="18310"/>
                <wp:lineTo x="16714" y="16021"/>
                <wp:lineTo x="17357" y="13732"/>
                <wp:lineTo x="18386" y="13732"/>
                <wp:lineTo x="21214" y="12016"/>
                <wp:lineTo x="21600" y="8869"/>
                <wp:lineTo x="16200" y="6866"/>
                <wp:lineTo x="14657" y="4291"/>
                <wp:lineTo x="11314" y="2575"/>
                <wp:lineTo x="10029" y="2289"/>
                <wp:lineTo x="9386" y="0"/>
                <wp:lineTo x="7714"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596390" cy="1438275"/>
                    </a:xfrm>
                    <a:prstGeom prst="rect">
                      <a:avLst/>
                    </a:prstGeom>
                    <a:noFill/>
                    <a:ln>
                      <a:noFill/>
                    </a:ln>
                  </pic:spPr>
                </pic:pic>
              </a:graphicData>
            </a:graphic>
          </wp:anchor>
        </w:drawing>
      </w:r>
    </w:p>
    <w:p>
      <w:pPr>
        <w:autoSpaceDE w:val="0"/>
        <w:autoSpaceDN w:val="0"/>
        <w:spacing w:before="120" w:after="120" w:line="360" w:lineRule="auto"/>
        <w:ind w:right="-20"/>
        <w:jc w:val="center"/>
        <w:rPr>
          <w:rFonts w:ascii="Arial Unicode MS" w:eastAsia="Arial Unicode MS" w:cs="Arial Unicode MS"/>
          <w:b/>
          <w:color w:val="auto"/>
          <w:spacing w:val="2"/>
          <w:w w:val="99"/>
          <w:sz w:val="52"/>
          <w:szCs w:val="52"/>
          <w:highlight w:val="none"/>
        </w:rPr>
      </w:pPr>
    </w:p>
    <w:p>
      <w:pPr>
        <w:adjustRightInd/>
        <w:snapToGrid/>
        <w:spacing w:before="0" w:after="0" w:line="360" w:lineRule="auto"/>
        <w:jc w:val="center"/>
        <w:rPr>
          <w:rFonts w:hint="eastAsia" w:ascii="微软雅黑" w:hAnsi="微软雅黑" w:eastAsia="微软雅黑" w:cs="微软雅黑"/>
          <w:color w:val="auto"/>
          <w:spacing w:val="2"/>
          <w:w w:val="99"/>
          <w:sz w:val="48"/>
          <w:szCs w:val="48"/>
          <w:highlight w:val="none"/>
          <w:lang w:eastAsia="zh-CN"/>
        </w:rPr>
      </w:pPr>
      <w:bookmarkStart w:id="10" w:name="_Hlk26341394"/>
      <w:r>
        <w:rPr>
          <w:rFonts w:hint="eastAsia" w:ascii="微软雅黑" w:hAnsi="微软雅黑" w:eastAsia="微软雅黑" w:cs="微软雅黑"/>
          <w:color w:val="auto"/>
          <w:spacing w:val="2"/>
          <w:w w:val="99"/>
          <w:sz w:val="48"/>
          <w:szCs w:val="48"/>
          <w:highlight w:val="none"/>
          <w:lang w:eastAsia="zh-CN"/>
        </w:rPr>
        <w:t>中海油能源发展股份有限公司</w:t>
      </w:r>
    </w:p>
    <w:p>
      <w:pPr>
        <w:adjustRightInd/>
        <w:snapToGrid/>
        <w:spacing w:before="0" w:after="0" w:line="360" w:lineRule="auto"/>
        <w:jc w:val="center"/>
        <w:rPr>
          <w:rFonts w:ascii="微软雅黑" w:hAnsi="微软雅黑" w:eastAsia="微软雅黑" w:cs="微软雅黑"/>
          <w:b/>
          <w:color w:val="auto"/>
          <w:spacing w:val="2"/>
          <w:w w:val="99"/>
          <w:sz w:val="52"/>
          <w:szCs w:val="52"/>
          <w:highlight w:val="none"/>
          <w:lang w:eastAsia="zh-CN"/>
        </w:rPr>
      </w:pPr>
    </w:p>
    <w:p>
      <w:pPr>
        <w:adjustRightInd/>
        <w:snapToGrid/>
        <w:spacing w:before="0" w:after="0" w:line="360" w:lineRule="auto"/>
        <w:jc w:val="center"/>
        <w:rPr>
          <w:rFonts w:hint="eastAsia" w:ascii="微软雅黑" w:hAnsi="微软雅黑" w:eastAsia="微软雅黑" w:cs="微软雅黑"/>
          <w:color w:val="auto"/>
          <w:spacing w:val="2"/>
          <w:w w:val="99"/>
          <w:sz w:val="48"/>
          <w:szCs w:val="48"/>
          <w:highlight w:val="none"/>
          <w:u w:val="single"/>
          <w:lang w:eastAsia="zh-CN"/>
        </w:rPr>
      </w:pPr>
      <w:r>
        <w:rPr>
          <w:rFonts w:hint="eastAsia" w:ascii="微软雅黑" w:hAnsi="微软雅黑" w:eastAsia="微软雅黑" w:cs="微软雅黑"/>
          <w:color w:val="auto"/>
          <w:spacing w:val="2"/>
          <w:w w:val="99"/>
          <w:sz w:val="48"/>
          <w:szCs w:val="48"/>
          <w:highlight w:val="none"/>
          <w:u w:val="single"/>
          <w:lang w:eastAsia="zh-CN"/>
        </w:rPr>
        <w:t>中海石油（龙口）基地物流有限公司</w:t>
      </w:r>
    </w:p>
    <w:p>
      <w:pPr>
        <w:adjustRightInd/>
        <w:snapToGrid/>
        <w:spacing w:before="0" w:after="0" w:line="360" w:lineRule="auto"/>
        <w:jc w:val="center"/>
        <w:rPr>
          <w:rFonts w:hint="eastAsia" w:ascii="微软雅黑" w:hAnsi="微软雅黑" w:eastAsia="微软雅黑" w:cs="微软雅黑"/>
          <w:color w:val="auto"/>
          <w:spacing w:val="2"/>
          <w:w w:val="99"/>
          <w:sz w:val="48"/>
          <w:szCs w:val="48"/>
          <w:highlight w:val="none"/>
          <w:u w:val="single"/>
          <w:lang w:val="en-US" w:eastAsia="zh-CN"/>
        </w:rPr>
      </w:pPr>
      <w:r>
        <w:rPr>
          <w:rFonts w:hint="eastAsia" w:ascii="微软雅黑" w:hAnsi="微软雅黑" w:eastAsia="微软雅黑" w:cs="微软雅黑"/>
          <w:color w:val="auto"/>
          <w:spacing w:val="2"/>
          <w:w w:val="99"/>
          <w:sz w:val="48"/>
          <w:szCs w:val="48"/>
          <w:highlight w:val="none"/>
          <w:u w:val="single"/>
          <w:lang w:eastAsia="zh-CN"/>
        </w:rPr>
        <w:t>龙口基地三期项目（</w:t>
      </w:r>
      <w:r>
        <w:rPr>
          <w:rFonts w:hint="eastAsia" w:ascii="微软雅黑" w:hAnsi="微软雅黑" w:eastAsia="微软雅黑" w:cs="微软雅黑"/>
          <w:color w:val="auto"/>
          <w:spacing w:val="2"/>
          <w:w w:val="99"/>
          <w:sz w:val="48"/>
          <w:szCs w:val="48"/>
          <w:highlight w:val="none"/>
          <w:u w:val="single"/>
          <w:lang w:val="en-US" w:eastAsia="zh-CN"/>
        </w:rPr>
        <w:t>第二阶段）</w:t>
      </w:r>
    </w:p>
    <w:p>
      <w:pPr>
        <w:adjustRightInd/>
        <w:snapToGrid/>
        <w:spacing w:before="0" w:after="0" w:line="360" w:lineRule="auto"/>
        <w:jc w:val="center"/>
        <w:rPr>
          <w:rFonts w:hint="eastAsia" w:ascii="微软雅黑" w:hAnsi="微软雅黑" w:eastAsia="微软雅黑" w:cs="微软雅黑"/>
          <w:color w:val="auto"/>
          <w:spacing w:val="2"/>
          <w:w w:val="99"/>
          <w:sz w:val="48"/>
          <w:szCs w:val="48"/>
          <w:highlight w:val="none"/>
          <w:u w:val="single"/>
          <w:lang w:eastAsia="zh-CN"/>
        </w:rPr>
      </w:pPr>
      <w:r>
        <w:rPr>
          <w:rFonts w:hint="eastAsia" w:ascii="微软雅黑" w:hAnsi="微软雅黑" w:eastAsia="微软雅黑" w:cs="微软雅黑"/>
          <w:color w:val="auto"/>
          <w:spacing w:val="2"/>
          <w:w w:val="99"/>
          <w:sz w:val="48"/>
          <w:szCs w:val="48"/>
          <w:highlight w:val="none"/>
          <w:u w:val="single"/>
          <w:lang w:val="en-US" w:eastAsia="zh-CN"/>
        </w:rPr>
        <w:t>新建智能化库房</w:t>
      </w:r>
      <w:r>
        <w:rPr>
          <w:rFonts w:hint="eastAsia" w:ascii="微软雅黑" w:hAnsi="微软雅黑" w:eastAsia="微软雅黑" w:cs="微软雅黑"/>
          <w:color w:val="auto"/>
          <w:spacing w:val="2"/>
          <w:w w:val="99"/>
          <w:sz w:val="48"/>
          <w:szCs w:val="48"/>
          <w:highlight w:val="none"/>
          <w:u w:val="single"/>
          <w:lang w:eastAsia="zh-CN"/>
        </w:rPr>
        <w:t>工程</w:t>
      </w:r>
    </w:p>
    <w:p>
      <w:pPr>
        <w:adjustRightInd/>
        <w:snapToGrid/>
        <w:spacing w:before="0" w:after="0" w:line="360" w:lineRule="auto"/>
        <w:jc w:val="center"/>
        <w:rPr>
          <w:rFonts w:hint="eastAsia" w:ascii="微软雅黑" w:hAnsi="微软雅黑" w:eastAsia="微软雅黑" w:cs="微软雅黑"/>
          <w:b/>
          <w:color w:val="auto"/>
          <w:spacing w:val="2"/>
          <w:w w:val="99"/>
          <w:sz w:val="48"/>
          <w:szCs w:val="48"/>
          <w:highlight w:val="none"/>
          <w:lang w:eastAsia="zh-CN"/>
        </w:rPr>
      </w:pPr>
      <w:r>
        <w:rPr>
          <w:rFonts w:hint="eastAsia" w:ascii="微软雅黑" w:hAnsi="微软雅黑" w:eastAsia="微软雅黑" w:cs="微软雅黑"/>
          <w:b/>
          <w:color w:val="auto"/>
          <w:spacing w:val="2"/>
          <w:w w:val="99"/>
          <w:sz w:val="48"/>
          <w:szCs w:val="48"/>
          <w:highlight w:val="none"/>
          <w:lang w:eastAsia="zh-CN"/>
        </w:rPr>
        <w:t>采购技术要求书</w:t>
      </w:r>
    </w:p>
    <w:bookmarkEnd w:id="10"/>
    <w:p>
      <w:pPr>
        <w:autoSpaceDE w:val="0"/>
        <w:autoSpaceDN w:val="0"/>
        <w:spacing w:before="120" w:after="120" w:line="360" w:lineRule="auto"/>
        <w:ind w:right="-20"/>
        <w:rPr>
          <w:rFonts w:hint="eastAsia" w:ascii="黑体" w:hAnsi="黑体" w:eastAsia="黑体"/>
          <w:caps/>
          <w:color w:val="auto"/>
          <w:sz w:val="30"/>
          <w:szCs w:val="30"/>
          <w:highlight w:val="none"/>
          <w:lang w:val="en-US" w:eastAsia="zh-CN"/>
        </w:rPr>
      </w:pPr>
      <w:r>
        <w:rPr>
          <w:rFonts w:hint="eastAsia" w:ascii="黑体" w:hAnsi="黑体" w:eastAsia="黑体"/>
          <w:caps/>
          <w:color w:val="auto"/>
          <w:sz w:val="30"/>
          <w:szCs w:val="30"/>
          <w:highlight w:val="none"/>
        </w:rPr>
        <w:t xml:space="preserve">   </w:t>
      </w:r>
      <w:r>
        <w:rPr>
          <w:rFonts w:ascii="黑体" w:hAnsi="黑体" w:eastAsia="黑体"/>
          <w:caps/>
          <w:color w:val="auto"/>
          <w:sz w:val="30"/>
          <w:szCs w:val="30"/>
          <w:highlight w:val="none"/>
        </w:rPr>
        <w:t xml:space="preserve"> </w:t>
      </w:r>
      <w:r>
        <w:rPr>
          <w:rFonts w:hint="eastAsia" w:ascii="黑体" w:hAnsi="黑体" w:eastAsia="黑体"/>
          <w:caps/>
          <w:color w:val="auto"/>
          <w:sz w:val="30"/>
          <w:szCs w:val="30"/>
          <w:highlight w:val="none"/>
        </w:rPr>
        <w:t xml:space="preserve">       </w:t>
      </w:r>
      <w:r>
        <w:rPr>
          <w:rFonts w:hint="eastAsia" w:ascii="黑体" w:hAnsi="黑体" w:eastAsia="黑体"/>
          <w:caps/>
          <w:color w:val="auto"/>
          <w:sz w:val="30"/>
          <w:szCs w:val="30"/>
          <w:highlight w:val="none"/>
          <w:lang w:val="en-US" w:eastAsia="zh-CN"/>
        </w:rPr>
        <w:t xml:space="preserve"> </w:t>
      </w:r>
    </w:p>
    <w:p>
      <w:pPr>
        <w:pStyle w:val="5"/>
        <w:rPr>
          <w:rFonts w:hint="eastAsia" w:ascii="黑体" w:hAnsi="黑体" w:eastAsia="黑体"/>
          <w:caps/>
          <w:color w:val="auto"/>
          <w:sz w:val="30"/>
          <w:szCs w:val="30"/>
          <w:highlight w:val="none"/>
          <w:lang w:val="en-US" w:eastAsia="zh-CN"/>
        </w:rPr>
      </w:pPr>
    </w:p>
    <w:p>
      <w:pPr>
        <w:rPr>
          <w:rFonts w:hint="eastAsia" w:ascii="黑体" w:hAnsi="黑体" w:eastAsia="黑体"/>
          <w:caps/>
          <w:color w:val="auto"/>
          <w:sz w:val="30"/>
          <w:szCs w:val="30"/>
          <w:highlight w:val="none"/>
          <w:lang w:val="en-US" w:eastAsia="zh-CN"/>
        </w:rPr>
      </w:pPr>
    </w:p>
    <w:p>
      <w:pPr>
        <w:pStyle w:val="5"/>
        <w:rPr>
          <w:rFonts w:hint="eastAsia"/>
          <w:color w:val="auto"/>
          <w:highlight w:val="none"/>
          <w:lang w:val="en-US" w:eastAsia="zh-CN"/>
        </w:rPr>
      </w:pPr>
    </w:p>
    <w:p>
      <w:pPr>
        <w:autoSpaceDE w:val="0"/>
        <w:autoSpaceDN w:val="0"/>
        <w:spacing w:before="120" w:after="120" w:line="360" w:lineRule="auto"/>
        <w:ind w:right="-20" w:firstLine="2520" w:firstLineChars="700"/>
        <w:jc w:val="left"/>
        <w:rPr>
          <w:rFonts w:hint="default" w:ascii="微软雅黑" w:hAnsi="微软雅黑" w:eastAsia="微软雅黑" w:cs="微软雅黑"/>
          <w:color w:val="auto"/>
          <w:spacing w:val="2"/>
          <w:w w:val="99"/>
          <w:sz w:val="36"/>
          <w:szCs w:val="36"/>
          <w:highlight w:val="none"/>
          <w:u w:val="single"/>
          <w:lang w:val="en-US" w:eastAsia="zh-CN"/>
        </w:rPr>
      </w:pPr>
      <w:r>
        <w:rPr>
          <w:rFonts w:hint="eastAsia" w:ascii="微软雅黑" w:hAnsi="微软雅黑" w:eastAsia="微软雅黑" w:cs="微软雅黑"/>
          <w:color w:val="auto"/>
          <w:spacing w:val="2"/>
          <w:w w:val="99"/>
          <w:sz w:val="36"/>
          <w:szCs w:val="36"/>
          <w:highlight w:val="none"/>
          <w:lang w:eastAsia="zh-CN"/>
        </w:rPr>
        <w:t>编制：</w:t>
      </w:r>
      <w:r>
        <w:rPr>
          <w:rFonts w:hint="eastAsia" w:ascii="微软雅黑" w:hAnsi="微软雅黑" w:eastAsia="微软雅黑" w:cs="微软雅黑"/>
          <w:color w:val="auto"/>
          <w:spacing w:val="2"/>
          <w:w w:val="99"/>
          <w:sz w:val="36"/>
          <w:szCs w:val="36"/>
          <w:highlight w:val="none"/>
          <w:u w:val="single"/>
          <w:lang w:val="en-US" w:eastAsia="zh-CN"/>
        </w:rPr>
        <w:t xml:space="preserve">            </w:t>
      </w:r>
    </w:p>
    <w:p>
      <w:pPr>
        <w:autoSpaceDE w:val="0"/>
        <w:autoSpaceDN w:val="0"/>
        <w:spacing w:before="120" w:after="120" w:line="360" w:lineRule="auto"/>
        <w:ind w:right="-20" w:firstLine="2520" w:firstLineChars="700"/>
        <w:jc w:val="both"/>
        <w:rPr>
          <w:rFonts w:hint="default" w:ascii="微软雅黑" w:hAnsi="微软雅黑" w:eastAsia="微软雅黑" w:cs="微软雅黑"/>
          <w:color w:val="auto"/>
          <w:spacing w:val="2"/>
          <w:w w:val="99"/>
          <w:sz w:val="36"/>
          <w:szCs w:val="36"/>
          <w:highlight w:val="none"/>
          <w:lang w:val="en-US" w:eastAsia="zh-CN"/>
        </w:rPr>
      </w:pPr>
      <w:r>
        <w:rPr>
          <w:rFonts w:hint="eastAsia" w:ascii="微软雅黑" w:hAnsi="微软雅黑" w:eastAsia="微软雅黑" w:cs="微软雅黑"/>
          <w:color w:val="auto"/>
          <w:spacing w:val="2"/>
          <w:w w:val="99"/>
          <w:sz w:val="36"/>
          <w:szCs w:val="36"/>
          <w:highlight w:val="none"/>
          <w:lang w:eastAsia="zh-CN"/>
        </w:rPr>
        <w:t>审核：</w:t>
      </w:r>
      <w:r>
        <w:rPr>
          <w:rFonts w:hint="eastAsia" w:ascii="微软雅黑" w:hAnsi="微软雅黑" w:eastAsia="微软雅黑" w:cs="微软雅黑"/>
          <w:color w:val="auto"/>
          <w:spacing w:val="2"/>
          <w:w w:val="99"/>
          <w:sz w:val="36"/>
          <w:szCs w:val="36"/>
          <w:highlight w:val="none"/>
          <w:u w:val="single"/>
          <w:lang w:val="en-US" w:eastAsia="zh-CN"/>
        </w:rPr>
        <w:t xml:space="preserve">            </w:t>
      </w:r>
      <w:r>
        <w:rPr>
          <w:rFonts w:hint="eastAsia" w:ascii="微软雅黑" w:hAnsi="微软雅黑" w:eastAsia="微软雅黑" w:cs="微软雅黑"/>
          <w:color w:val="auto"/>
          <w:spacing w:val="2"/>
          <w:w w:val="99"/>
          <w:sz w:val="36"/>
          <w:szCs w:val="36"/>
          <w:highlight w:val="none"/>
          <w:lang w:val="en-US" w:eastAsia="zh-CN"/>
        </w:rPr>
        <w:t xml:space="preserve">    </w:t>
      </w:r>
    </w:p>
    <w:p>
      <w:pPr>
        <w:autoSpaceDE w:val="0"/>
        <w:autoSpaceDN w:val="0"/>
        <w:spacing w:before="120" w:after="120" w:line="360" w:lineRule="auto"/>
        <w:ind w:right="-20" w:firstLine="2520" w:firstLineChars="700"/>
        <w:jc w:val="both"/>
        <w:rPr>
          <w:rFonts w:hint="eastAsia" w:ascii="黑体" w:hAnsi="黑体" w:eastAsia="黑体"/>
          <w:color w:val="auto"/>
          <w:highlight w:val="none"/>
        </w:rPr>
      </w:pPr>
      <w:r>
        <w:rPr>
          <w:rFonts w:hint="eastAsia" w:ascii="微软雅黑" w:hAnsi="微软雅黑" w:eastAsia="微软雅黑" w:cs="微软雅黑"/>
          <w:color w:val="auto"/>
          <w:spacing w:val="2"/>
          <w:w w:val="99"/>
          <w:sz w:val="36"/>
          <w:szCs w:val="36"/>
          <w:highlight w:val="none"/>
          <w:lang w:eastAsia="zh-CN"/>
        </w:rPr>
        <w:t>批准：</w:t>
      </w:r>
      <w:r>
        <w:rPr>
          <w:rFonts w:hint="eastAsia" w:ascii="微软雅黑" w:hAnsi="微软雅黑" w:eastAsia="微软雅黑" w:cs="微软雅黑"/>
          <w:color w:val="auto"/>
          <w:spacing w:val="2"/>
          <w:w w:val="99"/>
          <w:sz w:val="36"/>
          <w:szCs w:val="36"/>
          <w:highlight w:val="none"/>
          <w:u w:val="single"/>
          <w:lang w:val="en-US" w:eastAsia="zh-CN"/>
        </w:rPr>
        <w:t xml:space="preserve">            </w:t>
      </w:r>
    </w:p>
    <w:p>
      <w:pPr>
        <w:pStyle w:val="35"/>
        <w:spacing w:before="62" w:after="62" w:line="360" w:lineRule="auto"/>
        <w:ind w:firstLine="0" w:firstLineChars="0"/>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目    录</w:t>
      </w:r>
    </w:p>
    <w:p>
      <w:pPr>
        <w:pStyle w:val="20"/>
        <w:tabs>
          <w:tab w:val="right" w:leader="dot" w:pos="8787"/>
        </w:tabs>
        <w:rPr>
          <w:highlight w:val="none"/>
        </w:rPr>
      </w:pPr>
      <w:r>
        <w:rPr>
          <w:rFonts w:ascii="Arial" w:hAnsi="Arial" w:cs="Arial"/>
          <w:color w:val="auto"/>
          <w:sz w:val="24"/>
          <w:szCs w:val="24"/>
          <w:highlight w:val="none"/>
        </w:rPr>
        <w:fldChar w:fldCharType="begin"/>
      </w:r>
      <w:r>
        <w:rPr>
          <w:rFonts w:ascii="Arial" w:hAnsi="Arial" w:cs="Arial"/>
          <w:color w:val="auto"/>
          <w:sz w:val="24"/>
          <w:szCs w:val="24"/>
          <w:highlight w:val="none"/>
        </w:rPr>
        <w:instrText xml:space="preserve"> TOC \o "1-2" \h \z \u </w:instrText>
      </w:r>
      <w:r>
        <w:rPr>
          <w:rFonts w:ascii="Arial" w:hAnsi="Arial" w:cs="Arial"/>
          <w:color w:val="auto"/>
          <w:sz w:val="24"/>
          <w:szCs w:val="24"/>
          <w:highlight w:val="none"/>
        </w:rPr>
        <w:fldChar w:fldCharType="separate"/>
      </w:r>
      <w:r>
        <w:rPr>
          <w:rFonts w:ascii="Arial" w:hAnsi="Arial" w:cs="Arial"/>
          <w:color w:val="auto"/>
          <w:szCs w:val="24"/>
          <w:highlight w:val="none"/>
        </w:rPr>
        <w:fldChar w:fldCharType="begin"/>
      </w:r>
      <w:r>
        <w:rPr>
          <w:rFonts w:ascii="Arial" w:hAnsi="Arial" w:cs="Arial"/>
          <w:szCs w:val="24"/>
          <w:highlight w:val="none"/>
        </w:rPr>
        <w:instrText xml:space="preserve"> HYPERLINK \l _Toc203 </w:instrText>
      </w:r>
      <w:r>
        <w:rPr>
          <w:rFonts w:ascii="Arial" w:hAnsi="Arial" w:cs="Arial"/>
          <w:szCs w:val="24"/>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1 </w:t>
      </w:r>
      <w:r>
        <w:rPr>
          <w:rFonts w:hint="eastAsia"/>
          <w:highlight w:val="none"/>
        </w:rPr>
        <w:t>总则</w:t>
      </w:r>
      <w:r>
        <w:rPr>
          <w:highlight w:val="none"/>
        </w:rPr>
        <w:tab/>
      </w:r>
      <w:r>
        <w:rPr>
          <w:highlight w:val="none"/>
        </w:rPr>
        <w:fldChar w:fldCharType="begin"/>
      </w:r>
      <w:r>
        <w:rPr>
          <w:highlight w:val="none"/>
        </w:rPr>
        <w:instrText xml:space="preserve"> PAGEREF _Toc203 \h </w:instrText>
      </w:r>
      <w:r>
        <w:rPr>
          <w:highlight w:val="none"/>
        </w:rPr>
        <w:fldChar w:fldCharType="separate"/>
      </w:r>
      <w:r>
        <w:rPr>
          <w:highlight w:val="none"/>
        </w:rPr>
        <w:t>1</w:t>
      </w:r>
      <w:r>
        <w:rPr>
          <w:highlight w:val="none"/>
        </w:rPr>
        <w:fldChar w:fldCharType="end"/>
      </w:r>
      <w:r>
        <w:rPr>
          <w:rFonts w:ascii="Arial" w:hAnsi="Arial" w:cs="Arial"/>
          <w:color w:val="auto"/>
          <w:szCs w:val="24"/>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_Toc13632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2 </w:t>
      </w:r>
      <w:r>
        <w:rPr>
          <w:rFonts w:hint="eastAsia"/>
          <w:highlight w:val="none"/>
        </w:rPr>
        <w:t>项目概况及总体要求</w:t>
      </w:r>
      <w:r>
        <w:rPr>
          <w:highlight w:val="none"/>
        </w:rPr>
        <w:tab/>
      </w:r>
      <w:r>
        <w:rPr>
          <w:highlight w:val="none"/>
        </w:rPr>
        <w:fldChar w:fldCharType="begin"/>
      </w:r>
      <w:r>
        <w:rPr>
          <w:highlight w:val="none"/>
        </w:rPr>
        <w:instrText xml:space="preserve"> PAGEREF _Toc13632 \h </w:instrText>
      </w:r>
      <w:r>
        <w:rPr>
          <w:highlight w:val="none"/>
        </w:rPr>
        <w:fldChar w:fldCharType="separate"/>
      </w:r>
      <w:r>
        <w:rPr>
          <w:highlight w:val="none"/>
        </w:rPr>
        <w:t>1</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_Toc1154 </w:instrText>
      </w:r>
      <w:r>
        <w:rPr>
          <w:rFonts w:ascii="Arial" w:hAnsi="Arial" w:cs="Arial"/>
          <w:highlight w:val="none"/>
        </w:rPr>
        <w:fldChar w:fldCharType="separate"/>
      </w:r>
      <w:r>
        <w:rPr>
          <w:rFonts w:hint="eastAsia" w:ascii="微软雅黑" w:hAnsi="微软雅黑" w:eastAsia="微软雅黑" w:cs="微软雅黑"/>
          <w:highlight w:val="none"/>
        </w:rPr>
        <w:t>2.1 项目概况</w:t>
      </w:r>
      <w:r>
        <w:rPr>
          <w:highlight w:val="none"/>
        </w:rPr>
        <w:tab/>
      </w:r>
      <w:r>
        <w:rPr>
          <w:highlight w:val="none"/>
        </w:rPr>
        <w:fldChar w:fldCharType="begin"/>
      </w:r>
      <w:r>
        <w:rPr>
          <w:highlight w:val="none"/>
        </w:rPr>
        <w:instrText xml:space="preserve"> PAGEREF _Toc1154 \h </w:instrText>
      </w:r>
      <w:r>
        <w:rPr>
          <w:highlight w:val="none"/>
        </w:rPr>
        <w:fldChar w:fldCharType="separate"/>
      </w:r>
      <w:r>
        <w:rPr>
          <w:highlight w:val="none"/>
        </w:rPr>
        <w:t>1</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_Toc2692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2.2 现场条件及周围环境情况说明</w:t>
      </w:r>
      <w:r>
        <w:rPr>
          <w:highlight w:val="none"/>
        </w:rPr>
        <w:tab/>
      </w:r>
      <w:r>
        <w:rPr>
          <w:highlight w:val="none"/>
        </w:rPr>
        <w:fldChar w:fldCharType="begin"/>
      </w:r>
      <w:r>
        <w:rPr>
          <w:highlight w:val="none"/>
        </w:rPr>
        <w:instrText xml:space="preserve"> PAGEREF _Toc2692 \h </w:instrText>
      </w:r>
      <w:r>
        <w:rPr>
          <w:highlight w:val="none"/>
        </w:rPr>
        <w:fldChar w:fldCharType="separate"/>
      </w:r>
      <w:r>
        <w:rPr>
          <w:highlight w:val="none"/>
        </w:rPr>
        <w:t>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_Toc12310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2.3 主要建、构筑物一览表</w:t>
      </w:r>
      <w:r>
        <w:rPr>
          <w:highlight w:val="none"/>
        </w:rPr>
        <w:tab/>
      </w:r>
      <w:r>
        <w:rPr>
          <w:highlight w:val="none"/>
        </w:rPr>
        <w:fldChar w:fldCharType="begin"/>
      </w:r>
      <w:r>
        <w:rPr>
          <w:highlight w:val="none"/>
        </w:rPr>
        <w:instrText xml:space="preserve"> PAGEREF _Toc12310 \h </w:instrText>
      </w:r>
      <w:r>
        <w:rPr>
          <w:highlight w:val="none"/>
        </w:rPr>
        <w:fldChar w:fldCharType="separate"/>
      </w:r>
      <w:r>
        <w:rPr>
          <w:highlight w:val="none"/>
        </w:rPr>
        <w:t>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_Toc8137 </w:instrText>
      </w:r>
      <w:r>
        <w:rPr>
          <w:rFonts w:ascii="Arial" w:hAnsi="Arial" w:cs="Arial"/>
          <w:highlight w:val="none"/>
        </w:rPr>
        <w:fldChar w:fldCharType="separate"/>
      </w:r>
      <w:r>
        <w:rPr>
          <w:rFonts w:hint="eastAsia" w:ascii="微软雅黑" w:hAnsi="微软雅黑" w:eastAsia="微软雅黑" w:cs="微软雅黑"/>
          <w:highlight w:val="none"/>
        </w:rPr>
        <w:t>2.4 项目主要工作内容</w:t>
      </w:r>
      <w:r>
        <w:rPr>
          <w:highlight w:val="none"/>
        </w:rPr>
        <w:tab/>
      </w:r>
      <w:r>
        <w:rPr>
          <w:highlight w:val="none"/>
        </w:rPr>
        <w:fldChar w:fldCharType="begin"/>
      </w:r>
      <w:r>
        <w:rPr>
          <w:highlight w:val="none"/>
        </w:rPr>
        <w:instrText xml:space="preserve"> PAGEREF _Toc8137 \h </w:instrText>
      </w:r>
      <w:r>
        <w:rPr>
          <w:highlight w:val="none"/>
        </w:rPr>
        <w:fldChar w:fldCharType="separate"/>
      </w:r>
      <w:r>
        <w:rPr>
          <w:highlight w:val="none"/>
        </w:rPr>
        <w:t>4</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_Toc23018 </w:instrText>
      </w:r>
      <w:r>
        <w:rPr>
          <w:rFonts w:ascii="Arial" w:hAnsi="Arial" w:cs="Arial"/>
          <w:highlight w:val="none"/>
        </w:rPr>
        <w:fldChar w:fldCharType="separate"/>
      </w:r>
      <w:r>
        <w:rPr>
          <w:rFonts w:hint="eastAsia" w:ascii="微软雅黑" w:hAnsi="微软雅黑" w:eastAsia="微软雅黑" w:cs="微软雅黑"/>
          <w:highlight w:val="none"/>
        </w:rPr>
        <w:t>2.5 编制目的</w:t>
      </w:r>
      <w:r>
        <w:rPr>
          <w:highlight w:val="none"/>
        </w:rPr>
        <w:tab/>
      </w:r>
      <w:r>
        <w:rPr>
          <w:highlight w:val="none"/>
        </w:rPr>
        <w:fldChar w:fldCharType="begin"/>
      </w:r>
      <w:r>
        <w:rPr>
          <w:highlight w:val="none"/>
        </w:rPr>
        <w:instrText xml:space="preserve"> PAGEREF _Toc23018 \h </w:instrText>
      </w:r>
      <w:r>
        <w:rPr>
          <w:highlight w:val="none"/>
        </w:rPr>
        <w:fldChar w:fldCharType="separate"/>
      </w:r>
      <w:r>
        <w:rPr>
          <w:highlight w:val="none"/>
        </w:rPr>
        <w:t>9</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_Toc20620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3 </w:t>
      </w:r>
      <w:r>
        <w:rPr>
          <w:rFonts w:hint="eastAsia" w:cs="宋体"/>
          <w:caps/>
          <w:highlight w:val="none"/>
        </w:rPr>
        <w:t>编制依据</w:t>
      </w:r>
      <w:r>
        <w:rPr>
          <w:highlight w:val="none"/>
        </w:rPr>
        <w:tab/>
      </w:r>
      <w:r>
        <w:rPr>
          <w:highlight w:val="none"/>
        </w:rPr>
        <w:fldChar w:fldCharType="begin"/>
      </w:r>
      <w:r>
        <w:rPr>
          <w:highlight w:val="none"/>
        </w:rPr>
        <w:instrText xml:space="preserve"> PAGEREF _Toc20620 \h </w:instrText>
      </w:r>
      <w:r>
        <w:rPr>
          <w:highlight w:val="none"/>
        </w:rPr>
        <w:fldChar w:fldCharType="separate"/>
      </w:r>
      <w:r>
        <w:rPr>
          <w:highlight w:val="none"/>
        </w:rPr>
        <w:t>9</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_Toc31619 </w:instrText>
      </w:r>
      <w:r>
        <w:rPr>
          <w:rFonts w:ascii="Arial" w:hAnsi="Arial" w:cs="Arial"/>
          <w:highlight w:val="none"/>
        </w:rPr>
        <w:fldChar w:fldCharType="separate"/>
      </w:r>
      <w:r>
        <w:rPr>
          <w:rFonts w:hint="eastAsia" w:ascii="微软雅黑" w:hAnsi="微软雅黑" w:eastAsia="微软雅黑" w:cs="微软雅黑"/>
          <w:highlight w:val="none"/>
        </w:rPr>
        <w:t>3.1 项目采办策略</w:t>
      </w:r>
      <w:r>
        <w:rPr>
          <w:highlight w:val="none"/>
        </w:rPr>
        <w:tab/>
      </w:r>
      <w:r>
        <w:rPr>
          <w:highlight w:val="none"/>
        </w:rPr>
        <w:fldChar w:fldCharType="begin"/>
      </w:r>
      <w:r>
        <w:rPr>
          <w:highlight w:val="none"/>
        </w:rPr>
        <w:instrText xml:space="preserve"> PAGEREF _Toc31619 \h </w:instrText>
      </w:r>
      <w:r>
        <w:rPr>
          <w:highlight w:val="none"/>
        </w:rPr>
        <w:fldChar w:fldCharType="separate"/>
      </w:r>
      <w:r>
        <w:rPr>
          <w:highlight w:val="none"/>
        </w:rPr>
        <w:t>9</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_Toc5178 </w:instrText>
      </w:r>
      <w:r>
        <w:rPr>
          <w:rFonts w:ascii="Arial" w:hAnsi="Arial" w:cs="Arial"/>
          <w:highlight w:val="none"/>
        </w:rPr>
        <w:fldChar w:fldCharType="separate"/>
      </w:r>
      <w:r>
        <w:rPr>
          <w:rFonts w:hint="eastAsia" w:ascii="微软雅黑" w:hAnsi="微软雅黑" w:eastAsia="微软雅黑" w:cs="微软雅黑"/>
          <w:highlight w:val="none"/>
        </w:rPr>
        <w:t xml:space="preserve">3.2 </w:t>
      </w:r>
      <w:r>
        <w:rPr>
          <w:rFonts w:hint="eastAsia" w:ascii="微软雅黑" w:hAnsi="微软雅黑" w:eastAsia="微软雅黑" w:cs="微软雅黑"/>
          <w:highlight w:val="none"/>
          <w:lang w:val="en-US" w:eastAsia="zh-CN"/>
        </w:rPr>
        <w:t>勘察</w:t>
      </w:r>
      <w:r>
        <w:rPr>
          <w:rFonts w:hint="eastAsia" w:ascii="微软雅黑" w:hAnsi="微软雅黑" w:eastAsia="微软雅黑" w:cs="微软雅黑"/>
          <w:highlight w:val="none"/>
        </w:rPr>
        <w:t>设计文件</w:t>
      </w:r>
      <w:r>
        <w:rPr>
          <w:highlight w:val="none"/>
        </w:rPr>
        <w:tab/>
      </w:r>
      <w:r>
        <w:rPr>
          <w:highlight w:val="none"/>
        </w:rPr>
        <w:fldChar w:fldCharType="begin"/>
      </w:r>
      <w:r>
        <w:rPr>
          <w:highlight w:val="none"/>
        </w:rPr>
        <w:instrText xml:space="preserve"> PAGEREF _Toc5178 \h </w:instrText>
      </w:r>
      <w:r>
        <w:rPr>
          <w:highlight w:val="none"/>
        </w:rPr>
        <w:fldChar w:fldCharType="separate"/>
      </w:r>
      <w:r>
        <w:rPr>
          <w:highlight w:val="none"/>
        </w:rPr>
        <w:t>10</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_Toc27311 </w:instrText>
      </w:r>
      <w:r>
        <w:rPr>
          <w:rFonts w:ascii="Arial" w:hAnsi="Arial" w:cs="Arial"/>
          <w:highlight w:val="none"/>
        </w:rPr>
        <w:fldChar w:fldCharType="separate"/>
      </w:r>
      <w:r>
        <w:rPr>
          <w:rFonts w:hint="eastAsia" w:ascii="微软雅黑" w:hAnsi="微软雅黑" w:eastAsia="微软雅黑" w:cs="微软雅黑"/>
          <w:highlight w:val="none"/>
        </w:rPr>
        <w:t>3.3 相关</w:t>
      </w:r>
      <w:r>
        <w:rPr>
          <w:rFonts w:hint="eastAsia" w:ascii="微软雅黑" w:hAnsi="微软雅黑" w:eastAsia="微软雅黑" w:cs="微软雅黑"/>
          <w:highlight w:val="none"/>
          <w:lang w:val="en-US" w:eastAsia="zh-CN"/>
        </w:rPr>
        <w:t>法律、法规及</w:t>
      </w:r>
      <w:r>
        <w:rPr>
          <w:rFonts w:hint="eastAsia" w:ascii="微软雅黑" w:hAnsi="微软雅黑" w:eastAsia="微软雅黑" w:cs="微软雅黑"/>
          <w:highlight w:val="none"/>
        </w:rPr>
        <w:t>规范</w:t>
      </w:r>
      <w:r>
        <w:rPr>
          <w:highlight w:val="none"/>
        </w:rPr>
        <w:tab/>
      </w:r>
      <w:r>
        <w:rPr>
          <w:highlight w:val="none"/>
        </w:rPr>
        <w:fldChar w:fldCharType="begin"/>
      </w:r>
      <w:r>
        <w:rPr>
          <w:highlight w:val="none"/>
        </w:rPr>
        <w:instrText xml:space="preserve"> PAGEREF _Toc27311 \h </w:instrText>
      </w:r>
      <w:r>
        <w:rPr>
          <w:highlight w:val="none"/>
        </w:rPr>
        <w:fldChar w:fldCharType="separate"/>
      </w:r>
      <w:r>
        <w:rPr>
          <w:highlight w:val="none"/>
        </w:rPr>
        <w:t>10</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_Toc32050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4 </w:t>
      </w:r>
      <w:r>
        <w:rPr>
          <w:rFonts w:hint="eastAsia" w:cs="宋体"/>
          <w:caps/>
          <w:highlight w:val="none"/>
          <w:lang w:val="en-US" w:eastAsia="zh-CN"/>
        </w:rPr>
        <w:t>责任</w:t>
      </w:r>
      <w:r>
        <w:rPr>
          <w:rFonts w:hint="eastAsia" w:cs="宋体"/>
          <w:caps/>
          <w:highlight w:val="none"/>
        </w:rPr>
        <w:t>范围</w:t>
      </w:r>
      <w:r>
        <w:rPr>
          <w:highlight w:val="none"/>
        </w:rPr>
        <w:tab/>
      </w:r>
      <w:r>
        <w:rPr>
          <w:highlight w:val="none"/>
        </w:rPr>
        <w:fldChar w:fldCharType="begin"/>
      </w:r>
      <w:r>
        <w:rPr>
          <w:highlight w:val="none"/>
        </w:rPr>
        <w:instrText xml:space="preserve"> PAGEREF _Toc32050 \h </w:instrText>
      </w:r>
      <w:r>
        <w:rPr>
          <w:highlight w:val="none"/>
        </w:rPr>
        <w:fldChar w:fldCharType="separate"/>
      </w:r>
      <w:r>
        <w:rPr>
          <w:highlight w:val="none"/>
        </w:rPr>
        <w:t>12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_Toc23796 </w:instrText>
      </w:r>
      <w:r>
        <w:rPr>
          <w:rFonts w:ascii="Arial" w:hAnsi="Arial" w:cs="Arial"/>
          <w:highlight w:val="none"/>
        </w:rPr>
        <w:fldChar w:fldCharType="separate"/>
      </w:r>
      <w:r>
        <w:rPr>
          <w:rFonts w:hint="eastAsia" w:ascii="微软雅黑" w:hAnsi="微软雅黑" w:eastAsia="微软雅黑" w:cs="微软雅黑"/>
          <w:highlight w:val="none"/>
        </w:rPr>
        <w:t xml:space="preserve">4.1 </w:t>
      </w:r>
      <w:r>
        <w:rPr>
          <w:rFonts w:hint="eastAsia" w:ascii="微软雅黑" w:hAnsi="微软雅黑" w:eastAsia="微软雅黑" w:cs="微软雅黑"/>
          <w:highlight w:val="none"/>
          <w:lang w:eastAsia="zh-CN"/>
        </w:rPr>
        <w:t>甲方</w:t>
      </w:r>
      <w:r>
        <w:rPr>
          <w:rFonts w:hint="eastAsia" w:ascii="微软雅黑" w:hAnsi="微软雅黑" w:eastAsia="微软雅黑" w:cs="微软雅黑"/>
          <w:highlight w:val="none"/>
          <w:lang w:val="en-US" w:eastAsia="zh-CN"/>
        </w:rPr>
        <w:t>责任</w:t>
      </w:r>
      <w:r>
        <w:rPr>
          <w:rFonts w:hint="eastAsia" w:ascii="微软雅黑" w:hAnsi="微软雅黑" w:eastAsia="微软雅黑" w:cs="微软雅黑"/>
          <w:highlight w:val="none"/>
        </w:rPr>
        <w:t>范围</w:t>
      </w:r>
      <w:r>
        <w:rPr>
          <w:highlight w:val="none"/>
        </w:rPr>
        <w:tab/>
      </w:r>
      <w:r>
        <w:rPr>
          <w:highlight w:val="none"/>
        </w:rPr>
        <w:fldChar w:fldCharType="begin"/>
      </w:r>
      <w:r>
        <w:rPr>
          <w:highlight w:val="none"/>
        </w:rPr>
        <w:instrText xml:space="preserve"> PAGEREF _Toc23796 \h </w:instrText>
      </w:r>
      <w:r>
        <w:rPr>
          <w:highlight w:val="none"/>
        </w:rPr>
        <w:fldChar w:fldCharType="separate"/>
      </w:r>
      <w:r>
        <w:rPr>
          <w:highlight w:val="none"/>
        </w:rPr>
        <w:t>12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_Toc11517 </w:instrText>
      </w:r>
      <w:r>
        <w:rPr>
          <w:rFonts w:ascii="Arial" w:hAnsi="Arial" w:cs="Arial"/>
          <w:highlight w:val="none"/>
        </w:rPr>
        <w:fldChar w:fldCharType="separate"/>
      </w:r>
      <w:r>
        <w:rPr>
          <w:rFonts w:hint="eastAsia" w:ascii="微软雅黑" w:hAnsi="微软雅黑" w:eastAsia="微软雅黑" w:cs="微软雅黑"/>
          <w:highlight w:val="none"/>
          <w:lang w:eastAsia="zh-CN"/>
        </w:rPr>
        <w:t>4.2 乙方</w:t>
      </w:r>
      <w:r>
        <w:rPr>
          <w:rFonts w:hint="eastAsia" w:ascii="微软雅黑" w:hAnsi="微软雅黑" w:eastAsia="微软雅黑" w:cs="微软雅黑"/>
          <w:highlight w:val="none"/>
          <w:lang w:val="en-US" w:eastAsia="zh-CN"/>
        </w:rPr>
        <w:t>责任</w:t>
      </w:r>
      <w:r>
        <w:rPr>
          <w:rFonts w:hint="eastAsia" w:ascii="微软雅黑" w:hAnsi="微软雅黑" w:eastAsia="微软雅黑" w:cs="微软雅黑"/>
          <w:highlight w:val="none"/>
          <w:lang w:eastAsia="zh-CN"/>
        </w:rPr>
        <w:t>范围</w:t>
      </w:r>
      <w:r>
        <w:rPr>
          <w:highlight w:val="none"/>
        </w:rPr>
        <w:tab/>
      </w:r>
      <w:r>
        <w:rPr>
          <w:highlight w:val="none"/>
        </w:rPr>
        <w:fldChar w:fldCharType="begin"/>
      </w:r>
      <w:r>
        <w:rPr>
          <w:highlight w:val="none"/>
        </w:rPr>
        <w:instrText xml:space="preserve"> PAGEREF _Toc11517 \h </w:instrText>
      </w:r>
      <w:r>
        <w:rPr>
          <w:highlight w:val="none"/>
        </w:rPr>
        <w:fldChar w:fldCharType="separate"/>
      </w:r>
      <w:r>
        <w:rPr>
          <w:highlight w:val="none"/>
        </w:rPr>
        <w:t>12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_Toc3945 </w:instrText>
      </w:r>
      <w:r>
        <w:rPr>
          <w:rFonts w:ascii="Arial" w:hAnsi="Arial" w:cs="Arial"/>
          <w:highlight w:val="none"/>
        </w:rPr>
        <w:fldChar w:fldCharType="separate"/>
      </w:r>
      <w:r>
        <w:rPr>
          <w:rFonts w:hint="eastAsia" w:ascii="微软雅黑" w:hAnsi="微软雅黑" w:eastAsia="微软雅黑" w:cs="微软雅黑"/>
          <w:highlight w:val="none"/>
          <w:lang w:eastAsia="zh-CN"/>
        </w:rPr>
        <w:t>4.3 配备资源要求</w:t>
      </w:r>
      <w:r>
        <w:rPr>
          <w:highlight w:val="none"/>
        </w:rPr>
        <w:tab/>
      </w:r>
      <w:r>
        <w:rPr>
          <w:highlight w:val="none"/>
        </w:rPr>
        <w:fldChar w:fldCharType="begin"/>
      </w:r>
      <w:r>
        <w:rPr>
          <w:highlight w:val="none"/>
        </w:rPr>
        <w:instrText xml:space="preserve"> PAGEREF _Toc3945 \h </w:instrText>
      </w:r>
      <w:r>
        <w:rPr>
          <w:highlight w:val="none"/>
        </w:rPr>
        <w:fldChar w:fldCharType="separate"/>
      </w:r>
      <w:r>
        <w:rPr>
          <w:highlight w:val="none"/>
        </w:rPr>
        <w:t>14</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_Toc20285 </w:instrText>
      </w:r>
      <w:r>
        <w:rPr>
          <w:rFonts w:ascii="Arial" w:hAnsi="Arial" w:cs="Arial"/>
          <w:highlight w:val="none"/>
        </w:rPr>
        <w:fldChar w:fldCharType="separate"/>
      </w:r>
      <w:r>
        <w:rPr>
          <w:rFonts w:hint="eastAsia" w:ascii="微软雅黑" w:hAnsi="微软雅黑" w:eastAsia="微软雅黑" w:cs="微软雅黑"/>
          <w:highlight w:val="none"/>
          <w:lang w:eastAsia="zh-CN"/>
        </w:rPr>
        <w:t>4.4 主要工程量</w:t>
      </w:r>
      <w:r>
        <w:rPr>
          <w:highlight w:val="none"/>
        </w:rPr>
        <w:tab/>
      </w:r>
      <w:r>
        <w:rPr>
          <w:highlight w:val="none"/>
        </w:rPr>
        <w:fldChar w:fldCharType="begin"/>
      </w:r>
      <w:r>
        <w:rPr>
          <w:highlight w:val="none"/>
        </w:rPr>
        <w:instrText xml:space="preserve"> PAGEREF _Toc20285 \h </w:instrText>
      </w:r>
      <w:r>
        <w:rPr>
          <w:highlight w:val="none"/>
        </w:rPr>
        <w:fldChar w:fldCharType="separate"/>
      </w:r>
      <w:r>
        <w:rPr>
          <w:highlight w:val="none"/>
        </w:rPr>
        <w:t>15</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_Toc32360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5 </w:t>
      </w:r>
      <w:r>
        <w:rPr>
          <w:rFonts w:hint="eastAsia" w:cs="宋体"/>
          <w:caps/>
          <w:highlight w:val="none"/>
        </w:rPr>
        <w:t>技术要求</w:t>
      </w:r>
      <w:r>
        <w:rPr>
          <w:highlight w:val="none"/>
        </w:rPr>
        <w:tab/>
      </w:r>
      <w:r>
        <w:rPr>
          <w:highlight w:val="none"/>
        </w:rPr>
        <w:fldChar w:fldCharType="begin"/>
      </w:r>
      <w:r>
        <w:rPr>
          <w:highlight w:val="none"/>
        </w:rPr>
        <w:instrText xml:space="preserve"> PAGEREF _Toc32360 \h </w:instrText>
      </w:r>
      <w:r>
        <w:rPr>
          <w:highlight w:val="none"/>
        </w:rPr>
        <w:fldChar w:fldCharType="separate"/>
      </w:r>
      <w:r>
        <w:rPr>
          <w:highlight w:val="none"/>
        </w:rPr>
        <w:t>15</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_Toc31009 </w:instrText>
      </w:r>
      <w:r>
        <w:rPr>
          <w:rFonts w:ascii="Arial" w:hAnsi="Arial" w:cs="Arial"/>
          <w:highlight w:val="none"/>
        </w:rPr>
        <w:fldChar w:fldCharType="separate"/>
      </w:r>
      <w:r>
        <w:rPr>
          <w:rFonts w:hint="eastAsia" w:ascii="微软雅黑" w:hAnsi="微软雅黑" w:eastAsia="微软雅黑" w:cs="微软雅黑"/>
          <w:highlight w:val="none"/>
          <w:lang w:eastAsia="zh-CN"/>
        </w:rPr>
        <w:t xml:space="preserve">5.1 </w:t>
      </w:r>
      <w:r>
        <w:rPr>
          <w:rFonts w:hint="eastAsia" w:ascii="微软雅黑" w:hAnsi="微软雅黑" w:eastAsia="微软雅黑" w:cs="微软雅黑"/>
          <w:highlight w:val="none"/>
          <w:lang w:val="en-US" w:eastAsia="zh-CN"/>
        </w:rPr>
        <w:t>技术</w:t>
      </w:r>
      <w:r>
        <w:rPr>
          <w:rFonts w:hint="eastAsia" w:ascii="微软雅黑" w:hAnsi="微软雅黑" w:eastAsia="微软雅黑" w:cs="微软雅黑"/>
          <w:highlight w:val="none"/>
          <w:lang w:eastAsia="zh-CN"/>
        </w:rPr>
        <w:t>质量</w:t>
      </w:r>
      <w:r>
        <w:rPr>
          <w:rFonts w:hint="eastAsia" w:ascii="微软雅黑" w:hAnsi="微软雅黑" w:eastAsia="微软雅黑" w:cs="微软雅黑"/>
          <w:highlight w:val="none"/>
          <w:lang w:val="en-US" w:eastAsia="zh-CN"/>
        </w:rPr>
        <w:t>目标</w:t>
      </w:r>
      <w:r>
        <w:rPr>
          <w:highlight w:val="none"/>
        </w:rPr>
        <w:tab/>
      </w:r>
      <w:r>
        <w:rPr>
          <w:highlight w:val="none"/>
        </w:rPr>
        <w:fldChar w:fldCharType="begin"/>
      </w:r>
      <w:r>
        <w:rPr>
          <w:highlight w:val="none"/>
        </w:rPr>
        <w:instrText xml:space="preserve"> PAGEREF _Toc31009 \h </w:instrText>
      </w:r>
      <w:r>
        <w:rPr>
          <w:highlight w:val="none"/>
        </w:rPr>
        <w:fldChar w:fldCharType="separate"/>
      </w:r>
      <w:r>
        <w:rPr>
          <w:highlight w:val="none"/>
        </w:rPr>
        <w:t>15</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_Toc31068 </w:instrText>
      </w:r>
      <w:r>
        <w:rPr>
          <w:rFonts w:ascii="Arial" w:hAnsi="Arial" w:cs="Arial"/>
          <w:highlight w:val="none"/>
        </w:rPr>
        <w:fldChar w:fldCharType="separate"/>
      </w:r>
      <w:r>
        <w:rPr>
          <w:rFonts w:hint="eastAsia" w:ascii="微软雅黑" w:hAnsi="微软雅黑" w:eastAsia="微软雅黑" w:cs="微软雅黑"/>
          <w:highlight w:val="none"/>
          <w:lang w:eastAsia="zh-CN"/>
        </w:rPr>
        <w:t>5.2 技术标准</w:t>
      </w:r>
      <w:r>
        <w:rPr>
          <w:highlight w:val="none"/>
        </w:rPr>
        <w:tab/>
      </w:r>
      <w:r>
        <w:rPr>
          <w:highlight w:val="none"/>
        </w:rPr>
        <w:fldChar w:fldCharType="begin"/>
      </w:r>
      <w:r>
        <w:rPr>
          <w:highlight w:val="none"/>
        </w:rPr>
        <w:instrText xml:space="preserve"> PAGEREF _Toc31068 \h </w:instrText>
      </w:r>
      <w:r>
        <w:rPr>
          <w:highlight w:val="none"/>
        </w:rPr>
        <w:fldChar w:fldCharType="separate"/>
      </w:r>
      <w:r>
        <w:rPr>
          <w:highlight w:val="none"/>
        </w:rPr>
        <w:t>16</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_Toc10018 </w:instrText>
      </w:r>
      <w:r>
        <w:rPr>
          <w:rFonts w:ascii="Arial" w:hAnsi="Arial" w:cs="Arial"/>
          <w:highlight w:val="none"/>
        </w:rPr>
        <w:fldChar w:fldCharType="separate"/>
      </w:r>
      <w:r>
        <w:rPr>
          <w:rFonts w:hint="eastAsia" w:ascii="微软雅黑" w:hAnsi="微软雅黑" w:eastAsia="微软雅黑" w:cs="微软雅黑"/>
          <w:highlight w:val="none"/>
          <w:lang w:eastAsia="zh-CN"/>
        </w:rPr>
        <w:t>5.3 施工组织要求</w:t>
      </w:r>
      <w:r>
        <w:rPr>
          <w:highlight w:val="none"/>
        </w:rPr>
        <w:tab/>
      </w:r>
      <w:r>
        <w:rPr>
          <w:highlight w:val="none"/>
        </w:rPr>
        <w:fldChar w:fldCharType="begin"/>
      </w:r>
      <w:r>
        <w:rPr>
          <w:highlight w:val="none"/>
        </w:rPr>
        <w:instrText xml:space="preserve"> PAGEREF _Toc10018 \h </w:instrText>
      </w:r>
      <w:r>
        <w:rPr>
          <w:highlight w:val="none"/>
        </w:rPr>
        <w:fldChar w:fldCharType="separate"/>
      </w:r>
      <w:r>
        <w:rPr>
          <w:highlight w:val="none"/>
        </w:rPr>
        <w:t>16</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_Toc17650 </w:instrText>
      </w:r>
      <w:r>
        <w:rPr>
          <w:rFonts w:ascii="Arial" w:hAnsi="Arial" w:cs="Arial"/>
          <w:highlight w:val="none"/>
        </w:rPr>
        <w:fldChar w:fldCharType="separate"/>
      </w:r>
      <w:r>
        <w:rPr>
          <w:rFonts w:hint="eastAsia" w:ascii="微软雅黑" w:hAnsi="微软雅黑" w:eastAsia="微软雅黑" w:cs="微软雅黑"/>
          <w:highlight w:val="none"/>
          <w:lang w:eastAsia="zh-CN"/>
        </w:rPr>
        <w:t>5.4 开工要求</w:t>
      </w:r>
      <w:r>
        <w:rPr>
          <w:highlight w:val="none"/>
        </w:rPr>
        <w:tab/>
      </w:r>
      <w:r>
        <w:rPr>
          <w:highlight w:val="none"/>
        </w:rPr>
        <w:fldChar w:fldCharType="begin"/>
      </w:r>
      <w:r>
        <w:rPr>
          <w:highlight w:val="none"/>
        </w:rPr>
        <w:instrText xml:space="preserve"> PAGEREF _Toc17650 \h </w:instrText>
      </w:r>
      <w:r>
        <w:rPr>
          <w:highlight w:val="none"/>
        </w:rPr>
        <w:fldChar w:fldCharType="separate"/>
      </w:r>
      <w:r>
        <w:rPr>
          <w:highlight w:val="none"/>
        </w:rPr>
        <w:t>18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_Toc19594 </w:instrText>
      </w:r>
      <w:r>
        <w:rPr>
          <w:rFonts w:ascii="Arial" w:hAnsi="Arial" w:cs="Arial"/>
          <w:highlight w:val="none"/>
        </w:rPr>
        <w:fldChar w:fldCharType="separate"/>
      </w:r>
      <w:r>
        <w:rPr>
          <w:rFonts w:hint="eastAsia" w:ascii="微软雅黑" w:hAnsi="微软雅黑" w:eastAsia="微软雅黑" w:cs="微软雅黑"/>
          <w:highlight w:val="none"/>
          <w:lang w:eastAsia="zh-CN"/>
        </w:rPr>
        <w:t>5.5 施工材料要求</w:t>
      </w:r>
      <w:r>
        <w:rPr>
          <w:highlight w:val="none"/>
        </w:rPr>
        <w:tab/>
      </w:r>
      <w:r>
        <w:rPr>
          <w:highlight w:val="none"/>
        </w:rPr>
        <w:fldChar w:fldCharType="begin"/>
      </w:r>
      <w:r>
        <w:rPr>
          <w:highlight w:val="none"/>
        </w:rPr>
        <w:instrText xml:space="preserve"> PAGEREF _Toc19594 \h </w:instrText>
      </w:r>
      <w:r>
        <w:rPr>
          <w:highlight w:val="none"/>
        </w:rPr>
        <w:fldChar w:fldCharType="separate"/>
      </w:r>
      <w:r>
        <w:rPr>
          <w:highlight w:val="none"/>
        </w:rPr>
        <w:t>18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_Toc20316 </w:instrText>
      </w:r>
      <w:r>
        <w:rPr>
          <w:rFonts w:ascii="Arial" w:hAnsi="Arial" w:cs="Arial"/>
          <w:highlight w:val="none"/>
        </w:rPr>
        <w:fldChar w:fldCharType="separate"/>
      </w:r>
      <w:r>
        <w:rPr>
          <w:rFonts w:hint="eastAsia" w:ascii="微软雅黑" w:hAnsi="微软雅黑" w:eastAsia="微软雅黑" w:cs="微软雅黑"/>
          <w:highlight w:val="none"/>
          <w:lang w:eastAsia="zh-CN"/>
        </w:rPr>
        <w:t>5.6 竣工验收进度要求</w:t>
      </w:r>
      <w:r>
        <w:rPr>
          <w:highlight w:val="none"/>
        </w:rPr>
        <w:tab/>
      </w:r>
      <w:r>
        <w:rPr>
          <w:highlight w:val="none"/>
        </w:rPr>
        <w:fldChar w:fldCharType="begin"/>
      </w:r>
      <w:r>
        <w:rPr>
          <w:highlight w:val="none"/>
        </w:rPr>
        <w:instrText xml:space="preserve"> PAGEREF _Toc20316 \h </w:instrText>
      </w:r>
      <w:r>
        <w:rPr>
          <w:highlight w:val="none"/>
        </w:rPr>
        <w:fldChar w:fldCharType="separate"/>
      </w:r>
      <w:r>
        <w:rPr>
          <w:highlight w:val="none"/>
        </w:rPr>
        <w:t>19</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_Toc1032 </w:instrText>
      </w:r>
      <w:r>
        <w:rPr>
          <w:rFonts w:ascii="Arial" w:hAnsi="Arial" w:cs="Arial"/>
          <w:highlight w:val="none"/>
        </w:rPr>
        <w:fldChar w:fldCharType="separate"/>
      </w:r>
      <w:r>
        <w:rPr>
          <w:rFonts w:hint="eastAsia" w:ascii="微软雅黑" w:hAnsi="微软雅黑" w:eastAsia="微软雅黑" w:cs="微软雅黑"/>
          <w:highlight w:val="none"/>
          <w:lang w:eastAsia="zh-CN"/>
        </w:rPr>
        <w:t>5.7 文明施工及环境保护要求</w:t>
      </w:r>
      <w:r>
        <w:rPr>
          <w:highlight w:val="none"/>
        </w:rPr>
        <w:tab/>
      </w:r>
      <w:r>
        <w:rPr>
          <w:highlight w:val="none"/>
        </w:rPr>
        <w:fldChar w:fldCharType="begin"/>
      </w:r>
      <w:r>
        <w:rPr>
          <w:highlight w:val="none"/>
        </w:rPr>
        <w:instrText xml:space="preserve"> PAGEREF _Toc1032 \h </w:instrText>
      </w:r>
      <w:r>
        <w:rPr>
          <w:highlight w:val="none"/>
        </w:rPr>
        <w:fldChar w:fldCharType="separate"/>
      </w:r>
      <w:r>
        <w:rPr>
          <w:highlight w:val="none"/>
        </w:rPr>
        <w:t>19</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_Toc20685 </w:instrText>
      </w:r>
      <w:r>
        <w:rPr>
          <w:rFonts w:ascii="Arial" w:hAnsi="Arial" w:cs="Arial"/>
          <w:highlight w:val="none"/>
        </w:rPr>
        <w:fldChar w:fldCharType="separate"/>
      </w:r>
      <w:r>
        <w:rPr>
          <w:rFonts w:hint="eastAsia" w:ascii="微软雅黑" w:hAnsi="微软雅黑" w:eastAsia="微软雅黑" w:cs="微软雅黑"/>
          <w:highlight w:val="none"/>
          <w:lang w:eastAsia="zh-CN"/>
        </w:rPr>
        <w:t>5.8 农民工工资保证要求</w:t>
      </w:r>
      <w:r>
        <w:rPr>
          <w:highlight w:val="none"/>
        </w:rPr>
        <w:tab/>
      </w:r>
      <w:r>
        <w:rPr>
          <w:highlight w:val="none"/>
        </w:rPr>
        <w:fldChar w:fldCharType="begin"/>
      </w:r>
      <w:r>
        <w:rPr>
          <w:highlight w:val="none"/>
        </w:rPr>
        <w:instrText xml:space="preserve"> PAGEREF _Toc20685 \h </w:instrText>
      </w:r>
      <w:r>
        <w:rPr>
          <w:highlight w:val="none"/>
        </w:rPr>
        <w:fldChar w:fldCharType="separate"/>
      </w:r>
      <w:r>
        <w:rPr>
          <w:highlight w:val="none"/>
        </w:rPr>
        <w:t>21</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_Toc918 </w:instrText>
      </w:r>
      <w:r>
        <w:rPr>
          <w:rFonts w:ascii="Arial" w:hAnsi="Arial" w:cs="Arial"/>
          <w:highlight w:val="none"/>
        </w:rPr>
        <w:fldChar w:fldCharType="separate"/>
      </w:r>
      <w:r>
        <w:rPr>
          <w:rFonts w:hint="eastAsia" w:ascii="微软雅黑" w:hAnsi="微软雅黑" w:eastAsia="微软雅黑" w:cs="微软雅黑"/>
          <w:highlight w:val="none"/>
          <w:lang w:eastAsia="zh-CN"/>
        </w:rPr>
        <w:t>5.9 事故/事件报告与处理</w:t>
      </w:r>
      <w:r>
        <w:rPr>
          <w:highlight w:val="none"/>
        </w:rPr>
        <w:tab/>
      </w:r>
      <w:r>
        <w:rPr>
          <w:highlight w:val="none"/>
        </w:rPr>
        <w:fldChar w:fldCharType="begin"/>
      </w:r>
      <w:r>
        <w:rPr>
          <w:highlight w:val="none"/>
        </w:rPr>
        <w:instrText xml:space="preserve"> PAGEREF _Toc918 \h </w:instrText>
      </w:r>
      <w:r>
        <w:rPr>
          <w:highlight w:val="none"/>
        </w:rPr>
        <w:fldChar w:fldCharType="separate"/>
      </w:r>
      <w:r>
        <w:rPr>
          <w:highlight w:val="none"/>
        </w:rPr>
        <w:t>22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_Toc21406 </w:instrText>
      </w:r>
      <w:r>
        <w:rPr>
          <w:rFonts w:ascii="Arial" w:hAnsi="Arial" w:cs="Arial"/>
          <w:highlight w:val="none"/>
        </w:rPr>
        <w:fldChar w:fldCharType="separate"/>
      </w:r>
      <w:r>
        <w:rPr>
          <w:rFonts w:hint="eastAsia" w:ascii="微软雅黑" w:hAnsi="微软雅黑" w:eastAsia="微软雅黑" w:cs="微软雅黑"/>
          <w:highlight w:val="none"/>
          <w:lang w:eastAsia="zh-CN"/>
        </w:rPr>
        <w:t>5.10 成果文件要求</w:t>
      </w:r>
      <w:r>
        <w:rPr>
          <w:highlight w:val="none"/>
        </w:rPr>
        <w:tab/>
      </w:r>
      <w:r>
        <w:rPr>
          <w:highlight w:val="none"/>
        </w:rPr>
        <w:fldChar w:fldCharType="begin"/>
      </w:r>
      <w:r>
        <w:rPr>
          <w:highlight w:val="none"/>
        </w:rPr>
        <w:instrText xml:space="preserve"> PAGEREF _Toc21406 \h </w:instrText>
      </w:r>
      <w:r>
        <w:rPr>
          <w:highlight w:val="none"/>
        </w:rPr>
        <w:fldChar w:fldCharType="separate"/>
      </w:r>
      <w:r>
        <w:rPr>
          <w:highlight w:val="none"/>
        </w:rPr>
        <w:t>22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_Toc20297 </w:instrText>
      </w:r>
      <w:r>
        <w:rPr>
          <w:rFonts w:ascii="Arial" w:hAnsi="Arial" w:cs="Arial"/>
          <w:highlight w:val="none"/>
        </w:rPr>
        <w:fldChar w:fldCharType="separate"/>
      </w:r>
      <w:r>
        <w:rPr>
          <w:rFonts w:hint="eastAsia" w:ascii="微软雅黑" w:hAnsi="微软雅黑" w:eastAsia="微软雅黑" w:cs="微软雅黑"/>
          <w:highlight w:val="none"/>
          <w:lang w:eastAsia="zh-CN"/>
        </w:rPr>
        <w:t>5.11 服务进度跟踪</w:t>
      </w:r>
      <w:r>
        <w:rPr>
          <w:highlight w:val="none"/>
        </w:rPr>
        <w:tab/>
      </w:r>
      <w:r>
        <w:rPr>
          <w:highlight w:val="none"/>
        </w:rPr>
        <w:fldChar w:fldCharType="begin"/>
      </w:r>
      <w:r>
        <w:rPr>
          <w:highlight w:val="none"/>
        </w:rPr>
        <w:instrText xml:space="preserve"> PAGEREF _Toc20297 \h </w:instrText>
      </w:r>
      <w:r>
        <w:rPr>
          <w:highlight w:val="none"/>
        </w:rPr>
        <w:fldChar w:fldCharType="separate"/>
      </w:r>
      <w:r>
        <w:rPr>
          <w:highlight w:val="none"/>
        </w:rPr>
        <w:t>22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_Toc27186 </w:instrText>
      </w:r>
      <w:r>
        <w:rPr>
          <w:rFonts w:ascii="Arial" w:hAnsi="Arial" w:cs="Arial"/>
          <w:highlight w:val="none"/>
        </w:rPr>
        <w:fldChar w:fldCharType="separate"/>
      </w:r>
      <w:r>
        <w:rPr>
          <w:rFonts w:hint="eastAsia" w:ascii="微软雅黑" w:hAnsi="微软雅黑" w:eastAsia="微软雅黑" w:cs="微软雅黑"/>
          <w:highlight w:val="none"/>
          <w:lang w:eastAsia="zh-CN"/>
        </w:rPr>
        <w:t>5.12 服务及验收标准</w:t>
      </w:r>
      <w:r>
        <w:rPr>
          <w:highlight w:val="none"/>
        </w:rPr>
        <w:tab/>
      </w:r>
      <w:r>
        <w:rPr>
          <w:highlight w:val="none"/>
        </w:rPr>
        <w:fldChar w:fldCharType="begin"/>
      </w:r>
      <w:r>
        <w:rPr>
          <w:highlight w:val="none"/>
        </w:rPr>
        <w:instrText xml:space="preserve"> PAGEREF _Toc27186 \h </w:instrText>
      </w:r>
      <w:r>
        <w:rPr>
          <w:highlight w:val="none"/>
        </w:rPr>
        <w:fldChar w:fldCharType="separate"/>
      </w:r>
      <w:r>
        <w:rPr>
          <w:highlight w:val="none"/>
        </w:rPr>
        <w:t>22</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_Toc15404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6 </w:t>
      </w:r>
      <w:r>
        <w:rPr>
          <w:rFonts w:hint="eastAsia"/>
          <w:highlight w:val="none"/>
        </w:rPr>
        <w:t>工期要求</w:t>
      </w:r>
      <w:r>
        <w:rPr>
          <w:highlight w:val="none"/>
        </w:rPr>
        <w:tab/>
      </w:r>
      <w:r>
        <w:rPr>
          <w:highlight w:val="none"/>
        </w:rPr>
        <w:fldChar w:fldCharType="begin"/>
      </w:r>
      <w:r>
        <w:rPr>
          <w:highlight w:val="none"/>
        </w:rPr>
        <w:instrText xml:space="preserve"> PAGEREF _Toc15404 \h </w:instrText>
      </w:r>
      <w:r>
        <w:rPr>
          <w:highlight w:val="none"/>
        </w:rPr>
        <w:fldChar w:fldCharType="separate"/>
      </w:r>
      <w:r>
        <w:rPr>
          <w:highlight w:val="none"/>
        </w:rPr>
        <w:t>23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_Toc14537 </w:instrText>
      </w:r>
      <w:r>
        <w:rPr>
          <w:rFonts w:ascii="Arial" w:hAnsi="Arial" w:cs="Arial"/>
          <w:highlight w:val="none"/>
        </w:rPr>
        <w:fldChar w:fldCharType="separate"/>
      </w:r>
      <w:r>
        <w:rPr>
          <w:rFonts w:hint="default" w:ascii="微软雅黑" w:hAnsi="微软雅黑" w:eastAsia="微软雅黑" w:cs="微软雅黑"/>
          <w:highlight w:val="none"/>
          <w:lang w:val="en-US" w:eastAsia="zh-CN"/>
        </w:rPr>
        <w:t xml:space="preserve">6.1 </w:t>
      </w:r>
      <w:r>
        <w:rPr>
          <w:rFonts w:hint="eastAsia" w:ascii="微软雅黑" w:hAnsi="微软雅黑" w:eastAsia="微软雅黑" w:cs="微软雅黑"/>
          <w:highlight w:val="none"/>
          <w:lang w:val="en-US" w:eastAsia="zh-CN"/>
        </w:rPr>
        <w:t>项目服务工期</w:t>
      </w:r>
      <w:r>
        <w:rPr>
          <w:highlight w:val="none"/>
        </w:rPr>
        <w:tab/>
      </w:r>
      <w:r>
        <w:rPr>
          <w:highlight w:val="none"/>
        </w:rPr>
        <w:fldChar w:fldCharType="begin"/>
      </w:r>
      <w:r>
        <w:rPr>
          <w:highlight w:val="none"/>
        </w:rPr>
        <w:instrText xml:space="preserve"> PAGEREF _Toc14537 \h </w:instrText>
      </w:r>
      <w:r>
        <w:rPr>
          <w:highlight w:val="none"/>
        </w:rPr>
        <w:fldChar w:fldCharType="separate"/>
      </w:r>
      <w:r>
        <w:rPr>
          <w:highlight w:val="none"/>
        </w:rPr>
        <w:t>23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_Toc6978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6.2 进度计划编制</w:t>
      </w:r>
      <w:r>
        <w:rPr>
          <w:highlight w:val="none"/>
        </w:rPr>
        <w:tab/>
      </w:r>
      <w:r>
        <w:rPr>
          <w:highlight w:val="none"/>
        </w:rPr>
        <w:fldChar w:fldCharType="begin"/>
      </w:r>
      <w:r>
        <w:rPr>
          <w:highlight w:val="none"/>
        </w:rPr>
        <w:instrText xml:space="preserve"> PAGEREF _Toc6978 \h </w:instrText>
      </w:r>
      <w:r>
        <w:rPr>
          <w:highlight w:val="none"/>
        </w:rPr>
        <w:fldChar w:fldCharType="separate"/>
      </w:r>
      <w:r>
        <w:rPr>
          <w:highlight w:val="none"/>
        </w:rPr>
        <w:t>23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_Toc6939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6.3 工期偏差</w:t>
      </w:r>
      <w:r>
        <w:rPr>
          <w:highlight w:val="none"/>
        </w:rPr>
        <w:tab/>
      </w:r>
      <w:r>
        <w:rPr>
          <w:highlight w:val="none"/>
        </w:rPr>
        <w:fldChar w:fldCharType="begin"/>
      </w:r>
      <w:r>
        <w:rPr>
          <w:highlight w:val="none"/>
        </w:rPr>
        <w:instrText xml:space="preserve"> PAGEREF _Toc6939 \h </w:instrText>
      </w:r>
      <w:r>
        <w:rPr>
          <w:highlight w:val="none"/>
        </w:rPr>
        <w:fldChar w:fldCharType="separate"/>
      </w:r>
      <w:r>
        <w:rPr>
          <w:highlight w:val="none"/>
        </w:rPr>
        <w:t>23</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_Toc21809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7 </w:t>
      </w:r>
      <w:r>
        <w:rPr>
          <w:rFonts w:hint="eastAsia" w:cs="宋体"/>
          <w:caps/>
          <w:highlight w:val="none"/>
          <w:lang w:val="en-US" w:eastAsia="zh-CN"/>
        </w:rPr>
        <w:t>变更</w:t>
      </w:r>
      <w:r>
        <w:rPr>
          <w:rFonts w:hint="eastAsia" w:cs="宋体"/>
          <w:caps/>
          <w:highlight w:val="none"/>
        </w:rPr>
        <w:t>要求</w:t>
      </w:r>
      <w:r>
        <w:rPr>
          <w:highlight w:val="none"/>
        </w:rPr>
        <w:tab/>
      </w:r>
      <w:r>
        <w:rPr>
          <w:highlight w:val="none"/>
        </w:rPr>
        <w:fldChar w:fldCharType="begin"/>
      </w:r>
      <w:r>
        <w:rPr>
          <w:highlight w:val="none"/>
        </w:rPr>
        <w:instrText xml:space="preserve"> PAGEREF _Toc21809 \h </w:instrText>
      </w:r>
      <w:r>
        <w:rPr>
          <w:highlight w:val="none"/>
        </w:rPr>
        <w:fldChar w:fldCharType="separate"/>
      </w:r>
      <w:r>
        <w:rPr>
          <w:highlight w:val="none"/>
        </w:rPr>
        <w:t>25</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_Toc11196 </w:instrText>
      </w:r>
      <w:r>
        <w:rPr>
          <w:rFonts w:ascii="Arial" w:hAnsi="Arial" w:cs="Arial"/>
          <w:highlight w:val="none"/>
        </w:rPr>
        <w:fldChar w:fldCharType="separate"/>
      </w:r>
      <w:r>
        <w:rPr>
          <w:rFonts w:hint="eastAsia" w:ascii="微软雅黑" w:hAnsi="微软雅黑" w:eastAsia="微软雅黑" w:cs="微软雅黑"/>
          <w:highlight w:val="none"/>
        </w:rPr>
        <w:t>7.1 变更类型</w:t>
      </w:r>
      <w:r>
        <w:rPr>
          <w:highlight w:val="none"/>
        </w:rPr>
        <w:tab/>
      </w:r>
      <w:r>
        <w:rPr>
          <w:highlight w:val="none"/>
        </w:rPr>
        <w:fldChar w:fldCharType="begin"/>
      </w:r>
      <w:r>
        <w:rPr>
          <w:highlight w:val="none"/>
        </w:rPr>
        <w:instrText xml:space="preserve"> PAGEREF _Toc11196 \h </w:instrText>
      </w:r>
      <w:r>
        <w:rPr>
          <w:highlight w:val="none"/>
        </w:rPr>
        <w:fldChar w:fldCharType="separate"/>
      </w:r>
      <w:r>
        <w:rPr>
          <w:highlight w:val="none"/>
        </w:rPr>
        <w:t>25</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_Toc17571 </w:instrText>
      </w:r>
      <w:r>
        <w:rPr>
          <w:rFonts w:ascii="Arial" w:hAnsi="Arial" w:cs="Arial"/>
          <w:highlight w:val="none"/>
        </w:rPr>
        <w:fldChar w:fldCharType="separate"/>
      </w:r>
      <w:r>
        <w:rPr>
          <w:rFonts w:hint="eastAsia" w:ascii="微软雅黑" w:hAnsi="微软雅黑" w:eastAsia="微软雅黑" w:cs="微软雅黑"/>
          <w:highlight w:val="none"/>
        </w:rPr>
        <w:t>7.2 变更流程</w:t>
      </w:r>
      <w:r>
        <w:rPr>
          <w:highlight w:val="none"/>
        </w:rPr>
        <w:tab/>
      </w:r>
      <w:r>
        <w:rPr>
          <w:highlight w:val="none"/>
        </w:rPr>
        <w:fldChar w:fldCharType="begin"/>
      </w:r>
      <w:r>
        <w:rPr>
          <w:highlight w:val="none"/>
        </w:rPr>
        <w:instrText xml:space="preserve"> PAGEREF _Toc17571 \h </w:instrText>
      </w:r>
      <w:r>
        <w:rPr>
          <w:highlight w:val="none"/>
        </w:rPr>
        <w:fldChar w:fldCharType="separate"/>
      </w:r>
      <w:r>
        <w:rPr>
          <w:highlight w:val="none"/>
        </w:rPr>
        <w:t>26</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_Toc19558 </w:instrText>
      </w:r>
      <w:r>
        <w:rPr>
          <w:rFonts w:ascii="Arial" w:hAnsi="Arial" w:cs="Arial"/>
          <w:highlight w:val="none"/>
        </w:rPr>
        <w:fldChar w:fldCharType="separate"/>
      </w:r>
      <w:r>
        <w:rPr>
          <w:rFonts w:hint="eastAsia" w:ascii="微软雅黑" w:hAnsi="微软雅黑" w:eastAsia="微软雅黑" w:cs="微软雅黑"/>
          <w:highlight w:val="none"/>
        </w:rPr>
        <w:t>7.3 变更估价原则</w:t>
      </w:r>
      <w:r>
        <w:rPr>
          <w:highlight w:val="none"/>
        </w:rPr>
        <w:tab/>
      </w:r>
      <w:r>
        <w:rPr>
          <w:highlight w:val="none"/>
        </w:rPr>
        <w:fldChar w:fldCharType="begin"/>
      </w:r>
      <w:r>
        <w:rPr>
          <w:highlight w:val="none"/>
        </w:rPr>
        <w:instrText xml:space="preserve"> PAGEREF _Toc19558 \h </w:instrText>
      </w:r>
      <w:r>
        <w:rPr>
          <w:highlight w:val="none"/>
        </w:rPr>
        <w:fldChar w:fldCharType="separate"/>
      </w:r>
      <w:r>
        <w:rPr>
          <w:highlight w:val="none"/>
        </w:rPr>
        <w:t>27</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_Toc31175 </w:instrText>
      </w:r>
      <w:r>
        <w:rPr>
          <w:rFonts w:ascii="Arial" w:hAnsi="Arial" w:cs="Arial"/>
          <w:highlight w:val="none"/>
        </w:rPr>
        <w:fldChar w:fldCharType="separate"/>
      </w:r>
      <w:r>
        <w:rPr>
          <w:rFonts w:hint="eastAsia" w:ascii="微软雅黑" w:hAnsi="微软雅黑" w:eastAsia="微软雅黑" w:cs="微软雅黑"/>
          <w:highlight w:val="none"/>
        </w:rPr>
        <w:t>7.4 变更要求</w:t>
      </w:r>
      <w:r>
        <w:rPr>
          <w:highlight w:val="none"/>
        </w:rPr>
        <w:tab/>
      </w:r>
      <w:r>
        <w:rPr>
          <w:highlight w:val="none"/>
        </w:rPr>
        <w:fldChar w:fldCharType="begin"/>
      </w:r>
      <w:r>
        <w:rPr>
          <w:highlight w:val="none"/>
        </w:rPr>
        <w:instrText xml:space="preserve"> PAGEREF _Toc31175 \h </w:instrText>
      </w:r>
      <w:r>
        <w:rPr>
          <w:highlight w:val="none"/>
        </w:rPr>
        <w:fldChar w:fldCharType="separate"/>
      </w:r>
      <w:r>
        <w:rPr>
          <w:highlight w:val="none"/>
        </w:rPr>
        <w:t>27</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_Toc20429 </w:instrText>
      </w:r>
      <w:r>
        <w:rPr>
          <w:rFonts w:ascii="Arial" w:hAnsi="Arial" w:cs="Arial"/>
          <w:highlight w:val="none"/>
        </w:rPr>
        <w:fldChar w:fldCharType="separate"/>
      </w:r>
      <w:r>
        <w:rPr>
          <w:rFonts w:hint="eastAsia" w:ascii="微软雅黑" w:hAnsi="微软雅黑" w:eastAsia="微软雅黑" w:cs="微软雅黑"/>
          <w:highlight w:val="none"/>
        </w:rPr>
        <w:t>7.5 不予确认变更情况</w:t>
      </w:r>
      <w:r>
        <w:rPr>
          <w:highlight w:val="none"/>
        </w:rPr>
        <w:tab/>
      </w:r>
      <w:r>
        <w:rPr>
          <w:highlight w:val="none"/>
        </w:rPr>
        <w:fldChar w:fldCharType="begin"/>
      </w:r>
      <w:r>
        <w:rPr>
          <w:highlight w:val="none"/>
        </w:rPr>
        <w:instrText xml:space="preserve"> PAGEREF _Toc20429 \h </w:instrText>
      </w:r>
      <w:r>
        <w:rPr>
          <w:highlight w:val="none"/>
        </w:rPr>
        <w:fldChar w:fldCharType="separate"/>
      </w:r>
      <w:r>
        <w:rPr>
          <w:highlight w:val="none"/>
        </w:rPr>
        <w:t>28</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_Toc12652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8 </w:t>
      </w:r>
      <w:r>
        <w:rPr>
          <w:rFonts w:hint="eastAsia" w:cs="宋体"/>
          <w:caps/>
          <w:highlight w:val="none"/>
        </w:rPr>
        <w:t>HSE要求</w:t>
      </w:r>
      <w:r>
        <w:rPr>
          <w:highlight w:val="none"/>
        </w:rPr>
        <w:tab/>
      </w:r>
      <w:r>
        <w:rPr>
          <w:highlight w:val="none"/>
        </w:rPr>
        <w:fldChar w:fldCharType="begin"/>
      </w:r>
      <w:r>
        <w:rPr>
          <w:highlight w:val="none"/>
        </w:rPr>
        <w:instrText xml:space="preserve"> PAGEREF _Toc12652 \h </w:instrText>
      </w:r>
      <w:r>
        <w:rPr>
          <w:highlight w:val="none"/>
        </w:rPr>
        <w:fldChar w:fldCharType="separate"/>
      </w:r>
      <w:r>
        <w:rPr>
          <w:highlight w:val="none"/>
        </w:rPr>
        <w:t>28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_Toc9960 </w:instrText>
      </w:r>
      <w:r>
        <w:rPr>
          <w:rFonts w:ascii="Arial" w:hAnsi="Arial" w:cs="Arial"/>
          <w:highlight w:val="none"/>
        </w:rPr>
        <w:fldChar w:fldCharType="separate"/>
      </w:r>
      <w:r>
        <w:rPr>
          <w:rFonts w:hint="eastAsia" w:ascii="微软雅黑" w:hAnsi="微软雅黑" w:eastAsia="微软雅黑" w:cs="微软雅黑"/>
          <w:highlight w:val="none"/>
          <w:lang w:eastAsia="zh-CN"/>
        </w:rPr>
        <w:t>8.1 HSE总体要求</w:t>
      </w:r>
      <w:r>
        <w:rPr>
          <w:highlight w:val="none"/>
        </w:rPr>
        <w:tab/>
      </w:r>
      <w:r>
        <w:rPr>
          <w:highlight w:val="none"/>
        </w:rPr>
        <w:fldChar w:fldCharType="begin"/>
      </w:r>
      <w:r>
        <w:rPr>
          <w:highlight w:val="none"/>
        </w:rPr>
        <w:instrText xml:space="preserve"> PAGEREF _Toc9960 \h </w:instrText>
      </w:r>
      <w:r>
        <w:rPr>
          <w:highlight w:val="none"/>
        </w:rPr>
        <w:fldChar w:fldCharType="separate"/>
      </w:r>
      <w:r>
        <w:rPr>
          <w:highlight w:val="none"/>
        </w:rPr>
        <w:t>28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_Toc26394 </w:instrText>
      </w:r>
      <w:r>
        <w:rPr>
          <w:rFonts w:ascii="Arial" w:hAnsi="Arial" w:cs="Arial"/>
          <w:highlight w:val="none"/>
        </w:rPr>
        <w:fldChar w:fldCharType="separate"/>
      </w:r>
      <w:r>
        <w:rPr>
          <w:rFonts w:hint="eastAsia" w:ascii="微软雅黑" w:hAnsi="微软雅黑" w:eastAsia="微软雅黑" w:cs="微软雅黑"/>
          <w:highlight w:val="none"/>
          <w:lang w:eastAsia="zh-CN"/>
        </w:rPr>
        <w:t>8.2 HSE专项要求</w:t>
      </w:r>
      <w:r>
        <w:rPr>
          <w:highlight w:val="none"/>
        </w:rPr>
        <w:tab/>
      </w:r>
      <w:r>
        <w:rPr>
          <w:highlight w:val="none"/>
        </w:rPr>
        <w:fldChar w:fldCharType="begin"/>
      </w:r>
      <w:r>
        <w:rPr>
          <w:highlight w:val="none"/>
        </w:rPr>
        <w:instrText xml:space="preserve"> PAGEREF _Toc26394 \h </w:instrText>
      </w:r>
      <w:r>
        <w:rPr>
          <w:highlight w:val="none"/>
        </w:rPr>
        <w:fldChar w:fldCharType="separate"/>
      </w:r>
      <w:r>
        <w:rPr>
          <w:highlight w:val="none"/>
        </w:rPr>
        <w:t>33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_Toc13695 </w:instrText>
      </w:r>
      <w:r>
        <w:rPr>
          <w:rFonts w:ascii="Arial" w:hAnsi="Arial" w:cs="Arial"/>
          <w:highlight w:val="none"/>
        </w:rPr>
        <w:fldChar w:fldCharType="separate"/>
      </w:r>
      <w:r>
        <w:rPr>
          <w:rFonts w:hint="eastAsia" w:ascii="微软雅黑" w:hAnsi="微软雅黑" w:eastAsia="微软雅黑" w:cs="微软雅黑"/>
          <w:highlight w:val="none"/>
          <w:lang w:eastAsia="zh-CN"/>
        </w:rPr>
        <w:t>8.3 健康安全环保管理要求</w:t>
      </w:r>
      <w:r>
        <w:rPr>
          <w:highlight w:val="none"/>
        </w:rPr>
        <w:tab/>
      </w:r>
      <w:r>
        <w:rPr>
          <w:highlight w:val="none"/>
        </w:rPr>
        <w:fldChar w:fldCharType="begin"/>
      </w:r>
      <w:r>
        <w:rPr>
          <w:highlight w:val="none"/>
        </w:rPr>
        <w:instrText xml:space="preserve"> PAGEREF _Toc13695 \h </w:instrText>
      </w:r>
      <w:r>
        <w:rPr>
          <w:highlight w:val="none"/>
        </w:rPr>
        <w:fldChar w:fldCharType="separate"/>
      </w:r>
      <w:r>
        <w:rPr>
          <w:highlight w:val="none"/>
        </w:rPr>
        <w:t>36</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_Toc2707 </w:instrText>
      </w:r>
      <w:r>
        <w:rPr>
          <w:rFonts w:ascii="Arial" w:hAnsi="Arial" w:cs="Arial"/>
          <w:highlight w:val="none"/>
        </w:rPr>
        <w:fldChar w:fldCharType="separate"/>
      </w:r>
      <w:r>
        <w:rPr>
          <w:rFonts w:hint="eastAsia" w:ascii="微软雅黑" w:hAnsi="微软雅黑" w:eastAsia="微软雅黑" w:cs="微软雅黑"/>
          <w:highlight w:val="none"/>
          <w:lang w:eastAsia="zh-CN"/>
        </w:rPr>
        <w:t>8.4 HSE管理界面</w:t>
      </w:r>
      <w:r>
        <w:rPr>
          <w:highlight w:val="none"/>
        </w:rPr>
        <w:tab/>
      </w:r>
      <w:r>
        <w:rPr>
          <w:highlight w:val="none"/>
        </w:rPr>
        <w:fldChar w:fldCharType="begin"/>
      </w:r>
      <w:r>
        <w:rPr>
          <w:highlight w:val="none"/>
        </w:rPr>
        <w:instrText xml:space="preserve"> PAGEREF _Toc2707 \h </w:instrText>
      </w:r>
      <w:r>
        <w:rPr>
          <w:highlight w:val="none"/>
        </w:rPr>
        <w:fldChar w:fldCharType="separate"/>
      </w:r>
      <w:r>
        <w:rPr>
          <w:highlight w:val="none"/>
        </w:rPr>
        <w:t>36</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_Toc17149 </w:instrText>
      </w:r>
      <w:r>
        <w:rPr>
          <w:rFonts w:ascii="Arial" w:hAnsi="Arial" w:cs="Arial"/>
          <w:highlight w:val="none"/>
        </w:rPr>
        <w:fldChar w:fldCharType="separate"/>
      </w:r>
      <w:r>
        <w:rPr>
          <w:rFonts w:hint="eastAsia" w:ascii="微软雅黑" w:hAnsi="微软雅黑" w:eastAsia="微软雅黑" w:cs="微软雅黑"/>
          <w:highlight w:val="none"/>
          <w:lang w:eastAsia="zh-CN"/>
        </w:rPr>
        <w:t>8.5 安措费使用</w:t>
      </w:r>
      <w:r>
        <w:rPr>
          <w:highlight w:val="none"/>
        </w:rPr>
        <w:tab/>
      </w:r>
      <w:r>
        <w:rPr>
          <w:highlight w:val="none"/>
        </w:rPr>
        <w:fldChar w:fldCharType="begin"/>
      </w:r>
      <w:r>
        <w:rPr>
          <w:highlight w:val="none"/>
        </w:rPr>
        <w:instrText xml:space="preserve"> PAGEREF _Toc17149 \h </w:instrText>
      </w:r>
      <w:r>
        <w:rPr>
          <w:highlight w:val="none"/>
        </w:rPr>
        <w:fldChar w:fldCharType="separate"/>
      </w:r>
      <w:r>
        <w:rPr>
          <w:highlight w:val="none"/>
        </w:rPr>
        <w:t>37</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_Toc18813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lang w:val="en-US" w:eastAsia="zh-CN"/>
        </w:rPr>
        <w:t xml:space="preserve">9 </w:t>
      </w:r>
      <w:r>
        <w:rPr>
          <w:rFonts w:hint="eastAsia" w:cs="宋体"/>
          <w:caps/>
          <w:highlight w:val="none"/>
          <w:lang w:val="en-US" w:eastAsia="zh-CN"/>
        </w:rPr>
        <w:t>文明施工及环境保护要求</w:t>
      </w:r>
      <w:r>
        <w:rPr>
          <w:highlight w:val="none"/>
        </w:rPr>
        <w:tab/>
      </w:r>
      <w:r>
        <w:rPr>
          <w:highlight w:val="none"/>
        </w:rPr>
        <w:fldChar w:fldCharType="begin"/>
      </w:r>
      <w:r>
        <w:rPr>
          <w:highlight w:val="none"/>
        </w:rPr>
        <w:instrText xml:space="preserve"> PAGEREF _Toc18813 \h </w:instrText>
      </w:r>
      <w:r>
        <w:rPr>
          <w:highlight w:val="none"/>
        </w:rPr>
        <w:fldChar w:fldCharType="separate"/>
      </w:r>
      <w:r>
        <w:rPr>
          <w:highlight w:val="none"/>
        </w:rPr>
        <w:t>37</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_Toc25266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9.1 文明施工管理要求</w:t>
      </w:r>
      <w:r>
        <w:rPr>
          <w:highlight w:val="none"/>
        </w:rPr>
        <w:tab/>
      </w:r>
      <w:r>
        <w:rPr>
          <w:highlight w:val="none"/>
        </w:rPr>
        <w:fldChar w:fldCharType="begin"/>
      </w:r>
      <w:r>
        <w:rPr>
          <w:highlight w:val="none"/>
        </w:rPr>
        <w:instrText xml:space="preserve"> PAGEREF _Toc25266 \h </w:instrText>
      </w:r>
      <w:r>
        <w:rPr>
          <w:highlight w:val="none"/>
        </w:rPr>
        <w:fldChar w:fldCharType="separate"/>
      </w:r>
      <w:r>
        <w:rPr>
          <w:highlight w:val="none"/>
        </w:rPr>
        <w:t>37</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_Toc7460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9.2 环境保护要求</w:t>
      </w:r>
      <w:r>
        <w:rPr>
          <w:highlight w:val="none"/>
        </w:rPr>
        <w:tab/>
      </w:r>
      <w:r>
        <w:rPr>
          <w:highlight w:val="none"/>
        </w:rPr>
        <w:fldChar w:fldCharType="begin"/>
      </w:r>
      <w:r>
        <w:rPr>
          <w:highlight w:val="none"/>
        </w:rPr>
        <w:instrText xml:space="preserve"> PAGEREF _Toc7460 \h </w:instrText>
      </w:r>
      <w:r>
        <w:rPr>
          <w:highlight w:val="none"/>
        </w:rPr>
        <w:fldChar w:fldCharType="separate"/>
      </w:r>
      <w:r>
        <w:rPr>
          <w:highlight w:val="none"/>
        </w:rPr>
        <w:t>38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_Toc30477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9.3 龙口市政府对工程施工扬尘治理要求</w:t>
      </w:r>
      <w:r>
        <w:rPr>
          <w:highlight w:val="none"/>
        </w:rPr>
        <w:tab/>
      </w:r>
      <w:r>
        <w:rPr>
          <w:highlight w:val="none"/>
        </w:rPr>
        <w:fldChar w:fldCharType="begin"/>
      </w:r>
      <w:r>
        <w:rPr>
          <w:highlight w:val="none"/>
        </w:rPr>
        <w:instrText xml:space="preserve"> PAGEREF _Toc30477 \h </w:instrText>
      </w:r>
      <w:r>
        <w:rPr>
          <w:highlight w:val="none"/>
        </w:rPr>
        <w:fldChar w:fldCharType="separate"/>
      </w:r>
      <w:r>
        <w:rPr>
          <w:highlight w:val="none"/>
        </w:rPr>
        <w:t>40</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_Toc15170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10 </w:t>
      </w:r>
      <w:r>
        <w:rPr>
          <w:rFonts w:hint="eastAsia" w:cs="宋体"/>
          <w:caps/>
          <w:highlight w:val="none"/>
        </w:rPr>
        <w:t>工程</w:t>
      </w:r>
      <w:r>
        <w:rPr>
          <w:rFonts w:hint="eastAsia" w:cs="宋体"/>
          <w:caps/>
          <w:highlight w:val="none"/>
          <w:lang w:val="en-US" w:eastAsia="zh-CN"/>
        </w:rPr>
        <w:t>质量</w:t>
      </w:r>
      <w:r>
        <w:rPr>
          <w:rFonts w:hint="eastAsia" w:cs="宋体"/>
          <w:caps/>
          <w:highlight w:val="none"/>
        </w:rPr>
        <w:t>管理规定</w:t>
      </w:r>
      <w:r>
        <w:rPr>
          <w:highlight w:val="none"/>
        </w:rPr>
        <w:tab/>
      </w:r>
      <w:r>
        <w:rPr>
          <w:highlight w:val="none"/>
        </w:rPr>
        <w:fldChar w:fldCharType="begin"/>
      </w:r>
      <w:r>
        <w:rPr>
          <w:highlight w:val="none"/>
        </w:rPr>
        <w:instrText xml:space="preserve"> PAGEREF _Toc15170 \h </w:instrText>
      </w:r>
      <w:r>
        <w:rPr>
          <w:highlight w:val="none"/>
        </w:rPr>
        <w:fldChar w:fldCharType="separate"/>
      </w:r>
      <w:r>
        <w:rPr>
          <w:highlight w:val="none"/>
        </w:rPr>
        <w:t>41</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_Toc28609 </w:instrText>
      </w:r>
      <w:r>
        <w:rPr>
          <w:rFonts w:ascii="Arial" w:hAnsi="Arial" w:cs="Arial"/>
          <w:highlight w:val="none"/>
        </w:rPr>
        <w:fldChar w:fldCharType="separate"/>
      </w:r>
      <w:r>
        <w:rPr>
          <w:rFonts w:hint="eastAsia" w:ascii="微软雅黑" w:hAnsi="微软雅黑" w:eastAsia="微软雅黑" w:cs="微软雅黑"/>
          <w:highlight w:val="none"/>
        </w:rPr>
        <w:t xml:space="preserve">10.1 </w:t>
      </w:r>
      <w:r>
        <w:rPr>
          <w:rFonts w:hint="eastAsia" w:ascii="微软雅黑" w:hAnsi="微软雅黑" w:eastAsia="微软雅黑" w:cs="微软雅黑"/>
          <w:highlight w:val="none"/>
          <w:lang w:eastAsia="zh-CN"/>
        </w:rPr>
        <w:t>乙方</w:t>
      </w:r>
      <w:r>
        <w:rPr>
          <w:rFonts w:hint="eastAsia" w:ascii="微软雅黑" w:hAnsi="微软雅黑" w:eastAsia="微软雅黑" w:cs="微软雅黑"/>
          <w:highlight w:val="none"/>
        </w:rPr>
        <w:t>质量管理责任</w:t>
      </w:r>
      <w:r>
        <w:rPr>
          <w:highlight w:val="none"/>
        </w:rPr>
        <w:tab/>
      </w:r>
      <w:r>
        <w:rPr>
          <w:highlight w:val="none"/>
        </w:rPr>
        <w:fldChar w:fldCharType="begin"/>
      </w:r>
      <w:r>
        <w:rPr>
          <w:highlight w:val="none"/>
        </w:rPr>
        <w:instrText xml:space="preserve"> PAGEREF _Toc28609 \h </w:instrText>
      </w:r>
      <w:r>
        <w:rPr>
          <w:highlight w:val="none"/>
        </w:rPr>
        <w:fldChar w:fldCharType="separate"/>
      </w:r>
      <w:r>
        <w:rPr>
          <w:highlight w:val="none"/>
        </w:rPr>
        <w:t>41</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_Toc10781 </w:instrText>
      </w:r>
      <w:r>
        <w:rPr>
          <w:rFonts w:ascii="Arial" w:hAnsi="Arial" w:cs="Arial"/>
          <w:highlight w:val="none"/>
        </w:rPr>
        <w:fldChar w:fldCharType="separate"/>
      </w:r>
      <w:r>
        <w:rPr>
          <w:rFonts w:hint="eastAsia" w:ascii="微软雅黑" w:hAnsi="微软雅黑" w:eastAsia="微软雅黑" w:cs="微软雅黑"/>
          <w:highlight w:val="none"/>
        </w:rPr>
        <w:t>10.2 质量管理</w:t>
      </w:r>
      <w:r>
        <w:rPr>
          <w:highlight w:val="none"/>
        </w:rPr>
        <w:tab/>
      </w:r>
      <w:r>
        <w:rPr>
          <w:highlight w:val="none"/>
        </w:rPr>
        <w:fldChar w:fldCharType="begin"/>
      </w:r>
      <w:r>
        <w:rPr>
          <w:highlight w:val="none"/>
        </w:rPr>
        <w:instrText xml:space="preserve"> PAGEREF _Toc10781 \h </w:instrText>
      </w:r>
      <w:r>
        <w:rPr>
          <w:highlight w:val="none"/>
        </w:rPr>
        <w:fldChar w:fldCharType="separate"/>
      </w:r>
      <w:r>
        <w:rPr>
          <w:highlight w:val="none"/>
        </w:rPr>
        <w:t>41</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_Toc8687 </w:instrText>
      </w:r>
      <w:r>
        <w:rPr>
          <w:rFonts w:ascii="Arial" w:hAnsi="Arial" w:cs="Arial"/>
          <w:highlight w:val="none"/>
        </w:rPr>
        <w:fldChar w:fldCharType="separate"/>
      </w:r>
      <w:r>
        <w:rPr>
          <w:rFonts w:hint="eastAsia" w:ascii="微软雅黑" w:hAnsi="微软雅黑" w:eastAsia="微软雅黑" w:cs="微软雅黑"/>
          <w:highlight w:val="none"/>
        </w:rPr>
        <w:t>10.3 质量保证要求</w:t>
      </w:r>
      <w:r>
        <w:rPr>
          <w:highlight w:val="none"/>
        </w:rPr>
        <w:tab/>
      </w:r>
      <w:r>
        <w:rPr>
          <w:highlight w:val="none"/>
        </w:rPr>
        <w:fldChar w:fldCharType="begin"/>
      </w:r>
      <w:r>
        <w:rPr>
          <w:highlight w:val="none"/>
        </w:rPr>
        <w:instrText xml:space="preserve"> PAGEREF _Toc8687 \h </w:instrText>
      </w:r>
      <w:r>
        <w:rPr>
          <w:highlight w:val="none"/>
        </w:rPr>
        <w:fldChar w:fldCharType="separate"/>
      </w:r>
      <w:r>
        <w:rPr>
          <w:highlight w:val="none"/>
        </w:rPr>
        <w:t>42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_Toc31352 </w:instrText>
      </w:r>
      <w:r>
        <w:rPr>
          <w:rFonts w:ascii="Arial" w:hAnsi="Arial" w:cs="Arial"/>
          <w:highlight w:val="none"/>
        </w:rPr>
        <w:fldChar w:fldCharType="separate"/>
      </w:r>
      <w:r>
        <w:rPr>
          <w:rFonts w:hint="eastAsia" w:ascii="微软雅黑" w:hAnsi="微软雅黑" w:eastAsia="微软雅黑" w:cs="微软雅黑"/>
          <w:highlight w:val="none"/>
        </w:rPr>
        <w:t>10.4 质量职责</w:t>
      </w:r>
      <w:r>
        <w:rPr>
          <w:highlight w:val="none"/>
        </w:rPr>
        <w:tab/>
      </w:r>
      <w:r>
        <w:rPr>
          <w:highlight w:val="none"/>
        </w:rPr>
        <w:fldChar w:fldCharType="begin"/>
      </w:r>
      <w:r>
        <w:rPr>
          <w:highlight w:val="none"/>
        </w:rPr>
        <w:instrText xml:space="preserve"> PAGEREF _Toc31352 \h </w:instrText>
      </w:r>
      <w:r>
        <w:rPr>
          <w:highlight w:val="none"/>
        </w:rPr>
        <w:fldChar w:fldCharType="separate"/>
      </w:r>
      <w:r>
        <w:rPr>
          <w:highlight w:val="none"/>
        </w:rPr>
        <w:t>43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_Toc21197 </w:instrText>
      </w:r>
      <w:r>
        <w:rPr>
          <w:rFonts w:ascii="Arial" w:hAnsi="Arial" w:cs="Arial"/>
          <w:highlight w:val="none"/>
        </w:rPr>
        <w:fldChar w:fldCharType="separate"/>
      </w:r>
      <w:r>
        <w:rPr>
          <w:rFonts w:hint="eastAsia" w:ascii="微软雅黑" w:hAnsi="微软雅黑" w:eastAsia="微软雅黑" w:cs="微软雅黑"/>
          <w:highlight w:val="none"/>
        </w:rPr>
        <w:t>10.5 质量管理人员</w:t>
      </w:r>
      <w:r>
        <w:rPr>
          <w:highlight w:val="none"/>
        </w:rPr>
        <w:tab/>
      </w:r>
      <w:r>
        <w:rPr>
          <w:highlight w:val="none"/>
        </w:rPr>
        <w:fldChar w:fldCharType="begin"/>
      </w:r>
      <w:r>
        <w:rPr>
          <w:highlight w:val="none"/>
        </w:rPr>
        <w:instrText xml:space="preserve"> PAGEREF _Toc21197 \h </w:instrText>
      </w:r>
      <w:r>
        <w:rPr>
          <w:highlight w:val="none"/>
        </w:rPr>
        <w:fldChar w:fldCharType="separate"/>
      </w:r>
      <w:r>
        <w:rPr>
          <w:highlight w:val="none"/>
        </w:rPr>
        <w:t>43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_Toc32300 </w:instrText>
      </w:r>
      <w:r>
        <w:rPr>
          <w:rFonts w:ascii="Arial" w:hAnsi="Arial" w:cs="Arial"/>
          <w:highlight w:val="none"/>
        </w:rPr>
        <w:fldChar w:fldCharType="separate"/>
      </w:r>
      <w:r>
        <w:rPr>
          <w:rFonts w:hint="eastAsia" w:ascii="微软雅黑" w:hAnsi="微软雅黑" w:eastAsia="微软雅黑" w:cs="微软雅黑"/>
          <w:highlight w:val="none"/>
        </w:rPr>
        <w:t>10.6 质量控制要求</w:t>
      </w:r>
      <w:r>
        <w:rPr>
          <w:highlight w:val="none"/>
        </w:rPr>
        <w:tab/>
      </w:r>
      <w:r>
        <w:rPr>
          <w:highlight w:val="none"/>
        </w:rPr>
        <w:fldChar w:fldCharType="begin"/>
      </w:r>
      <w:r>
        <w:rPr>
          <w:highlight w:val="none"/>
        </w:rPr>
        <w:instrText xml:space="preserve"> PAGEREF _Toc32300 \h </w:instrText>
      </w:r>
      <w:r>
        <w:rPr>
          <w:highlight w:val="none"/>
        </w:rPr>
        <w:fldChar w:fldCharType="separate"/>
      </w:r>
      <w:r>
        <w:rPr>
          <w:highlight w:val="none"/>
        </w:rPr>
        <w:t>43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_Toc4199 </w:instrText>
      </w:r>
      <w:r>
        <w:rPr>
          <w:rFonts w:ascii="Arial" w:hAnsi="Arial" w:cs="Arial"/>
          <w:highlight w:val="none"/>
        </w:rPr>
        <w:fldChar w:fldCharType="separate"/>
      </w:r>
      <w:r>
        <w:rPr>
          <w:rFonts w:hint="eastAsia" w:ascii="微软雅黑" w:hAnsi="微软雅黑" w:eastAsia="微软雅黑" w:cs="微软雅黑"/>
          <w:highlight w:val="none"/>
        </w:rPr>
        <w:t>10.7 策划文件</w:t>
      </w:r>
      <w:r>
        <w:rPr>
          <w:highlight w:val="none"/>
        </w:rPr>
        <w:tab/>
      </w:r>
      <w:r>
        <w:rPr>
          <w:highlight w:val="none"/>
        </w:rPr>
        <w:fldChar w:fldCharType="begin"/>
      </w:r>
      <w:r>
        <w:rPr>
          <w:highlight w:val="none"/>
        </w:rPr>
        <w:instrText xml:space="preserve"> PAGEREF _Toc4199 \h </w:instrText>
      </w:r>
      <w:r>
        <w:rPr>
          <w:highlight w:val="none"/>
        </w:rPr>
        <w:fldChar w:fldCharType="separate"/>
      </w:r>
      <w:r>
        <w:rPr>
          <w:highlight w:val="none"/>
        </w:rPr>
        <w:t>46</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_Toc18530 </w:instrText>
      </w:r>
      <w:r>
        <w:rPr>
          <w:rFonts w:ascii="Arial" w:hAnsi="Arial" w:cs="Arial"/>
          <w:highlight w:val="none"/>
        </w:rPr>
        <w:fldChar w:fldCharType="separate"/>
      </w:r>
      <w:r>
        <w:rPr>
          <w:rFonts w:hint="eastAsia" w:ascii="微软雅黑" w:hAnsi="微软雅黑" w:eastAsia="微软雅黑" w:cs="微软雅黑"/>
          <w:highlight w:val="none"/>
        </w:rPr>
        <w:t>10.8 工程报告</w:t>
      </w:r>
      <w:r>
        <w:rPr>
          <w:highlight w:val="none"/>
        </w:rPr>
        <w:tab/>
      </w:r>
      <w:r>
        <w:rPr>
          <w:highlight w:val="none"/>
        </w:rPr>
        <w:fldChar w:fldCharType="begin"/>
      </w:r>
      <w:r>
        <w:rPr>
          <w:highlight w:val="none"/>
        </w:rPr>
        <w:instrText xml:space="preserve"> PAGEREF _Toc18530 \h </w:instrText>
      </w:r>
      <w:r>
        <w:rPr>
          <w:highlight w:val="none"/>
        </w:rPr>
        <w:fldChar w:fldCharType="separate"/>
      </w:r>
      <w:r>
        <w:rPr>
          <w:highlight w:val="none"/>
        </w:rPr>
        <w:t>46</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_Toc4448 </w:instrText>
      </w:r>
      <w:r>
        <w:rPr>
          <w:rFonts w:ascii="Arial" w:hAnsi="Arial" w:cs="Arial"/>
          <w:highlight w:val="none"/>
        </w:rPr>
        <w:fldChar w:fldCharType="separate"/>
      </w:r>
      <w:r>
        <w:rPr>
          <w:rFonts w:hint="eastAsia" w:ascii="微软雅黑" w:hAnsi="微软雅黑" w:eastAsia="微软雅黑" w:cs="微软雅黑"/>
          <w:highlight w:val="none"/>
        </w:rPr>
        <w:t>10.9 施工测量</w:t>
      </w:r>
      <w:r>
        <w:rPr>
          <w:highlight w:val="none"/>
        </w:rPr>
        <w:tab/>
      </w:r>
      <w:r>
        <w:rPr>
          <w:highlight w:val="none"/>
        </w:rPr>
        <w:fldChar w:fldCharType="begin"/>
      </w:r>
      <w:r>
        <w:rPr>
          <w:highlight w:val="none"/>
        </w:rPr>
        <w:instrText xml:space="preserve"> PAGEREF _Toc4448 \h </w:instrText>
      </w:r>
      <w:r>
        <w:rPr>
          <w:highlight w:val="none"/>
        </w:rPr>
        <w:fldChar w:fldCharType="separate"/>
      </w:r>
      <w:r>
        <w:rPr>
          <w:highlight w:val="none"/>
        </w:rPr>
        <w:t>47</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_Toc27845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11 </w:t>
      </w:r>
      <w:r>
        <w:rPr>
          <w:rFonts w:hint="eastAsia" w:cs="宋体"/>
          <w:caps/>
          <w:highlight w:val="none"/>
        </w:rPr>
        <w:t>工程计量</w:t>
      </w:r>
      <w:r>
        <w:rPr>
          <w:highlight w:val="none"/>
        </w:rPr>
        <w:tab/>
      </w:r>
      <w:r>
        <w:rPr>
          <w:highlight w:val="none"/>
        </w:rPr>
        <w:fldChar w:fldCharType="begin"/>
      </w:r>
      <w:r>
        <w:rPr>
          <w:highlight w:val="none"/>
        </w:rPr>
        <w:instrText xml:space="preserve"> PAGEREF _Toc27845 \h </w:instrText>
      </w:r>
      <w:r>
        <w:rPr>
          <w:highlight w:val="none"/>
        </w:rPr>
        <w:fldChar w:fldCharType="separate"/>
      </w:r>
      <w:r>
        <w:rPr>
          <w:highlight w:val="none"/>
        </w:rPr>
        <w:t>47</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_Toc23532 </w:instrText>
      </w:r>
      <w:r>
        <w:rPr>
          <w:rFonts w:ascii="Arial" w:hAnsi="Arial" w:cs="Arial"/>
          <w:highlight w:val="none"/>
        </w:rPr>
        <w:fldChar w:fldCharType="separate"/>
      </w:r>
      <w:r>
        <w:rPr>
          <w:rFonts w:hint="eastAsia" w:ascii="微软雅黑" w:hAnsi="微软雅黑" w:eastAsia="微软雅黑" w:cs="微软雅黑"/>
          <w:highlight w:val="none"/>
        </w:rPr>
        <w:t xml:space="preserve">11.1 </w:t>
      </w:r>
      <w:r>
        <w:rPr>
          <w:rFonts w:hint="eastAsia" w:ascii="微软雅黑" w:hAnsi="微软雅黑" w:eastAsia="微软雅黑" w:cs="微软雅黑"/>
          <w:highlight w:val="none"/>
          <w:lang w:val="en-US" w:eastAsia="zh-CN"/>
        </w:rPr>
        <w:t>工程计量要求</w:t>
      </w:r>
      <w:r>
        <w:rPr>
          <w:highlight w:val="none"/>
        </w:rPr>
        <w:tab/>
      </w:r>
      <w:r>
        <w:rPr>
          <w:highlight w:val="none"/>
        </w:rPr>
        <w:fldChar w:fldCharType="begin"/>
      </w:r>
      <w:r>
        <w:rPr>
          <w:highlight w:val="none"/>
        </w:rPr>
        <w:instrText xml:space="preserve"> PAGEREF _Toc23532 \h </w:instrText>
      </w:r>
      <w:r>
        <w:rPr>
          <w:highlight w:val="none"/>
        </w:rPr>
        <w:fldChar w:fldCharType="separate"/>
      </w:r>
      <w:r>
        <w:rPr>
          <w:highlight w:val="none"/>
        </w:rPr>
        <w:t>47</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_Toc23848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12 </w:t>
      </w:r>
      <w:r>
        <w:rPr>
          <w:rFonts w:hint="eastAsia" w:cs="宋体"/>
          <w:caps/>
          <w:highlight w:val="none"/>
        </w:rPr>
        <w:t>质量保修</w:t>
      </w:r>
      <w:r>
        <w:rPr>
          <w:highlight w:val="none"/>
        </w:rPr>
        <w:tab/>
      </w:r>
      <w:r>
        <w:rPr>
          <w:highlight w:val="none"/>
        </w:rPr>
        <w:fldChar w:fldCharType="begin"/>
      </w:r>
      <w:r>
        <w:rPr>
          <w:highlight w:val="none"/>
        </w:rPr>
        <w:instrText xml:space="preserve"> PAGEREF _Toc23848 \h </w:instrText>
      </w:r>
      <w:r>
        <w:rPr>
          <w:highlight w:val="none"/>
        </w:rPr>
        <w:fldChar w:fldCharType="separate"/>
      </w:r>
      <w:r>
        <w:rPr>
          <w:highlight w:val="none"/>
        </w:rPr>
        <w:t>48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_Toc13648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12.1 质保要求</w:t>
      </w:r>
      <w:r>
        <w:rPr>
          <w:highlight w:val="none"/>
        </w:rPr>
        <w:tab/>
      </w:r>
      <w:r>
        <w:rPr>
          <w:highlight w:val="none"/>
        </w:rPr>
        <w:fldChar w:fldCharType="begin"/>
      </w:r>
      <w:r>
        <w:rPr>
          <w:highlight w:val="none"/>
        </w:rPr>
        <w:instrText xml:space="preserve"> PAGEREF _Toc13648 \h </w:instrText>
      </w:r>
      <w:r>
        <w:rPr>
          <w:highlight w:val="none"/>
        </w:rPr>
        <w:fldChar w:fldCharType="separate"/>
      </w:r>
      <w:r>
        <w:rPr>
          <w:highlight w:val="none"/>
        </w:rPr>
        <w:t>48</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_Toc369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13 </w:t>
      </w:r>
      <w:r>
        <w:rPr>
          <w:rFonts w:hint="eastAsia" w:cs="宋体"/>
          <w:caps/>
          <w:highlight w:val="none"/>
        </w:rPr>
        <w:t>资格要求</w:t>
      </w:r>
      <w:r>
        <w:rPr>
          <w:highlight w:val="none"/>
        </w:rPr>
        <w:tab/>
      </w:r>
      <w:r>
        <w:rPr>
          <w:highlight w:val="none"/>
        </w:rPr>
        <w:fldChar w:fldCharType="begin"/>
      </w:r>
      <w:r>
        <w:rPr>
          <w:highlight w:val="none"/>
        </w:rPr>
        <w:instrText xml:space="preserve"> PAGEREF _Toc369 \h </w:instrText>
      </w:r>
      <w:r>
        <w:rPr>
          <w:highlight w:val="none"/>
        </w:rPr>
        <w:fldChar w:fldCharType="separate"/>
      </w:r>
      <w:r>
        <w:rPr>
          <w:highlight w:val="none"/>
        </w:rPr>
        <w:t>48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_Toc9902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13.1 资格要求</w:t>
      </w:r>
      <w:r>
        <w:rPr>
          <w:highlight w:val="none"/>
        </w:rPr>
        <w:tab/>
      </w:r>
      <w:r>
        <w:rPr>
          <w:highlight w:val="none"/>
        </w:rPr>
        <w:fldChar w:fldCharType="begin"/>
      </w:r>
      <w:r>
        <w:rPr>
          <w:highlight w:val="none"/>
        </w:rPr>
        <w:instrText xml:space="preserve"> PAGEREF _Toc9902 \h </w:instrText>
      </w:r>
      <w:r>
        <w:rPr>
          <w:highlight w:val="none"/>
        </w:rPr>
        <w:fldChar w:fldCharType="separate"/>
      </w:r>
      <w:r>
        <w:rPr>
          <w:highlight w:val="none"/>
        </w:rPr>
        <w:t>48</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_Toc17355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13.2 关键岗位人员要求</w:t>
      </w:r>
      <w:r>
        <w:rPr>
          <w:highlight w:val="none"/>
        </w:rPr>
        <w:tab/>
      </w:r>
      <w:r>
        <w:rPr>
          <w:highlight w:val="none"/>
        </w:rPr>
        <w:fldChar w:fldCharType="begin"/>
      </w:r>
      <w:r>
        <w:rPr>
          <w:highlight w:val="none"/>
        </w:rPr>
        <w:instrText xml:space="preserve"> PAGEREF _Toc17355 \h </w:instrText>
      </w:r>
      <w:r>
        <w:rPr>
          <w:highlight w:val="none"/>
        </w:rPr>
        <w:fldChar w:fldCharType="separate"/>
      </w:r>
      <w:r>
        <w:rPr>
          <w:highlight w:val="none"/>
        </w:rPr>
        <w:t>49</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_Toc2279 </w:instrText>
      </w:r>
      <w:r>
        <w:rPr>
          <w:rFonts w:ascii="Arial" w:hAnsi="Arial" w:cs="Arial"/>
          <w:highlight w:val="none"/>
        </w:rPr>
        <w:fldChar w:fldCharType="separate"/>
      </w:r>
      <w:r>
        <w:rPr>
          <w:rFonts w:hint="eastAsia" w:ascii="微软雅黑" w:hAnsi="微软雅黑" w:eastAsia="微软雅黑" w:cs="微软雅黑"/>
          <w:highlight w:val="none"/>
          <w:lang w:val="en-US" w:eastAsia="zh-CN"/>
        </w:rPr>
        <w:t>13.3 业绩要求</w:t>
      </w:r>
      <w:r>
        <w:rPr>
          <w:highlight w:val="none"/>
        </w:rPr>
        <w:tab/>
      </w:r>
      <w:r>
        <w:rPr>
          <w:highlight w:val="none"/>
        </w:rPr>
        <w:fldChar w:fldCharType="begin"/>
      </w:r>
      <w:r>
        <w:rPr>
          <w:highlight w:val="none"/>
        </w:rPr>
        <w:instrText xml:space="preserve"> PAGEREF _Toc2279 \h </w:instrText>
      </w:r>
      <w:r>
        <w:rPr>
          <w:highlight w:val="none"/>
        </w:rPr>
        <w:fldChar w:fldCharType="separate"/>
      </w:r>
      <w:r>
        <w:rPr>
          <w:highlight w:val="none"/>
        </w:rPr>
        <w:t>52</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_Toc23401 </w:instrText>
      </w:r>
      <w:r>
        <w:rPr>
          <w:rFonts w:ascii="Arial" w:hAnsi="Arial" w:cs="Arial"/>
          <w:highlight w:val="none"/>
        </w:rPr>
        <w:fldChar w:fldCharType="separate"/>
      </w:r>
      <w:r>
        <w:rPr>
          <w:rFonts w:hint="eastAsia" w:ascii="黑体" w:hAnsi="Times New Roman" w:eastAsia="黑体" w:cs="Times New Roman"/>
          <w:bCs w:val="0"/>
          <w:i w:val="0"/>
          <w:iCs w:val="0"/>
          <w:caps w:val="0"/>
          <w:smallCaps w:val="0"/>
          <w:strike w:val="0"/>
          <w:dstrike w:val="0"/>
          <w:outline w:val="0"/>
          <w:shadow w:val="0"/>
          <w:emboss w:val="0"/>
          <w:imprint w:val="0"/>
          <w:spacing w:val="0"/>
          <w:kern w:val="0"/>
          <w:position w:val="0"/>
          <w:highlight w:val="none"/>
        </w:rPr>
        <w:t xml:space="preserve">14 </w:t>
      </w:r>
      <w:r>
        <w:rPr>
          <w:rFonts w:hint="eastAsia" w:cs="宋体"/>
          <w:caps/>
          <w:highlight w:val="none"/>
        </w:rPr>
        <w:t>其他</w:t>
      </w:r>
      <w:r>
        <w:rPr>
          <w:highlight w:val="none"/>
        </w:rPr>
        <w:tab/>
      </w:r>
      <w:r>
        <w:rPr>
          <w:highlight w:val="none"/>
        </w:rPr>
        <w:fldChar w:fldCharType="begin"/>
      </w:r>
      <w:r>
        <w:rPr>
          <w:highlight w:val="none"/>
        </w:rPr>
        <w:instrText xml:space="preserve"> PAGEREF _Toc23401 \h </w:instrText>
      </w:r>
      <w:r>
        <w:rPr>
          <w:highlight w:val="none"/>
        </w:rPr>
        <w:fldChar w:fldCharType="separate"/>
      </w:r>
      <w:r>
        <w:rPr>
          <w:highlight w:val="none"/>
        </w:rPr>
        <w:t>52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_Toc22743 </w:instrText>
      </w:r>
      <w:r>
        <w:rPr>
          <w:rFonts w:ascii="Arial" w:hAnsi="Arial" w:cs="Arial"/>
          <w:highlight w:val="none"/>
        </w:rPr>
        <w:fldChar w:fldCharType="separate"/>
      </w:r>
      <w:r>
        <w:rPr>
          <w:rFonts w:hint="eastAsia" w:ascii="微软雅黑" w:hAnsi="微软雅黑" w:eastAsia="微软雅黑" w:cs="微软雅黑"/>
          <w:szCs w:val="20"/>
          <w:highlight w:val="none"/>
          <w:lang w:val="en-US" w:eastAsia="zh-CN" w:bidi="ar-SA"/>
        </w:rPr>
        <w:t>14.1技术联系人</w:t>
      </w:r>
      <w:r>
        <w:rPr>
          <w:rFonts w:hint="eastAsia" w:ascii="宋体" w:hAnsi="宋体" w:eastAsia="宋体" w:cs="宋体"/>
          <w:szCs w:val="24"/>
          <w:highlight w:val="none"/>
          <w:lang w:val="en-US" w:eastAsia="zh-CN" w:bidi="ar-SA"/>
        </w:rPr>
        <w:t>：张明玮</w:t>
      </w:r>
      <w:r>
        <w:rPr>
          <w:highlight w:val="none"/>
        </w:rPr>
        <w:tab/>
      </w:r>
      <w:r>
        <w:rPr>
          <w:highlight w:val="none"/>
        </w:rPr>
        <w:fldChar w:fldCharType="begin"/>
      </w:r>
      <w:r>
        <w:rPr>
          <w:highlight w:val="none"/>
        </w:rPr>
        <w:instrText xml:space="preserve"> PAGEREF _Toc22743 \h </w:instrText>
      </w:r>
      <w:r>
        <w:rPr>
          <w:highlight w:val="none"/>
        </w:rPr>
        <w:fldChar w:fldCharType="separate"/>
      </w:r>
      <w:r>
        <w:rPr>
          <w:highlight w:val="none"/>
        </w:rPr>
        <w:t>52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_Toc12894 </w:instrText>
      </w:r>
      <w:r>
        <w:rPr>
          <w:rFonts w:ascii="Arial" w:hAnsi="Arial" w:cs="Arial"/>
          <w:highlight w:val="none"/>
        </w:rPr>
        <w:fldChar w:fldCharType="separate"/>
      </w:r>
      <w:r>
        <w:rPr>
          <w:rFonts w:hint="eastAsia" w:ascii="微软雅黑" w:hAnsi="微软雅黑" w:eastAsia="微软雅黑" w:cs="微软雅黑"/>
          <w:szCs w:val="20"/>
          <w:highlight w:val="none"/>
          <w:lang w:val="en-US" w:eastAsia="zh-CN" w:bidi="ar-SA"/>
        </w:rPr>
        <w:t>14.2付款方式</w:t>
      </w:r>
      <w:r>
        <w:rPr>
          <w:rFonts w:hint="eastAsia" w:ascii="宋体" w:hAnsi="宋体" w:eastAsia="宋体" w:cs="宋体"/>
          <w:bCs w:val="0"/>
          <w:highlight w:val="none"/>
          <w:lang w:val="en-US" w:eastAsia="zh-CN"/>
        </w:rPr>
        <w:t>：银行电汇。</w:t>
      </w:r>
      <w:r>
        <w:rPr>
          <w:highlight w:val="none"/>
        </w:rPr>
        <w:tab/>
      </w:r>
      <w:r>
        <w:rPr>
          <w:highlight w:val="none"/>
        </w:rPr>
        <w:fldChar w:fldCharType="begin"/>
      </w:r>
      <w:r>
        <w:rPr>
          <w:highlight w:val="none"/>
        </w:rPr>
        <w:instrText xml:space="preserve"> PAGEREF _Toc12894 \h </w:instrText>
      </w:r>
      <w:r>
        <w:rPr>
          <w:highlight w:val="none"/>
        </w:rPr>
        <w:fldChar w:fldCharType="separate"/>
      </w:r>
      <w:r>
        <w:rPr>
          <w:highlight w:val="none"/>
        </w:rPr>
        <w:t>52</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_Toc24128 </w:instrText>
      </w:r>
      <w:r>
        <w:rPr>
          <w:rFonts w:ascii="Arial" w:hAnsi="Arial" w:cs="Arial"/>
          <w:highlight w:val="none"/>
        </w:rPr>
        <w:fldChar w:fldCharType="separate"/>
      </w:r>
      <w:r>
        <w:rPr>
          <w:rFonts w:hint="eastAsia" w:ascii="微软雅黑" w:hAnsi="微软雅黑" w:eastAsia="微软雅黑" w:cs="微软雅黑"/>
          <w:szCs w:val="20"/>
          <w:highlight w:val="none"/>
          <w:lang w:val="en-US" w:eastAsia="zh-CN" w:bidi="ar-SA"/>
        </w:rPr>
        <w:t>14.3付款周期要求</w:t>
      </w:r>
      <w:r>
        <w:rPr>
          <w:rFonts w:hint="eastAsia" w:ascii="宋体" w:hAnsi="宋体" w:eastAsia="宋体" w:cs="宋体"/>
          <w:bCs w:val="0"/>
          <w:highlight w:val="none"/>
          <w:lang w:val="en-US" w:eastAsia="zh-CN"/>
        </w:rPr>
        <w:t>：</w:t>
      </w:r>
      <w:r>
        <w:rPr>
          <w:highlight w:val="none"/>
        </w:rPr>
        <w:tab/>
      </w:r>
      <w:r>
        <w:rPr>
          <w:highlight w:val="none"/>
        </w:rPr>
        <w:fldChar w:fldCharType="begin"/>
      </w:r>
      <w:r>
        <w:rPr>
          <w:highlight w:val="none"/>
        </w:rPr>
        <w:instrText xml:space="preserve"> PAGEREF _Toc24128 \h </w:instrText>
      </w:r>
      <w:r>
        <w:rPr>
          <w:highlight w:val="none"/>
        </w:rPr>
        <w:fldChar w:fldCharType="separate"/>
      </w:r>
      <w:r>
        <w:rPr>
          <w:highlight w:val="none"/>
        </w:rPr>
        <w:t>52</w:t>
      </w:r>
      <w:r>
        <w:rPr>
          <w:highlight w:val="none"/>
        </w:rPr>
        <w:fldChar w:fldCharType="end"/>
      </w:r>
      <w:r>
        <w:rPr>
          <w:rFonts w:ascii="Arial" w:hAnsi="Arial" w:cs="Arial"/>
          <w:color w:val="auto"/>
          <w:highlight w:val="none"/>
        </w:rPr>
        <w:fldChar w:fldCharType="end"/>
      </w:r>
    </w:p>
    <w:p>
      <w:pPr>
        <w:pStyle w:val="20"/>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_Toc26467 </w:instrText>
      </w:r>
      <w:r>
        <w:rPr>
          <w:rFonts w:ascii="Arial" w:hAnsi="Arial" w:cs="Arial"/>
          <w:highlight w:val="none"/>
        </w:rPr>
        <w:fldChar w:fldCharType="separate"/>
      </w:r>
      <w:r>
        <w:rPr>
          <w:rFonts w:hint="eastAsia" w:cs="宋体"/>
          <w:caps/>
          <w:highlight w:val="none"/>
          <w:lang w:val="en-US" w:eastAsia="zh-CN"/>
        </w:rPr>
        <w:t>15 相关</w:t>
      </w:r>
      <w:r>
        <w:rPr>
          <w:rFonts w:hint="eastAsia" w:cs="宋体"/>
          <w:caps/>
          <w:highlight w:val="none"/>
        </w:rPr>
        <w:t>附件</w:t>
      </w:r>
      <w:r>
        <w:rPr>
          <w:highlight w:val="none"/>
        </w:rPr>
        <w:tab/>
      </w:r>
      <w:r>
        <w:rPr>
          <w:highlight w:val="none"/>
        </w:rPr>
        <w:fldChar w:fldCharType="begin"/>
      </w:r>
      <w:r>
        <w:rPr>
          <w:highlight w:val="none"/>
        </w:rPr>
        <w:instrText xml:space="preserve"> PAGEREF _Toc26467 \h </w:instrText>
      </w:r>
      <w:r>
        <w:rPr>
          <w:highlight w:val="none"/>
        </w:rPr>
        <w:fldChar w:fldCharType="separate"/>
      </w:r>
      <w:r>
        <w:rPr>
          <w:highlight w:val="none"/>
        </w:rPr>
        <w:t>53</w:t>
      </w:r>
      <w:r>
        <w:rPr>
          <w:highlight w:val="none"/>
        </w:rPr>
        <w:fldChar w:fldCharType="end"/>
      </w:r>
      <w:r>
        <w:rPr>
          <w:rFonts w:ascii="Arial" w:hAnsi="Arial" w:cs="Arial"/>
          <w:color w:val="auto"/>
          <w:highlight w:val="none"/>
        </w:rPr>
        <w:fldChar w:fldCharType="end"/>
      </w:r>
    </w:p>
    <w:p>
      <w:pPr>
        <w:pStyle w:val="23"/>
        <w:tabs>
          <w:tab w:val="right" w:leader="dot" w:pos="8787"/>
        </w:tabs>
        <w:rPr>
          <w:highlight w:val="none"/>
        </w:rPr>
      </w:pPr>
      <w:r>
        <w:rPr>
          <w:rFonts w:ascii="Arial" w:hAnsi="Arial" w:cs="Arial"/>
          <w:color w:val="auto"/>
          <w:highlight w:val="none"/>
        </w:rPr>
        <w:fldChar w:fldCharType="begin"/>
      </w:r>
      <w:r>
        <w:rPr>
          <w:rFonts w:ascii="Arial" w:hAnsi="Arial" w:cs="Arial"/>
          <w:highlight w:val="none"/>
        </w:rPr>
        <w:instrText xml:space="preserve"> HYPERLINK \l _Toc17169 </w:instrText>
      </w:r>
      <w:r>
        <w:rPr>
          <w:rFonts w:ascii="Arial" w:hAnsi="Arial" w:cs="Arial"/>
          <w:highlight w:val="none"/>
        </w:rPr>
        <w:fldChar w:fldCharType="separate"/>
      </w:r>
      <w:r>
        <w:rPr>
          <w:rFonts w:hint="eastAsia" w:ascii="微软雅黑" w:hAnsi="微软雅黑" w:eastAsia="微软雅黑" w:cs="微软雅黑"/>
          <w:bCs w:val="0"/>
          <w:highlight w:val="none"/>
          <w:lang w:val="en-US" w:eastAsia="zh-CN"/>
        </w:rPr>
        <w:t>15.1 附件清单</w:t>
      </w:r>
      <w:r>
        <w:rPr>
          <w:highlight w:val="none"/>
        </w:rPr>
        <w:tab/>
      </w:r>
      <w:r>
        <w:rPr>
          <w:highlight w:val="none"/>
        </w:rPr>
        <w:fldChar w:fldCharType="begin"/>
      </w:r>
      <w:r>
        <w:rPr>
          <w:highlight w:val="none"/>
        </w:rPr>
        <w:instrText xml:space="preserve"> PAGEREF _Toc17169 \h </w:instrText>
      </w:r>
      <w:r>
        <w:rPr>
          <w:highlight w:val="none"/>
        </w:rPr>
        <w:fldChar w:fldCharType="separate"/>
      </w:r>
      <w:r>
        <w:rPr>
          <w:highlight w:val="none"/>
        </w:rPr>
        <w:t>53</w:t>
      </w:r>
      <w:r>
        <w:rPr>
          <w:highlight w:val="none"/>
        </w:rPr>
        <w:fldChar w:fldCharType="end"/>
      </w:r>
      <w:r>
        <w:rPr>
          <w:rFonts w:ascii="Arial" w:hAnsi="Arial" w:cs="Arial"/>
          <w:color w:val="auto"/>
          <w:highlight w:val="none"/>
        </w:rPr>
        <w:fldChar w:fldCharType="end"/>
      </w:r>
    </w:p>
    <w:p>
      <w:pPr>
        <w:spacing w:line="276" w:lineRule="auto"/>
        <w:rPr>
          <w:rFonts w:hint="eastAsia"/>
          <w:color w:val="auto"/>
          <w:highlight w:val="none"/>
        </w:rPr>
      </w:pPr>
      <w:r>
        <w:rPr>
          <w:rFonts w:ascii="Arial" w:hAnsi="Arial" w:cs="Arial"/>
          <w:color w:val="auto"/>
          <w:highlight w:val="none"/>
        </w:rPr>
        <w:fldChar w:fldCharType="end"/>
      </w:r>
    </w:p>
    <w:p>
      <w:pPr>
        <w:pStyle w:val="3"/>
        <w:spacing w:line="360" w:lineRule="auto"/>
        <w:rPr>
          <w:rFonts w:hint="eastAsia"/>
          <w:color w:val="auto"/>
          <w:highlight w:val="none"/>
        </w:rPr>
        <w:sectPr>
          <w:headerReference r:id="rId5" w:type="default"/>
          <w:footerReference r:id="rId6" w:type="default"/>
          <w:pgSz w:w="11906" w:h="16838"/>
          <w:pgMar w:top="1701" w:right="1418" w:bottom="1418" w:left="1701" w:header="936" w:footer="1219" w:gutter="0"/>
          <w:pgNumType w:fmt="decimal"/>
          <w:cols w:space="720" w:num="1"/>
          <w:docGrid w:type="lines" w:linePitch="312" w:charSpace="0"/>
        </w:sectPr>
      </w:pPr>
      <w:bookmarkStart w:id="11" w:name="_Toc18704"/>
      <w:bookmarkStart w:id="12" w:name="_Toc508406775"/>
      <w:bookmarkStart w:id="13" w:name="_Toc9314"/>
      <w:bookmarkStart w:id="14" w:name="_Toc9634"/>
    </w:p>
    <w:p>
      <w:pPr>
        <w:pStyle w:val="3"/>
        <w:spacing w:line="360" w:lineRule="auto"/>
        <w:ind w:left="694" w:leftChars="0" w:firstLineChars="0"/>
        <w:rPr>
          <w:rFonts w:hint="eastAsia"/>
          <w:color w:val="auto"/>
          <w:highlight w:val="none"/>
        </w:rPr>
      </w:pPr>
      <w:bookmarkStart w:id="15" w:name="_Toc203"/>
      <w:r>
        <w:rPr>
          <w:rFonts w:hint="eastAsia"/>
          <w:color w:val="auto"/>
          <w:highlight w:val="none"/>
        </w:rPr>
        <w:t>总则</w:t>
      </w:r>
      <w:bookmarkEnd w:id="11"/>
      <w:bookmarkEnd w:id="12"/>
      <w:bookmarkEnd w:id="13"/>
      <w:bookmarkEnd w:id="14"/>
      <w:bookmarkEnd w:id="15"/>
    </w:p>
    <w:p>
      <w:pPr>
        <w:pStyle w:val="35"/>
        <w:spacing w:before="62" w:after="62" w:line="360" w:lineRule="auto"/>
        <w:ind w:firstLine="480"/>
        <w:rPr>
          <w:rFonts w:hint="eastAsia" w:ascii="宋体" w:hAnsi="宋体" w:eastAsia="宋体" w:cs="宋体"/>
          <w:color w:val="auto"/>
          <w:highlight w:val="none"/>
        </w:rPr>
      </w:pPr>
      <w:bookmarkStart w:id="16" w:name="_Hlk26342049"/>
      <w:r>
        <w:rPr>
          <w:rFonts w:hint="eastAsia" w:ascii="宋体" w:hAnsi="宋体" w:eastAsia="宋体" w:cs="宋体"/>
          <w:color w:val="auto"/>
          <w:highlight w:val="none"/>
        </w:rPr>
        <w:t>本技术</w:t>
      </w:r>
      <w:r>
        <w:rPr>
          <w:rFonts w:hint="eastAsia" w:ascii="宋体" w:hAnsi="宋体" w:cs="宋体"/>
          <w:color w:val="auto"/>
          <w:highlight w:val="none"/>
          <w:lang w:val="en-US" w:eastAsia="zh-CN"/>
        </w:rPr>
        <w:t>要求</w:t>
      </w:r>
      <w:r>
        <w:rPr>
          <w:rFonts w:hint="eastAsia" w:ascii="宋体" w:hAnsi="宋体" w:eastAsia="宋体" w:cs="宋体"/>
          <w:color w:val="auto"/>
          <w:highlight w:val="none"/>
        </w:rPr>
        <w:t>书仅针对“龙口基地三期项目</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二阶段）智能化库房</w:t>
      </w:r>
      <w:r>
        <w:rPr>
          <w:rFonts w:hint="eastAsia" w:ascii="宋体" w:hAnsi="宋体" w:eastAsia="宋体" w:cs="宋体"/>
          <w:color w:val="auto"/>
          <w:highlight w:val="none"/>
        </w:rPr>
        <w:t>”提出技术要求的文件。本技术要求书中所提及“乙方”为承包商</w:t>
      </w:r>
      <w:r>
        <w:rPr>
          <w:rFonts w:hint="eastAsia" w:ascii="宋体" w:hAnsi="宋体" w:cs="宋体"/>
          <w:color w:val="auto"/>
          <w:highlight w:val="none"/>
          <w:lang w:eastAsia="zh-CN"/>
        </w:rPr>
        <w:t>（</w:t>
      </w:r>
      <w:r>
        <w:rPr>
          <w:rFonts w:hint="eastAsia" w:ascii="宋体" w:hAnsi="宋体" w:eastAsia="宋体" w:cs="宋体"/>
          <w:color w:val="auto"/>
          <w:kern w:val="2"/>
          <w:szCs w:val="24"/>
          <w:highlight w:val="none"/>
          <w:lang w:eastAsia="zh-CN"/>
        </w:rPr>
        <w:t>乙方</w:t>
      </w:r>
      <w:r>
        <w:rPr>
          <w:rFonts w:hint="eastAsia" w:ascii="宋体" w:hAnsi="宋体" w:cs="宋体"/>
          <w:color w:val="auto"/>
          <w:highlight w:val="none"/>
          <w:lang w:eastAsia="zh-CN"/>
        </w:rPr>
        <w:t>）</w:t>
      </w:r>
      <w:r>
        <w:rPr>
          <w:rFonts w:hint="eastAsia" w:ascii="宋体" w:hAnsi="宋体" w:eastAsia="宋体" w:cs="宋体"/>
          <w:color w:val="auto"/>
          <w:highlight w:val="none"/>
        </w:rPr>
        <w:t>，“甲方”为业主方</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建设方</w:t>
      </w:r>
      <w:r>
        <w:rPr>
          <w:rFonts w:hint="eastAsia" w:ascii="宋体" w:hAnsi="宋体" w:cs="宋体"/>
          <w:color w:val="auto"/>
          <w:highlight w:val="none"/>
          <w:lang w:eastAsia="zh-CN"/>
        </w:rPr>
        <w:t>）</w:t>
      </w:r>
      <w:r>
        <w:rPr>
          <w:rFonts w:hint="eastAsia" w:ascii="宋体" w:hAnsi="宋体" w:eastAsia="宋体" w:cs="宋体"/>
          <w:color w:val="auto"/>
          <w:highlight w:val="none"/>
        </w:rPr>
        <w:t>。本技术</w:t>
      </w:r>
      <w:r>
        <w:rPr>
          <w:rFonts w:hint="eastAsia" w:ascii="宋体" w:hAnsi="宋体" w:eastAsia="宋体" w:cs="宋体"/>
          <w:color w:val="auto"/>
          <w:highlight w:val="none"/>
          <w:lang w:val="en-US" w:eastAsia="zh-CN"/>
        </w:rPr>
        <w:t>要求</w:t>
      </w:r>
      <w:r>
        <w:rPr>
          <w:rFonts w:hint="eastAsia" w:ascii="宋体" w:hAnsi="宋体" w:eastAsia="宋体" w:cs="宋体"/>
          <w:color w:val="auto"/>
          <w:highlight w:val="none"/>
        </w:rPr>
        <w:t>书是包括永久工程、临时工程及保修期内缺陷维修等在内的工程类采办项目提出技术要求的文件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无论本技术要求书有无明确规定，乙方都有责任使工程质量满足现行技术标准，负责提供施工所必须的技术、劳务、材料、设备、施工装备</w:t>
      </w:r>
      <w:r>
        <w:rPr>
          <w:rFonts w:hint="eastAsia" w:ascii="宋体" w:hAnsi="宋体" w:eastAsia="宋体" w:cs="宋体"/>
          <w:color w:val="auto"/>
          <w:highlight w:val="none"/>
          <w:lang w:eastAsia="zh-CN"/>
        </w:rPr>
        <w:t>、施工辅材</w:t>
      </w:r>
      <w:r>
        <w:rPr>
          <w:rFonts w:hint="eastAsia" w:ascii="宋体" w:hAnsi="宋体" w:eastAsia="宋体" w:cs="宋体"/>
          <w:color w:val="auto"/>
          <w:highlight w:val="none"/>
        </w:rPr>
        <w:t>和其它物品，采取有效技术、质量保证措施，履行施工过程中涉及的安全、保卫、环境保护等管理责任</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确保</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项目/工程满足设计、现行标准规范</w:t>
      </w:r>
      <w:r>
        <w:rPr>
          <w:rFonts w:hint="eastAsia" w:ascii="宋体" w:hAnsi="宋体" w:cs="宋体"/>
          <w:color w:val="auto"/>
          <w:highlight w:val="none"/>
          <w:lang w:val="en-US" w:eastAsia="zh-CN"/>
        </w:rPr>
        <w:t>等</w:t>
      </w:r>
      <w:r>
        <w:rPr>
          <w:rFonts w:hint="eastAsia" w:ascii="宋体" w:hAnsi="宋体" w:eastAsia="宋体" w:cs="宋体"/>
          <w:color w:val="auto"/>
          <w:highlight w:val="none"/>
        </w:rPr>
        <w:t>要求。</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甲方鼓励乙方在本工程中采用新技术、新方法以提高生产力。乙方应向甲方表明其所推荐的新技术、新方法在过去的工程实践当中被证明是成功的，在本工程中使用是可以满足强制性规程、标准和规范要求的，而且是具有经济技术合理性的。</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乙方在工作过程中应遵守国家的法律、法规及强制性的规程、标准和规范。</w:t>
      </w:r>
    </w:p>
    <w:bookmarkEnd w:id="16"/>
    <w:p>
      <w:pPr>
        <w:pStyle w:val="3"/>
        <w:spacing w:line="360" w:lineRule="auto"/>
        <w:ind w:left="694" w:leftChars="0" w:firstLineChars="0"/>
        <w:rPr>
          <w:rFonts w:hint="eastAsia"/>
          <w:color w:val="auto"/>
          <w:highlight w:val="none"/>
        </w:rPr>
      </w:pPr>
      <w:bookmarkStart w:id="17" w:name="_Toc13632"/>
      <w:r>
        <w:rPr>
          <w:rFonts w:hint="eastAsia"/>
          <w:color w:val="auto"/>
          <w:highlight w:val="none"/>
        </w:rPr>
        <w:t>项目概况及总体要求</w:t>
      </w:r>
      <w:bookmarkEnd w:id="17"/>
    </w:p>
    <w:p>
      <w:pPr>
        <w:pStyle w:val="41"/>
        <w:spacing w:line="360" w:lineRule="auto"/>
        <w:rPr>
          <w:rFonts w:hint="eastAsia" w:ascii="微软雅黑" w:hAnsi="微软雅黑" w:eastAsia="微软雅黑" w:cs="微软雅黑"/>
          <w:color w:val="auto"/>
          <w:highlight w:val="none"/>
        </w:rPr>
      </w:pPr>
      <w:bookmarkStart w:id="18" w:name="_Toc1154"/>
      <w:r>
        <w:rPr>
          <w:rFonts w:hint="eastAsia" w:ascii="微软雅黑" w:hAnsi="微软雅黑" w:eastAsia="微软雅黑" w:cs="微软雅黑"/>
          <w:color w:val="auto"/>
          <w:highlight w:val="none"/>
        </w:rPr>
        <w:t>项目概况</w:t>
      </w:r>
      <w:bookmarkEnd w:id="18"/>
    </w:p>
    <w:p>
      <w:pPr>
        <w:spacing w:line="360" w:lineRule="auto"/>
        <w:outlineLvl w:val="2"/>
        <w:rPr>
          <w:rFonts w:hint="eastAsia" w:ascii="宋体" w:hAnsi="宋体" w:eastAsia="宋体" w:cs="宋体"/>
          <w:color w:val="auto"/>
          <w:sz w:val="24"/>
          <w:szCs w:val="24"/>
          <w:highlight w:val="none"/>
          <w:lang w:val="en-US" w:eastAsia="zh-CN"/>
        </w:rPr>
      </w:pPr>
      <w:bookmarkStart w:id="19" w:name="_Toc26347107"/>
      <w:r>
        <w:rPr>
          <w:rFonts w:hint="eastAsia" w:ascii="宋体" w:hAnsi="宋体" w:eastAsia="宋体" w:cs="宋体"/>
          <w:color w:val="auto"/>
          <w:sz w:val="24"/>
          <w:szCs w:val="24"/>
          <w:highlight w:val="none"/>
          <w:lang w:val="en-US" w:eastAsia="zh-CN"/>
        </w:rPr>
        <w:t>2.1.1概述</w:t>
      </w:r>
    </w:p>
    <w:bookmarkEnd w:id="19"/>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由中海石油(龙口)基地物流有限公司（以下简称“龙口物流公司”）投资建设，龙口物流公司由中海油能源物流有限公司（以下简称“物流公司”）注资成立，目前由中海油能源物流有限公司渤海作业分公司直接管理。本项目地址位于山东省龙口市中海石油(龙口)基地物流有限公司（以下简称“龙口基地”）内，库房区域利用</w:t>
      </w:r>
      <w:r>
        <w:rPr>
          <w:rFonts w:hint="eastAsia" w:ascii="宋体" w:hAnsi="宋体" w:eastAsia="宋体" w:cs="宋体"/>
          <w:color w:val="auto"/>
          <w:sz w:val="24"/>
          <w:szCs w:val="24"/>
          <w:highlight w:val="none"/>
          <w:lang w:eastAsia="zh-CN"/>
        </w:rPr>
        <w:t>一期已建</w:t>
      </w:r>
      <w:r>
        <w:rPr>
          <w:rFonts w:hint="eastAsia" w:ascii="宋体" w:hAnsi="宋体" w:eastAsia="宋体" w:cs="宋体"/>
          <w:color w:val="auto"/>
          <w:sz w:val="24"/>
          <w:szCs w:val="24"/>
          <w:highlight w:val="none"/>
        </w:rPr>
        <w:t>场地，在本项目用地上</w:t>
      </w:r>
      <w:r>
        <w:rPr>
          <w:rFonts w:hint="eastAsia" w:ascii="宋体" w:hAnsi="宋体" w:eastAsia="宋体" w:cs="宋体"/>
          <w:color w:val="auto"/>
          <w:sz w:val="24"/>
          <w:szCs w:val="24"/>
          <w:highlight w:val="none"/>
          <w:lang w:val="en-US" w:eastAsia="zh-CN"/>
        </w:rPr>
        <w:t>新建1座智能化</w:t>
      </w:r>
      <w:r>
        <w:rPr>
          <w:rFonts w:hint="eastAsia" w:ascii="宋体" w:hAnsi="宋体" w:cs="宋体"/>
          <w:color w:val="auto"/>
          <w:sz w:val="24"/>
          <w:szCs w:val="24"/>
          <w:highlight w:val="none"/>
          <w:lang w:val="en-US" w:eastAsia="zh-CN"/>
        </w:rPr>
        <w:t>库房</w:t>
      </w:r>
      <w:r>
        <w:rPr>
          <w:rFonts w:hint="eastAsia" w:ascii="宋体" w:hAnsi="宋体" w:eastAsia="宋体" w:cs="宋体"/>
          <w:color w:val="auto"/>
          <w:sz w:val="24"/>
          <w:szCs w:val="24"/>
          <w:highlight w:val="none"/>
          <w:lang w:val="en-US" w:eastAsia="zh-CN"/>
        </w:rPr>
        <w:t>，其建筑面积为4387.25m²。</w:t>
      </w:r>
    </w:p>
    <w:p>
      <w:pPr>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本工程位于山东省龙口市中海石油龙口基地内，行政属地隶属于山东省龙口市龙港街道。场区位于山东省龙口市环海中路，距龙青高速公路 8.7 公里。北侧为海域，南侧为龙口市渤海水产有限公司，西侧为养殖区，东侧为港航局大楼及区民小区。项目区位图详见下图。</w:t>
      </w:r>
    </w:p>
    <w:p>
      <w:pPr>
        <w:pStyle w:val="5"/>
        <w:rPr>
          <w:color w:val="auto"/>
          <w:highlight w:val="none"/>
        </w:rPr>
      </w:pPr>
      <w:r>
        <w:rPr>
          <w:color w:val="auto"/>
          <w:highlight w:val="none"/>
        </w:rPr>
        <w:drawing>
          <wp:inline distT="0" distB="0" distL="114300" distR="114300">
            <wp:extent cx="5332730" cy="2742565"/>
            <wp:effectExtent l="0" t="0" r="1270"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5332730" cy="2742565"/>
                    </a:xfrm>
                    <a:prstGeom prst="rect">
                      <a:avLst/>
                    </a:prstGeom>
                    <a:noFill/>
                    <a:ln>
                      <a:noFill/>
                    </a:ln>
                  </pic:spPr>
                </pic:pic>
              </a:graphicData>
            </a:graphic>
          </wp:inline>
        </w:drawing>
      </w:r>
    </w:p>
    <w:p>
      <w:pPr>
        <w:pStyle w:val="2"/>
        <w:spacing w:line="360" w:lineRule="auto"/>
        <w:ind w:firstLine="480"/>
        <w:jc w:val="center"/>
        <w:rPr>
          <w:rFonts w:hint="eastAsia" w:ascii="仿宋" w:hAnsi="仿宋" w:eastAsia="仿宋" w:cs="宋体"/>
          <w:b/>
          <w:bCs/>
          <w:color w:val="auto"/>
          <w:sz w:val="24"/>
          <w:szCs w:val="24"/>
          <w:highlight w:val="none"/>
          <w:lang w:eastAsia="zh-CN"/>
        </w:rPr>
      </w:pPr>
      <w:r>
        <w:rPr>
          <w:rFonts w:hint="eastAsia" w:ascii="仿宋" w:hAnsi="仿宋" w:eastAsia="仿宋" w:cs="宋体"/>
          <w:b/>
          <w:bCs/>
          <w:color w:val="auto"/>
          <w:sz w:val="24"/>
          <w:szCs w:val="24"/>
          <w:highlight w:val="none"/>
          <w:lang w:eastAsia="zh-CN"/>
        </w:rPr>
        <w:t>项目区位图</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本工程地块布置在中海石油(龙口)基地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智能化</w:t>
      </w:r>
      <w:r>
        <w:rPr>
          <w:rFonts w:hint="eastAsia" w:ascii="宋体" w:hAnsi="宋体" w:cs="宋体"/>
          <w:color w:val="auto"/>
          <w:sz w:val="24"/>
          <w:szCs w:val="24"/>
          <w:highlight w:val="none"/>
          <w:lang w:val="en-US" w:eastAsia="zh-CN"/>
        </w:rPr>
        <w:t>库房</w:t>
      </w:r>
      <w:r>
        <w:rPr>
          <w:rFonts w:hint="eastAsia" w:ascii="宋体" w:hAnsi="宋体" w:eastAsia="宋体" w:cs="宋体"/>
          <w:color w:val="auto"/>
          <w:sz w:val="24"/>
          <w:szCs w:val="24"/>
          <w:highlight w:val="none"/>
        </w:rPr>
        <w:t>利用</w:t>
      </w:r>
      <w:r>
        <w:rPr>
          <w:rFonts w:hint="eastAsia" w:ascii="宋体" w:hAnsi="宋体" w:eastAsia="宋体" w:cs="宋体"/>
          <w:color w:val="auto"/>
          <w:sz w:val="24"/>
          <w:szCs w:val="24"/>
          <w:highlight w:val="none"/>
          <w:lang w:eastAsia="zh-CN"/>
        </w:rPr>
        <w:t>一期已建</w:t>
      </w:r>
      <w:r>
        <w:rPr>
          <w:rFonts w:hint="eastAsia" w:ascii="宋体" w:hAnsi="宋体" w:eastAsia="宋体" w:cs="宋体"/>
          <w:color w:val="auto"/>
          <w:sz w:val="24"/>
          <w:szCs w:val="24"/>
          <w:highlight w:val="none"/>
        </w:rPr>
        <w:t>场地，</w:t>
      </w:r>
      <w:r>
        <w:rPr>
          <w:rFonts w:hint="eastAsia" w:ascii="宋体" w:hAnsi="宋体" w:eastAsia="宋体" w:cs="宋体"/>
          <w:color w:val="auto"/>
          <w:sz w:val="24"/>
          <w:szCs w:val="24"/>
          <w:highlight w:val="none"/>
          <w:lang w:val="en-US" w:eastAsia="zh-CN"/>
        </w:rPr>
        <w:t>西</w:t>
      </w:r>
      <w:r>
        <w:rPr>
          <w:rFonts w:hint="eastAsia" w:ascii="宋体" w:hAnsi="宋体" w:eastAsia="宋体" w:cs="宋体"/>
          <w:color w:val="auto"/>
          <w:sz w:val="24"/>
          <w:szCs w:val="24"/>
          <w:highlight w:val="none"/>
        </w:rPr>
        <w:t>侧与一期</w:t>
      </w:r>
      <w:r>
        <w:rPr>
          <w:rFonts w:hint="eastAsia" w:ascii="宋体" w:hAnsi="宋体" w:eastAsia="宋体" w:cs="宋体"/>
          <w:color w:val="auto"/>
          <w:sz w:val="24"/>
          <w:szCs w:val="24"/>
          <w:highlight w:val="none"/>
          <w:lang w:eastAsia="zh-CN"/>
        </w:rPr>
        <w:t>已建配餐车间</w:t>
      </w:r>
      <w:r>
        <w:rPr>
          <w:rFonts w:hint="eastAsia" w:ascii="宋体" w:hAnsi="宋体" w:eastAsia="宋体" w:cs="宋体"/>
          <w:color w:val="auto"/>
          <w:sz w:val="24"/>
          <w:szCs w:val="24"/>
          <w:highlight w:val="none"/>
        </w:rPr>
        <w:t>相邻，</w:t>
      </w:r>
      <w:r>
        <w:rPr>
          <w:rFonts w:hint="eastAsia" w:ascii="宋体" w:hAnsi="宋体" w:eastAsia="宋体" w:cs="宋体"/>
          <w:color w:val="auto"/>
          <w:sz w:val="24"/>
          <w:szCs w:val="24"/>
          <w:highlight w:val="none"/>
          <w:lang w:val="en-US" w:eastAsia="zh-CN"/>
        </w:rPr>
        <w:t>东</w:t>
      </w:r>
      <w:r>
        <w:rPr>
          <w:rFonts w:hint="eastAsia" w:ascii="宋体" w:hAnsi="宋体" w:eastAsia="宋体" w:cs="宋体"/>
          <w:color w:val="auto"/>
          <w:sz w:val="24"/>
          <w:szCs w:val="24"/>
          <w:highlight w:val="none"/>
          <w:lang w:eastAsia="zh-CN"/>
        </w:rPr>
        <w:t>侧为堆场，</w:t>
      </w:r>
      <w:r>
        <w:rPr>
          <w:rFonts w:hint="eastAsia" w:ascii="宋体" w:hAnsi="宋体" w:eastAsia="宋体" w:cs="宋体"/>
          <w:color w:val="auto"/>
          <w:sz w:val="24"/>
          <w:szCs w:val="24"/>
          <w:highlight w:val="none"/>
        </w:rPr>
        <w:t>北侧为</w:t>
      </w:r>
      <w:r>
        <w:rPr>
          <w:rFonts w:hint="eastAsia" w:ascii="宋体" w:hAnsi="宋体" w:eastAsia="宋体" w:cs="宋体"/>
          <w:color w:val="auto"/>
          <w:sz w:val="24"/>
          <w:szCs w:val="24"/>
          <w:highlight w:val="none"/>
          <w:lang w:eastAsia="zh-CN"/>
        </w:rPr>
        <w:t>一期已建码头，南侧为</w:t>
      </w:r>
      <w:r>
        <w:rPr>
          <w:rFonts w:hint="eastAsia" w:ascii="宋体" w:hAnsi="宋体" w:eastAsia="宋体" w:cs="宋体"/>
          <w:color w:val="auto"/>
          <w:sz w:val="24"/>
          <w:szCs w:val="24"/>
          <w:highlight w:val="none"/>
        </w:rPr>
        <w:t>一期</w:t>
      </w:r>
      <w:r>
        <w:rPr>
          <w:rFonts w:hint="eastAsia" w:ascii="宋体" w:hAnsi="宋体" w:eastAsia="宋体" w:cs="宋体"/>
          <w:color w:val="auto"/>
          <w:sz w:val="24"/>
          <w:szCs w:val="24"/>
          <w:highlight w:val="none"/>
          <w:lang w:eastAsia="zh-CN"/>
        </w:rPr>
        <w:t>已建库房</w:t>
      </w:r>
      <w:r>
        <w:rPr>
          <w:rFonts w:hint="eastAsia" w:ascii="宋体" w:hAnsi="宋体" w:eastAsia="宋体" w:cs="宋体"/>
          <w:color w:val="auto"/>
          <w:sz w:val="24"/>
          <w:szCs w:val="24"/>
          <w:highlight w:val="none"/>
        </w:rPr>
        <w:t>。项目用地目前已完成陆域形成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现状为堆场</w:t>
      </w:r>
      <w:r>
        <w:rPr>
          <w:rFonts w:hint="eastAsia" w:ascii="宋体" w:hAnsi="宋体" w:eastAsia="宋体" w:cs="宋体"/>
          <w:color w:val="auto"/>
          <w:sz w:val="24"/>
          <w:szCs w:val="24"/>
          <w:highlight w:val="none"/>
        </w:rPr>
        <w:t>。</w:t>
      </w:r>
    </w:p>
    <w:p>
      <w:pPr>
        <w:pStyle w:val="5"/>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350510" cy="2898775"/>
            <wp:effectExtent l="0" t="0" r="2540" b="15875"/>
            <wp:docPr id="4" name="图片 4" descr="7c242bd1ff93f88b0d9e8806d3d11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c242bd1ff93f88b0d9e8806d3d117f9"/>
                    <pic:cNvPicPr>
                      <a:picLocks noChangeAspect="1"/>
                    </pic:cNvPicPr>
                  </pic:nvPicPr>
                  <pic:blipFill>
                    <a:blip r:embed="rId11"/>
                    <a:stretch>
                      <a:fillRect/>
                    </a:stretch>
                  </pic:blipFill>
                  <pic:spPr>
                    <a:xfrm>
                      <a:off x="0" y="0"/>
                      <a:ext cx="5350510" cy="2898775"/>
                    </a:xfrm>
                    <a:prstGeom prst="rect">
                      <a:avLst/>
                    </a:prstGeom>
                  </pic:spPr>
                </pic:pic>
              </a:graphicData>
            </a:graphic>
          </wp:inline>
        </w:drawing>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本工程建设规模：</w:t>
      </w:r>
    </w:p>
    <w:p>
      <w:pPr>
        <w:spacing w:line="360" w:lineRule="auto"/>
        <w:ind w:firstLine="480" w:firstLineChars="200"/>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新建智能化</w:t>
      </w:r>
      <w:r>
        <w:rPr>
          <w:rFonts w:hint="eastAsia" w:ascii="宋体" w:hAnsi="宋体" w:cs="宋体"/>
          <w:color w:val="auto"/>
          <w:sz w:val="24"/>
          <w:szCs w:val="24"/>
          <w:highlight w:val="none"/>
          <w:lang w:val="en-US" w:eastAsia="zh-CN"/>
        </w:rPr>
        <w:t>库房</w:t>
      </w:r>
      <w:r>
        <w:rPr>
          <w:rFonts w:hint="eastAsia" w:ascii="宋体" w:hAnsi="宋体" w:eastAsia="宋体" w:cs="宋体"/>
          <w:color w:val="auto"/>
          <w:sz w:val="24"/>
          <w:szCs w:val="24"/>
          <w:highlight w:val="none"/>
          <w:lang w:val="en-US" w:eastAsia="zh-CN"/>
        </w:rPr>
        <w:t>一座,</w:t>
      </w:r>
      <w:r>
        <w:rPr>
          <w:rFonts w:hint="eastAsia" w:ascii="宋体" w:hAnsi="宋体" w:cs="宋体"/>
          <w:color w:val="auto"/>
          <w:sz w:val="24"/>
          <w:szCs w:val="24"/>
          <w:highlight w:val="none"/>
          <w:lang w:val="en-US" w:eastAsia="zh-CN"/>
        </w:rPr>
        <w:t>用</w:t>
      </w:r>
      <w:r>
        <w:rPr>
          <w:rFonts w:hint="eastAsia" w:ascii="宋体" w:hAnsi="宋体" w:eastAsia="宋体" w:cs="宋体"/>
          <w:color w:val="auto"/>
          <w:sz w:val="24"/>
          <w:szCs w:val="24"/>
          <w:highlight w:val="none"/>
          <w:lang w:val="en-US" w:eastAsia="zh-CN"/>
        </w:rPr>
        <w:t>地面积：</w:t>
      </w:r>
      <w:r>
        <w:rPr>
          <w:rFonts w:hint="eastAsia" w:ascii="宋体" w:hAnsi="宋体" w:cs="宋体"/>
          <w:color w:val="auto"/>
          <w:sz w:val="24"/>
          <w:szCs w:val="24"/>
          <w:highlight w:val="none"/>
          <w:lang w:val="en-US" w:eastAsia="zh-CN"/>
        </w:rPr>
        <w:t>8249.38</w:t>
      </w:r>
      <w:r>
        <w:rPr>
          <w:rFonts w:hint="eastAsia" w:ascii="宋体" w:hAnsi="宋体" w:eastAsia="宋体" w:cs="宋体"/>
          <w:color w:val="auto"/>
          <w:sz w:val="24"/>
          <w:szCs w:val="24"/>
          <w:highlight w:val="none"/>
          <w:lang w:val="en-US" w:eastAsia="zh-CN"/>
        </w:rPr>
        <w:t xml:space="preserve"> ㎡，建筑面积:4387.25 ㎡，建筑高度为 14.15m（柱顶），库房内设有 2 间约 65 ㎡值班室及 1 间 约 65 ㎡设备间。仓库结构型式均为门式刚架结构，耐火等级：二级，火灾危险性：戊类。</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spacing w:line="360" w:lineRule="auto"/>
        <w:ind w:left="0" w:leftChars="0" w:right="-331" w:rightChars="-138" w:firstLine="0" w:firstLineChars="0"/>
        <w:outlineLvl w:val="2"/>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工程名称</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中海石油(龙口)基地物流有限公司龙口基地三期项目</w:t>
      </w:r>
      <w:r>
        <w:rPr>
          <w:rFonts w:hint="eastAsia" w:ascii="宋体" w:hAnsi="宋体" w:cs="宋体"/>
          <w:color w:val="auto"/>
          <w:sz w:val="24"/>
          <w:szCs w:val="24"/>
          <w:highlight w:val="none"/>
          <w:lang w:val="en-US" w:eastAsia="zh-CN"/>
        </w:rPr>
        <w:t>（第二阶段）新建智能化库房工程</w:t>
      </w:r>
    </w:p>
    <w:p>
      <w:pPr>
        <w:spacing w:line="360" w:lineRule="auto"/>
        <w:ind w:left="0" w:leftChars="0" w:right="-331" w:rightChars="-138" w:firstLine="0" w:firstLineChars="0"/>
        <w:outlineLvl w:val="2"/>
        <w:rPr>
          <w:rFonts w:hint="default" w:ascii="宋体" w:hAnsi="宋体" w:eastAsia="宋体" w:cs="宋体"/>
          <w:color w:val="auto"/>
          <w:sz w:val="24"/>
          <w:szCs w:val="24"/>
          <w:highlight w:val="none"/>
          <w:lang w:val="en-US" w:eastAsia="zh-CN"/>
        </w:rPr>
      </w:pPr>
      <w:r>
        <w:rPr>
          <w:rFonts w:hint="eastAsia" w:ascii="宋体" w:hAnsi="宋体" w:cs="宋体"/>
          <w:szCs w:val="28"/>
          <w:highlight w:val="none"/>
          <w:lang w:val="en-US" w:eastAsia="zh-CN"/>
        </w:rPr>
        <w:t>工程地点：中海石油(龙口)基地物流有限公司</w:t>
      </w:r>
      <w:r>
        <w:rPr>
          <w:rFonts w:hint="eastAsia" w:ascii="宋体" w:hAnsi="宋体" w:cs="宋体"/>
          <w:szCs w:val="28"/>
          <w:highlight w:val="none"/>
        </w:rPr>
        <w:t>已建堆场内部</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建设单位：中海石油（龙口）基地物流有限公司</w:t>
      </w:r>
    </w:p>
    <w:p>
      <w:pPr>
        <w:pStyle w:val="41"/>
        <w:spacing w:line="360" w:lineRule="auto"/>
        <w:rPr>
          <w:rFonts w:hint="eastAsia" w:ascii="微软雅黑" w:hAnsi="微软雅黑" w:eastAsia="微软雅黑" w:cs="微软雅黑"/>
          <w:color w:val="auto"/>
          <w:highlight w:val="none"/>
          <w:lang w:val="en-US" w:eastAsia="zh-CN"/>
        </w:rPr>
      </w:pPr>
      <w:bookmarkStart w:id="20" w:name="_Toc2692"/>
      <w:r>
        <w:rPr>
          <w:rFonts w:hint="eastAsia" w:ascii="微软雅黑" w:hAnsi="微软雅黑" w:eastAsia="微软雅黑" w:cs="微软雅黑"/>
          <w:color w:val="auto"/>
          <w:highlight w:val="none"/>
          <w:lang w:val="en-US" w:eastAsia="zh-CN"/>
        </w:rPr>
        <w:t>现场条件及周围环境情况说明</w:t>
      </w:r>
      <w:bookmarkEnd w:id="20"/>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2.2.1</w:t>
      </w:r>
      <w:r>
        <w:rPr>
          <w:rFonts w:hint="eastAsia" w:ascii="宋体" w:hAnsi="宋体" w:eastAsia="宋体" w:cs="宋体"/>
          <w:color w:val="auto"/>
          <w:sz w:val="24"/>
          <w:szCs w:val="24"/>
          <w:highlight w:val="none"/>
          <w:lang w:val="en-US" w:eastAsia="zh-CN"/>
        </w:rPr>
        <w:t>周边建筑物与环境条件：龙口物流基地位于山东省龙口市环海中路，北侧为海域，南侧为龙口市渤海水产有限公司，西侧为养殖区，东侧为港航局大楼及区民小区。本项目位于龙口物流基地一期已建堆场内部，项目地块周边已建成综合楼、仓库、配送车间、料棚、油库及附属用房、堆场等。本次新建库房与各建、构筑物的布置均满足有关规范的安全间距要求，对本项目不产生影响。且场地陆域形成已经完成，场址现状环境良好。</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2.2.2</w:t>
      </w:r>
      <w:r>
        <w:rPr>
          <w:rFonts w:hint="eastAsia" w:ascii="宋体" w:hAnsi="宋体" w:eastAsia="宋体" w:cs="宋体"/>
          <w:color w:val="auto"/>
          <w:sz w:val="24"/>
          <w:szCs w:val="24"/>
          <w:highlight w:val="none"/>
          <w:lang w:val="en-US" w:eastAsia="zh-CN"/>
        </w:rPr>
        <w:t>交通情况：本项目位于山东省龙口市环海中路，距龙青高速公路 8.7 公里，交通便捷快速，满足项目建设的各项要求。</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2.2.3</w:t>
      </w:r>
      <w:r>
        <w:rPr>
          <w:rFonts w:hint="eastAsia" w:ascii="宋体" w:hAnsi="宋体" w:eastAsia="宋体" w:cs="宋体"/>
          <w:color w:val="auto"/>
          <w:sz w:val="24"/>
          <w:szCs w:val="24"/>
          <w:highlight w:val="none"/>
          <w:lang w:val="en-US" w:eastAsia="zh-CN"/>
        </w:rPr>
        <w:t>公共设施条件：本工程所有用电设备的配电电压均为 380/220V，电源来源于物流基地新建变电所。本工程生活给水水源由龙口物流基地给水管接管供给，生活污水及雨水接入周边已建污水及雨水系统。</w:t>
      </w:r>
    </w:p>
    <w:p>
      <w:pPr>
        <w:pStyle w:val="41"/>
        <w:spacing w:line="360" w:lineRule="auto"/>
        <w:rPr>
          <w:rFonts w:hint="eastAsia" w:ascii="微软雅黑" w:hAnsi="微软雅黑" w:eastAsia="微软雅黑" w:cs="微软雅黑"/>
          <w:color w:val="auto"/>
          <w:highlight w:val="none"/>
          <w:lang w:val="en-US" w:eastAsia="zh-CN"/>
        </w:rPr>
      </w:pPr>
      <w:bookmarkStart w:id="21" w:name="_Toc12310"/>
      <w:r>
        <w:rPr>
          <w:rFonts w:hint="eastAsia" w:ascii="微软雅黑" w:hAnsi="微软雅黑" w:eastAsia="微软雅黑" w:cs="微软雅黑"/>
          <w:color w:val="auto"/>
          <w:highlight w:val="none"/>
          <w:lang w:val="en-US" w:eastAsia="zh-CN"/>
        </w:rPr>
        <w:t>主要建、构筑物一览表</w:t>
      </w:r>
      <w:bookmarkEnd w:id="21"/>
    </w:p>
    <w:p>
      <w:pPr>
        <w:pStyle w:val="2"/>
        <w:spacing w:before="203" w:line="214" w:lineRule="auto"/>
        <w:ind w:left="128"/>
        <w:jc w:val="center"/>
        <w:rPr>
          <w:sz w:val="24"/>
          <w:szCs w:val="24"/>
          <w:highlight w:val="none"/>
        </w:rPr>
      </w:pPr>
      <w:r>
        <w:rPr>
          <w:b/>
          <w:bCs/>
          <w:spacing w:val="-1"/>
          <w:sz w:val="24"/>
          <w:szCs w:val="24"/>
          <w:highlight w:val="none"/>
        </w:rPr>
        <w:t>建筑物一览表</w:t>
      </w:r>
    </w:p>
    <w:tbl>
      <w:tblPr>
        <w:tblStyle w:val="54"/>
        <w:tblW w:w="90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2252"/>
        <w:gridCol w:w="6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05" w:type="dxa"/>
            <w:gridSpan w:val="2"/>
            <w:tcBorders>
              <w:left w:val="single" w:color="000000" w:sz="10" w:space="0"/>
            </w:tcBorders>
            <w:vAlign w:val="top"/>
          </w:tcPr>
          <w:p>
            <w:pPr>
              <w:pStyle w:val="53"/>
              <w:spacing w:before="35" w:line="208" w:lineRule="auto"/>
              <w:ind w:left="848"/>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名      称</w:t>
            </w:r>
          </w:p>
        </w:tc>
        <w:tc>
          <w:tcPr>
            <w:tcW w:w="6098" w:type="dxa"/>
            <w:tcBorders>
              <w:right w:val="single" w:color="000000" w:sz="10" w:space="0"/>
            </w:tcBorders>
            <w:vAlign w:val="top"/>
          </w:tcPr>
          <w:p>
            <w:pPr>
              <w:pStyle w:val="53"/>
              <w:spacing w:before="35" w:line="208" w:lineRule="auto"/>
              <w:ind w:left="245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智能化</w:t>
            </w:r>
            <w:r>
              <w:rPr>
                <w:rFonts w:hint="eastAsia" w:cs="宋体"/>
                <w:color w:val="auto"/>
                <w:sz w:val="24"/>
                <w:szCs w:val="24"/>
                <w:highlight w:val="none"/>
                <w:lang w:val="en-US" w:eastAsia="zh-CN" w:bidi="ar-SA"/>
              </w:rPr>
              <w:t>库房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905" w:type="dxa"/>
            <w:gridSpan w:val="2"/>
            <w:tcBorders>
              <w:left w:val="single" w:color="000000" w:sz="10" w:space="0"/>
            </w:tcBorders>
            <w:vAlign w:val="top"/>
          </w:tcPr>
          <w:p>
            <w:pPr>
              <w:pStyle w:val="53"/>
              <w:spacing w:before="35" w:line="207" w:lineRule="auto"/>
              <w:ind w:left="488"/>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建筑面积（㎡）</w:t>
            </w:r>
          </w:p>
        </w:tc>
        <w:tc>
          <w:tcPr>
            <w:tcW w:w="6098" w:type="dxa"/>
            <w:tcBorders>
              <w:right w:val="single" w:color="000000" w:sz="10" w:space="0"/>
            </w:tcBorders>
            <w:vAlign w:val="top"/>
          </w:tcPr>
          <w:p>
            <w:pPr>
              <w:spacing w:before="77" w:line="186" w:lineRule="auto"/>
              <w:ind w:left="2656"/>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4387.25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905" w:type="dxa"/>
            <w:gridSpan w:val="2"/>
            <w:tcBorders>
              <w:left w:val="single" w:color="000000" w:sz="10" w:space="0"/>
            </w:tcBorders>
            <w:vAlign w:val="top"/>
          </w:tcPr>
          <w:p>
            <w:pPr>
              <w:pStyle w:val="53"/>
              <w:spacing w:before="38" w:line="205" w:lineRule="auto"/>
              <w:ind w:left="275"/>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建筑层数、总高（m）</w:t>
            </w:r>
          </w:p>
        </w:tc>
        <w:tc>
          <w:tcPr>
            <w:tcW w:w="6098" w:type="dxa"/>
            <w:tcBorders>
              <w:right w:val="single" w:color="000000" w:sz="10" w:space="0"/>
            </w:tcBorders>
            <w:vAlign w:val="top"/>
          </w:tcPr>
          <w:p>
            <w:pPr>
              <w:pStyle w:val="53"/>
              <w:spacing w:before="38" w:line="205" w:lineRule="auto"/>
              <w:ind w:left="2107"/>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 层，总高 14.15m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05" w:type="dxa"/>
            <w:gridSpan w:val="2"/>
            <w:tcBorders>
              <w:left w:val="single" w:color="000000" w:sz="10" w:space="0"/>
            </w:tcBorders>
            <w:vAlign w:val="top"/>
          </w:tcPr>
          <w:p>
            <w:pPr>
              <w:pStyle w:val="53"/>
              <w:spacing w:before="40" w:line="204" w:lineRule="auto"/>
              <w:ind w:left="607"/>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火灾危险性分类</w:t>
            </w:r>
          </w:p>
        </w:tc>
        <w:tc>
          <w:tcPr>
            <w:tcW w:w="6098" w:type="dxa"/>
            <w:tcBorders>
              <w:right w:val="single" w:color="000000" w:sz="10" w:space="0"/>
            </w:tcBorders>
            <w:vAlign w:val="top"/>
          </w:tcPr>
          <w:p>
            <w:pPr>
              <w:pStyle w:val="53"/>
              <w:spacing w:before="40" w:line="204" w:lineRule="auto"/>
              <w:ind w:left="2814"/>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戊类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05" w:type="dxa"/>
            <w:gridSpan w:val="2"/>
            <w:tcBorders>
              <w:left w:val="single" w:color="000000" w:sz="10" w:space="0"/>
            </w:tcBorders>
            <w:vAlign w:val="top"/>
          </w:tcPr>
          <w:p>
            <w:pPr>
              <w:pStyle w:val="53"/>
              <w:spacing w:before="40" w:line="204" w:lineRule="auto"/>
              <w:ind w:left="968"/>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耐火等级</w:t>
            </w:r>
          </w:p>
        </w:tc>
        <w:tc>
          <w:tcPr>
            <w:tcW w:w="6098" w:type="dxa"/>
            <w:tcBorders>
              <w:right w:val="single" w:color="000000" w:sz="10" w:space="0"/>
            </w:tcBorders>
            <w:vAlign w:val="top"/>
          </w:tcPr>
          <w:p>
            <w:pPr>
              <w:pStyle w:val="53"/>
              <w:spacing w:before="40" w:line="204" w:lineRule="auto"/>
              <w:ind w:left="2817"/>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905" w:type="dxa"/>
            <w:gridSpan w:val="2"/>
            <w:tcBorders>
              <w:left w:val="single" w:color="000000" w:sz="10" w:space="0"/>
            </w:tcBorders>
            <w:vAlign w:val="top"/>
          </w:tcPr>
          <w:p>
            <w:pPr>
              <w:pStyle w:val="53"/>
              <w:spacing w:before="41" w:line="203" w:lineRule="auto"/>
              <w:ind w:left="72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设计使用年限</w:t>
            </w:r>
          </w:p>
        </w:tc>
        <w:tc>
          <w:tcPr>
            <w:tcW w:w="6098" w:type="dxa"/>
            <w:tcBorders>
              <w:right w:val="single" w:color="000000" w:sz="10" w:space="0"/>
            </w:tcBorders>
            <w:vAlign w:val="top"/>
          </w:tcPr>
          <w:p>
            <w:pPr>
              <w:pStyle w:val="53"/>
              <w:spacing w:before="41" w:line="203" w:lineRule="auto"/>
              <w:ind w:left="2784"/>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50 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05" w:type="dxa"/>
            <w:gridSpan w:val="2"/>
            <w:tcBorders>
              <w:left w:val="single" w:color="000000" w:sz="10" w:space="0"/>
            </w:tcBorders>
            <w:vAlign w:val="top"/>
          </w:tcPr>
          <w:p>
            <w:pPr>
              <w:pStyle w:val="53"/>
              <w:spacing w:before="43" w:line="202" w:lineRule="auto"/>
              <w:ind w:left="725"/>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抗震设防烈度</w:t>
            </w:r>
          </w:p>
        </w:tc>
        <w:tc>
          <w:tcPr>
            <w:tcW w:w="6098" w:type="dxa"/>
            <w:tcBorders>
              <w:right w:val="single" w:color="000000" w:sz="10" w:space="0"/>
            </w:tcBorders>
            <w:vAlign w:val="top"/>
          </w:tcPr>
          <w:p>
            <w:pPr>
              <w:pStyle w:val="53"/>
              <w:spacing w:before="43" w:line="202" w:lineRule="auto"/>
              <w:ind w:left="2841"/>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7 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905" w:type="dxa"/>
            <w:gridSpan w:val="2"/>
            <w:tcBorders>
              <w:left w:val="single" w:color="000000" w:sz="10" w:space="0"/>
            </w:tcBorders>
            <w:vAlign w:val="top"/>
          </w:tcPr>
          <w:p>
            <w:pPr>
              <w:pStyle w:val="53"/>
              <w:spacing w:before="43" w:line="201" w:lineRule="auto"/>
              <w:ind w:left="727"/>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主要结构选型</w:t>
            </w:r>
          </w:p>
        </w:tc>
        <w:tc>
          <w:tcPr>
            <w:tcW w:w="6098" w:type="dxa"/>
            <w:tcBorders>
              <w:right w:val="single" w:color="000000" w:sz="10" w:space="0"/>
            </w:tcBorders>
            <w:vAlign w:val="top"/>
          </w:tcPr>
          <w:p>
            <w:pPr>
              <w:pStyle w:val="53"/>
              <w:spacing w:before="43" w:line="201" w:lineRule="auto"/>
              <w:ind w:left="2691"/>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钢结构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905" w:type="dxa"/>
            <w:gridSpan w:val="2"/>
            <w:tcBorders>
              <w:left w:val="single" w:color="000000" w:sz="10" w:space="0"/>
            </w:tcBorders>
            <w:vAlign w:val="top"/>
          </w:tcPr>
          <w:p>
            <w:pPr>
              <w:pStyle w:val="53"/>
              <w:spacing w:before="42" w:line="200" w:lineRule="auto"/>
              <w:ind w:left="727"/>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屋面防水等级</w:t>
            </w:r>
          </w:p>
        </w:tc>
        <w:tc>
          <w:tcPr>
            <w:tcW w:w="6098" w:type="dxa"/>
            <w:tcBorders>
              <w:right w:val="single" w:color="000000" w:sz="10" w:space="0"/>
            </w:tcBorders>
            <w:vAlign w:val="top"/>
          </w:tcPr>
          <w:p>
            <w:pPr>
              <w:pStyle w:val="53"/>
              <w:spacing w:before="42" w:line="200" w:lineRule="auto"/>
              <w:ind w:left="2577"/>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一级防水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restart"/>
            <w:tcBorders>
              <w:left w:val="single" w:color="000000" w:sz="10" w:space="0"/>
              <w:bottom w:val="nil"/>
            </w:tcBorders>
            <w:textDirection w:val="tbRlV"/>
            <w:vAlign w:val="top"/>
          </w:tcPr>
          <w:p>
            <w:pPr>
              <w:pStyle w:val="53"/>
              <w:spacing w:before="208" w:line="209" w:lineRule="auto"/>
              <w:ind w:left="574"/>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建 筑 构 造 及 装 修</w:t>
            </w:r>
          </w:p>
        </w:tc>
        <w:tc>
          <w:tcPr>
            <w:tcW w:w="2252" w:type="dxa"/>
            <w:vAlign w:val="top"/>
          </w:tcPr>
          <w:p>
            <w:pPr>
              <w:pStyle w:val="53"/>
              <w:spacing w:before="48" w:line="198" w:lineRule="auto"/>
              <w:ind w:left="764"/>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墙  体</w:t>
            </w:r>
          </w:p>
        </w:tc>
        <w:tc>
          <w:tcPr>
            <w:tcW w:w="6098" w:type="dxa"/>
            <w:tcBorders>
              <w:right w:val="single" w:color="000000" w:sz="10" w:space="0"/>
            </w:tcBorders>
            <w:vAlign w:val="top"/>
          </w:tcPr>
          <w:p>
            <w:pPr>
              <w:pStyle w:val="53"/>
              <w:spacing w:before="48" w:line="198" w:lineRule="auto"/>
              <w:ind w:left="1014"/>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压型钢板自带油漆面、加气混凝土砌块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53" w:type="dxa"/>
            <w:vMerge w:val="continue"/>
            <w:tcBorders>
              <w:top w:val="nil"/>
              <w:left w:val="single" w:color="000000" w:sz="10" w:space="0"/>
              <w:bottom w:val="nil"/>
            </w:tcBorders>
            <w:textDirection w:val="tbRlV"/>
            <w:vAlign w:val="top"/>
          </w:tcPr>
          <w:p>
            <w:pPr>
              <w:spacing w:line="360" w:lineRule="auto"/>
              <w:outlineLvl w:val="2"/>
              <w:rPr>
                <w:rFonts w:hint="eastAsia" w:ascii="宋体" w:hAnsi="宋体" w:eastAsia="宋体" w:cs="宋体"/>
                <w:color w:val="auto"/>
                <w:sz w:val="24"/>
                <w:szCs w:val="24"/>
                <w:highlight w:val="none"/>
                <w:lang w:val="en-US" w:eastAsia="zh-CN" w:bidi="ar-SA"/>
              </w:rPr>
            </w:pPr>
          </w:p>
        </w:tc>
        <w:tc>
          <w:tcPr>
            <w:tcW w:w="2252" w:type="dxa"/>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地  面</w:t>
            </w:r>
          </w:p>
        </w:tc>
        <w:tc>
          <w:tcPr>
            <w:tcW w:w="6098" w:type="dxa"/>
            <w:tcBorders>
              <w:right w:val="single" w:color="000000" w:sz="10" w:space="0"/>
            </w:tcBorders>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混凝土地面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left w:val="single" w:color="000000" w:sz="10" w:space="0"/>
              <w:bottom w:val="nil"/>
            </w:tcBorders>
            <w:textDirection w:val="tbRlV"/>
            <w:vAlign w:val="top"/>
          </w:tcPr>
          <w:p>
            <w:pPr>
              <w:spacing w:line="360" w:lineRule="auto"/>
              <w:outlineLvl w:val="2"/>
              <w:rPr>
                <w:rFonts w:hint="eastAsia" w:ascii="宋体" w:hAnsi="宋体" w:eastAsia="宋体" w:cs="宋体"/>
                <w:color w:val="auto"/>
                <w:sz w:val="24"/>
                <w:szCs w:val="24"/>
                <w:highlight w:val="none"/>
                <w:lang w:val="en-US" w:eastAsia="zh-CN" w:bidi="ar-SA"/>
              </w:rPr>
            </w:pPr>
          </w:p>
        </w:tc>
        <w:tc>
          <w:tcPr>
            <w:tcW w:w="2252" w:type="dxa"/>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屋  面</w:t>
            </w:r>
          </w:p>
        </w:tc>
        <w:tc>
          <w:tcPr>
            <w:tcW w:w="6098" w:type="dxa"/>
            <w:tcBorders>
              <w:right w:val="single" w:color="000000" w:sz="10" w:space="0"/>
            </w:tcBorders>
            <w:vAlign w:val="top"/>
          </w:tcPr>
          <w:p>
            <w:pPr>
              <w:spacing w:line="360" w:lineRule="auto"/>
              <w:outlineLvl w:val="2"/>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压型钢板防水+pvc 防水卷材</w:t>
            </w:r>
            <w:r>
              <w:rPr>
                <w:rFonts w:hint="eastAsia" w:ascii="宋体" w:hAnsi="宋体" w:cs="宋体"/>
                <w:color w:val="auto"/>
                <w:sz w:val="24"/>
                <w:szCs w:val="24"/>
                <w:highlight w:val="none"/>
                <w:lang w:val="en-US" w:eastAsia="zh-CN" w:bidi="ar-SA"/>
              </w:rPr>
              <w:t>+光伏板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left w:val="single" w:color="000000" w:sz="10" w:space="0"/>
              <w:bottom w:val="nil"/>
            </w:tcBorders>
            <w:textDirection w:val="tbRlV"/>
            <w:vAlign w:val="top"/>
          </w:tcPr>
          <w:p>
            <w:pPr>
              <w:spacing w:line="360" w:lineRule="auto"/>
              <w:outlineLvl w:val="2"/>
              <w:rPr>
                <w:rFonts w:hint="eastAsia" w:ascii="宋体" w:hAnsi="宋体" w:eastAsia="宋体" w:cs="宋体"/>
                <w:color w:val="auto"/>
                <w:sz w:val="24"/>
                <w:szCs w:val="24"/>
                <w:highlight w:val="none"/>
                <w:lang w:val="en-US" w:eastAsia="zh-CN" w:bidi="ar-SA"/>
              </w:rPr>
            </w:pPr>
          </w:p>
        </w:tc>
        <w:tc>
          <w:tcPr>
            <w:tcW w:w="2252" w:type="dxa"/>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顶  棚</w:t>
            </w:r>
          </w:p>
        </w:tc>
        <w:tc>
          <w:tcPr>
            <w:tcW w:w="6098" w:type="dxa"/>
            <w:tcBorders>
              <w:right w:val="single" w:color="000000" w:sz="10" w:space="0"/>
            </w:tcBorders>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压型钢板自带油漆面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left w:val="single" w:color="000000" w:sz="10" w:space="0"/>
              <w:bottom w:val="nil"/>
            </w:tcBorders>
            <w:textDirection w:val="tbRlV"/>
            <w:vAlign w:val="top"/>
          </w:tcPr>
          <w:p>
            <w:pPr>
              <w:spacing w:line="360" w:lineRule="auto"/>
              <w:outlineLvl w:val="2"/>
              <w:rPr>
                <w:rFonts w:hint="eastAsia" w:ascii="宋体" w:hAnsi="宋体" w:eastAsia="宋体" w:cs="宋体"/>
                <w:color w:val="auto"/>
                <w:sz w:val="24"/>
                <w:szCs w:val="24"/>
                <w:highlight w:val="none"/>
                <w:lang w:val="en-US" w:eastAsia="zh-CN" w:bidi="ar-SA"/>
              </w:rPr>
            </w:pPr>
          </w:p>
        </w:tc>
        <w:tc>
          <w:tcPr>
            <w:tcW w:w="2252" w:type="dxa"/>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内墙面</w:t>
            </w:r>
          </w:p>
        </w:tc>
        <w:tc>
          <w:tcPr>
            <w:tcW w:w="6098" w:type="dxa"/>
            <w:tcBorders>
              <w:right w:val="single" w:color="000000" w:sz="10" w:space="0"/>
            </w:tcBorders>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压型钢板自带油漆面、无机涂料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Merge w:val="continue"/>
            <w:tcBorders>
              <w:top w:val="nil"/>
              <w:left w:val="single" w:color="000000" w:sz="10" w:space="0"/>
              <w:bottom w:val="nil"/>
            </w:tcBorders>
            <w:textDirection w:val="tbRlV"/>
            <w:vAlign w:val="top"/>
          </w:tcPr>
          <w:p>
            <w:pPr>
              <w:spacing w:line="360" w:lineRule="auto"/>
              <w:outlineLvl w:val="2"/>
              <w:rPr>
                <w:rFonts w:hint="eastAsia" w:ascii="宋体" w:hAnsi="宋体" w:eastAsia="宋体" w:cs="宋体"/>
                <w:color w:val="auto"/>
                <w:sz w:val="24"/>
                <w:szCs w:val="24"/>
                <w:highlight w:val="none"/>
                <w:lang w:val="en-US" w:eastAsia="zh-CN" w:bidi="ar-SA"/>
              </w:rPr>
            </w:pPr>
          </w:p>
        </w:tc>
        <w:tc>
          <w:tcPr>
            <w:tcW w:w="2252" w:type="dxa"/>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外墙面</w:t>
            </w:r>
          </w:p>
        </w:tc>
        <w:tc>
          <w:tcPr>
            <w:tcW w:w="6098" w:type="dxa"/>
            <w:tcBorders>
              <w:right w:val="single" w:color="000000" w:sz="10" w:space="0"/>
            </w:tcBorders>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压型钢板自带油漆面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53" w:type="dxa"/>
            <w:vMerge w:val="continue"/>
            <w:tcBorders>
              <w:top w:val="nil"/>
              <w:left w:val="single" w:color="000000" w:sz="10" w:space="0"/>
              <w:bottom w:val="nil"/>
            </w:tcBorders>
            <w:textDirection w:val="tbRlV"/>
            <w:vAlign w:val="top"/>
          </w:tcPr>
          <w:p>
            <w:pPr>
              <w:spacing w:line="360" w:lineRule="auto"/>
              <w:outlineLvl w:val="2"/>
              <w:rPr>
                <w:rFonts w:hint="eastAsia" w:ascii="宋体" w:hAnsi="宋体" w:eastAsia="宋体" w:cs="宋体"/>
                <w:color w:val="auto"/>
                <w:sz w:val="24"/>
                <w:szCs w:val="24"/>
                <w:highlight w:val="none"/>
                <w:lang w:val="en-US" w:eastAsia="zh-CN" w:bidi="ar-SA"/>
              </w:rPr>
            </w:pPr>
          </w:p>
        </w:tc>
        <w:tc>
          <w:tcPr>
            <w:tcW w:w="2252" w:type="dxa"/>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门</w:t>
            </w:r>
          </w:p>
        </w:tc>
        <w:tc>
          <w:tcPr>
            <w:tcW w:w="6098" w:type="dxa"/>
            <w:tcBorders>
              <w:right w:val="single" w:color="000000" w:sz="10" w:space="0"/>
            </w:tcBorders>
            <w:vAlign w:val="top"/>
          </w:tcPr>
          <w:p>
            <w:pPr>
              <w:spacing w:line="360" w:lineRule="auto"/>
              <w:outlineLvl w:val="2"/>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夹芯板推拉钢大门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905" w:type="dxa"/>
            <w:gridSpan w:val="2"/>
            <w:tcBorders>
              <w:left w:val="single" w:color="000000" w:sz="10" w:space="0"/>
              <w:bottom w:val="single" w:color="000000" w:sz="10" w:space="0"/>
            </w:tcBorders>
            <w:vAlign w:val="top"/>
          </w:tcPr>
          <w:p>
            <w:pPr>
              <w:pStyle w:val="53"/>
              <w:spacing w:before="57" w:line="209" w:lineRule="auto"/>
              <w:ind w:left="968"/>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备    注</w:t>
            </w:r>
          </w:p>
        </w:tc>
        <w:tc>
          <w:tcPr>
            <w:tcW w:w="6098" w:type="dxa"/>
            <w:tcBorders>
              <w:bottom w:val="single" w:color="000000" w:sz="10" w:space="0"/>
              <w:right w:val="single" w:color="000000" w:sz="10" w:space="0"/>
            </w:tcBorders>
            <w:vAlign w:val="top"/>
          </w:tcPr>
          <w:p>
            <w:pPr>
              <w:rPr>
                <w:rFonts w:hint="eastAsia" w:ascii="宋体" w:hAnsi="宋体" w:eastAsia="宋体" w:cs="宋体"/>
                <w:color w:val="auto"/>
                <w:sz w:val="24"/>
                <w:szCs w:val="24"/>
                <w:highlight w:val="none"/>
                <w:lang w:val="en-US" w:eastAsia="zh-CN" w:bidi="ar-SA"/>
              </w:rPr>
            </w:pPr>
          </w:p>
        </w:tc>
      </w:tr>
    </w:tbl>
    <w:p>
      <w:pPr>
        <w:pStyle w:val="41"/>
        <w:numPr>
          <w:ilvl w:val="1"/>
          <w:numId w:val="0"/>
        </w:numPr>
        <w:spacing w:line="360" w:lineRule="auto"/>
        <w:ind w:left="-159" w:leftChars="0"/>
        <w:rPr>
          <w:rFonts w:hint="eastAsia" w:ascii="微软雅黑" w:hAnsi="微软雅黑" w:eastAsia="微软雅黑" w:cs="微软雅黑"/>
          <w:color w:val="auto"/>
          <w:highlight w:val="none"/>
          <w:lang w:val="en-US" w:eastAsia="zh-CN"/>
        </w:rPr>
      </w:pPr>
    </w:p>
    <w:p>
      <w:pPr>
        <w:pStyle w:val="4"/>
        <w:spacing w:line="360" w:lineRule="auto"/>
        <w:rPr>
          <w:rFonts w:hint="eastAsia" w:ascii="微软雅黑" w:hAnsi="微软雅黑" w:eastAsia="微软雅黑" w:cs="微软雅黑"/>
          <w:color w:val="auto"/>
          <w:highlight w:val="none"/>
        </w:rPr>
      </w:pPr>
      <w:bookmarkStart w:id="22" w:name="_Toc6073"/>
      <w:bookmarkStart w:id="23" w:name="_Toc23414"/>
      <w:bookmarkStart w:id="24" w:name="_Toc5427"/>
      <w:bookmarkStart w:id="25" w:name="_Toc8137"/>
      <w:r>
        <w:rPr>
          <w:rFonts w:hint="eastAsia" w:ascii="微软雅黑" w:hAnsi="微软雅黑" w:eastAsia="微软雅黑" w:cs="微软雅黑"/>
          <w:color w:val="auto"/>
          <w:highlight w:val="none"/>
        </w:rPr>
        <w:t>项目主要工作内容</w:t>
      </w:r>
      <w:bookmarkEnd w:id="22"/>
      <w:bookmarkEnd w:id="23"/>
      <w:bookmarkEnd w:id="24"/>
      <w:bookmarkEnd w:id="25"/>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.1服务内容（包含但不限于）</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本工程内的全部智能化库房工程，包括：全部的土建工程（包括全部工程的材料、设备采购）和安装调试工程（包括设备采购、辅助设备及材料的采购）及其质保期内的保修和服务等。</w:t>
      </w:r>
      <w:r>
        <w:rPr>
          <w:rFonts w:hint="eastAsia" w:ascii="宋体" w:hAnsi="宋体" w:eastAsia="宋体" w:cs="宋体"/>
          <w:color w:val="auto"/>
          <w:kern w:val="0"/>
          <w:sz w:val="24"/>
          <w:szCs w:val="24"/>
          <w:highlight w:val="none"/>
          <w:lang w:eastAsia="zh-CN"/>
        </w:rPr>
        <w:t>本工程仅新建智能化库房</w:t>
      </w:r>
      <w:r>
        <w:rPr>
          <w:rFonts w:hint="eastAsia" w:ascii="宋体" w:hAnsi="宋体" w:eastAsia="宋体" w:cs="宋体"/>
          <w:color w:val="auto"/>
          <w:kern w:val="0"/>
          <w:sz w:val="24"/>
          <w:szCs w:val="24"/>
          <w:highlight w:val="none"/>
        </w:rPr>
        <w:t>一座以及其室内消防、供电、通信网络布线</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光伏发电</w:t>
      </w:r>
      <w:r>
        <w:rPr>
          <w:rFonts w:hint="eastAsia" w:ascii="宋体" w:hAnsi="宋体" w:eastAsia="宋体" w:cs="宋体"/>
          <w:color w:val="auto"/>
          <w:kern w:val="0"/>
          <w:sz w:val="24"/>
          <w:szCs w:val="24"/>
          <w:highlight w:val="none"/>
        </w:rPr>
        <w:t>等。未尽事宜，详见施工图纸等技术资料。</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技术要求书规定了本工程的基本要求，本技术要求书如果出现可能影响设计要求的遗漏，投标人应以书面形式提醒发包人注意并应提供合符规范的要求，投标人的施工过程若与本要求书的要求有偏差，应在投标书中予以说明；否则应理解为本要求书中的所有要求完全被满足。</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2.4.2本项目的施工工作范围包括但不限于以下内容：</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(1)土建工程：①本项目范围内所有的土石方工程、桩基工程、基础工程、钢筋混凝土结构工程、钢结构工程、砌体结构工程、屋面工程、地面工程、门窗工程等。②设备基础、电缆</w:t>
      </w:r>
      <w:r>
        <w:rPr>
          <w:rFonts w:hint="eastAsia" w:ascii="宋体" w:hAnsi="宋体" w:eastAsia="宋体" w:cs="宋体"/>
          <w:color w:val="auto"/>
          <w:kern w:val="0"/>
          <w:sz w:val="24"/>
          <w:szCs w:val="24"/>
          <w:highlight w:val="none"/>
          <w:lang w:eastAsia="zh-CN"/>
        </w:rPr>
        <w:t>井</w:t>
      </w:r>
      <w:r>
        <w:rPr>
          <w:rFonts w:hint="eastAsia" w:ascii="宋体" w:hAnsi="宋体" w:eastAsia="宋体" w:cs="宋体"/>
          <w:color w:val="auto"/>
          <w:kern w:val="0"/>
          <w:sz w:val="24"/>
          <w:szCs w:val="24"/>
          <w:highlight w:val="none"/>
        </w:rPr>
        <w:t>等。并满足工程《房屋建筑和市政基础设施工程竣工验收规定》建质〔2013〕171号</w:t>
      </w:r>
      <w:r>
        <w:rPr>
          <w:rFonts w:hint="eastAsia" w:ascii="宋体" w:hAnsi="宋体" w:cs="宋体"/>
          <w:color w:val="auto"/>
          <w:kern w:val="0"/>
          <w:sz w:val="24"/>
          <w:szCs w:val="24"/>
          <w:highlight w:val="none"/>
          <w:lang w:eastAsia="zh-CN"/>
        </w:rPr>
        <w:t>、《建筑工程施工质量验收统一标准》</w:t>
      </w:r>
      <w:r>
        <w:rPr>
          <w:rFonts w:hint="eastAsia" w:ascii="宋体" w:hAnsi="宋体" w:cs="宋体"/>
          <w:color w:val="auto"/>
          <w:kern w:val="0"/>
          <w:sz w:val="24"/>
          <w:szCs w:val="24"/>
          <w:highlight w:val="none"/>
          <w:lang w:eastAsia="zh-CN"/>
        </w:rPr>
        <w:tab/>
      </w:r>
      <w:r>
        <w:rPr>
          <w:rFonts w:hint="eastAsia" w:ascii="宋体" w:hAnsi="宋体" w:cs="宋体"/>
          <w:color w:val="auto"/>
          <w:kern w:val="0"/>
          <w:sz w:val="24"/>
          <w:szCs w:val="24"/>
          <w:highlight w:val="none"/>
          <w:lang w:eastAsia="zh-CN"/>
        </w:rPr>
        <w:t>GB 50300-2013</w:t>
      </w:r>
      <w:r>
        <w:rPr>
          <w:rFonts w:hint="eastAsia" w:ascii="宋体" w:hAnsi="宋体" w:eastAsia="宋体" w:cs="宋体"/>
          <w:color w:val="auto"/>
          <w:kern w:val="0"/>
          <w:sz w:val="24"/>
          <w:szCs w:val="24"/>
          <w:highlight w:val="none"/>
        </w:rPr>
        <w:t>竣工验收的管理要求。</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设备材料：除由发包人供应的材料和工程设备以外的所有设施的所有设备、材料的采购。全部设备材料均需具有相应的合格证明、检测报告，并满足工程《房屋建筑和市政基础设施工程竣工验收规定》建质〔2013〕171号竣工验收的管理要求。</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4"/>
          <w:szCs w:val="24"/>
          <w:highlight w:val="none"/>
        </w:rPr>
        <w:t>(3)机电安装工程：①单体建筑所有空调设备、各类管线、防排烟系统的安装及调试等通风空调工程，并贴敷设备标识。②单体建筑所有的排水、雨水管道、消防水系统的安装及调试等，并贴敷设备标识。③单体建筑所有电气工程，包括高低压配电工程、动力配电工程、照明工程、防雷接地工程、通信等工程等，并贴敷设备标识等。④单体建筑所有的消防工程（含消防设备及消防标识设置等），并贴敷设备标识，并完成政府备案、取证等工作。⑤单体建筑所有的防雷接地设施、建筑节能设施的安装与调试，并完成政府备案、取证等工作。⑥涉及的检测，包括：全部设备性能测试报告等；使用的材料性能测试报告等；以及</w:t>
      </w:r>
      <w:r>
        <w:rPr>
          <w:rFonts w:hint="eastAsia" w:ascii="宋体" w:hAnsi="宋体" w:eastAsia="宋体" w:cs="宋体"/>
          <w:color w:val="auto"/>
          <w:kern w:val="0"/>
          <w:sz w:val="24"/>
          <w:szCs w:val="24"/>
          <w:highlight w:val="none"/>
          <w:lang w:eastAsia="zh-CN"/>
        </w:rPr>
        <w:t>光伏</w:t>
      </w:r>
      <w:r>
        <w:rPr>
          <w:rFonts w:hint="eastAsia" w:ascii="宋体" w:hAnsi="宋体" w:eastAsia="宋体" w:cs="宋体"/>
          <w:color w:val="auto"/>
          <w:kern w:val="0"/>
          <w:sz w:val="24"/>
          <w:szCs w:val="24"/>
          <w:highlight w:val="none"/>
        </w:rPr>
        <w:t>电能测试等设计依据中涉及的全部测试项目</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并符合</w:t>
      </w:r>
      <w:r>
        <w:rPr>
          <w:rFonts w:hint="eastAsia" w:ascii="宋体" w:hAnsi="宋体" w:cs="宋体"/>
          <w:color w:val="auto"/>
          <w:highlight w:val="none"/>
        </w:rPr>
        <w:t>《建筑电气工程施工质量验收规范》GB 50303-2015</w:t>
      </w:r>
      <w:r>
        <w:rPr>
          <w:rFonts w:hint="eastAsia" w:ascii="宋体" w:hAnsi="宋体" w:cs="宋体"/>
          <w:color w:val="auto"/>
          <w:highlight w:val="none"/>
          <w:lang w:eastAsia="zh-CN"/>
        </w:rPr>
        <w:t>、</w:t>
      </w:r>
      <w:r>
        <w:rPr>
          <w:rFonts w:hint="eastAsia" w:ascii="宋体" w:hAnsi="宋体" w:cs="宋体"/>
          <w:color w:val="auto"/>
          <w:highlight w:val="none"/>
        </w:rPr>
        <w:t>《电气装置安装工程接地装置施工及验收规范》GB 50169-2016（电气设备接地要求）</w:t>
      </w:r>
      <w:r>
        <w:rPr>
          <w:rFonts w:hint="eastAsia" w:ascii="宋体" w:hAnsi="宋体" w:cs="宋体"/>
          <w:color w:val="auto"/>
          <w:highlight w:val="none"/>
          <w:lang w:eastAsia="zh-CN"/>
        </w:rPr>
        <w:t>。</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光伏发电工程。本工程要求在智能化仓库屋顶安装光伏板,建设光伏发电系统。光伏发电系统预制舱和储能设施布置在智能化仓库西侧，靠近智能化仓库布置。系统采用集中发电及“自发自用”模式建设。光伏系统采用10kV高压并入基地配电系统，由光伏组件、太阳能充放电控制器、并网型逆变器、储能设施、交流负载构成。在基地机修间旁已建变电所内新增一面10kV高压开关柜作为光伏系统电源接入点，光伏系统可为综合楼、库房、船舶岸电等提供电源</w:t>
      </w:r>
      <w:r>
        <w:rPr>
          <w:rFonts w:hint="eastAsia" w:ascii="宋体" w:hAnsi="宋体" w:cs="宋体"/>
          <w:color w:val="auto"/>
          <w:kern w:val="0"/>
          <w:sz w:val="24"/>
          <w:szCs w:val="24"/>
          <w:highlight w:val="none"/>
          <w:lang w:val="en-US" w:eastAsia="zh-CN"/>
        </w:rPr>
        <w:t>，并符合《光伏与建筑一体化发电系统验收规范》GB/T 37655-2019</w:t>
      </w:r>
      <w:r>
        <w:rPr>
          <w:rFonts w:hint="eastAsia" w:ascii="宋体" w:hAnsi="宋体" w:eastAsia="宋体" w:cs="宋体"/>
          <w:color w:val="auto"/>
          <w:kern w:val="0"/>
          <w:sz w:val="24"/>
          <w:szCs w:val="24"/>
          <w:highlight w:val="none"/>
          <w:lang w:val="en-US" w:eastAsia="zh-CN"/>
        </w:rPr>
        <w:t>。</w:t>
      </w:r>
    </w:p>
    <w:p>
      <w:pPr>
        <w:adjustRightInd w:val="0"/>
        <w:snapToGrid w:val="0"/>
        <w:spacing w:before="80" w:after="80" w:line="360" w:lineRule="auto"/>
        <w:ind w:left="0" w:leftChars="0" w:firstLine="480" w:firstLineChars="200"/>
        <w:rPr>
          <w:rFonts w:hint="eastAsia" w:ascii="宋体" w:hAnsi="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)装饰装修工程：单体建筑所有室内装修工程、室外装饰工程、室内外标识标志系统（含安全标识、</w:t>
      </w:r>
      <w:r>
        <w:rPr>
          <w:rFonts w:hint="eastAsia" w:ascii="宋体" w:hAnsi="宋体" w:cs="宋体"/>
          <w:color w:val="auto"/>
          <w:kern w:val="0"/>
          <w:sz w:val="24"/>
          <w:szCs w:val="24"/>
          <w:highlight w:val="none"/>
          <w:lang w:val="en-US" w:eastAsia="zh-CN"/>
        </w:rPr>
        <w:t>公司</w:t>
      </w:r>
      <w:r>
        <w:rPr>
          <w:rFonts w:hint="eastAsia" w:ascii="宋体" w:hAnsi="宋体" w:eastAsia="宋体" w:cs="宋体"/>
          <w:color w:val="auto"/>
          <w:kern w:val="0"/>
          <w:sz w:val="24"/>
          <w:szCs w:val="24"/>
          <w:highlight w:val="none"/>
        </w:rPr>
        <w:t>LOGO</w:t>
      </w:r>
      <w:r>
        <w:rPr>
          <w:rFonts w:hint="eastAsia" w:ascii="宋体" w:hAnsi="宋体" w:cs="宋体"/>
          <w:color w:val="auto"/>
          <w:kern w:val="0"/>
          <w:sz w:val="24"/>
          <w:szCs w:val="24"/>
          <w:highlight w:val="none"/>
          <w:lang w:val="en-US" w:eastAsia="zh-CN"/>
        </w:rPr>
        <w:t>标示</w:t>
      </w:r>
      <w:r>
        <w:rPr>
          <w:rFonts w:hint="eastAsia" w:ascii="宋体" w:hAnsi="宋体" w:eastAsia="宋体" w:cs="宋体"/>
          <w:color w:val="auto"/>
          <w:kern w:val="0"/>
          <w:sz w:val="24"/>
          <w:szCs w:val="24"/>
          <w:highlight w:val="none"/>
        </w:rPr>
        <w:t>、消防标识、门牌等）等</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发包人有权</w:t>
      </w:r>
      <w:r>
        <w:rPr>
          <w:rFonts w:hint="eastAsia" w:ascii="宋体" w:hAnsi="宋体" w:cs="宋体"/>
          <w:color w:val="auto"/>
          <w:kern w:val="0"/>
          <w:sz w:val="24"/>
          <w:szCs w:val="24"/>
          <w:highlight w:val="none"/>
          <w:lang w:val="en-US" w:eastAsia="zh-CN"/>
        </w:rPr>
        <w:t>依据</w:t>
      </w:r>
      <w:r>
        <w:rPr>
          <w:rFonts w:hint="eastAsia" w:ascii="宋体" w:hAnsi="宋体" w:eastAsia="宋体" w:cs="宋体"/>
          <w:color w:val="auto"/>
          <w:kern w:val="0"/>
          <w:sz w:val="24"/>
          <w:szCs w:val="24"/>
          <w:highlight w:val="none"/>
        </w:rPr>
        <w:t>《住宅室内装饰装修管理办法》建设部令第110号 (2011年</w:t>
      </w:r>
      <w:r>
        <w:rPr>
          <w:rFonts w:hint="eastAsia" w:ascii="宋体" w:hAnsi="宋体" w:cs="宋体"/>
          <w:color w:val="auto"/>
          <w:kern w:val="0"/>
          <w:sz w:val="24"/>
          <w:szCs w:val="24"/>
          <w:highlight w:val="none"/>
          <w:lang w:eastAsia="zh-CN"/>
        </w:rPr>
        <w:t>修正)、《建筑装饰装修工程质量验收标准》</w:t>
      </w:r>
      <w:r>
        <w:rPr>
          <w:rFonts w:hint="default" w:ascii="宋体" w:hAnsi="宋体" w:cs="宋体"/>
          <w:color w:val="auto"/>
          <w:kern w:val="0"/>
          <w:sz w:val="24"/>
          <w:szCs w:val="24"/>
          <w:highlight w:val="none"/>
          <w:lang w:eastAsia="zh-CN"/>
        </w:rPr>
        <w:t>(GB 50210-2018)</w:t>
      </w:r>
      <w:r>
        <w:rPr>
          <w:rFonts w:hint="eastAsia" w:ascii="宋体" w:hAnsi="宋体" w:cs="宋体"/>
          <w:color w:val="auto"/>
          <w:kern w:val="0"/>
          <w:sz w:val="24"/>
          <w:szCs w:val="24"/>
          <w:highlight w:val="none"/>
          <w:lang w:eastAsia="zh-CN"/>
        </w:rPr>
        <w:t>对全部检测结果进行抽检。</w:t>
      </w:r>
    </w:p>
    <w:p>
      <w:pPr>
        <w:adjustRightInd w:val="0"/>
        <w:snapToGrid w:val="0"/>
        <w:spacing w:before="80" w:after="80" w:line="360" w:lineRule="auto"/>
        <w:ind w:left="0" w:leftChars="0"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(6)配合进行消防、安全、环保、防雷等专业验收，</w:t>
      </w:r>
      <w:r>
        <w:rPr>
          <w:rFonts w:hint="eastAsia" w:ascii="宋体" w:hAnsi="宋体" w:eastAsia="宋体" w:cs="宋体"/>
          <w:color w:val="auto"/>
          <w:kern w:val="0"/>
          <w:sz w:val="24"/>
          <w:szCs w:val="24"/>
          <w:highlight w:val="none"/>
        </w:rPr>
        <w:t>并满足工程</w:t>
      </w:r>
      <w:r>
        <w:rPr>
          <w:rFonts w:hint="eastAsia" w:ascii="宋体" w:hAnsi="宋体" w:eastAsia="宋体" w:cs="宋体"/>
          <w:color w:val="auto"/>
          <w:kern w:val="0"/>
          <w:sz w:val="24"/>
          <w:szCs w:val="24"/>
          <w:highlight w:val="none"/>
          <w:lang w:val="en-US" w:eastAsia="zh-CN" w:bidi="ar-SA"/>
        </w:rPr>
        <w:t>《建设项目竣工环境保护验收暂行办法》国环规环评〔2017〕4号</w:t>
      </w: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职业卫生(建设项目职业病危害预评价技术标准》(GBZ/T 196—2025))</w:t>
      </w: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《建筑物雷电防护装置检测技术规范》GB/T 21431-2023</w:t>
      </w: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《建设工程消防设计审查验收管理暂行规定》</w:t>
      </w:r>
      <w:r>
        <w:rPr>
          <w:rFonts w:hint="default" w:ascii="宋体" w:hAnsi="宋体" w:eastAsia="宋体" w:cs="宋体"/>
          <w:color w:val="auto"/>
          <w:kern w:val="0"/>
          <w:sz w:val="24"/>
          <w:szCs w:val="24"/>
          <w:highlight w:val="none"/>
          <w:lang w:val="en-US" w:eastAsia="zh-CN" w:bidi="ar-SA"/>
        </w:rPr>
        <w:t>(住建部令第51号)</w:t>
      </w: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建设工程施工现场消防安全技术规范》GB 50720-2011）</w:t>
      </w:r>
      <w:r>
        <w:rPr>
          <w:rFonts w:hint="eastAsia" w:ascii="宋体" w:hAnsi="宋体" w:eastAsia="宋体" w:cs="宋体"/>
          <w:color w:val="auto"/>
          <w:kern w:val="0"/>
          <w:sz w:val="24"/>
          <w:szCs w:val="24"/>
          <w:highlight w:val="none"/>
        </w:rPr>
        <w:t>验收的要求。</w:t>
      </w:r>
      <w:r>
        <w:rPr>
          <w:rFonts w:hint="eastAsia" w:ascii="宋体" w:hAnsi="宋体" w:eastAsia="宋体" w:cs="宋体"/>
          <w:color w:val="auto"/>
          <w:kern w:val="0"/>
          <w:sz w:val="24"/>
          <w:szCs w:val="24"/>
          <w:highlight w:val="none"/>
          <w:lang w:val="en-US" w:eastAsia="zh-CN" w:bidi="ar-SA"/>
        </w:rPr>
        <w:t>按照项目所在地监管部门要求提供验收资料</w:t>
      </w: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负责编制竣工资料和竣工图纸，按照档案管理部门</w:t>
      </w:r>
      <w:r>
        <w:rPr>
          <w:rFonts w:hint="eastAsia" w:ascii="宋体" w:hAnsi="宋体" w:cs="宋体"/>
          <w:color w:val="auto"/>
          <w:kern w:val="0"/>
          <w:sz w:val="24"/>
          <w:szCs w:val="24"/>
          <w:highlight w:val="none"/>
          <w:lang w:val="en-US" w:eastAsia="zh-CN" w:bidi="ar-SA"/>
        </w:rPr>
        <w:t>相关规定</w:t>
      </w:r>
      <w:r>
        <w:rPr>
          <w:rFonts w:hint="eastAsia" w:ascii="宋体" w:hAnsi="宋体" w:cs="宋体"/>
          <w:color w:val="auto"/>
          <w:highlight w:val="none"/>
        </w:rPr>
        <w:t>资料编制需符合《建筑工程施工质量验收统一标准》GB 50300-2013分部分项划分要求；</w:t>
      </w:r>
      <w:r>
        <w:rPr>
          <w:rFonts w:hint="eastAsia" w:ascii="宋体" w:hAnsi="宋体" w:eastAsia="宋体" w:cs="宋体"/>
          <w:color w:val="auto"/>
          <w:kern w:val="0"/>
          <w:sz w:val="24"/>
          <w:szCs w:val="24"/>
          <w:highlight w:val="none"/>
          <w:lang w:val="en-US" w:eastAsia="zh-CN" w:bidi="ar-SA"/>
        </w:rPr>
        <w:t>和发包人的要求进行归档和装订。配合发包人进行竣工资料验收</w:t>
      </w: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负责编制城建档案资料和城建竣工图纸，</w:t>
      </w:r>
      <w:r>
        <w:rPr>
          <w:rFonts w:hint="eastAsia" w:ascii="宋体" w:hAnsi="宋体" w:cs="宋体"/>
          <w:color w:val="auto"/>
          <w:kern w:val="0"/>
          <w:sz w:val="24"/>
          <w:szCs w:val="24"/>
          <w:highlight w:val="none"/>
          <w:lang w:val="en-US" w:eastAsia="zh-CN" w:bidi="ar-SA"/>
        </w:rPr>
        <w:t>满足</w:t>
      </w:r>
      <w:r>
        <w:rPr>
          <w:rFonts w:hint="eastAsia" w:ascii="宋体" w:hAnsi="宋体" w:eastAsia="宋体" w:cs="宋体"/>
          <w:color w:val="auto"/>
          <w:kern w:val="0"/>
          <w:sz w:val="24"/>
          <w:szCs w:val="24"/>
          <w:highlight w:val="none"/>
          <w:lang w:val="en-US" w:eastAsia="zh-CN" w:bidi="ar-SA"/>
        </w:rPr>
        <w:t>《城市建设档案管理规定》住房和城乡建设部令第47号</w:t>
      </w:r>
      <w:r>
        <w:rPr>
          <w:rFonts w:hint="eastAsia" w:ascii="宋体" w:hAnsi="宋体" w:cs="宋体"/>
          <w:color w:val="auto"/>
          <w:kern w:val="0"/>
          <w:sz w:val="24"/>
          <w:szCs w:val="24"/>
          <w:highlight w:val="none"/>
          <w:lang w:val="en-US" w:eastAsia="zh-CN" w:bidi="ar-SA"/>
        </w:rPr>
        <w:t>、《建设工程文件归档规范》GB/T 50328-2014档案资料验收的要求，并</w:t>
      </w:r>
      <w:r>
        <w:rPr>
          <w:rFonts w:hint="eastAsia" w:ascii="宋体" w:hAnsi="宋体" w:eastAsia="宋体" w:cs="宋体"/>
          <w:color w:val="auto"/>
          <w:kern w:val="0"/>
          <w:sz w:val="24"/>
          <w:szCs w:val="24"/>
          <w:highlight w:val="none"/>
          <w:lang w:val="en-US" w:eastAsia="zh-CN" w:bidi="ar-SA"/>
        </w:rPr>
        <w:t>按照建设项目所在地城建档案管理部门的要求配合发包人进行城建档案资料归档验收工作。</w:t>
      </w:r>
    </w:p>
    <w:p>
      <w:pPr>
        <w:pStyle w:val="35"/>
        <w:numPr>
          <w:ilvl w:val="0"/>
          <w:numId w:val="0"/>
        </w:numPr>
        <w:spacing w:before="62" w:after="62" w:line="360" w:lineRule="auto"/>
        <w:ind w:leftChars="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w:t>
      </w:r>
      <w:r>
        <w:rPr>
          <w:rFonts w:hint="eastAsia" w:ascii="宋体" w:hAnsi="宋体" w:eastAsia="宋体" w:cs="宋体"/>
          <w:color w:val="auto"/>
          <w:highlight w:val="none"/>
          <w:lang w:val="en-US" w:eastAsia="zh-CN"/>
        </w:rPr>
        <w:t>根据龙口市当地政府政策及相关要求进行安全文明措施实施，例如洗车池、降尘措施、建筑垃圾及淤泥外运合规处理等</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lang w:val="en-US" w:eastAsia="zh-CN"/>
        </w:rPr>
        <w:t>。自行考虑施工工程中相关施工措施并承担费用，例如排水降水、挖坑槽的支护、吊装作业、主电缆铺设安全措施、地基处理造成的翻浆等。</w:t>
      </w:r>
    </w:p>
    <w:p>
      <w:pPr>
        <w:pStyle w:val="35"/>
        <w:numPr>
          <w:ilvl w:val="0"/>
          <w:numId w:val="0"/>
        </w:numPr>
        <w:spacing w:before="62" w:after="62" w:line="360" w:lineRule="auto"/>
        <w:ind w:leftChars="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w:t>
      </w:r>
      <w:r>
        <w:rPr>
          <w:rFonts w:hint="eastAsia" w:ascii="宋体" w:hAnsi="宋体" w:eastAsia="宋体" w:cs="宋体"/>
          <w:color w:val="auto"/>
          <w:highlight w:val="none"/>
          <w:lang w:val="en-US" w:eastAsia="zh-CN"/>
        </w:rPr>
        <w:t>临水、临电、临建根据现场施工需求与甲方或政府相关部门提供接驳位置进行接驳施工及办理相关手续</w:t>
      </w:r>
      <w:r>
        <w:rPr>
          <w:rFonts w:hint="eastAsia" w:ascii="宋体" w:hAnsi="宋体" w:cs="宋体"/>
          <w:color w:val="auto"/>
          <w:highlight w:val="none"/>
          <w:lang w:val="en-US" w:eastAsia="zh-CN"/>
        </w:rPr>
        <w:t>，并遵守</w:t>
      </w:r>
      <w:r>
        <w:rPr>
          <w:rFonts w:hint="eastAsia" w:ascii="宋体" w:hAnsi="宋体" w:eastAsia="宋体" w:cs="宋体"/>
          <w:color w:val="auto"/>
          <w:highlight w:val="none"/>
          <w:lang w:val="en-US" w:eastAsia="zh-CN"/>
        </w:rPr>
        <w:t>《消防给水及消火栓系统技术规范》GB 50974-2014、《建设工程施工现场供用电安全规范》</w:t>
      </w:r>
      <w:r>
        <w:rPr>
          <w:rFonts w:hint="default" w:ascii="宋体" w:hAnsi="宋体" w:eastAsia="宋体" w:cs="宋体"/>
          <w:color w:val="auto"/>
          <w:highlight w:val="none"/>
          <w:lang w:val="en-US" w:eastAsia="zh-CN"/>
        </w:rPr>
        <w:t>(GB 50194-2014)</w:t>
      </w:r>
      <w:r>
        <w:rPr>
          <w:rFonts w:hint="eastAsia" w:ascii="宋体" w:hAnsi="宋体" w:eastAsia="宋体" w:cs="宋体"/>
          <w:color w:val="auto"/>
          <w:highlight w:val="none"/>
          <w:lang w:val="en-US" w:eastAsia="zh-CN"/>
        </w:rPr>
        <w:t>、《建设工程施工现场环境与卫生标准》</w:t>
      </w:r>
      <w:r>
        <w:rPr>
          <w:rFonts w:hint="default" w:ascii="宋体" w:hAnsi="宋体" w:eastAsia="宋体" w:cs="宋体"/>
          <w:color w:val="auto"/>
          <w:highlight w:val="none"/>
          <w:lang w:val="en-US" w:eastAsia="zh-CN"/>
        </w:rPr>
        <w:t>(JGJ 146-2013)</w:t>
      </w:r>
      <w:r>
        <w:rPr>
          <w:rFonts w:hint="eastAsia" w:ascii="宋体" w:hAnsi="宋体" w:cs="宋体"/>
          <w:color w:val="auto"/>
          <w:highlight w:val="none"/>
          <w:lang w:val="en-US" w:eastAsia="zh-CN"/>
        </w:rPr>
        <w:t>要求</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w:t>
      </w:r>
      <w:r>
        <w:rPr>
          <w:rFonts w:hint="eastAsia" w:ascii="宋体" w:hAnsi="宋体" w:eastAsia="宋体" w:cs="宋体"/>
          <w:color w:val="auto"/>
          <w:highlight w:val="none"/>
          <w:lang w:val="en-US" w:eastAsia="zh-CN"/>
        </w:rPr>
        <w:t>甲方委托乙方负责相关政府手续(如安全环保手续办理、防雷验收，临电，消防验收之类的工作)，</w:t>
      </w:r>
      <w:r>
        <w:rPr>
          <w:rFonts w:hint="eastAsia" w:ascii="宋体" w:hAnsi="宋体" w:cs="宋体"/>
          <w:color w:val="auto"/>
          <w:highlight w:val="none"/>
        </w:rPr>
        <w:t>消防验收需满足《消防给水及消火栓系统技术规范》GB 50974-2014；防雷验收依据《建筑电气工程施工质量验收规范》GB 50303-2015</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临电</w:t>
      </w:r>
      <w:r>
        <w:rPr>
          <w:rFonts w:hint="eastAsia" w:ascii="宋体" w:hAnsi="宋体" w:cs="宋体"/>
          <w:color w:val="auto"/>
          <w:highlight w:val="none"/>
        </w:rPr>
        <w:t>验收需满足</w:t>
      </w:r>
      <w:r>
        <w:rPr>
          <w:rFonts w:hint="eastAsia" w:ascii="宋体" w:hAnsi="宋体" w:cs="宋体"/>
          <w:color w:val="auto"/>
          <w:highlight w:val="none"/>
          <w:lang w:eastAsia="zh-CN"/>
        </w:rPr>
        <w:t>《施工现场临时用电安全技术规范》JGJ 46-2005</w:t>
      </w:r>
      <w:r>
        <w:rPr>
          <w:rFonts w:hint="eastAsia" w:ascii="宋体" w:hAnsi="宋体" w:eastAsia="宋体" w:cs="宋体"/>
          <w:color w:val="auto"/>
          <w:highlight w:val="none"/>
          <w:lang w:val="en-US" w:eastAsia="zh-CN"/>
        </w:rPr>
        <w:t>费用乙方自理，并按照项目所在地监管部门要求提供验收资料。</w:t>
      </w:r>
    </w:p>
    <w:p>
      <w:pPr>
        <w:pStyle w:val="35"/>
        <w:numPr>
          <w:ilvl w:val="0"/>
          <w:numId w:val="0"/>
        </w:numPr>
        <w:spacing w:before="62" w:after="62" w:line="360" w:lineRule="auto"/>
        <w:ind w:leftChars="0" w:firstLine="480" w:firstLineChars="200"/>
        <w:rPr>
          <w:rFonts w:hint="eastAsia" w:ascii="宋体" w:hAnsi="宋体" w:cs="宋体"/>
          <w:color w:val="auto"/>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w:t>
      </w:r>
      <w:r>
        <w:rPr>
          <w:rFonts w:hint="eastAsia" w:ascii="宋体" w:hAnsi="宋体" w:cs="宋体"/>
          <w:color w:val="auto"/>
          <w:highlight w:val="none"/>
          <w:lang w:val="en-US" w:eastAsia="zh-CN"/>
        </w:rPr>
        <w:t>完成本工程施工图纸及工程量清单全部工作内容，并完成给排水、消防、电气、避雷等与室外工程接驳工作。</w:t>
      </w:r>
    </w:p>
    <w:p>
      <w:pPr>
        <w:pStyle w:val="35"/>
        <w:numPr>
          <w:ilvl w:val="0"/>
          <w:numId w:val="0"/>
        </w:numPr>
        <w:spacing w:before="62" w:after="62" w:line="360" w:lineRule="auto"/>
        <w:ind w:leftChars="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（11）本工程材料和主体试验、检验的要求：符合国家</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建设工程质量检测管理办法</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住房和城乡建设部令第57号）及</w:t>
      </w:r>
      <w:r>
        <w:rPr>
          <w:rFonts w:hint="eastAsia" w:ascii="宋体" w:hAnsi="宋体" w:cs="宋体"/>
          <w:color w:val="auto"/>
          <w:highlight w:val="none"/>
          <w:lang w:val="en-US" w:eastAsia="zh-CN"/>
        </w:rPr>
        <w:t>行业</w:t>
      </w:r>
      <w:r>
        <w:rPr>
          <w:rFonts w:hint="eastAsia" w:ascii="宋体" w:hAnsi="宋体" w:eastAsia="宋体" w:cs="宋体"/>
          <w:color w:val="auto"/>
          <w:highlight w:val="none"/>
          <w:lang w:val="en-US" w:eastAsia="zh-CN"/>
        </w:rPr>
        <w:t>规范要求《建筑工程质量检测技术管理规范》（GB 50618-2011）;</w:t>
      </w:r>
      <w:bookmarkStart w:id="26" w:name="OLE_LINK1"/>
      <w:r>
        <w:rPr>
          <w:rFonts w:hint="eastAsia" w:ascii="宋体" w:hAnsi="宋体" w:eastAsia="宋体" w:cs="宋体"/>
          <w:color w:val="auto"/>
          <w:highlight w:val="none"/>
          <w:lang w:val="en-US" w:eastAsia="zh-CN"/>
        </w:rPr>
        <w:t>《混凝土强度检验评定标准》（GB/T 50107-2010）《钢结构现场检测技术标准》（GB/T 50621-2010）《焊缝无损检测超声检测技术、检测等级和评定》（GB/T 11345-2013）《焊缝无损检测超声检测技术、检测等级和评定》（GB/T 11345-2013）《建筑基桩检测技术规范》（JGJ 106-2014）《建筑地基处理技术规范》（JGJ 79-2012）</w:t>
      </w:r>
      <w:bookmarkEnd w:id="26"/>
      <w:r>
        <w:rPr>
          <w:rFonts w:hint="eastAsia" w:ascii="宋体" w:hAnsi="宋体" w:eastAsia="宋体" w:cs="宋体"/>
          <w:color w:val="auto"/>
          <w:highlight w:val="none"/>
          <w:lang w:val="en-US" w:eastAsia="zh-CN"/>
        </w:rPr>
        <w:t>。本工程发包人</w:t>
      </w:r>
      <w:r>
        <w:rPr>
          <w:rFonts w:hint="eastAsia" w:ascii="宋体" w:hAnsi="宋体" w:cs="宋体"/>
          <w:color w:val="auto"/>
          <w:highlight w:val="none"/>
          <w:lang w:val="en-US" w:eastAsia="zh-CN"/>
        </w:rPr>
        <w:t>将</w:t>
      </w:r>
      <w:r>
        <w:rPr>
          <w:rFonts w:hint="eastAsia" w:ascii="宋体" w:hAnsi="宋体" w:eastAsia="宋体" w:cs="宋体"/>
          <w:color w:val="auto"/>
          <w:highlight w:val="none"/>
          <w:lang w:val="en-US" w:eastAsia="zh-CN"/>
        </w:rPr>
        <w:t>委托</w:t>
      </w:r>
      <w:r>
        <w:rPr>
          <w:rFonts w:hint="eastAsia" w:ascii="宋体" w:hAnsi="宋体" w:cs="宋体"/>
          <w:color w:val="auto"/>
          <w:highlight w:val="none"/>
          <w:lang w:val="en-US" w:eastAsia="zh-CN"/>
        </w:rPr>
        <w:t>有资质的</w:t>
      </w:r>
      <w:r>
        <w:rPr>
          <w:rFonts w:hint="eastAsia" w:ascii="宋体" w:hAnsi="宋体" w:eastAsia="宋体" w:cs="宋体"/>
          <w:color w:val="auto"/>
          <w:highlight w:val="none"/>
          <w:lang w:val="en-US" w:eastAsia="zh-CN"/>
        </w:rPr>
        <w:t>第三方</w:t>
      </w:r>
      <w:r>
        <w:rPr>
          <w:rFonts w:hint="eastAsia" w:ascii="宋体" w:hAnsi="宋体" w:cs="宋体"/>
          <w:color w:val="auto"/>
          <w:highlight w:val="none"/>
          <w:lang w:val="en-US" w:eastAsia="zh-CN"/>
        </w:rPr>
        <w:t>检测</w:t>
      </w:r>
      <w:r>
        <w:rPr>
          <w:rFonts w:hint="eastAsia" w:ascii="宋体" w:hAnsi="宋体" w:eastAsia="宋体" w:cs="宋体"/>
          <w:color w:val="auto"/>
          <w:highlight w:val="none"/>
          <w:lang w:val="en-US" w:eastAsia="zh-CN"/>
        </w:rPr>
        <w:t>单位</w:t>
      </w:r>
      <w:r>
        <w:rPr>
          <w:rFonts w:hint="eastAsia" w:ascii="宋体" w:hAnsi="宋体" w:cs="宋体"/>
          <w:color w:val="auto"/>
          <w:highlight w:val="none"/>
          <w:lang w:val="en-US" w:eastAsia="zh-CN"/>
        </w:rPr>
        <w:t>对原材料、构配件、试块、工程结构实体（钢结构、桩基）</w:t>
      </w:r>
      <w:r>
        <w:rPr>
          <w:rFonts w:hint="default" w:ascii="宋体" w:hAnsi="宋体" w:cs="宋体"/>
          <w:color w:val="auto"/>
          <w:highlight w:val="none"/>
          <w:lang w:val="en-US" w:eastAsia="zh-CN"/>
        </w:rPr>
        <w:t>进行</w:t>
      </w:r>
      <w:r>
        <w:rPr>
          <w:rFonts w:hint="eastAsia" w:ascii="宋体" w:hAnsi="宋体" w:cs="宋体"/>
          <w:color w:val="auto"/>
          <w:highlight w:val="none"/>
          <w:lang w:val="en-US" w:eastAsia="zh-CN"/>
        </w:rPr>
        <w:t>相应</w:t>
      </w:r>
      <w:r>
        <w:rPr>
          <w:rFonts w:hint="default" w:ascii="宋体" w:hAnsi="宋体" w:cs="宋体"/>
          <w:color w:val="auto"/>
          <w:highlight w:val="none"/>
          <w:lang w:val="en-US" w:eastAsia="zh-CN"/>
        </w:rPr>
        <w:t>检测</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坚持“先检后用”，严禁未检先用。</w:t>
      </w:r>
      <w:r>
        <w:rPr>
          <w:rFonts w:hint="eastAsia" w:ascii="宋体" w:hAnsi="宋体" w:cs="宋体"/>
          <w:color w:val="auto"/>
          <w:highlight w:val="none"/>
          <w:lang w:val="en-US" w:eastAsia="zh-CN"/>
        </w:rPr>
        <w:t>最终以</w:t>
      </w:r>
      <w:r>
        <w:rPr>
          <w:rFonts w:hint="eastAsia" w:ascii="宋体" w:hAnsi="宋体" w:eastAsia="宋体" w:cs="宋体"/>
          <w:color w:val="auto"/>
          <w:highlight w:val="none"/>
          <w:lang w:val="en-US" w:eastAsia="zh-CN"/>
        </w:rPr>
        <w:t>发包人委托的检测机构出具的检测报告</w:t>
      </w:r>
      <w:r>
        <w:rPr>
          <w:rFonts w:hint="eastAsia" w:ascii="宋体" w:hAnsi="宋体" w:cs="宋体"/>
          <w:color w:val="auto"/>
          <w:highlight w:val="none"/>
          <w:lang w:val="en-US" w:eastAsia="zh-CN"/>
        </w:rPr>
        <w:t>作为</w:t>
      </w:r>
      <w:r>
        <w:rPr>
          <w:rFonts w:hint="eastAsia" w:ascii="宋体" w:hAnsi="宋体" w:eastAsia="宋体" w:cs="宋体"/>
          <w:color w:val="auto"/>
          <w:highlight w:val="none"/>
          <w:lang w:val="en-US" w:eastAsia="zh-CN"/>
        </w:rPr>
        <w:t>判定材料、工序或实体质量是否满足设计和规范要求</w:t>
      </w:r>
      <w:r>
        <w:rPr>
          <w:rFonts w:hint="eastAsia" w:ascii="宋体" w:hAnsi="宋体" w:cs="宋体"/>
          <w:color w:val="auto"/>
          <w:highlight w:val="none"/>
          <w:lang w:val="en-US" w:eastAsia="zh-CN"/>
        </w:rPr>
        <w:t>的依据</w:t>
      </w:r>
      <w:r>
        <w:rPr>
          <w:rFonts w:hint="eastAsia" w:ascii="宋体" w:hAnsi="宋体" w:eastAsia="宋体" w:cs="宋体"/>
          <w:color w:val="auto"/>
          <w:highlight w:val="none"/>
          <w:lang w:val="en-US" w:eastAsia="zh-CN"/>
        </w:rPr>
        <w:t>。</w:t>
      </w:r>
    </w:p>
    <w:p>
      <w:pPr>
        <w:pStyle w:val="35"/>
        <w:numPr>
          <w:ilvl w:val="0"/>
          <w:numId w:val="0"/>
        </w:numPr>
        <w:spacing w:before="62" w:after="62" w:line="360" w:lineRule="auto"/>
        <w:ind w:leftChars="0"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（12）根据山东省烟台市龙口市政府相关职能部门的规定，在智能化库房工程</w:t>
      </w:r>
      <w:r>
        <w:rPr>
          <w:rFonts w:hint="eastAsia" w:ascii="宋体" w:hAnsi="宋体" w:cs="宋体"/>
          <w:color w:val="auto"/>
          <w:highlight w:val="none"/>
          <w:lang w:val="en-US" w:eastAsia="zh-CN"/>
        </w:rPr>
        <w:t>完工</w:t>
      </w:r>
      <w:r>
        <w:rPr>
          <w:rFonts w:hint="eastAsia" w:ascii="宋体" w:hAnsi="宋体" w:eastAsia="宋体" w:cs="宋体"/>
          <w:color w:val="auto"/>
          <w:highlight w:val="none"/>
          <w:lang w:val="en-US" w:eastAsia="zh-CN"/>
        </w:rPr>
        <w:t>后，</w:t>
      </w:r>
      <w:r>
        <w:rPr>
          <w:rFonts w:hint="default" w:ascii="宋体" w:hAnsi="宋体" w:eastAsia="宋体" w:cs="宋体"/>
          <w:color w:val="auto"/>
          <w:highlight w:val="none"/>
          <w:lang w:val="en-US" w:eastAsia="zh-CN"/>
        </w:rPr>
        <w:t>施工单位作为验收责任主体，须全面负责完成所有专项验收的报验、检测、整改与通过工作。此项责任包括但不限于：自行组织或委托具备相应资质的第三方机构进行消防、防雷、雨污水、电气等检测</w:t>
      </w:r>
      <w:r>
        <w:rPr>
          <w:rFonts w:hint="default" w:ascii="宋体" w:hAnsi="宋体" w:eastAsia="宋体" w:cs="宋体"/>
          <w:color w:val="auto"/>
          <w:highlight w:val="none"/>
          <w:lang w:val="en-US" w:eastAsia="zh-CN"/>
        </w:rPr>
        <w:t>，并确保检测结果合格；独立向规划、住建、消防等主管部门提报验收申请与全套技术资料；全程</w:t>
      </w:r>
      <w:r>
        <w:rPr>
          <w:rFonts w:hint="eastAsia" w:ascii="宋体" w:hAnsi="宋体" w:cs="宋体"/>
          <w:color w:val="auto"/>
          <w:highlight w:val="none"/>
          <w:lang w:val="en-US" w:eastAsia="zh-CN"/>
        </w:rPr>
        <w:t>配合</w:t>
      </w:r>
      <w:r>
        <w:rPr>
          <w:rFonts w:hint="default" w:ascii="宋体" w:hAnsi="宋体" w:eastAsia="宋体" w:cs="宋体"/>
          <w:color w:val="auto"/>
          <w:highlight w:val="none"/>
          <w:lang w:val="en-US" w:eastAsia="zh-CN"/>
        </w:rPr>
        <w:t>政府人员完成现场查验，并对验收过程中提出的问题无条件进行整改，直至最终取得各项政府出具的合格证明文件或备案凭证，确保项目整体通过</w:t>
      </w:r>
      <w:r>
        <w:rPr>
          <w:rFonts w:hint="eastAsia" w:ascii="宋体" w:hAnsi="宋体" w:cs="宋体"/>
          <w:color w:val="auto"/>
          <w:highlight w:val="none"/>
          <w:lang w:val="en-US" w:eastAsia="zh-CN"/>
        </w:rPr>
        <w:t>政府</w:t>
      </w:r>
      <w:r>
        <w:rPr>
          <w:rFonts w:hint="default" w:ascii="宋体" w:hAnsi="宋体" w:eastAsia="宋体" w:cs="宋体"/>
          <w:color w:val="auto"/>
          <w:highlight w:val="none"/>
          <w:lang w:val="en-US" w:eastAsia="zh-CN"/>
        </w:rPr>
        <w:t>验收。</w:t>
      </w:r>
    </w:p>
    <w:p>
      <w:pPr>
        <w:spacing w:line="360" w:lineRule="auto"/>
        <w:outlineLvl w:val="2"/>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3施工各阶段的主要工作内容</w:t>
      </w:r>
    </w:p>
    <w:p>
      <w:pPr>
        <w:pStyle w:val="35"/>
        <w:numPr>
          <w:ilvl w:val="0"/>
          <w:numId w:val="0"/>
        </w:numPr>
        <w:spacing w:before="62" w:after="62" w:line="360" w:lineRule="auto"/>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b/>
          <w:bCs/>
          <w:color w:val="auto"/>
          <w:highlight w:val="none"/>
          <w:lang w:val="en-US" w:eastAsia="zh-CN"/>
        </w:rPr>
        <w:t>施工准备阶段</w:t>
      </w:r>
      <w:r>
        <w:rPr>
          <w:rFonts w:hint="eastAsia" w:ascii="宋体" w:hAnsi="宋体" w:eastAsia="宋体" w:cs="宋体"/>
          <w:color w:val="auto"/>
          <w:highlight w:val="none"/>
          <w:lang w:val="en-US" w:eastAsia="zh-CN"/>
        </w:rPr>
        <w:t>：按工程建设进度，编制</w:t>
      </w:r>
      <w:r>
        <w:rPr>
          <w:rFonts w:hint="eastAsia" w:ascii="宋体" w:hAnsi="宋体" w:cs="宋体"/>
          <w:color w:val="auto"/>
          <w:highlight w:val="none"/>
          <w:lang w:val="en-US" w:eastAsia="zh-CN"/>
        </w:rPr>
        <w:t>《施工组织设计》、</w:t>
      </w:r>
      <w:r>
        <w:rPr>
          <w:rFonts w:hint="eastAsia" w:ascii="宋体" w:hAnsi="宋体" w:eastAsia="宋体" w:cs="宋体"/>
          <w:color w:val="auto"/>
          <w:highlight w:val="none"/>
          <w:lang w:val="en-US" w:eastAsia="zh-CN"/>
        </w:rPr>
        <w:t>《施工方案》等相关文件；与工程有关事项向监理人、发包人提出建议；确定劳动力、施工机械、建筑材料的采购计划和入场计划；协助发包人办理开工手续；与发包人及发包人聘请的监理、设计进行设计图纸会审。</w:t>
      </w:r>
    </w:p>
    <w:p>
      <w:pPr>
        <w:pStyle w:val="35"/>
        <w:numPr>
          <w:ilvl w:val="0"/>
          <w:numId w:val="0"/>
        </w:numPr>
        <w:spacing w:before="62" w:after="62" w:line="360" w:lineRule="auto"/>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eastAsia="宋体" w:cs="宋体"/>
          <w:b/>
          <w:bCs/>
          <w:color w:val="auto"/>
          <w:highlight w:val="none"/>
          <w:lang w:val="en-US" w:eastAsia="zh-CN"/>
        </w:rPr>
        <w:t>施工阶段</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承包人</w:t>
      </w:r>
      <w:r>
        <w:rPr>
          <w:rFonts w:hint="eastAsia" w:ascii="宋体" w:hAnsi="宋体" w:eastAsia="宋体" w:cs="宋体"/>
          <w:color w:val="auto"/>
          <w:highlight w:val="none"/>
          <w:lang w:val="en-US" w:eastAsia="zh-CN"/>
        </w:rPr>
        <w:t>应完成工作，包含但不限于以下内容：</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完成各分部分项工程的施工、安装、预留洞口的二次封堵和收边、五方验收前的所有检测、调试、验收、交付工作；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完成项目建设所需的设备、材料及辅材、成品及半成品、构配件的采购、运输、装卸等相关工作；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协助完成投标人工作范围内的二次深化设计工作；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竣工图纸由投标人负责编制；</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完成所有临建设施及内部用水、用电等工程的施工、维护、拆除、恢复原状等相关工作；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完成施工过程中的资料收集、汇总、整理、审核，竣工资料的编制及移交等相关工作；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完成与设备和设施使用、维护相关的培训工作；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负责办理项目施工有关的一切手续并获得相关许可、证照等相关工作，负责项目整体工程总体验收取证；</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负责工程项目施工过程中的成品保护、质量保修、维修工作；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负责项目给水水源、排水、电、讯等管线、线缆的接入，并恢复至地表原状。</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负责对非发包人投建的专项工程承包商进行现场HSE管理、专项工程的界面划分边界的收口工作；</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按照发包人及发包人聘请的监理、设计和顾问单位，依据适用于本项目的相关法律、法规、标准规定，合同约定，以及经发包人和投标人书面同意和已被广为接受的行业惯例的要求，接受指导和监督指令，并及时改正。</w:t>
      </w:r>
    </w:p>
    <w:p>
      <w:pPr>
        <w:pStyle w:val="35"/>
        <w:numPr>
          <w:ilvl w:val="0"/>
          <w:numId w:val="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负责对场地因施工原因造成的原有设备设施、</w:t>
      </w:r>
      <w:r>
        <w:rPr>
          <w:rFonts w:hint="eastAsia" w:ascii="宋体" w:hAnsi="宋体" w:cs="宋体"/>
          <w:color w:val="auto"/>
          <w:highlight w:val="none"/>
          <w:lang w:val="en-US" w:eastAsia="zh-CN"/>
        </w:rPr>
        <w:t>道路、</w:t>
      </w:r>
      <w:r>
        <w:rPr>
          <w:rFonts w:hint="eastAsia" w:ascii="宋体" w:hAnsi="宋体" w:eastAsia="宋体" w:cs="宋体"/>
          <w:color w:val="auto"/>
          <w:highlight w:val="none"/>
          <w:lang w:val="en-US" w:eastAsia="zh-CN"/>
        </w:rPr>
        <w:t>绿化工程等损坏后的恢复。</w:t>
      </w:r>
    </w:p>
    <w:p>
      <w:pPr>
        <w:pStyle w:val="35"/>
        <w:numPr>
          <w:ilvl w:val="0"/>
          <w:numId w:val="0"/>
        </w:numPr>
        <w:spacing w:before="62" w:after="62" w:line="360" w:lineRule="auto"/>
        <w:ind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b/>
          <w:bCs/>
          <w:color w:val="auto"/>
          <w:highlight w:val="none"/>
          <w:lang w:val="en-US" w:eastAsia="zh-CN"/>
        </w:rPr>
        <w:t>保修阶段</w:t>
      </w:r>
      <w:r>
        <w:rPr>
          <w:rFonts w:hint="eastAsia" w:ascii="宋体" w:hAnsi="宋体" w:eastAsia="宋体" w:cs="宋体"/>
          <w:color w:val="auto"/>
          <w:highlight w:val="none"/>
          <w:lang w:val="en-US" w:eastAsia="zh-CN"/>
        </w:rPr>
        <w:t>：协助发包人及发包人聘请的监理、设计和顾问单位检查设施使用情况，如发现质量问题，确定质量问题的责任方，做好返修工作并验收。负责编制竣工资料和竣工图纸，按照建设项目所在地档案管理部门和发包人的要求进行归档和装订。配合发包人进行竣工资料验收。负责编制城建档案资料和城建竣工图纸，按照建设项目所在地城建档案管理部门的要求配合发包人进行城建档案资料归档验收工作。</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工作量说明</w:t>
      </w:r>
    </w:p>
    <w:p>
      <w:pPr>
        <w:pStyle w:val="35"/>
        <w:numPr>
          <w:ilvl w:val="0"/>
          <w:numId w:val="3"/>
        </w:numPr>
        <w:spacing w:before="62" w:after="62" w:line="360" w:lineRule="auto"/>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rPr>
        <w:t>依据国家法律法规以及</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管理规定，完成工程施工准备阶段、工程施工阶段和工程竣工阶段、工程保修阶段的施工，包括施工图纸、工程量清单及红线内外所有相关工程，主要包括但不限于以下工作：土建工程、</w:t>
      </w:r>
      <w:r>
        <w:rPr>
          <w:rFonts w:hint="eastAsia" w:ascii="宋体" w:hAnsi="宋体" w:eastAsia="宋体" w:cs="宋体"/>
          <w:color w:val="auto"/>
          <w:highlight w:val="none"/>
          <w:lang w:val="en-US" w:eastAsia="zh-CN"/>
        </w:rPr>
        <w:t>电气工程、给排水工程、消防工程、</w:t>
      </w:r>
      <w:r>
        <w:rPr>
          <w:rFonts w:hint="eastAsia" w:ascii="宋体" w:hAnsi="宋体" w:eastAsia="宋体" w:cs="宋体"/>
          <w:color w:val="auto"/>
          <w:highlight w:val="none"/>
        </w:rPr>
        <w:t>机电安装工程、设备材料、工程质量检测、现场安全、现场施工作业、现场环保、工程移交、机械完工、竣工验收、质保服务、工程档案完整性等服务内容，要在质量控制、进度控制、信息管理、组织协调、现场安全、现场环保、工程档案等方面对本项目进行管理，保证工程能够按时、按质、按量实现竣工验收。</w:t>
      </w:r>
    </w:p>
    <w:p>
      <w:pPr>
        <w:pStyle w:val="35"/>
        <w:numPr>
          <w:ilvl w:val="0"/>
          <w:numId w:val="3"/>
        </w:numPr>
        <w:spacing w:before="62" w:after="62" w:line="360" w:lineRule="auto"/>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应编制</w:t>
      </w:r>
      <w:r>
        <w:rPr>
          <w:rFonts w:hint="eastAsia" w:ascii="宋体" w:hAnsi="宋体" w:eastAsia="宋体" w:cs="宋体"/>
          <w:color w:val="auto"/>
          <w:highlight w:val="none"/>
          <w:lang w:val="en-US" w:eastAsia="zh-CN"/>
        </w:rPr>
        <w:t>施工组织设计、</w:t>
      </w:r>
      <w:r>
        <w:rPr>
          <w:rFonts w:hint="eastAsia" w:ascii="宋体" w:hAnsi="宋体" w:eastAsia="宋体" w:cs="宋体"/>
          <w:color w:val="auto"/>
          <w:highlight w:val="none"/>
        </w:rPr>
        <w:t>施工方案等相关文件，确定组织机构、人员、设备、材料、施工计划、工作程序、工作报告、实施方案、施工目标，规范各项施工作业，确保符合施工管理规定、符合施工技术要求。同时，</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应制定质量计划和施工作业规范，满足安全、环保、高效的施工要求，按照规范进行施工和建设。</w:t>
      </w:r>
    </w:p>
    <w:p>
      <w:pPr>
        <w:pStyle w:val="35"/>
        <w:numPr>
          <w:ilvl w:val="0"/>
          <w:numId w:val="3"/>
        </w:numPr>
        <w:spacing w:before="62" w:after="62" w:line="360" w:lineRule="auto"/>
        <w:ind w:left="425" w:leftChars="0" w:hanging="425"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其他：</w:t>
      </w:r>
    </w:p>
    <w:p>
      <w:pPr>
        <w:pStyle w:val="35"/>
        <w:numPr>
          <w:ilvl w:val="0"/>
          <w:numId w:val="4"/>
        </w:numPr>
        <w:spacing w:before="62" w:after="62" w:line="360" w:lineRule="auto"/>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本工程施工图纸及工程量清单中所表示的土石方工程量均为实方量，项目实施及结算过程中均已实方量计量。</w:t>
      </w:r>
    </w:p>
    <w:p>
      <w:pPr>
        <w:pStyle w:val="35"/>
        <w:numPr>
          <w:ilvl w:val="0"/>
          <w:numId w:val="4"/>
        </w:numPr>
        <w:spacing w:before="62" w:after="62" w:line="360" w:lineRule="auto"/>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rPr>
        <w:t>合同内所有为开展和完成施工必要的</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范围内的政府审批及需</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配合</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的政府审批，如：消防、节能、防雷、规划验收等。</w:t>
      </w:r>
    </w:p>
    <w:p>
      <w:pPr>
        <w:pStyle w:val="35"/>
        <w:numPr>
          <w:ilvl w:val="0"/>
          <w:numId w:val="4"/>
        </w:numPr>
        <w:spacing w:before="62" w:after="62" w:line="360" w:lineRule="auto"/>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rPr>
        <w:t>现场设施、现场办公设施的准备和建设（临建、</w:t>
      </w:r>
      <w:r>
        <w:rPr>
          <w:rFonts w:hint="eastAsia" w:ascii="宋体" w:hAnsi="宋体" w:eastAsia="宋体" w:cs="宋体"/>
          <w:color w:val="auto"/>
          <w:highlight w:val="none"/>
          <w:lang w:val="en-US" w:eastAsia="zh-CN"/>
        </w:rPr>
        <w:t>九</w:t>
      </w:r>
      <w:r>
        <w:rPr>
          <w:rFonts w:hint="eastAsia" w:ascii="宋体" w:hAnsi="宋体" w:eastAsia="宋体" w:cs="宋体"/>
          <w:color w:val="auto"/>
          <w:highlight w:val="none"/>
        </w:rPr>
        <w:t>牌一图、</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个百分百施工标准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智慧工地、安全环保设施</w:t>
      </w:r>
      <w:r>
        <w:rPr>
          <w:rFonts w:hint="eastAsia" w:ascii="宋体" w:hAnsi="宋体" w:eastAsia="宋体" w:cs="宋体"/>
          <w:color w:val="auto"/>
          <w:highlight w:val="none"/>
        </w:rPr>
        <w:t>）等。</w:t>
      </w:r>
    </w:p>
    <w:p>
      <w:pPr>
        <w:pStyle w:val="35"/>
        <w:numPr>
          <w:ilvl w:val="0"/>
          <w:numId w:val="4"/>
        </w:numPr>
        <w:spacing w:before="62" w:after="62" w:line="360" w:lineRule="auto"/>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rPr>
        <w:t>规划红线外与项目施工相关的临时道路、临时开口、临时排污等</w:t>
      </w:r>
      <w:r>
        <w:rPr>
          <w:rFonts w:hint="eastAsia" w:ascii="宋体" w:hAnsi="宋体" w:eastAsia="宋体" w:cs="宋体"/>
          <w:color w:val="auto"/>
          <w:highlight w:val="none"/>
          <w:lang w:val="en-US" w:eastAsia="zh-CN"/>
        </w:rPr>
        <w:t>相关</w:t>
      </w:r>
      <w:r>
        <w:rPr>
          <w:rFonts w:hint="eastAsia" w:ascii="宋体" w:hAnsi="宋体" w:eastAsia="宋体" w:cs="宋体"/>
          <w:color w:val="auto"/>
          <w:highlight w:val="none"/>
        </w:rPr>
        <w:t>工程施工。</w:t>
      </w:r>
    </w:p>
    <w:p>
      <w:pPr>
        <w:pStyle w:val="35"/>
        <w:numPr>
          <w:ilvl w:val="0"/>
          <w:numId w:val="4"/>
        </w:numPr>
        <w:spacing w:before="62" w:after="62" w:line="360" w:lineRule="auto"/>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承包商进行投标前需对工作内用与施工图纸进行核实，并细致核实工程量清单中工程量及工程项，避免造成工程量与施工图纸不符或有漏项存在，如存在问题招标期间及时提出，甲方将进行答疑，投标截止后工程量清单不予调整，中标单位现场施工过程中提出对于工程量有误及漏项事宜不予变更。</w:t>
      </w:r>
    </w:p>
    <w:p>
      <w:pPr>
        <w:pStyle w:val="41"/>
        <w:spacing w:line="360" w:lineRule="auto"/>
        <w:rPr>
          <w:rFonts w:hint="eastAsia" w:ascii="微软雅黑" w:hAnsi="微软雅黑" w:eastAsia="微软雅黑" w:cs="微软雅黑"/>
          <w:color w:val="auto"/>
          <w:highlight w:val="none"/>
        </w:rPr>
      </w:pPr>
      <w:bookmarkStart w:id="27" w:name="_Toc23018"/>
      <w:bookmarkStart w:id="28" w:name="_Toc7298"/>
      <w:bookmarkStart w:id="29" w:name="_Toc5357"/>
      <w:bookmarkStart w:id="30" w:name="_Toc15098"/>
      <w:r>
        <w:rPr>
          <w:rFonts w:hint="eastAsia" w:ascii="微软雅黑" w:hAnsi="微软雅黑" w:eastAsia="微软雅黑" w:cs="微软雅黑"/>
          <w:color w:val="auto"/>
          <w:highlight w:val="none"/>
        </w:rPr>
        <w:t>编制目的</w:t>
      </w:r>
      <w:bookmarkEnd w:id="27"/>
      <w:bookmarkEnd w:id="28"/>
      <w:bookmarkEnd w:id="29"/>
      <w:bookmarkEnd w:id="30"/>
    </w:p>
    <w:p>
      <w:pPr>
        <w:pStyle w:val="35"/>
        <w:spacing w:before="62" w:after="62" w:line="360" w:lineRule="auto"/>
        <w:ind w:firstLine="424" w:firstLineChars="177"/>
        <w:rPr>
          <w:rFonts w:hint="eastAsia" w:ascii="宋体" w:hAnsi="宋体" w:eastAsia="宋体" w:cs="宋体"/>
          <w:color w:val="auto"/>
          <w:highlight w:val="none"/>
        </w:rPr>
      </w:pPr>
      <w:r>
        <w:rPr>
          <w:rFonts w:hint="eastAsia" w:ascii="宋体" w:hAnsi="宋体" w:eastAsia="宋体" w:cs="宋体"/>
          <w:color w:val="auto"/>
          <w:highlight w:val="none"/>
        </w:rPr>
        <w:t>本技术规格书仅针对“龙口基地三期项目--</w:t>
      </w:r>
      <w:r>
        <w:rPr>
          <w:rFonts w:hint="eastAsia" w:ascii="宋体" w:hAnsi="宋体" w:cs="宋体"/>
          <w:color w:val="auto"/>
          <w:highlight w:val="none"/>
          <w:lang w:val="en-US" w:eastAsia="zh-CN"/>
        </w:rPr>
        <w:t>智能化库房</w:t>
      </w:r>
      <w:r>
        <w:rPr>
          <w:rFonts w:hint="eastAsia" w:ascii="宋体" w:hAnsi="宋体" w:eastAsia="宋体" w:cs="宋体"/>
          <w:color w:val="auto"/>
          <w:highlight w:val="none"/>
        </w:rPr>
        <w:t>工程”施工编制，旨在界定甲乙双方工作界面，明确质量、安全、进度等相关技术要求。</w:t>
      </w:r>
    </w:p>
    <w:p>
      <w:pPr>
        <w:pStyle w:val="3"/>
        <w:spacing w:line="360" w:lineRule="auto"/>
        <w:ind w:left="694" w:leftChars="0" w:firstLineChars="0"/>
        <w:rPr>
          <w:rFonts w:hint="eastAsia" w:cs="宋体"/>
          <w:caps/>
          <w:color w:val="auto"/>
          <w:highlight w:val="none"/>
        </w:rPr>
      </w:pPr>
      <w:bookmarkStart w:id="31" w:name="_Toc20620"/>
      <w:bookmarkStart w:id="32" w:name="_Toc3218"/>
      <w:bookmarkStart w:id="33" w:name="_Toc508406777"/>
      <w:bookmarkStart w:id="34" w:name="_Toc28788"/>
      <w:bookmarkStart w:id="35" w:name="_Toc14506"/>
      <w:r>
        <w:rPr>
          <w:rFonts w:hint="eastAsia" w:cs="宋体"/>
          <w:caps/>
          <w:color w:val="auto"/>
          <w:highlight w:val="none"/>
        </w:rPr>
        <w:t>编制依据</w:t>
      </w:r>
      <w:bookmarkEnd w:id="31"/>
      <w:bookmarkEnd w:id="32"/>
      <w:bookmarkEnd w:id="33"/>
      <w:bookmarkEnd w:id="34"/>
      <w:bookmarkEnd w:id="35"/>
    </w:p>
    <w:p>
      <w:pPr>
        <w:pStyle w:val="41"/>
        <w:spacing w:line="360" w:lineRule="auto"/>
        <w:rPr>
          <w:rFonts w:hint="eastAsia" w:ascii="微软雅黑" w:hAnsi="微软雅黑" w:eastAsia="微软雅黑" w:cs="微软雅黑"/>
          <w:color w:val="auto"/>
          <w:highlight w:val="none"/>
        </w:rPr>
      </w:pPr>
      <w:bookmarkStart w:id="36" w:name="_Toc24751"/>
      <w:bookmarkStart w:id="37" w:name="_Toc16498"/>
      <w:bookmarkStart w:id="38" w:name="_Toc29405"/>
      <w:bookmarkStart w:id="39" w:name="_Toc31619"/>
      <w:r>
        <w:rPr>
          <w:rFonts w:hint="eastAsia" w:ascii="微软雅黑" w:hAnsi="微软雅黑" w:eastAsia="微软雅黑" w:cs="微软雅黑"/>
          <w:color w:val="auto"/>
          <w:highlight w:val="none"/>
        </w:rPr>
        <w:t>项目采办策略</w:t>
      </w:r>
      <w:bookmarkEnd w:id="36"/>
      <w:bookmarkEnd w:id="37"/>
      <w:bookmarkEnd w:id="38"/>
      <w:bookmarkEnd w:id="39"/>
    </w:p>
    <w:p>
      <w:pPr>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中海石油(龙口)基地物流有限公司龙口基地三期项目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第</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eastAsia="zh-CN"/>
        </w:rPr>
        <w:t>阶段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采办策略</w:t>
      </w:r>
      <w:r>
        <w:rPr>
          <w:rFonts w:hint="eastAsia" w:ascii="宋体" w:hAnsi="宋体" w:eastAsia="宋体" w:cs="宋体"/>
          <w:color w:val="auto"/>
          <w:sz w:val="24"/>
          <w:szCs w:val="24"/>
          <w:highlight w:val="none"/>
          <w:lang w:val="en-US" w:eastAsia="zh-CN"/>
        </w:rPr>
        <w:t>与计划</w:t>
      </w:r>
      <w:r>
        <w:rPr>
          <w:rFonts w:hint="eastAsia" w:ascii="宋体" w:hAnsi="宋体" w:eastAsia="宋体" w:cs="宋体"/>
          <w:color w:val="auto"/>
          <w:sz w:val="24"/>
          <w:szCs w:val="24"/>
          <w:highlight w:val="none"/>
          <w:lang w:eastAsia="zh-CN"/>
        </w:rPr>
        <w:t>》</w:t>
      </w:r>
    </w:p>
    <w:p>
      <w:pPr>
        <w:pStyle w:val="41"/>
        <w:spacing w:line="360" w:lineRule="auto"/>
        <w:rPr>
          <w:rFonts w:hint="eastAsia" w:ascii="微软雅黑" w:hAnsi="微软雅黑" w:eastAsia="微软雅黑" w:cs="微软雅黑"/>
          <w:color w:val="auto"/>
          <w:highlight w:val="none"/>
        </w:rPr>
      </w:pPr>
      <w:bookmarkStart w:id="40" w:name="_Toc5773"/>
      <w:bookmarkStart w:id="41" w:name="_Toc5178"/>
      <w:bookmarkStart w:id="42" w:name="_Toc11699"/>
      <w:bookmarkStart w:id="43" w:name="_Toc25143"/>
      <w:bookmarkStart w:id="44" w:name="_Hlk26345269"/>
      <w:r>
        <w:rPr>
          <w:rFonts w:hint="eastAsia" w:ascii="微软雅黑" w:hAnsi="微软雅黑" w:eastAsia="微软雅黑" w:cs="微软雅黑"/>
          <w:color w:val="auto"/>
          <w:highlight w:val="none"/>
          <w:lang w:val="en-US" w:eastAsia="zh-CN"/>
        </w:rPr>
        <w:t>勘察</w:t>
      </w:r>
      <w:r>
        <w:rPr>
          <w:rFonts w:hint="eastAsia" w:ascii="微软雅黑" w:hAnsi="微软雅黑" w:eastAsia="微软雅黑" w:cs="微软雅黑"/>
          <w:color w:val="auto"/>
          <w:highlight w:val="none"/>
        </w:rPr>
        <w:t>设计文件</w:t>
      </w:r>
      <w:bookmarkEnd w:id="40"/>
      <w:bookmarkEnd w:id="41"/>
      <w:bookmarkEnd w:id="42"/>
      <w:bookmarkEnd w:id="43"/>
    </w:p>
    <w:p>
      <w:pPr>
        <w:spacing w:line="360" w:lineRule="auto"/>
        <w:ind w:left="0" w:leftChars="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《中海石油(龙口)基地物流有限公司龙口基地三期项目</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第二阶段）初步</w:t>
      </w:r>
      <w:r>
        <w:rPr>
          <w:rFonts w:hint="eastAsia" w:ascii="宋体" w:hAnsi="宋体" w:eastAsia="宋体" w:cs="宋体"/>
          <w:color w:val="auto"/>
          <w:sz w:val="24"/>
          <w:szCs w:val="24"/>
          <w:highlight w:val="none"/>
          <w:lang w:eastAsia="zh-CN"/>
        </w:rPr>
        <w:t>设计》</w:t>
      </w:r>
    </w:p>
    <w:p>
      <w:pPr>
        <w:spacing w:line="360" w:lineRule="auto"/>
        <w:ind w:left="0" w:leftChars="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《中海石油(龙口)基地物流有限公司龙口基地三期项目（第</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阶段）岩土工程勘察报告》</w:t>
      </w:r>
    </w:p>
    <w:bookmarkEnd w:id="44"/>
    <w:p>
      <w:pPr>
        <w:pStyle w:val="41"/>
        <w:spacing w:line="360" w:lineRule="auto"/>
        <w:rPr>
          <w:rFonts w:hint="eastAsia" w:ascii="微软雅黑" w:hAnsi="微软雅黑" w:eastAsia="微软雅黑" w:cs="微软雅黑"/>
          <w:color w:val="auto"/>
          <w:highlight w:val="none"/>
        </w:rPr>
      </w:pPr>
      <w:bookmarkStart w:id="45" w:name="_Toc25512"/>
      <w:bookmarkStart w:id="46" w:name="_Toc15356"/>
      <w:bookmarkStart w:id="47" w:name="_Toc29649"/>
      <w:bookmarkStart w:id="48" w:name="_Toc27311"/>
      <w:r>
        <w:rPr>
          <w:rFonts w:hint="eastAsia" w:ascii="微软雅黑" w:hAnsi="微软雅黑" w:eastAsia="微软雅黑" w:cs="微软雅黑"/>
          <w:color w:val="auto"/>
          <w:highlight w:val="none"/>
        </w:rPr>
        <w:t>相关</w:t>
      </w:r>
      <w:r>
        <w:rPr>
          <w:rFonts w:hint="eastAsia" w:ascii="微软雅黑" w:hAnsi="微软雅黑" w:eastAsia="微软雅黑" w:cs="微软雅黑"/>
          <w:color w:val="auto"/>
          <w:highlight w:val="none"/>
          <w:lang w:val="en-US" w:eastAsia="zh-CN"/>
        </w:rPr>
        <w:t>法律、法规及</w:t>
      </w:r>
      <w:r>
        <w:rPr>
          <w:rFonts w:hint="eastAsia" w:ascii="微软雅黑" w:hAnsi="微软雅黑" w:eastAsia="微软雅黑" w:cs="微软雅黑"/>
          <w:color w:val="auto"/>
          <w:highlight w:val="none"/>
        </w:rPr>
        <w:t>规范</w:t>
      </w:r>
      <w:bookmarkEnd w:id="45"/>
      <w:bookmarkEnd w:id="46"/>
      <w:bookmarkEnd w:id="47"/>
      <w:bookmarkEnd w:id="48"/>
      <w:bookmarkStart w:id="49" w:name="_Hlk26345196"/>
    </w:p>
    <w:bookmarkEnd w:id="49"/>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3.3.1国家有关的法律法规及政策规定：</w:t>
      </w:r>
    </w:p>
    <w:p>
      <w:pPr>
        <w:numPr>
          <w:ilvl w:val="0"/>
          <w:numId w:val="5"/>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《中华人民共和国建筑法》</w:t>
      </w:r>
    </w:p>
    <w:p>
      <w:pPr>
        <w:numPr>
          <w:ilvl w:val="0"/>
          <w:numId w:val="5"/>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《中华人民共和国合同法》</w:t>
      </w:r>
    </w:p>
    <w:p>
      <w:pPr>
        <w:numPr>
          <w:ilvl w:val="0"/>
          <w:numId w:val="5"/>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《中华人民共和国安全生产法》</w:t>
      </w:r>
    </w:p>
    <w:p>
      <w:pPr>
        <w:numPr>
          <w:ilvl w:val="0"/>
          <w:numId w:val="6"/>
        </w:numPr>
        <w:spacing w:line="360" w:lineRule="auto"/>
        <w:ind w:left="420" w:hanging="420"/>
        <w:outlineLvl w:val="9"/>
        <w:rPr>
          <w:rFonts w:hint="eastAsia"/>
          <w:highlight w:val="none"/>
          <w:lang w:val="en-US" w:eastAsia="zh-CN"/>
        </w:rPr>
      </w:pPr>
      <w:r>
        <w:rPr>
          <w:rFonts w:hint="eastAsia" w:ascii="宋体" w:hAnsi="宋体" w:cs="宋体"/>
          <w:color w:val="auto"/>
          <w:highlight w:val="none"/>
        </w:rPr>
        <w:t>《建设工程质量管理条例</w:t>
      </w:r>
      <w:r>
        <w:rPr>
          <w:rFonts w:hint="eastAsia" w:ascii="宋体" w:hAnsi="宋体" w:cs="宋体"/>
          <w:color w:val="auto"/>
          <w:highlight w:val="none"/>
          <w:lang w:eastAsia="zh-CN"/>
        </w:rPr>
        <w:t>》</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3.3.2工程建设规范及质量检验评定标准：</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《建筑工程施工质量验收统一标准》GB 50300-2013</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《建筑地基基础工程施工质量验收标准》GB 50202-2018</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《建筑地基基础工程施工规范》GB 51004-2015</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《建筑地基处理技术规范》JGJ 79-2012</w:t>
      </w:r>
    </w:p>
    <w:p>
      <w:pPr>
        <w:numPr>
          <w:ilvl w:val="0"/>
          <w:numId w:val="7"/>
        </w:numPr>
        <w:spacing w:line="360" w:lineRule="auto"/>
        <w:ind w:left="420" w:leftChars="0" w:hanging="420" w:firstLine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《建筑桩基技术规范》JGJ94-2008</w:t>
      </w:r>
    </w:p>
    <w:p>
      <w:pPr>
        <w:numPr>
          <w:ilvl w:val="0"/>
          <w:numId w:val="7"/>
        </w:numPr>
        <w:spacing w:line="360" w:lineRule="auto"/>
        <w:ind w:left="420" w:leftChars="0" w:hanging="420" w:firstLine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混凝土结构工程施工规范</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GB50666-2011</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《混凝土结构现场检测技术标准》GB/T 50784-2013</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《混凝土强度检验评定标准》GBT50107-2010</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《混凝土质量控制标准》GB 50164-2011</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混凝土结构工程施工质量验收规范</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GB50204-2015</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《建筑地面工程施工质量验收规范》GB 50209-2010</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《建筑地面设计规范》GB50037-2013</w:t>
      </w:r>
    </w:p>
    <w:p>
      <w:pPr>
        <w:numPr>
          <w:ilvl w:val="0"/>
          <w:numId w:val="7"/>
        </w:numPr>
        <w:spacing w:line="360" w:lineRule="auto"/>
        <w:ind w:left="420" w:leftChars="0" w:hanging="420" w:firstLine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钢筋机械连接技术规程</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JGJ107-2016</w:t>
      </w:r>
    </w:p>
    <w:p>
      <w:pPr>
        <w:pStyle w:val="35"/>
        <w:numPr>
          <w:ilvl w:val="0"/>
          <w:numId w:val="8"/>
        </w:numPr>
        <w:spacing w:before="62" w:after="62" w:line="360" w:lineRule="auto"/>
        <w:ind w:left="420" w:leftChars="0" w:hanging="420" w:firstLineChars="0"/>
        <w:rPr>
          <w:rFonts w:hint="default"/>
          <w:color w:val="auto"/>
          <w:highlight w:val="none"/>
          <w:lang w:val="en-US" w:eastAsia="zh-CN"/>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钢筋焊接及验收规程</w:t>
      </w:r>
      <w:r>
        <w:rPr>
          <w:rFonts w:hint="eastAsia" w:ascii="宋体" w:hAnsi="宋体" w:eastAsia="宋体" w:cs="宋体"/>
          <w:color w:val="auto"/>
          <w:highlight w:val="none"/>
        </w:rPr>
        <w:t xml:space="preserve"> 》</w:t>
      </w:r>
      <w:r>
        <w:rPr>
          <w:rFonts w:hint="eastAsia" w:ascii="宋体" w:hAnsi="宋体" w:cs="宋体"/>
          <w:color w:val="auto"/>
          <w:highlight w:val="none"/>
          <w:lang w:val="en-US" w:eastAsia="zh-CN"/>
        </w:rPr>
        <w:t>JGJ18-2012</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砌体结构工程施工质量验收规范</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GB50203-2011</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《给水排水构筑物工程施工及验收规范》GB 50141-2008</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《消防给水及消火栓系统技术规范》GB 50974-2014</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《建筑电气工程施工质量验收规范》GB 50303-2015</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《建筑电气照明装置施工与验收规范》GB 50617-2010</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《电气装置安装工程接地装置施工及验收规范》GB 50169-2006</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《施工现场临时用电安全技术规范》（附条文说明）JGJ 46-2005</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《工程测量规范》（附条文说明）GB 50026-2007</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《建筑施工安全技术统一规范》GB 50870-2013</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《建筑机械使用安全技术规程》JGJ 33-2012</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《建设工程施工现场消防安全技术规范》GB 50720-2011</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《建设工程施工现场环境与卫生标准》JGJ 146-2013</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钢结构工程施工质量验收标准</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GB50205-2020</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《钢结构工程施工规范》GB 50755-2012</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《建筑钢结构防腐蚀技术规程》JGJ/T 251-2011</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《建筑钢结构防火技术规范》GB51249-2017</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《钢结构通用规范》GB 55006-2021</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《采光顶与金属屋面技术规程》JGJ255-2012</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《门式钢架轻型房屋钢结构技术规范》GB51022-2015</w:t>
      </w:r>
    </w:p>
    <w:p>
      <w:pPr>
        <w:numPr>
          <w:ilvl w:val="0"/>
          <w:numId w:val="7"/>
        </w:numPr>
        <w:spacing w:line="360" w:lineRule="auto"/>
        <w:ind w:left="420" w:leftChars="0" w:hanging="420" w:firstLineChars="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《钢结构高强螺栓连接的设计、施工及验收规程》JGJ82-2011</w:t>
      </w:r>
    </w:p>
    <w:p>
      <w:pPr>
        <w:numPr>
          <w:ilvl w:val="0"/>
          <w:numId w:val="7"/>
        </w:numPr>
        <w:spacing w:line="360" w:lineRule="auto"/>
        <w:ind w:left="420" w:leftChars="0" w:hanging="420"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《钢结构焊接规范》GB50661-2011</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《建筑设计防火规范》 GB50016-2014 (2018 年版)</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《建筑抗震设计规范》 GB50011-2010(2016 年版)</w:t>
      </w:r>
    </w:p>
    <w:p>
      <w:pPr>
        <w:numPr>
          <w:ilvl w:val="0"/>
          <w:numId w:val="7"/>
        </w:numPr>
        <w:spacing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《龙口市建筑施工现场扬尘控制管理规定》</w:t>
      </w:r>
    </w:p>
    <w:p>
      <w:pPr>
        <w:numPr>
          <w:ilvl w:val="0"/>
          <w:numId w:val="7"/>
        </w:numPr>
        <w:spacing w:line="360" w:lineRule="auto"/>
        <w:rPr>
          <w:rFonts w:hint="eastAsia"/>
          <w:highlight w:val="none"/>
          <w:lang w:val="en-US" w:eastAsia="zh-CN"/>
        </w:rPr>
      </w:pPr>
      <w:r>
        <w:rPr>
          <w:rFonts w:hint="eastAsia" w:ascii="宋体" w:hAnsi="宋体" w:cs="Times New Roman"/>
          <w:color w:val="auto"/>
          <w:sz w:val="24"/>
          <w:szCs w:val="24"/>
          <w:highlight w:val="none"/>
          <w:lang w:val="en-US" w:eastAsia="zh-CN"/>
        </w:rPr>
        <w:t>《山东省建设工程费用项目组成及计算规则》</w:t>
      </w:r>
    </w:p>
    <w:p>
      <w:p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本项目施工须执行国家/行业/山东省/龙口市的相关法律法规、标准、规范，必须达到最新版的国家标准、规范和工作准则等有关法规的要求。</w:t>
      </w:r>
    </w:p>
    <w:p>
      <w:pPr>
        <w:pStyle w:val="3"/>
        <w:spacing w:line="360" w:lineRule="auto"/>
        <w:ind w:left="694" w:leftChars="0" w:firstLineChars="0"/>
        <w:rPr>
          <w:rFonts w:hint="eastAsia" w:cs="宋体"/>
          <w:caps/>
          <w:color w:val="auto"/>
          <w:highlight w:val="none"/>
        </w:rPr>
      </w:pPr>
      <w:bookmarkStart w:id="50" w:name="_Toc7580"/>
      <w:bookmarkStart w:id="51" w:name="_Toc32050"/>
      <w:bookmarkStart w:id="52" w:name="_Toc5927"/>
      <w:bookmarkStart w:id="53" w:name="_Toc25800"/>
      <w:bookmarkStart w:id="54" w:name="_Toc508406778"/>
      <w:r>
        <w:rPr>
          <w:rFonts w:hint="eastAsia" w:cs="宋体"/>
          <w:caps/>
          <w:color w:val="auto"/>
          <w:highlight w:val="none"/>
          <w:lang w:val="en-US" w:eastAsia="zh-CN"/>
        </w:rPr>
        <w:t>责任</w:t>
      </w:r>
      <w:r>
        <w:rPr>
          <w:rFonts w:hint="eastAsia" w:cs="宋体"/>
          <w:caps/>
          <w:color w:val="auto"/>
          <w:highlight w:val="none"/>
        </w:rPr>
        <w:t>范围</w:t>
      </w:r>
      <w:bookmarkEnd w:id="50"/>
      <w:bookmarkEnd w:id="51"/>
      <w:bookmarkEnd w:id="52"/>
      <w:bookmarkEnd w:id="53"/>
      <w:bookmarkEnd w:id="54"/>
    </w:p>
    <w:bookmarkEnd w:id="0"/>
    <w:bookmarkEnd w:id="1"/>
    <w:bookmarkEnd w:id="2"/>
    <w:bookmarkEnd w:id="3"/>
    <w:bookmarkEnd w:id="4"/>
    <w:bookmarkEnd w:id="5"/>
    <w:bookmarkEnd w:id="6"/>
    <w:bookmarkEnd w:id="7"/>
    <w:bookmarkEnd w:id="8"/>
    <w:bookmarkEnd w:id="9"/>
    <w:p>
      <w:pPr>
        <w:pStyle w:val="41"/>
        <w:spacing w:line="360" w:lineRule="auto"/>
        <w:rPr>
          <w:rFonts w:hint="eastAsia" w:ascii="微软雅黑" w:hAnsi="微软雅黑" w:eastAsia="微软雅黑" w:cs="微软雅黑"/>
          <w:color w:val="auto"/>
          <w:highlight w:val="none"/>
        </w:rPr>
      </w:pPr>
      <w:bookmarkStart w:id="55" w:name="_Toc14179"/>
      <w:bookmarkStart w:id="56" w:name="_Toc4706"/>
      <w:bookmarkStart w:id="57" w:name="_Toc23796"/>
      <w:bookmarkStart w:id="58" w:name="_Toc26466"/>
      <w:r>
        <w:rPr>
          <w:rFonts w:hint="eastAsia" w:ascii="微软雅黑" w:hAnsi="微软雅黑" w:eastAsia="微软雅黑" w:cs="微软雅黑"/>
          <w:color w:val="auto"/>
          <w:highlight w:val="none"/>
          <w:lang w:eastAsia="zh-CN"/>
        </w:rPr>
        <w:t>甲方</w:t>
      </w:r>
      <w:r>
        <w:rPr>
          <w:rFonts w:hint="eastAsia" w:ascii="微软雅黑" w:hAnsi="微软雅黑" w:eastAsia="微软雅黑" w:cs="微软雅黑"/>
          <w:color w:val="auto"/>
          <w:highlight w:val="none"/>
          <w:lang w:val="en-US" w:eastAsia="zh-CN"/>
        </w:rPr>
        <w:t>责任</w:t>
      </w:r>
      <w:r>
        <w:rPr>
          <w:rFonts w:hint="eastAsia" w:ascii="微软雅黑" w:hAnsi="微软雅黑" w:eastAsia="微软雅黑" w:cs="微软雅黑"/>
          <w:color w:val="auto"/>
          <w:highlight w:val="none"/>
        </w:rPr>
        <w:t>范围</w:t>
      </w:r>
      <w:bookmarkEnd w:id="55"/>
      <w:bookmarkEnd w:id="56"/>
      <w:bookmarkEnd w:id="57"/>
      <w:bookmarkEnd w:id="58"/>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4.1.1负责提供该项目施工设计施工图纸、说明和有关技术资料；</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4.1.2负责协调本工程的施工临时用电、用水接驳口；</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4.1.3负责相关现场调。</w:t>
      </w:r>
    </w:p>
    <w:p>
      <w:pPr>
        <w:pStyle w:val="41"/>
        <w:spacing w:line="360" w:lineRule="auto"/>
        <w:rPr>
          <w:rFonts w:hint="eastAsia" w:ascii="微软雅黑" w:hAnsi="微软雅黑" w:eastAsia="微软雅黑" w:cs="微软雅黑"/>
          <w:color w:val="auto"/>
          <w:highlight w:val="none"/>
          <w:lang w:eastAsia="zh-CN"/>
        </w:rPr>
      </w:pPr>
      <w:bookmarkStart w:id="59" w:name="_Toc16377"/>
      <w:bookmarkStart w:id="60" w:name="_Toc20689"/>
      <w:bookmarkStart w:id="61" w:name="_Toc11517"/>
      <w:bookmarkStart w:id="62" w:name="_Toc26818"/>
      <w:r>
        <w:rPr>
          <w:rFonts w:hint="eastAsia" w:ascii="微软雅黑" w:hAnsi="微软雅黑" w:eastAsia="微软雅黑" w:cs="微软雅黑"/>
          <w:color w:val="auto"/>
          <w:highlight w:val="none"/>
          <w:lang w:eastAsia="zh-CN"/>
        </w:rPr>
        <w:t>乙方</w:t>
      </w:r>
      <w:r>
        <w:rPr>
          <w:rFonts w:hint="eastAsia" w:ascii="微软雅黑" w:hAnsi="微软雅黑" w:eastAsia="微软雅黑" w:cs="微软雅黑"/>
          <w:color w:val="auto"/>
          <w:highlight w:val="none"/>
          <w:lang w:val="en-US" w:eastAsia="zh-CN"/>
        </w:rPr>
        <w:t>责任</w:t>
      </w:r>
      <w:r>
        <w:rPr>
          <w:rFonts w:hint="eastAsia" w:ascii="微软雅黑" w:hAnsi="微软雅黑" w:eastAsia="微软雅黑" w:cs="微软雅黑"/>
          <w:color w:val="auto"/>
          <w:highlight w:val="none"/>
          <w:lang w:eastAsia="zh-CN"/>
        </w:rPr>
        <w:t>范围</w:t>
      </w:r>
      <w:bookmarkEnd w:id="59"/>
      <w:bookmarkEnd w:id="60"/>
      <w:bookmarkEnd w:id="61"/>
      <w:bookmarkEnd w:id="62"/>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4.2.1负责本工程所有材料、设备的采购，并提供产品相关质量证明文件（一式三份）、复试报告，涉及建设方对建筑材料或设备有能效要求的，必须按照要求执行，未有品牌的按照经建设方对承包商提供样品、能效确定后进行施工（依据《建设工程质量管理条例》第29条）；自行提供工程所需辅助、周转材料；材料质量应符合以下标准：混凝土材料：《混凝土质量控制标准》GB 50164-2011；</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钢结构材料：《钢结构工程施工质量验收标准》GB 50205-2020</w:t>
      </w:r>
      <w:r>
        <w:rPr>
          <w:rFonts w:hint="default" w:ascii="宋体" w:hAnsi="宋体" w:eastAsia="宋体" w:cs="宋体"/>
          <w:color w:val="auto"/>
          <w:sz w:val="24"/>
          <w:szCs w:val="24"/>
          <w:highlight w:val="none"/>
          <w:lang w:val="en-US" w:eastAsia="zh-CN"/>
        </w:rPr>
        <w:t> </w:t>
      </w:r>
      <w:r>
        <w:rPr>
          <w:rFonts w:hint="eastAsia" w:ascii="宋体" w:hAnsi="宋体" w:eastAsia="宋体" w:cs="宋体"/>
          <w:color w:val="auto"/>
          <w:sz w:val="24"/>
          <w:szCs w:val="24"/>
          <w:highlight w:val="none"/>
          <w:lang w:val="en-US" w:eastAsia="zh-CN"/>
        </w:rPr>
        <w:t>；</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地基处理材料：《建筑地基处理技术规范》JGJ 79-2019；</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电气设备：《建筑电气工程施工质量验收规范》GB 50303-2015。</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4.2.2编制并提供施工组织设计和专项施工方案、施工进度计划、分部分项工程划分方案、原材料检测计划、设备材料计划、临时用水和用电计划。组织施工管理人员和材料、施工机械进场，并报监理审批。负责完成本工程所包含施工内容的施工工作，满足施工规范及建设方需求；组织施工管理人员、材料及机械进场，确保施工机械安全符合《建筑机械使用安全技术规程》JGJ 33-2019</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其中施工组织设计和专项施工方案（依据《建筑工程施工组织设计规范》GB/T 50502-2009）和《危险性较大的分部分项工程安全管理规定》（住建部37号令）；</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施工进度计划（结合《工程网络计划技术规程》JGJ/T 121-2015及工期要求）；</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分部分项工程划分方案（依据《建筑工程施工质量验收统一标准》GB 50300-2013）；</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临时用电计划（符合《施工现场临时用电安全技术规范》JGJ 46-2005）</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4.2.3提供本工程所需施工人员资格证书（如电工、焊工等特种作业证书，依据《建设工程施工现场消防安全技术规范》GB 50720-2011）和机具设备检验报告需符合《建筑机械使用安全技术规程》JGJ 33-2019及《电气装置安装工程接地装置施工及验收规范》GB 50169-2016（电气设备接地要求）；</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4.2.4负责施工所需施工作业期间临时用水建设方指定的临时用水、临时用电地点将水电接至施工区域，并承担相关安装费及水电费并确保管线敷设符合《室外排水设计规范》GB 50014-2021；临时用水、用电接驳需符合《施工现场临时用电安全技术规范》JGJ 46-2005及《消防给水及消火栓系统技术规范》GB 50974-2014</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负责现场建筑垃圾及废料等的清运工作，垃圾转运过程中，应按照道路运输相关要求做好苫盖，并运送至当地政府渣土管理部门的指定中转处置场所进行处理；垃圾清运需满足《建设工程施工现场环境与卫生标准》JGJ 146-2013，运输过程苫盖及处置要求符合《龙口市建筑施工现场扬尘控制管理规定》</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4.2.6负责按规定投入HSE（健康安全环保）措施及安全文明施工费并符合政府和建设方对环保和安全文明施工的要求；HSE措施应符合《建筑施工安全技术统一规范》GB 50870-2013及《防治海洋工程建设项目污染损害海洋环境管理条例》；安全文明施工费投入需满足《建设工程施工现场消防安全技术规范》GB 50720-2011</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4.2.7负责所有材料、构件、施工的一般鉴定、检测、检试验，提供合格的检验报告并承担相关费用；材料检试验依据：</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混凝土强度：《混凝土强度检验评定标准》GB/T 50107-2019；</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地基承载力：《建筑地基基础工程施工质量验收标准》GB 50202-2018；</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消防设施：《消防给水及消火栓系统技术规范》GB 50974-2014。</w:t>
      </w:r>
    </w:p>
    <w:p>
      <w:pPr>
        <w:adjustRightInd/>
        <w:snapToGrid/>
        <w:spacing w:before="0" w:after="0" w:line="360" w:lineRule="auto"/>
        <w:ind w:firstLine="360" w:firstLineChars="150"/>
        <w:rPr>
          <w:rFonts w:hint="default"/>
          <w:highlight w:val="none"/>
          <w:lang w:val="en-US" w:eastAsia="zh-CN"/>
        </w:rPr>
      </w:pPr>
      <w:r>
        <w:rPr>
          <w:rFonts w:hint="eastAsia" w:ascii="宋体" w:hAnsi="宋体" w:eastAsia="宋体" w:cs="宋体"/>
          <w:color w:val="auto"/>
          <w:sz w:val="24"/>
          <w:szCs w:val="24"/>
          <w:highlight w:val="none"/>
          <w:lang w:val="en-US" w:eastAsia="zh-CN"/>
        </w:rPr>
        <w:t>钢结构强度：《钢结构工程施工质量验收标准》GB50205-2020、《钢结构工程施工规范》GB 50755-2012、《钢结构设计标准》GB 50017-2017</w:t>
      </w:r>
      <w:r>
        <w:rPr>
          <w:rFonts w:hint="default" w:ascii="宋体" w:hAnsi="宋体" w:eastAsia="宋体" w:cs="宋体"/>
          <w:color w:val="auto"/>
          <w:sz w:val="24"/>
          <w:szCs w:val="24"/>
          <w:highlight w:val="none"/>
          <w:lang w:val="en-US" w:eastAsia="zh-CN"/>
        </w:rPr>
        <w:t> </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4.2.8负责本工程的工程资料编制、归档工作；负责配合本工程竣工验收工作（各材料出厂合格证书、检验证书、材料复试报告、试验报告、完工报告纸质版电子版等；施工作业过程安全记录等）；负责安全、环境保护等资料编写、收集，并承担相应费用；资料编制需符合《建筑工程施工质量验收统一标准》GB 50300-2013分部分项划分要求；</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消防验收资料需满足《消防给水及消火栓系统技术规范》GB 50974-2014；</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防雷验收依据《建筑电气工程施工质量验收规范》GB 50303-2015</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4.2.9自行解决施工人员动复员、食宿、交通等；配合建设方完成为工程相关方（如监理、设计、造价单位等）办公、工作、实验场所的建设。</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4.2.10承包商工作范围没有特殊说明，但为完成本工程范围施工所必须的其他工作也属于承包商的工作范围（例如排污及雨水引出至指定接驳点接驳）。</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4.2.11配合监理、监督等相关单位合法、合规的监理监督工作，承包商负责相关政府手续(如安全环保手续办理、防雷验收，临电，消防验收相关工作)，费用承包商自理，并按照项目所在地监管部门要求提供验收资料；安全环保手续需符合《中华人民共和国安全生产法》及《《建设工程安全生产管理条例》（国务院令第393号）、《建设项目环境保护管理条例》（国务院令第682号）；消防验收依据《建筑设计防火规范》GB50016-2014 (2018年版)。</w:t>
      </w:r>
    </w:p>
    <w:p>
      <w:pPr>
        <w:adjustRightInd/>
        <w:snapToGrid/>
        <w:spacing w:before="0" w:after="0"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4.2.12投标人必须认真研读招标人提供的技术文件、施工图、工程量清单等文件资料，并结合现场踏勘情况分析采取相应措施，在施工期间所发生一切措施由投标人自行考虑解决，并包含于综合单价中。现场勘察需符合《工程测量规范》GB 50026-2020；</w:t>
      </w:r>
    </w:p>
    <w:p>
      <w:pPr>
        <w:adjustRightInd/>
        <w:snapToGrid/>
        <w:spacing w:before="0" w:after="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施工降效风险应对措施参考《钢结构设计标准》GB 50017-2017及《钢结构工程施工质量验收规范》GB 50205-2020。</w:t>
      </w:r>
    </w:p>
    <w:p>
      <w:pPr>
        <w:adjustRightInd/>
        <w:snapToGrid/>
        <w:spacing w:before="0" w:after="0" w:line="360" w:lineRule="auto"/>
        <w:ind w:firstLine="360" w:firstLineChars="150"/>
        <w:rPr>
          <w:rFonts w:hint="eastAsia" w:ascii="宋体" w:hAnsi="宋体"/>
          <w:color w:val="auto"/>
          <w:highlight w:val="none"/>
        </w:rPr>
      </w:pPr>
      <w:r>
        <w:rPr>
          <w:rFonts w:hint="eastAsia" w:ascii="宋体" w:hAnsi="宋体" w:eastAsia="宋体" w:cs="宋体"/>
          <w:color w:val="auto"/>
          <w:sz w:val="24"/>
          <w:szCs w:val="24"/>
          <w:highlight w:val="none"/>
          <w:lang w:val="en-US" w:eastAsia="zh-CN"/>
        </w:rPr>
        <w:t>（注：承包商单位在施工过程中应充分考虑业主生产作业、施工环境、天气原因等可能带来的降效、停工风险；充分考虑山东省、烟台市、龙口市三级政府尤其是</w:t>
      </w:r>
      <w:r>
        <w:rPr>
          <w:rFonts w:hint="eastAsia" w:ascii="宋体" w:hAnsi="宋体" w:cs="宋体"/>
          <w:color w:val="auto"/>
          <w:sz w:val="24"/>
          <w:szCs w:val="24"/>
          <w:highlight w:val="none"/>
          <w:lang w:val="en-US" w:eastAsia="zh-CN"/>
        </w:rPr>
        <w:t>自规局</w:t>
      </w:r>
      <w:r>
        <w:rPr>
          <w:rFonts w:hint="eastAsia" w:ascii="宋体" w:hAnsi="宋体" w:eastAsia="宋体" w:cs="宋体"/>
          <w:color w:val="auto"/>
          <w:sz w:val="24"/>
          <w:szCs w:val="24"/>
          <w:highlight w:val="none"/>
          <w:lang w:val="en-US" w:eastAsia="zh-CN"/>
        </w:rPr>
        <w:t>等主管部门的要求，满足</w:t>
      </w:r>
      <w:r>
        <w:rPr>
          <w:rFonts w:hint="eastAsia" w:ascii="宋体" w:hAnsi="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eastAsia="zh-CN"/>
        </w:rPr>
        <w:t>相关的建设、监管、验收要求，投标进场前应充分勘察现场情况</w:t>
      </w:r>
      <w:r>
        <w:rPr>
          <w:rFonts w:hint="eastAsia" w:ascii="宋体" w:hAnsi="宋体"/>
          <w:color w:val="auto"/>
          <w:highlight w:val="none"/>
        </w:rPr>
        <w:t>。</w:t>
      </w:r>
      <w:r>
        <w:rPr>
          <w:rFonts w:hint="eastAsia" w:ascii="宋体" w:hAnsi="宋体" w:eastAsia="宋体" w:cs="宋体"/>
          <w:color w:val="auto"/>
          <w:sz w:val="24"/>
          <w:szCs w:val="24"/>
          <w:highlight w:val="none"/>
          <w:lang w:val="en-US" w:eastAsia="zh-CN"/>
        </w:rPr>
        <w:t>）</w:t>
      </w:r>
    </w:p>
    <w:p>
      <w:pPr>
        <w:pStyle w:val="41"/>
        <w:spacing w:line="360" w:lineRule="auto"/>
        <w:rPr>
          <w:rFonts w:hint="eastAsia" w:ascii="微软雅黑" w:hAnsi="微软雅黑" w:eastAsia="微软雅黑" w:cs="微软雅黑"/>
          <w:color w:val="auto"/>
          <w:highlight w:val="none"/>
          <w:lang w:eastAsia="zh-CN"/>
        </w:rPr>
      </w:pPr>
      <w:bookmarkStart w:id="63" w:name="_Toc26117"/>
      <w:bookmarkStart w:id="64" w:name="_Toc3945"/>
      <w:bookmarkStart w:id="65" w:name="_Toc24074"/>
      <w:bookmarkStart w:id="66" w:name="_Toc18479"/>
      <w:r>
        <w:rPr>
          <w:rFonts w:hint="eastAsia" w:ascii="微软雅黑" w:hAnsi="微软雅黑" w:eastAsia="微软雅黑" w:cs="微软雅黑"/>
          <w:color w:val="auto"/>
          <w:highlight w:val="none"/>
          <w:lang w:eastAsia="zh-CN"/>
        </w:rPr>
        <w:t>配备资源要求</w:t>
      </w:r>
      <w:bookmarkEnd w:id="63"/>
      <w:bookmarkEnd w:id="64"/>
      <w:bookmarkEnd w:id="65"/>
      <w:bookmarkEnd w:id="66"/>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4.3.1人员要求</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在整个合同执行期间内，承包人委派一名项目经理，要求具备一级建造师（建筑工程专业）。项目经理在整个工期内的工作应是全职的而不应是兼职的，其应将全部时间用于负责本工程的实施。</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现场管理人员及施工人员须遵守我公司相关安全管理规定，承包人如需更换或撤销其项目组织机构中的任何主要管理人员（包括项目经理、</w:t>
      </w:r>
      <w:r>
        <w:rPr>
          <w:rFonts w:hint="eastAsia" w:ascii="宋体" w:hAnsi="宋体" w:cs="宋体"/>
          <w:color w:val="auto"/>
          <w:sz w:val="24"/>
          <w:szCs w:val="24"/>
          <w:highlight w:val="none"/>
          <w:lang w:val="en-US" w:eastAsia="zh-CN"/>
        </w:rPr>
        <w:t>安全经理</w:t>
      </w:r>
      <w:r>
        <w:rPr>
          <w:rFonts w:hint="eastAsia" w:ascii="宋体" w:hAnsi="宋体" w:eastAsia="宋体" w:cs="宋体"/>
          <w:color w:val="auto"/>
          <w:sz w:val="24"/>
          <w:szCs w:val="24"/>
          <w:highlight w:val="none"/>
          <w:lang w:val="en-US" w:eastAsia="zh-CN"/>
        </w:rPr>
        <w:t xml:space="preserve">、项目总工程师及各专业负责人），均应至少提前5日以书面形式通知建设方，并征得建设方的事先书面同意。未取得建设方的事先书面同意，承包人不得更换和撤销上述任何人员。 </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4.3.2检验仪器要求</w:t>
      </w:r>
    </w:p>
    <w:p>
      <w:p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乙方应提供施工作业、检测等相关仪器、设备，并且必须保证所提交清单中的设备、仪器、工具完好并专为本项目服务。现场使用的各类计量、测量的工器具，须符合国家相关要求。</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4.3.3管理软件要求</w:t>
      </w:r>
    </w:p>
    <w:p>
      <w:p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乙方应说明将用于本项目计划控制的管理软件,有关工程项目的数据文件材料提供给业主共享，并明确进度管理软件（如：Primavera P6、project等）软件的使用情况。</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4.3.4办公设备</w:t>
      </w:r>
    </w:p>
    <w:p>
      <w:p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乙方开展工作需要的电脑、打印机、复印机、传真机、文具、纸张、网络、固定电话、接线板等由乙方自己负责。</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4.3.5办公区域</w:t>
      </w:r>
    </w:p>
    <w:p>
      <w:pPr>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允许乙方在施工现场修建临时设施。不提供施工场地内通讯接驳地点、不提供施工所需全部通讯设施，均须自行解决。乙方应为甲方提供现场办公室（含监理人办公用房），并为甲方预留用水端口和用电端口。</w:t>
      </w:r>
    </w:p>
    <w:p>
      <w:pPr>
        <w:pStyle w:val="41"/>
        <w:spacing w:line="360" w:lineRule="auto"/>
        <w:rPr>
          <w:rFonts w:hint="eastAsia" w:ascii="微软雅黑" w:hAnsi="微软雅黑" w:eastAsia="微软雅黑" w:cs="微软雅黑"/>
          <w:color w:val="auto"/>
          <w:highlight w:val="none"/>
          <w:lang w:eastAsia="zh-CN"/>
        </w:rPr>
      </w:pPr>
      <w:bookmarkStart w:id="67" w:name="_Toc20285"/>
      <w:bookmarkStart w:id="68" w:name="_Toc16714"/>
      <w:bookmarkStart w:id="69" w:name="_Toc21313"/>
      <w:bookmarkStart w:id="70" w:name="_Toc28481"/>
      <w:r>
        <w:rPr>
          <w:rFonts w:hint="eastAsia" w:ascii="微软雅黑" w:hAnsi="微软雅黑" w:eastAsia="微软雅黑" w:cs="微软雅黑"/>
          <w:color w:val="auto"/>
          <w:highlight w:val="none"/>
          <w:lang w:eastAsia="zh-CN"/>
        </w:rPr>
        <w:t>主要工程量</w:t>
      </w:r>
      <w:bookmarkEnd w:id="67"/>
      <w:bookmarkEnd w:id="68"/>
      <w:bookmarkEnd w:id="69"/>
      <w:bookmarkEnd w:id="70"/>
    </w:p>
    <w:p>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详见附件：工程量清单</w:t>
      </w:r>
    </w:p>
    <w:p>
      <w:pPr>
        <w:pStyle w:val="3"/>
        <w:spacing w:line="360" w:lineRule="auto"/>
        <w:ind w:left="694" w:leftChars="0" w:firstLineChars="0"/>
        <w:rPr>
          <w:rFonts w:hint="eastAsia" w:cs="宋体"/>
          <w:caps/>
          <w:color w:val="auto"/>
          <w:highlight w:val="none"/>
        </w:rPr>
      </w:pPr>
      <w:bookmarkStart w:id="71" w:name="_Toc28770"/>
      <w:bookmarkStart w:id="72" w:name="_Toc508406779"/>
      <w:bookmarkStart w:id="73" w:name="_Toc32360"/>
      <w:bookmarkStart w:id="74" w:name="_Toc6650"/>
      <w:bookmarkStart w:id="75" w:name="_Toc27120"/>
      <w:r>
        <w:rPr>
          <w:rFonts w:hint="eastAsia" w:cs="宋体"/>
          <w:caps/>
          <w:color w:val="auto"/>
          <w:highlight w:val="none"/>
        </w:rPr>
        <w:t>技术要求</w:t>
      </w:r>
      <w:bookmarkEnd w:id="71"/>
      <w:bookmarkEnd w:id="72"/>
      <w:bookmarkEnd w:id="73"/>
      <w:bookmarkEnd w:id="74"/>
      <w:bookmarkEnd w:id="75"/>
    </w:p>
    <w:p>
      <w:pPr>
        <w:pStyle w:val="41"/>
        <w:spacing w:line="360" w:lineRule="auto"/>
        <w:rPr>
          <w:rFonts w:hint="eastAsia" w:ascii="微软雅黑" w:hAnsi="微软雅黑" w:eastAsia="微软雅黑" w:cs="微软雅黑"/>
          <w:color w:val="auto"/>
          <w:highlight w:val="none"/>
          <w:lang w:eastAsia="zh-CN"/>
        </w:rPr>
      </w:pPr>
      <w:bookmarkStart w:id="76" w:name="_Toc31009"/>
      <w:bookmarkStart w:id="77" w:name="_Toc8814"/>
      <w:bookmarkStart w:id="78" w:name="_Toc9139"/>
      <w:bookmarkStart w:id="79" w:name="_Toc25858"/>
      <w:r>
        <w:rPr>
          <w:rFonts w:hint="eastAsia" w:ascii="微软雅黑" w:hAnsi="微软雅黑" w:eastAsia="微软雅黑" w:cs="微软雅黑"/>
          <w:color w:val="auto"/>
          <w:highlight w:val="none"/>
          <w:lang w:val="en-US" w:eastAsia="zh-CN"/>
        </w:rPr>
        <w:t>技术</w:t>
      </w:r>
      <w:r>
        <w:rPr>
          <w:rFonts w:hint="eastAsia" w:ascii="微软雅黑" w:hAnsi="微软雅黑" w:eastAsia="微软雅黑" w:cs="微软雅黑"/>
          <w:color w:val="auto"/>
          <w:highlight w:val="none"/>
          <w:lang w:eastAsia="zh-CN"/>
        </w:rPr>
        <w:t>质量</w:t>
      </w:r>
      <w:r>
        <w:rPr>
          <w:rFonts w:hint="eastAsia" w:ascii="微软雅黑" w:hAnsi="微软雅黑" w:eastAsia="微软雅黑" w:cs="微软雅黑"/>
          <w:color w:val="auto"/>
          <w:highlight w:val="none"/>
          <w:lang w:val="en-US" w:eastAsia="zh-CN"/>
        </w:rPr>
        <w:t>目标</w:t>
      </w:r>
      <w:bookmarkEnd w:id="76"/>
      <w:bookmarkEnd w:id="77"/>
      <w:bookmarkEnd w:id="78"/>
      <w:bookmarkEnd w:id="79"/>
    </w:p>
    <w:p>
      <w:pPr>
        <w:pStyle w:val="41"/>
        <w:numPr>
          <w:ilvl w:val="1"/>
          <w:numId w:val="0"/>
        </w:numPr>
        <w:spacing w:line="360" w:lineRule="auto"/>
        <w:ind w:left="-159" w:leftChars="0" w:firstLine="480" w:firstLineChars="200"/>
        <w:rPr>
          <w:rFonts w:hint="eastAsia" w:ascii="微软雅黑" w:hAnsi="微软雅黑" w:eastAsia="微软雅黑" w:cs="微软雅黑"/>
          <w:color w:val="auto"/>
          <w:highlight w:val="none"/>
          <w:lang w:val="en-US" w:eastAsia="zh-CN"/>
        </w:rPr>
      </w:pPr>
      <w:bookmarkStart w:id="80" w:name="_Toc13241"/>
      <w:bookmarkStart w:id="81" w:name="_Toc25279"/>
      <w:r>
        <w:rPr>
          <w:rFonts w:hint="eastAsia" w:ascii="微软雅黑" w:hAnsi="微软雅黑" w:eastAsia="微软雅黑" w:cs="微软雅黑"/>
          <w:color w:val="auto"/>
          <w:highlight w:val="none"/>
          <w:lang w:val="en-US" w:eastAsia="zh-CN"/>
        </w:rPr>
        <w:t>（完全应用：《建筑工程施工质量验收统一标准》（GB50300））</w:t>
      </w:r>
      <w:bookmarkEnd w:id="80"/>
      <w:bookmarkEnd w:id="81"/>
    </w:p>
    <w:p>
      <w:pPr>
        <w:pStyle w:val="35"/>
        <w:spacing w:before="62" w:after="62" w:line="360" w:lineRule="auto"/>
        <w:ind w:firstLine="424" w:firstLineChars="177"/>
        <w:rPr>
          <w:rFonts w:hint="eastAsia" w:ascii="宋体" w:hAnsi="宋体" w:eastAsia="宋体" w:cs="宋体"/>
          <w:color w:val="auto"/>
          <w:highlight w:val="none"/>
        </w:rPr>
      </w:pPr>
      <w:r>
        <w:rPr>
          <w:rFonts w:hint="eastAsia" w:ascii="宋体" w:hAnsi="宋体" w:eastAsia="宋体" w:cs="宋体"/>
          <w:color w:val="auto"/>
          <w:highlight w:val="none"/>
        </w:rPr>
        <w:t>本工程的施工质量必须满足国家标准规范和合同要求，按现行国家标准规范验收《建筑工程施工质量验收统一标准》（GB50300）等相关专业验收标准规范要求，工程质量达到“合格”标准。</w:t>
      </w:r>
    </w:p>
    <w:p>
      <w:pPr>
        <w:pStyle w:val="41"/>
        <w:spacing w:line="360" w:lineRule="auto"/>
        <w:rPr>
          <w:rFonts w:hint="eastAsia" w:ascii="微软雅黑" w:hAnsi="微软雅黑" w:eastAsia="微软雅黑" w:cs="微软雅黑"/>
          <w:color w:val="auto"/>
          <w:highlight w:val="none"/>
          <w:lang w:eastAsia="zh-CN"/>
        </w:rPr>
      </w:pPr>
      <w:bookmarkStart w:id="82" w:name="_Toc27595"/>
      <w:bookmarkStart w:id="83" w:name="_Toc31068"/>
      <w:bookmarkStart w:id="84" w:name="_Toc31814"/>
      <w:bookmarkStart w:id="85" w:name="_Toc7197"/>
      <w:r>
        <w:rPr>
          <w:rFonts w:hint="eastAsia" w:ascii="微软雅黑" w:hAnsi="微软雅黑" w:eastAsia="微软雅黑" w:cs="微软雅黑"/>
          <w:color w:val="auto"/>
          <w:highlight w:val="none"/>
          <w:lang w:eastAsia="zh-CN"/>
        </w:rPr>
        <w:t>技术标准</w:t>
      </w:r>
      <w:bookmarkEnd w:id="82"/>
      <w:bookmarkEnd w:id="83"/>
      <w:bookmarkEnd w:id="84"/>
      <w:bookmarkEnd w:id="85"/>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《建筑工程施工质量验收统一标准》                    GB 50300-2013</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《建筑装饰装修工程质量验收标准》                    GB</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50210-2018</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《给水排水管道工程施工</w:t>
      </w:r>
      <w:r>
        <w:rPr>
          <w:rFonts w:hint="eastAsia" w:ascii="宋体" w:hAnsi="宋体" w:cs="宋体"/>
          <w:color w:val="auto"/>
          <w:highlight w:val="none"/>
          <w:lang w:val="en-US" w:eastAsia="zh-CN"/>
        </w:rPr>
        <w:t>和</w:t>
      </w:r>
      <w:r>
        <w:rPr>
          <w:rFonts w:hint="eastAsia" w:ascii="宋体" w:hAnsi="宋体" w:eastAsia="宋体" w:cs="宋体"/>
          <w:color w:val="auto"/>
          <w:highlight w:val="none"/>
        </w:rPr>
        <w:t>验收规范》                  GB 50268—20</w:t>
      </w:r>
      <w:r>
        <w:rPr>
          <w:rFonts w:hint="eastAsia" w:ascii="宋体" w:hAnsi="宋体" w:cs="宋体"/>
          <w:color w:val="auto"/>
          <w:highlight w:val="none"/>
          <w:lang w:val="en-US" w:eastAsia="zh-CN"/>
        </w:rPr>
        <w:t>08</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《建筑给水排水和采暖工程施工质量验收规范》          GB 50242-2002</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《消防给水及消火栓系统技术规范》                    GB 50974-2014</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《建筑地面工程施工质量验收规范》                    GB 50209-2010 </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《混凝土结构工程施工质量验收规范》                  GB 50204-2015 </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《钢结构工程施工质量验收标准》 </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 xml:space="preserve"> GB50205-2020</w:t>
      </w:r>
      <w:r>
        <w:rPr>
          <w:rFonts w:hint="eastAsia" w:ascii="宋体" w:hAnsi="宋体" w:cs="宋体"/>
          <w:color w:val="auto"/>
          <w:highlight w:val="none"/>
          <w:lang w:val="en-US" w:eastAsia="zh-CN"/>
        </w:rPr>
        <w:t xml:space="preserve">              </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《混凝土结构工程施工质量验收规范》</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GB 50204-2015</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《水泥混凝土路面施工及验收规范》</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GBJ 97-1987</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《建设工程施工现场供用电安全规范》                  GB 50194-2014</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《建筑电气工程施工质量验收规范》                    GB50303-2015</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《土工试验方法标准》                                GB/T50123-2019</w:t>
      </w:r>
    </w:p>
    <w:p>
      <w:pPr>
        <w:pStyle w:val="35"/>
        <w:numPr>
          <w:ilvl w:val="0"/>
          <w:numId w:val="8"/>
        </w:numPr>
        <w:spacing w:before="62" w:after="62" w:line="360" w:lineRule="auto"/>
        <w:ind w:left="420" w:leftChars="0" w:hanging="420" w:firstLineChars="0"/>
        <w:rPr>
          <w:rFonts w:hint="eastAsia" w:ascii="宋体" w:hAnsi="宋体" w:eastAsia="宋体" w:cs="宋体"/>
          <w:color w:val="auto"/>
          <w:highlight w:val="none"/>
        </w:rPr>
      </w:pPr>
      <w:r>
        <w:rPr>
          <w:rFonts w:hint="eastAsia" w:ascii="宋体" w:hAnsi="宋体" w:eastAsia="宋体" w:cs="宋体"/>
          <w:color w:val="auto"/>
          <w:highlight w:val="none"/>
        </w:rPr>
        <w:t>《建筑地基基础工程施工质量验收标准》                GB50202-2018</w:t>
      </w:r>
    </w:p>
    <w:p>
      <w:pPr>
        <w:pStyle w:val="35"/>
        <w:spacing w:before="62" w:after="62" w:line="360" w:lineRule="auto"/>
        <w:ind w:firstLine="424" w:firstLineChars="177"/>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该服务项目执行国家现行有效的质量及相关法律法规、标准和规范技术标准</w:t>
      </w:r>
      <w:r>
        <w:rPr>
          <w:rFonts w:hint="eastAsia" w:ascii="宋体" w:hAnsi="宋体" w:cs="宋体"/>
          <w:color w:val="auto"/>
          <w:highlight w:val="none"/>
          <w:lang w:val="en-US" w:eastAsia="zh-CN"/>
        </w:rPr>
        <w:t>,详细规范名称参考施工图</w:t>
      </w:r>
      <w:r>
        <w:rPr>
          <w:rFonts w:hint="eastAsia" w:ascii="宋体" w:hAnsi="宋体" w:eastAsia="宋体" w:cs="宋体"/>
          <w:color w:val="auto"/>
          <w:highlight w:val="none"/>
          <w:lang w:val="en-US" w:eastAsia="zh-CN"/>
        </w:rPr>
        <w:t>。</w:t>
      </w:r>
    </w:p>
    <w:p>
      <w:pPr>
        <w:pStyle w:val="41"/>
        <w:spacing w:line="360" w:lineRule="auto"/>
        <w:rPr>
          <w:rFonts w:hint="eastAsia" w:ascii="微软雅黑" w:hAnsi="微软雅黑" w:eastAsia="微软雅黑" w:cs="微软雅黑"/>
          <w:color w:val="auto"/>
          <w:highlight w:val="none"/>
          <w:lang w:eastAsia="zh-CN"/>
        </w:rPr>
      </w:pPr>
      <w:bookmarkStart w:id="86" w:name="_Toc14837"/>
      <w:bookmarkStart w:id="87" w:name="_Toc10187"/>
      <w:bookmarkStart w:id="88" w:name="_Toc6888"/>
      <w:bookmarkStart w:id="89" w:name="_Toc10018"/>
      <w:r>
        <w:rPr>
          <w:rFonts w:hint="eastAsia" w:ascii="微软雅黑" w:hAnsi="微软雅黑" w:eastAsia="微软雅黑" w:cs="微软雅黑"/>
          <w:color w:val="auto"/>
          <w:highlight w:val="none"/>
          <w:lang w:eastAsia="zh-CN"/>
        </w:rPr>
        <w:t>施工组织要求</w:t>
      </w:r>
      <w:bookmarkEnd w:id="86"/>
      <w:bookmarkEnd w:id="87"/>
      <w:bookmarkEnd w:id="88"/>
      <w:bookmarkEnd w:id="89"/>
    </w:p>
    <w:p>
      <w:pPr>
        <w:pStyle w:val="56"/>
        <w:spacing w:line="360" w:lineRule="auto"/>
        <w:ind w:firstLine="480"/>
        <w:rPr>
          <w:rFonts w:hint="eastAsia" w:ascii="微软雅黑" w:hAnsi="微软雅黑" w:eastAsia="微软雅黑" w:cs="微软雅黑"/>
          <w:color w:val="auto"/>
          <w:highlight w:val="none"/>
          <w:lang w:eastAsia="zh-CN"/>
        </w:rPr>
      </w:pPr>
      <w:r>
        <w:rPr>
          <w:rFonts w:hint="eastAsia" w:eastAsia="宋体" w:cs="Times New Roman"/>
          <w:color w:val="auto"/>
          <w:highlight w:val="none"/>
          <w:lang w:val="en-US" w:eastAsia="zh-CN"/>
        </w:rPr>
        <w:t>（</w:t>
      </w:r>
      <w:r>
        <w:rPr>
          <w:rFonts w:hint="eastAsia" w:ascii="宋体" w:hAnsi="宋体" w:eastAsia="宋体" w:cs="Times New Roman"/>
          <w:color w:val="auto"/>
          <w:highlight w:val="none"/>
          <w:lang w:val="en-US" w:eastAsia="zh-CN"/>
        </w:rPr>
        <w:t>部分应用：</w:t>
      </w:r>
      <w:r>
        <w:rPr>
          <w:rFonts w:hint="eastAsia"/>
          <w:color w:val="auto"/>
          <w:highlight w:val="none"/>
        </w:rPr>
        <w:t>《中华人民共和国建筑法》</w:t>
      </w:r>
      <w:r>
        <w:rPr>
          <w:rFonts w:hint="eastAsia" w:ascii="宋体" w:hAnsi="宋体" w:eastAsia="宋体" w:cs="Times New Roman"/>
          <w:color w:val="auto"/>
          <w:highlight w:val="none"/>
          <w:lang w:eastAsia="zh-CN"/>
        </w:rPr>
        <w:t>、</w:t>
      </w:r>
      <w:r>
        <w:rPr>
          <w:rFonts w:hint="eastAsia"/>
          <w:color w:val="auto"/>
          <w:highlight w:val="none"/>
        </w:rPr>
        <w:t>《建设工程质量管理条例》</w:t>
      </w:r>
      <w:r>
        <w:rPr>
          <w:rFonts w:hint="eastAsia" w:ascii="宋体" w:hAnsi="宋体" w:eastAsia="宋体" w:cs="Times New Roman"/>
          <w:color w:val="auto"/>
          <w:highlight w:val="none"/>
          <w:lang w:eastAsia="zh-CN"/>
        </w:rPr>
        <w:t>、</w:t>
      </w:r>
      <w:r>
        <w:rPr>
          <w:rFonts w:hint="eastAsia"/>
          <w:color w:val="auto"/>
          <w:highlight w:val="none"/>
        </w:rPr>
        <w:t>《建筑工程施工质量验收统一标准》（GB 50300-2013）</w:t>
      </w:r>
      <w:r>
        <w:rPr>
          <w:rFonts w:hint="eastAsia" w:ascii="宋体" w:hAnsi="宋体" w:eastAsia="宋体" w:cs="Times New Roman"/>
          <w:color w:val="auto"/>
          <w:highlight w:val="none"/>
          <w:lang w:eastAsia="zh-CN"/>
        </w:rPr>
        <w:t>、</w:t>
      </w:r>
      <w:r>
        <w:rPr>
          <w:rFonts w:hint="eastAsia"/>
          <w:color w:val="auto"/>
          <w:highlight w:val="none"/>
        </w:rPr>
        <w:t>《港口工程建设管理规定》（交通运输部令2018年第2号）、《港口道路与堆场施工规范》（JTS 216-2021）</w:t>
      </w:r>
      <w:r>
        <w:rPr>
          <w:rFonts w:hint="eastAsia" w:ascii="宋体" w:hAnsi="宋体" w:eastAsia="宋体" w:cs="Times New Roman"/>
          <w:color w:val="auto"/>
          <w:highlight w:val="none"/>
          <w:lang w:val="en-US" w:eastAsia="zh-CN"/>
        </w:rPr>
        <w:t>等</w:t>
      </w:r>
      <w:r>
        <w:rPr>
          <w:rFonts w:hint="eastAsia" w:ascii="宋体" w:hAnsi="宋体" w:eastAsia="宋体" w:cs="Times New Roman"/>
          <w:color w:val="auto"/>
          <w:highlight w:val="none"/>
          <w:lang w:eastAsia="zh-CN"/>
        </w:rPr>
        <w:t>）</w:t>
      </w:r>
    </w:p>
    <w:p>
      <w:pPr>
        <w:spacing w:line="360" w:lineRule="auto"/>
        <w:outlineLvl w:val="2"/>
        <w:rPr>
          <w:rFonts w:hint="eastAsia" w:ascii="宋体" w:hAnsi="宋体" w:eastAsia="宋体" w:cs="宋体"/>
          <w:color w:val="auto"/>
          <w:sz w:val="24"/>
          <w:szCs w:val="24"/>
          <w:highlight w:val="none"/>
          <w:lang w:val="en-US" w:eastAsia="zh-CN"/>
        </w:rPr>
      </w:pPr>
      <w:bookmarkStart w:id="90" w:name="_Toc508406780"/>
      <w:r>
        <w:rPr>
          <w:rFonts w:hint="eastAsia" w:ascii="宋体" w:hAnsi="宋体" w:eastAsia="宋体" w:cs="宋体"/>
          <w:color w:val="auto"/>
          <w:sz w:val="24"/>
          <w:szCs w:val="24"/>
          <w:highlight w:val="none"/>
          <w:lang w:val="en-US" w:eastAsia="zh-CN"/>
        </w:rPr>
        <w:t>5.3.1总体原则</w:t>
      </w:r>
    </w:p>
    <w:p>
      <w:pPr>
        <w:pStyle w:val="35"/>
        <w:spacing w:before="62" w:after="62" w:line="360" w:lineRule="auto"/>
        <w:ind w:firstLine="424" w:firstLineChars="177"/>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必须</w:t>
      </w:r>
      <w:r>
        <w:rPr>
          <w:rFonts w:hint="eastAsia" w:ascii="宋体" w:hAnsi="宋体"/>
          <w:color w:val="auto"/>
          <w:highlight w:val="none"/>
        </w:rPr>
        <w:t>依据《中华人民共和国建筑法》《建设工程质量管理条例》</w:t>
      </w:r>
      <w:r>
        <w:rPr>
          <w:rFonts w:hint="eastAsia" w:ascii="宋体" w:hAnsi="宋体" w:eastAsia="宋体" w:cs="宋体"/>
          <w:color w:val="auto"/>
          <w:highlight w:val="none"/>
        </w:rPr>
        <w:t>建立健全项目管理制度，包括但不限于：项目质量管理规定、质量管理处罚规定、质量检查制度、质量例会制度等，项目管理制度应切实贯彻落实，以确保工程质量满足</w:t>
      </w:r>
      <w:r>
        <w:rPr>
          <w:rFonts w:hint="eastAsia" w:ascii="宋体" w:hAnsi="宋体"/>
          <w:color w:val="auto"/>
          <w:highlight w:val="none"/>
        </w:rPr>
        <w:t>《建筑工程施工质量验收统一标准》（GB 50300-2013）要求。管理制度应切实贯彻落实，确保工程质量满足《建筑工程施工质量验收统一标准》（GB 50300-2013）要求。质量策划文件需符合《港口工程建设管理规定》（交通运输部令2018年第2号）及建设方规定，报监理人和建设方审批</w:t>
      </w:r>
      <w:r>
        <w:rPr>
          <w:rFonts w:hint="eastAsia" w:ascii="宋体" w:hAnsi="宋体"/>
          <w:color w:val="auto"/>
          <w:highlight w:val="none"/>
          <w:lang w:eastAsia="zh-CN"/>
        </w:rPr>
        <w:t>，</w:t>
      </w:r>
      <w:r>
        <w:rPr>
          <w:rFonts w:hint="eastAsia" w:ascii="宋体" w:hAnsi="宋体"/>
          <w:color w:val="auto"/>
          <w:highlight w:val="none"/>
        </w:rPr>
        <w:t>经审批后实施。。</w:t>
      </w:r>
      <w:r>
        <w:rPr>
          <w:rFonts w:hint="eastAsia" w:ascii="宋体" w:hAnsi="宋体" w:eastAsia="宋体" w:cs="宋体"/>
          <w:color w:val="auto"/>
          <w:highlight w:val="none"/>
        </w:rPr>
        <w:t>同时，应按监</w:t>
      </w:r>
      <w:r>
        <w:rPr>
          <w:rFonts w:hint="eastAsia" w:ascii="宋体" w:hAnsi="宋体"/>
          <w:color w:val="auto"/>
          <w:highlight w:val="none"/>
        </w:rPr>
        <w:t>理人《水运工程施工监理规范》JTS 252-20</w:t>
      </w:r>
      <w:r>
        <w:rPr>
          <w:rFonts w:hint="eastAsia" w:ascii="宋体" w:hAnsi="宋体"/>
          <w:color w:val="auto"/>
          <w:highlight w:val="none"/>
          <w:lang w:val="en-US" w:eastAsia="zh-CN"/>
        </w:rPr>
        <w:t>15</w:t>
      </w:r>
      <w:r>
        <w:rPr>
          <w:rFonts w:hint="eastAsia" w:ascii="宋体" w:hAnsi="宋体"/>
          <w:color w:val="auto"/>
          <w:highlight w:val="none"/>
        </w:rPr>
        <w:t>的管理要求，</w:t>
      </w:r>
      <w:r>
        <w:rPr>
          <w:rFonts w:hint="eastAsia" w:ascii="宋体" w:hAnsi="宋体" w:eastAsia="宋体" w:cs="宋体"/>
          <w:color w:val="auto"/>
          <w:highlight w:val="none"/>
        </w:rPr>
        <w:t>提交质量策划文件，其格式与要求必须满足</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相关文件的规定要求，经</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审核，提交批准后，方可组织实施。</w:t>
      </w:r>
    </w:p>
    <w:p>
      <w:pPr>
        <w:pStyle w:val="35"/>
        <w:spacing w:before="62" w:after="62" w:line="360" w:lineRule="auto"/>
        <w:ind w:firstLine="424" w:firstLineChars="177"/>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应按规范要求编制《施工组织设计》、《质量体系文件》、《质量计划》、《施工方案》、《检验和试验计划》、《工作程序文件》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安全专项方案</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应急预案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等，上报监理人和</w:t>
      </w:r>
      <w:r>
        <w:rPr>
          <w:rFonts w:hint="eastAsia" w:ascii="宋体" w:hAnsi="宋体" w:eastAsia="宋体" w:cs="宋体"/>
          <w:color w:val="auto"/>
          <w:highlight w:val="none"/>
          <w:lang w:val="en-US" w:eastAsia="zh-CN"/>
        </w:rPr>
        <w:t>甲方相关人员</w:t>
      </w:r>
      <w:r>
        <w:rPr>
          <w:rFonts w:hint="eastAsia" w:ascii="宋体" w:hAnsi="宋体" w:eastAsia="宋体" w:cs="宋体"/>
          <w:color w:val="auto"/>
          <w:highlight w:val="none"/>
        </w:rPr>
        <w:t>审批。</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5.3.2施工组织设计</w:t>
      </w:r>
    </w:p>
    <w:p>
      <w:pPr>
        <w:pStyle w:val="35"/>
        <w:spacing w:before="62" w:after="62" w:line="360" w:lineRule="auto"/>
        <w:ind w:firstLine="424" w:firstLineChars="177"/>
        <w:rPr>
          <w:rFonts w:hint="eastAsia" w:ascii="宋体" w:hAnsi="宋体"/>
          <w:color w:val="auto"/>
          <w:highlight w:val="none"/>
        </w:rPr>
      </w:pPr>
      <w:r>
        <w:rPr>
          <w:rFonts w:hint="eastAsia" w:ascii="宋体" w:hAnsi="宋体"/>
          <w:color w:val="auto"/>
          <w:highlight w:val="none"/>
        </w:rPr>
        <w:t>施工组织设计应包括但不限于以下内容：施工组织设计大纲</w:t>
      </w:r>
      <w:r>
        <w:rPr>
          <w:rFonts w:hint="eastAsia" w:ascii="宋体" w:hAnsi="宋体"/>
          <w:color w:val="auto"/>
          <w:highlight w:val="none"/>
          <w:lang w:eastAsia="zh-CN"/>
        </w:rPr>
        <w:t>，</w:t>
      </w:r>
      <w:r>
        <w:rPr>
          <w:rFonts w:hint="eastAsia" w:ascii="宋体" w:hAnsi="宋体"/>
          <w:color w:val="auto"/>
          <w:highlight w:val="none"/>
          <w:lang w:val="en-US" w:eastAsia="zh-CN"/>
        </w:rPr>
        <w:t>需</w:t>
      </w:r>
      <w:r>
        <w:rPr>
          <w:rFonts w:hint="eastAsia" w:ascii="宋体" w:hAnsi="宋体"/>
          <w:color w:val="auto"/>
          <w:highlight w:val="none"/>
        </w:rPr>
        <w:t>符合《水运工程土工合成材料应用技术规范》（JTS 147-2017）要求；施工主要工序及施工方案；施工现场平面布置图</w:t>
      </w:r>
      <w:r>
        <w:rPr>
          <w:rFonts w:hint="eastAsia" w:ascii="宋体" w:hAnsi="宋体"/>
          <w:color w:val="auto"/>
          <w:highlight w:val="none"/>
          <w:lang w:eastAsia="zh-CN"/>
        </w:rPr>
        <w:t>，</w:t>
      </w:r>
      <w:r>
        <w:rPr>
          <w:rFonts w:hint="eastAsia" w:ascii="宋体" w:hAnsi="宋体"/>
          <w:color w:val="auto"/>
          <w:highlight w:val="none"/>
        </w:rPr>
        <w:t>满足《建筑施工安全技术统一规范》（GB 50870-2013）的安全距离要求；施工进度计划和保证措施；劳动力和材料供应计划及其保证措施</w:t>
      </w:r>
      <w:r>
        <w:rPr>
          <w:rFonts w:hint="eastAsia" w:ascii="宋体" w:hAnsi="宋体"/>
          <w:color w:val="auto"/>
          <w:highlight w:val="none"/>
          <w:lang w:eastAsia="zh-CN"/>
        </w:rPr>
        <w:t>，</w:t>
      </w:r>
      <w:r>
        <w:rPr>
          <w:rFonts w:hint="eastAsia" w:ascii="宋体" w:hAnsi="宋体"/>
          <w:color w:val="auto"/>
          <w:highlight w:val="none"/>
          <w:lang w:val="en-US" w:eastAsia="zh-CN"/>
        </w:rPr>
        <w:t>需</w:t>
      </w:r>
      <w:r>
        <w:rPr>
          <w:rFonts w:hint="eastAsia" w:ascii="宋体" w:hAnsi="宋体"/>
          <w:color w:val="auto"/>
          <w:highlight w:val="none"/>
        </w:rPr>
        <w:t>符合《建筑机械使用安全技术规程》（JGJ 33-2019）标准；项目负责人及项目管理人员配置；施工机械设备的选用；质量保证体系及措施</w:t>
      </w:r>
      <w:r>
        <w:rPr>
          <w:rFonts w:hint="eastAsia" w:ascii="宋体" w:hAnsi="宋体"/>
          <w:color w:val="auto"/>
          <w:highlight w:val="none"/>
          <w:lang w:eastAsia="zh-CN"/>
        </w:rPr>
        <w:t>，满足《水运工程质量检验标准》（JTS 257-2016）要求</w:t>
      </w:r>
      <w:r>
        <w:rPr>
          <w:rFonts w:hint="eastAsia" w:ascii="宋体" w:hAnsi="宋体"/>
          <w:color w:val="auto"/>
          <w:highlight w:val="none"/>
        </w:rPr>
        <w:t>；安全生产、文明施工措施；环境保护、成本控制措施；施工分区计划。</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5.3.3劳动力要求</w:t>
      </w:r>
    </w:p>
    <w:p>
      <w:pPr>
        <w:spacing w:line="360" w:lineRule="auto"/>
        <w:outlineLvl w:val="2"/>
        <w:rPr>
          <w:rFonts w:hint="eastAsia" w:ascii="宋体" w:hAnsi="宋体" w:cs="宋体"/>
          <w:color w:val="auto"/>
          <w:highlight w:val="none"/>
        </w:rPr>
      </w:pPr>
      <w:r>
        <w:rPr>
          <w:rFonts w:hint="eastAsia" w:ascii="宋体" w:hAnsi="宋体"/>
          <w:color w:val="auto"/>
          <w:highlight w:val="none"/>
        </w:rPr>
        <w:t>承包商施工人员数量应符合《中华人民共和国安全生产法》及《建设工程施工现场消防安全技术规范》（GB 50720-2011）要求，并在投标文件中明确配置计划。建设方有权依据《中华人民共和国合同法》要求增加人员以确保进度。</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5.3.4机具要求</w:t>
      </w:r>
    </w:p>
    <w:p>
      <w:pPr>
        <w:pStyle w:val="35"/>
        <w:numPr>
          <w:ilvl w:val="0"/>
          <w:numId w:val="9"/>
        </w:numPr>
        <w:spacing w:before="62" w:after="62" w:line="360" w:lineRule="auto"/>
        <w:ind w:firstLineChars="0"/>
        <w:rPr>
          <w:rFonts w:hint="eastAsia" w:ascii="宋体" w:hAnsi="宋体"/>
          <w:color w:val="auto"/>
          <w:highlight w:val="none"/>
        </w:rPr>
      </w:pPr>
      <w:bookmarkStart w:id="91" w:name="_Toc4564"/>
      <w:bookmarkStart w:id="92" w:name="_Toc25077"/>
      <w:bookmarkStart w:id="93" w:name="_Toc24502"/>
      <w:r>
        <w:rPr>
          <w:rFonts w:hint="eastAsia" w:ascii="宋体" w:hAnsi="宋体"/>
          <w:color w:val="auto"/>
          <w:highlight w:val="none"/>
        </w:rPr>
        <w:t>承包商施工机械设备的选型及性能须符合施工对象的特点、适应施工现场条件，并满足设计、规范要求的质量目标。施工机械选型及性能应符合《港口工程荷载规范》（JTS 144-1-2018）及《建筑地基处理技术规范》（JGJ 79-2019）要求</w:t>
      </w:r>
    </w:p>
    <w:p>
      <w:pPr>
        <w:pStyle w:val="35"/>
        <w:numPr>
          <w:ilvl w:val="0"/>
          <w:numId w:val="9"/>
        </w:numPr>
        <w:spacing w:before="62" w:after="62" w:line="360" w:lineRule="auto"/>
        <w:ind w:firstLineChars="0"/>
        <w:rPr>
          <w:rFonts w:hint="eastAsia" w:ascii="宋体" w:hAnsi="宋体"/>
          <w:color w:val="auto"/>
          <w:highlight w:val="none"/>
        </w:rPr>
      </w:pPr>
      <w:r>
        <w:rPr>
          <w:rFonts w:hint="eastAsia" w:ascii="宋体" w:hAnsi="宋体"/>
          <w:color w:val="auto"/>
          <w:highlight w:val="none"/>
        </w:rPr>
        <w:t>承包商施工机械设备的数量须满足工程进度的要求。当工程进度出现滞后，承包商须无条件根据监理人和建设方的要求增加机械设备。</w:t>
      </w:r>
    </w:p>
    <w:p>
      <w:pPr>
        <w:pStyle w:val="35"/>
        <w:numPr>
          <w:ilvl w:val="0"/>
          <w:numId w:val="9"/>
        </w:numPr>
        <w:spacing w:before="62" w:after="62" w:line="360" w:lineRule="auto"/>
        <w:ind w:firstLineChars="0"/>
        <w:rPr>
          <w:rFonts w:hint="eastAsia" w:ascii="宋体" w:hAnsi="宋体"/>
          <w:color w:val="auto"/>
          <w:highlight w:val="none"/>
        </w:rPr>
      </w:pPr>
      <w:r>
        <w:rPr>
          <w:rFonts w:hint="eastAsia" w:ascii="宋体" w:hAnsi="宋体"/>
          <w:color w:val="auto"/>
          <w:highlight w:val="none"/>
        </w:rPr>
        <w:t>承包商施工机械设备应处于完好的可用状态，特种设备须经管理部门验收。特种设备验收需符合《中华人民共和国特种设备安全法》规定</w:t>
      </w:r>
      <w:r>
        <w:rPr>
          <w:rFonts w:hint="eastAsia" w:ascii="宋体" w:hAnsi="宋体"/>
          <w:color w:val="auto"/>
          <w:highlight w:val="none"/>
          <w:lang w:eastAsia="zh-CN"/>
        </w:rPr>
        <w:t>。</w:t>
      </w:r>
    </w:p>
    <w:p>
      <w:pPr>
        <w:pStyle w:val="35"/>
        <w:numPr>
          <w:ilvl w:val="0"/>
          <w:numId w:val="9"/>
        </w:numPr>
        <w:spacing w:before="62" w:after="62" w:line="360" w:lineRule="auto"/>
        <w:ind w:firstLineChars="0"/>
        <w:rPr>
          <w:rFonts w:hint="eastAsia" w:ascii="宋体" w:hAnsi="宋体"/>
          <w:color w:val="auto"/>
          <w:highlight w:val="none"/>
        </w:rPr>
      </w:pPr>
      <w:r>
        <w:rPr>
          <w:rFonts w:hint="eastAsia" w:ascii="宋体" w:hAnsi="宋体"/>
          <w:color w:val="auto"/>
          <w:highlight w:val="none"/>
        </w:rPr>
        <w:t>承包商计量器具应具有相应的技术检定合格证书，正式使用前须校验或校正。计量器具检定应符合《电气装置安装工程接地装置施工及验收规范》（GB 50169-2016）要求</w:t>
      </w:r>
      <w:r>
        <w:rPr>
          <w:rFonts w:hint="eastAsia" w:ascii="宋体" w:hAnsi="宋体"/>
          <w:color w:val="auto"/>
          <w:highlight w:val="none"/>
          <w:lang w:eastAsia="zh-CN"/>
        </w:rPr>
        <w:t>。</w:t>
      </w:r>
    </w:p>
    <w:p>
      <w:pPr>
        <w:pStyle w:val="35"/>
        <w:numPr>
          <w:ilvl w:val="0"/>
          <w:numId w:val="9"/>
        </w:numPr>
        <w:spacing w:before="62" w:after="62" w:line="360" w:lineRule="auto"/>
        <w:ind w:firstLineChars="0"/>
        <w:rPr>
          <w:rFonts w:hint="eastAsia" w:ascii="宋体" w:hAnsi="宋体"/>
          <w:color w:val="auto"/>
          <w:highlight w:val="none"/>
        </w:rPr>
      </w:pPr>
      <w:r>
        <w:rPr>
          <w:rFonts w:hint="eastAsia" w:ascii="宋体" w:hAnsi="宋体"/>
          <w:color w:val="auto"/>
          <w:highlight w:val="none"/>
        </w:rPr>
        <w:t>施工过程中，未经监理人或建设方许可，承包商不得任意更换施工机械或设备。</w:t>
      </w:r>
    </w:p>
    <w:p>
      <w:pPr>
        <w:pStyle w:val="35"/>
        <w:numPr>
          <w:ilvl w:val="0"/>
          <w:numId w:val="9"/>
        </w:numPr>
        <w:spacing w:before="62" w:after="62" w:line="360" w:lineRule="auto"/>
        <w:ind w:firstLineChars="0"/>
        <w:rPr>
          <w:rFonts w:hint="eastAsia" w:ascii="宋体" w:hAnsi="宋体"/>
          <w:color w:val="auto"/>
          <w:highlight w:val="none"/>
        </w:rPr>
      </w:pPr>
      <w:r>
        <w:rPr>
          <w:rFonts w:hint="eastAsia" w:ascii="宋体" w:hAnsi="宋体"/>
          <w:color w:val="auto"/>
          <w:highlight w:val="none"/>
        </w:rPr>
        <w:t>承包商在投标文件中明确项目建设各阶段现场施工机具配置计划。</w:t>
      </w:r>
    </w:p>
    <w:p>
      <w:pPr>
        <w:pStyle w:val="41"/>
        <w:spacing w:line="360" w:lineRule="auto"/>
        <w:rPr>
          <w:rFonts w:hint="eastAsia" w:ascii="微软雅黑" w:hAnsi="微软雅黑" w:eastAsia="微软雅黑" w:cs="微软雅黑"/>
          <w:color w:val="auto"/>
          <w:highlight w:val="none"/>
          <w:lang w:eastAsia="zh-CN"/>
        </w:rPr>
      </w:pPr>
      <w:bookmarkStart w:id="94" w:name="_Toc17650"/>
      <w:r>
        <w:rPr>
          <w:rFonts w:hint="eastAsia" w:ascii="微软雅黑" w:hAnsi="微软雅黑" w:eastAsia="微软雅黑" w:cs="微软雅黑"/>
          <w:color w:val="auto"/>
          <w:highlight w:val="none"/>
          <w:lang w:eastAsia="zh-CN"/>
        </w:rPr>
        <w:t>开工要求</w:t>
      </w:r>
      <w:bookmarkEnd w:id="91"/>
      <w:bookmarkEnd w:id="92"/>
      <w:bookmarkEnd w:id="93"/>
      <w:bookmarkEnd w:id="94"/>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5.4.1开工准备</w:t>
      </w:r>
    </w:p>
    <w:p>
      <w:pPr>
        <w:spacing w:line="360" w:lineRule="auto"/>
        <w:rPr>
          <w:rFonts w:hint="eastAsia" w:ascii="宋体" w:hAnsi="宋体"/>
          <w:color w:val="auto"/>
          <w:highlight w:val="none"/>
        </w:rPr>
      </w:pPr>
      <w:bookmarkStart w:id="95" w:name="_Toc21981"/>
      <w:bookmarkStart w:id="96" w:name="_Toc18151"/>
      <w:bookmarkStart w:id="97" w:name="_Toc23055"/>
      <w:bookmarkStart w:id="98" w:name="_Toc31121"/>
      <w:bookmarkStart w:id="99" w:name="_Toc6889"/>
      <w:r>
        <w:rPr>
          <w:rFonts w:hint="eastAsia" w:ascii="宋体" w:hAnsi="宋体"/>
          <w:color w:val="auto"/>
          <w:highlight w:val="none"/>
        </w:rPr>
        <w:t>（1）关于承包商提交工程开工报审表的期限：开工前7天。实际开工日期，应在取得施工许可证后，并以监理人签发的开工令时间为准。</w:t>
      </w:r>
    </w:p>
    <w:p>
      <w:pPr>
        <w:spacing w:line="360" w:lineRule="auto"/>
        <w:rPr>
          <w:rFonts w:hint="eastAsia" w:ascii="宋体" w:hAnsi="宋体" w:cs="宋体"/>
          <w:color w:val="auto"/>
          <w:highlight w:val="none"/>
        </w:rPr>
      </w:pPr>
      <w:r>
        <w:rPr>
          <w:rFonts w:hint="eastAsia" w:ascii="宋体" w:hAnsi="宋体"/>
          <w:color w:val="auto"/>
          <w:highlight w:val="none"/>
        </w:rPr>
        <w:t>（2）关于承包商应完成的其他开工准备工作及期限：承包商应在开工日期前完成以下各项施工准备工作，并按合同约定的进度计划向</w:t>
      </w:r>
      <w:r>
        <w:rPr>
          <w:rFonts w:hint="eastAsia" w:ascii="宋体" w:hAnsi="宋体" w:cs="宋体"/>
          <w:color w:val="auto"/>
          <w:highlight w:val="none"/>
        </w:rPr>
        <w:t>监理人和建设方</w:t>
      </w:r>
      <w:r>
        <w:rPr>
          <w:rFonts w:hint="eastAsia" w:ascii="宋体" w:hAnsi="宋体"/>
          <w:color w:val="auto"/>
          <w:highlight w:val="none"/>
        </w:rPr>
        <w:t>提交工程开工报审表，经</w:t>
      </w:r>
      <w:r>
        <w:rPr>
          <w:rFonts w:hint="eastAsia" w:ascii="宋体" w:hAnsi="宋体" w:cs="宋体"/>
          <w:color w:val="auto"/>
          <w:highlight w:val="none"/>
        </w:rPr>
        <w:t>监理人和建设方</w:t>
      </w:r>
      <w:r>
        <w:rPr>
          <w:rFonts w:hint="eastAsia" w:ascii="宋体" w:hAnsi="宋体"/>
          <w:color w:val="auto"/>
          <w:highlight w:val="none"/>
        </w:rPr>
        <w:t>审批后执行。主要包括：</w:t>
      </w:r>
      <w:r>
        <w:rPr>
          <w:rFonts w:hint="eastAsia" w:ascii="宋体" w:hAnsi="宋体" w:cs="宋体"/>
          <w:color w:val="auto"/>
          <w:highlight w:val="none"/>
        </w:rPr>
        <w:t>人员准备、工设备准备、工程材料、工程设备、施工技术准备、相关政府手续办理（建筑垃圾处理等）。需符合《建设工程施工现场环境与卫生标准》（JGJ 146-2013）及《防治海洋工程建设项目污染损害海洋环境管理条例》要求</w:t>
      </w:r>
    </w:p>
    <w:p>
      <w:pPr>
        <w:pStyle w:val="41"/>
        <w:spacing w:line="360" w:lineRule="auto"/>
        <w:rPr>
          <w:rFonts w:hint="eastAsia" w:ascii="微软雅黑" w:hAnsi="微软雅黑" w:eastAsia="微软雅黑" w:cs="微软雅黑"/>
          <w:color w:val="auto"/>
          <w:highlight w:val="none"/>
          <w:lang w:eastAsia="zh-CN"/>
        </w:rPr>
      </w:pPr>
      <w:bookmarkStart w:id="100" w:name="_Toc19594"/>
      <w:r>
        <w:rPr>
          <w:rFonts w:hint="eastAsia" w:ascii="微软雅黑" w:hAnsi="微软雅黑" w:eastAsia="微软雅黑" w:cs="微软雅黑"/>
          <w:color w:val="auto"/>
          <w:highlight w:val="none"/>
          <w:lang w:eastAsia="zh-CN"/>
        </w:rPr>
        <w:t>施工材料要求</w:t>
      </w:r>
      <w:bookmarkEnd w:id="95"/>
      <w:bookmarkEnd w:id="96"/>
      <w:bookmarkEnd w:id="97"/>
      <w:bookmarkEnd w:id="98"/>
      <w:bookmarkEnd w:id="99"/>
      <w:bookmarkEnd w:id="100"/>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bookmarkStart w:id="101" w:name="_Toc2336"/>
      <w:r>
        <w:rPr>
          <w:rFonts w:hint="eastAsia" w:ascii="宋体" w:hAnsi="宋体" w:eastAsia="宋体" w:cs="宋体"/>
          <w:color w:val="auto"/>
          <w:sz w:val="24"/>
          <w:szCs w:val="24"/>
          <w:highlight w:val="none"/>
          <w:lang w:val="en-US" w:eastAsia="zh-CN" w:bidi="ar-SA"/>
        </w:rPr>
        <w:t>5.5.1材料/工程设备要求</w:t>
      </w:r>
      <w:bookmarkEnd w:id="101"/>
    </w:p>
    <w:p>
      <w:pPr>
        <w:spacing w:line="360" w:lineRule="auto"/>
        <w:rPr>
          <w:rFonts w:hint="eastAsia" w:ascii="宋体" w:hAnsi="宋体" w:eastAsia="宋体"/>
          <w:color w:val="auto"/>
          <w:highlight w:val="none"/>
          <w:lang w:eastAsia="zh-CN"/>
        </w:rPr>
      </w:pPr>
      <w:bookmarkStart w:id="102" w:name="_Toc14809"/>
      <w:r>
        <w:rPr>
          <w:rFonts w:hint="eastAsia" w:ascii="宋体" w:hAnsi="宋体"/>
          <w:color w:val="auto"/>
          <w:highlight w:val="none"/>
        </w:rPr>
        <w:t>本工程需要提供样品的材料和工程设备包括但不限于：建筑、结构、装修、水电、消防等所有专业的主要材料，构配件及主要设备。所有样品须经建设方认可，方可视为有效。如无法提供样品的，要及时沟通并达成共识或去实地考察等，以确保产品质量。材料样品认可流程需符合《建筑地面工程施工质量验收规范》（GB/T 50209-2010）及《混凝土质量控制标准》（GB 50164-2011）要求</w:t>
      </w:r>
      <w:r>
        <w:rPr>
          <w:rFonts w:hint="eastAsia" w:ascii="宋体" w:hAnsi="宋体"/>
          <w:color w:val="auto"/>
          <w:highlight w:val="none"/>
          <w:lang w:eastAsia="zh-CN"/>
        </w:rPr>
        <w:t>，工程设备检测依据《建筑电气工程施工质量验收规范》（GB 50303-2015）执行。</w:t>
      </w:r>
    </w:p>
    <w:bookmarkEnd w:id="102"/>
    <w:p>
      <w:pPr>
        <w:pStyle w:val="35"/>
        <w:spacing w:before="62" w:after="62" w:line="360" w:lineRule="auto"/>
        <w:ind w:firstLine="0" w:firstLineChars="0"/>
        <w:rPr>
          <w:rFonts w:hint="eastAsia" w:ascii="宋体" w:hAnsi="宋体"/>
          <w:color w:val="auto"/>
          <w:szCs w:val="24"/>
          <w:highlight w:val="none"/>
        </w:rPr>
      </w:pPr>
      <w:bookmarkStart w:id="103" w:name="_Toc247"/>
      <w:bookmarkStart w:id="104" w:name="_Toc13945"/>
      <w:bookmarkStart w:id="105" w:name="_Toc24200"/>
      <w:bookmarkStart w:id="106" w:name="_Toc22764"/>
      <w:bookmarkStart w:id="107" w:name="_Toc23271"/>
      <w:r>
        <w:rPr>
          <w:rFonts w:hint="eastAsia" w:ascii="宋体" w:hAnsi="宋体"/>
          <w:color w:val="auto"/>
          <w:szCs w:val="24"/>
          <w:highlight w:val="none"/>
        </w:rPr>
        <w:t>5.</w:t>
      </w:r>
      <w:r>
        <w:rPr>
          <w:rFonts w:hint="eastAsia" w:ascii="宋体" w:hAnsi="宋体"/>
          <w:color w:val="auto"/>
          <w:szCs w:val="24"/>
          <w:highlight w:val="none"/>
          <w:lang w:val="en-US" w:eastAsia="zh-CN"/>
        </w:rPr>
        <w:t>5</w:t>
      </w:r>
      <w:r>
        <w:rPr>
          <w:rFonts w:hint="eastAsia" w:ascii="宋体" w:hAnsi="宋体"/>
          <w:color w:val="auto"/>
          <w:szCs w:val="24"/>
          <w:highlight w:val="none"/>
        </w:rPr>
        <w:t>.2一般鉴定、检查要求</w:t>
      </w:r>
    </w:p>
    <w:p>
      <w:pPr>
        <w:spacing w:line="360" w:lineRule="auto"/>
        <w:rPr>
          <w:rFonts w:hint="eastAsia" w:ascii="宋体" w:hAnsi="宋体"/>
          <w:color w:val="auto"/>
          <w:highlight w:val="none"/>
        </w:rPr>
      </w:pPr>
      <w:r>
        <w:rPr>
          <w:rFonts w:hint="eastAsia" w:ascii="宋体" w:hAnsi="宋体"/>
          <w:color w:val="auto"/>
          <w:highlight w:val="none"/>
        </w:rPr>
        <w:t>（1）本项目在施工过程中应当按照工程施工验收规范和标准的规定，对用于本工程的主要材料、半成品、成品、建筑构配件、工程设备等进行</w:t>
      </w:r>
      <w:r>
        <w:rPr>
          <w:rFonts w:hint="eastAsia" w:ascii="宋体" w:hAnsi="宋体" w:cs="宋体"/>
          <w:color w:val="000000"/>
          <w:kern w:val="0"/>
          <w:szCs w:val="21"/>
          <w:highlight w:val="none"/>
          <w:lang w:eastAsia="zh-CN" w:bidi="ar"/>
        </w:rPr>
        <w:t>一般鉴定、检查</w:t>
      </w:r>
      <w:r>
        <w:rPr>
          <w:rFonts w:hint="eastAsia" w:ascii="宋体" w:hAnsi="宋体"/>
          <w:color w:val="auto"/>
          <w:highlight w:val="none"/>
        </w:rPr>
        <w:t>。需要进行检测的材料、工程设备和工艺在经过检验并获得</w:t>
      </w:r>
      <w:r>
        <w:rPr>
          <w:rFonts w:hint="eastAsia" w:ascii="宋体" w:hAnsi="宋体" w:cs="宋体"/>
          <w:color w:val="auto"/>
          <w:highlight w:val="none"/>
        </w:rPr>
        <w:t>监理人和建设方</w:t>
      </w:r>
      <w:r>
        <w:rPr>
          <w:rFonts w:hint="eastAsia" w:ascii="宋体" w:hAnsi="宋体"/>
          <w:color w:val="auto"/>
          <w:highlight w:val="none"/>
        </w:rPr>
        <w:t>批准以前，不得用于工程施工。</w:t>
      </w:r>
    </w:p>
    <w:p>
      <w:pPr>
        <w:pStyle w:val="35"/>
        <w:spacing w:before="62" w:after="62" w:line="360" w:lineRule="auto"/>
        <w:ind w:firstLine="0" w:firstLineChars="0"/>
        <w:rPr>
          <w:rFonts w:hint="eastAsia" w:ascii="宋体" w:hAnsi="宋体" w:cs="Times New Roman"/>
          <w:color w:val="auto"/>
          <w:sz w:val="24"/>
          <w:szCs w:val="24"/>
          <w:highlight w:val="none"/>
        </w:rPr>
      </w:pPr>
      <w:r>
        <w:rPr>
          <w:rFonts w:hint="eastAsia" w:ascii="宋体" w:hAnsi="宋体" w:cs="Times New Roman"/>
          <w:color w:val="auto"/>
          <w:szCs w:val="24"/>
          <w:highlight w:val="none"/>
        </w:rPr>
        <w:t>（2）</w:t>
      </w:r>
      <w:r>
        <w:rPr>
          <w:rFonts w:hint="eastAsia" w:ascii="宋体" w:hAnsi="宋体" w:cs="Times New Roman"/>
          <w:color w:val="auto"/>
          <w:sz w:val="24"/>
          <w:szCs w:val="24"/>
          <w:highlight w:val="none"/>
        </w:rPr>
        <w:t>本工程</w:t>
      </w:r>
      <w:r>
        <w:rPr>
          <w:rFonts w:hint="eastAsia" w:ascii="宋体" w:hAnsi="宋体" w:cs="Times New Roman"/>
          <w:color w:val="auto"/>
          <w:szCs w:val="24"/>
          <w:highlight w:val="none"/>
        </w:rPr>
        <w:t>一般鉴定、检查</w:t>
      </w:r>
      <w:r>
        <w:rPr>
          <w:rFonts w:hint="eastAsia" w:ascii="宋体" w:hAnsi="宋体" w:cs="Times New Roman"/>
          <w:color w:val="auto"/>
          <w:sz w:val="24"/>
          <w:szCs w:val="24"/>
          <w:highlight w:val="none"/>
        </w:rPr>
        <w:t>单位</w:t>
      </w:r>
      <w:r>
        <w:rPr>
          <w:rFonts w:hint="eastAsia" w:ascii="宋体" w:hAnsi="宋体" w:cs="Times New Roman"/>
          <w:color w:val="auto"/>
          <w:sz w:val="24"/>
          <w:szCs w:val="24"/>
          <w:highlight w:val="none"/>
          <w:lang w:val="en-US" w:eastAsia="zh-CN"/>
        </w:rPr>
        <w:t>满足山东省、烟台市、龙口市三级政府的要求</w:t>
      </w:r>
      <w:r>
        <w:rPr>
          <w:rFonts w:hint="eastAsia" w:ascii="宋体" w:hAnsi="宋体" w:cs="Times New Roman"/>
          <w:color w:val="auto"/>
          <w:sz w:val="24"/>
          <w:szCs w:val="24"/>
          <w:highlight w:val="none"/>
        </w:rPr>
        <w:t>。</w:t>
      </w:r>
      <w:r>
        <w:rPr>
          <w:rFonts w:hint="eastAsia" w:ascii="宋体" w:hAnsi="宋体" w:cs="Times New Roman"/>
          <w:color w:val="auto"/>
          <w:sz w:val="24"/>
          <w:szCs w:val="24"/>
          <w:highlight w:val="none"/>
          <w:lang w:val="en-US" w:eastAsia="zh-CN"/>
        </w:rPr>
        <w:t>相关费用按照《山东省建设工程费用项目组成及计算规则》编制并包含在报价中</w:t>
      </w:r>
      <w:r>
        <w:rPr>
          <w:rFonts w:hint="eastAsia" w:ascii="宋体" w:hAnsi="宋体" w:cs="Times New Roman"/>
          <w:color w:val="auto"/>
          <w:sz w:val="24"/>
          <w:szCs w:val="24"/>
          <w:highlight w:val="none"/>
        </w:rPr>
        <w:t>，并</w:t>
      </w:r>
      <w:r>
        <w:rPr>
          <w:rFonts w:hint="eastAsia" w:ascii="宋体" w:hAnsi="宋体" w:cs="Times New Roman"/>
          <w:color w:val="auto"/>
          <w:sz w:val="24"/>
          <w:szCs w:val="24"/>
          <w:highlight w:val="none"/>
          <w:lang w:val="en-US" w:eastAsia="zh-CN"/>
        </w:rPr>
        <w:t>在施工前</w:t>
      </w:r>
      <w:r>
        <w:rPr>
          <w:rFonts w:hint="eastAsia" w:ascii="宋体" w:hAnsi="宋体" w:cs="Times New Roman"/>
          <w:color w:val="auto"/>
          <w:sz w:val="24"/>
          <w:szCs w:val="24"/>
          <w:highlight w:val="none"/>
        </w:rPr>
        <w:t>出具相关检测试验报告。</w:t>
      </w:r>
    </w:p>
    <w:p>
      <w:pPr>
        <w:pStyle w:val="35"/>
        <w:spacing w:before="62" w:after="62" w:line="360" w:lineRule="auto"/>
        <w:ind w:firstLine="0" w:firstLineChars="0"/>
        <w:rPr>
          <w:rFonts w:hint="eastAsia" w:ascii="宋体" w:hAnsi="宋体" w:cs="Times New Roman"/>
          <w:color w:val="auto"/>
          <w:sz w:val="24"/>
          <w:szCs w:val="24"/>
          <w:highlight w:val="none"/>
          <w:lang w:eastAsia="zh-CN"/>
        </w:rPr>
      </w:pP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3</w:t>
      </w:r>
      <w:r>
        <w:rPr>
          <w:rFonts w:hint="eastAsia" w:ascii="宋体" w:hAnsi="宋体" w:cs="Times New Roman"/>
          <w:color w:val="auto"/>
          <w:sz w:val="24"/>
          <w:szCs w:val="24"/>
          <w:highlight w:val="none"/>
          <w:lang w:eastAsia="zh-CN"/>
        </w:rPr>
        <w:t>）检测试验需符合《混凝土强度检验评定标准》（GB/T 50107-2019）及《水运工程质量检验标准》（JTS 257-2016）要求。</w:t>
      </w:r>
    </w:p>
    <w:p>
      <w:pPr>
        <w:pStyle w:val="41"/>
        <w:spacing w:line="360" w:lineRule="auto"/>
        <w:rPr>
          <w:rFonts w:hint="eastAsia" w:ascii="微软雅黑" w:hAnsi="微软雅黑" w:eastAsia="微软雅黑" w:cs="微软雅黑"/>
          <w:color w:val="auto"/>
          <w:highlight w:val="none"/>
          <w:lang w:eastAsia="zh-CN"/>
        </w:rPr>
      </w:pPr>
      <w:bookmarkStart w:id="108" w:name="_Toc20316"/>
      <w:r>
        <w:rPr>
          <w:rFonts w:hint="eastAsia" w:ascii="微软雅黑" w:hAnsi="微软雅黑" w:eastAsia="微软雅黑" w:cs="微软雅黑"/>
          <w:color w:val="auto"/>
          <w:highlight w:val="none"/>
          <w:lang w:eastAsia="zh-CN"/>
        </w:rPr>
        <w:t>竣工验收进度要求</w:t>
      </w:r>
      <w:bookmarkEnd w:id="103"/>
      <w:bookmarkEnd w:id="104"/>
      <w:bookmarkEnd w:id="105"/>
      <w:bookmarkEnd w:id="106"/>
      <w:bookmarkEnd w:id="107"/>
      <w:bookmarkEnd w:id="108"/>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bookmarkStart w:id="109" w:name="_Toc13866"/>
      <w:r>
        <w:rPr>
          <w:rFonts w:hint="eastAsia" w:ascii="宋体" w:hAnsi="宋体" w:eastAsia="宋体" w:cs="宋体"/>
          <w:color w:val="auto"/>
          <w:sz w:val="24"/>
          <w:szCs w:val="24"/>
          <w:highlight w:val="none"/>
          <w:lang w:val="en-US" w:eastAsia="zh-CN" w:bidi="ar-SA"/>
        </w:rPr>
        <w:t>5.6.1竣工验收前的清理</w:t>
      </w:r>
      <w:bookmarkEnd w:id="109"/>
    </w:p>
    <w:p>
      <w:pPr>
        <w:numPr>
          <w:ilvl w:val="0"/>
          <w:numId w:val="10"/>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在向监理人提交竣工验收申请报告前，乙方应当完成竣工验收前的清理工作，包括但不限于：从永久工程内清除所有剩余材料、杂物、垃圾等等；修缮所有损坏、清除所有污迹等；检查、测试和确保所有服务系统、设施和设备达到良好的运行状态和效果；所有钥匙、阀门扳手(如果有)贴上标签并固定到钥匙排上随时可以交给监理人或甲方。</w:t>
      </w:r>
    </w:p>
    <w:p>
      <w:pPr>
        <w:numPr>
          <w:ilvl w:val="0"/>
          <w:numId w:val="10"/>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清理工作所需费用由乙方承担。</w:t>
      </w:r>
    </w:p>
    <w:p>
      <w:pPr>
        <w:pStyle w:val="41"/>
        <w:spacing w:line="360" w:lineRule="auto"/>
        <w:rPr>
          <w:rFonts w:hint="eastAsia" w:ascii="微软雅黑" w:hAnsi="微软雅黑" w:eastAsia="微软雅黑" w:cs="微软雅黑"/>
          <w:color w:val="auto"/>
          <w:highlight w:val="none"/>
          <w:lang w:eastAsia="zh-CN"/>
        </w:rPr>
      </w:pPr>
      <w:bookmarkStart w:id="110" w:name="_Toc12659"/>
      <w:bookmarkStart w:id="111" w:name="_Toc25610"/>
      <w:bookmarkStart w:id="112" w:name="_Toc22984"/>
      <w:bookmarkStart w:id="113" w:name="_Toc11374"/>
      <w:bookmarkStart w:id="114" w:name="_Toc18694"/>
      <w:bookmarkStart w:id="115" w:name="_Toc1032"/>
      <w:r>
        <w:rPr>
          <w:rFonts w:hint="eastAsia" w:ascii="微软雅黑" w:hAnsi="微软雅黑" w:eastAsia="微软雅黑" w:cs="微软雅黑"/>
          <w:color w:val="auto"/>
          <w:highlight w:val="none"/>
          <w:lang w:eastAsia="zh-CN"/>
        </w:rPr>
        <w:t>文明施工及环境保护要求</w:t>
      </w:r>
      <w:bookmarkEnd w:id="110"/>
      <w:bookmarkEnd w:id="111"/>
      <w:bookmarkEnd w:id="112"/>
      <w:bookmarkEnd w:id="113"/>
      <w:bookmarkEnd w:id="114"/>
      <w:bookmarkEnd w:id="115"/>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bookmarkStart w:id="116" w:name="_Toc11068"/>
      <w:r>
        <w:rPr>
          <w:rFonts w:hint="eastAsia" w:ascii="宋体" w:hAnsi="宋体" w:eastAsia="宋体" w:cs="宋体"/>
          <w:color w:val="auto"/>
          <w:sz w:val="24"/>
          <w:szCs w:val="24"/>
          <w:highlight w:val="none"/>
          <w:lang w:val="en-US" w:eastAsia="zh-CN" w:bidi="ar-SA"/>
        </w:rPr>
        <w:t>5.7.1文明施工管理要求</w:t>
      </w:r>
      <w:bookmarkEnd w:id="116"/>
    </w:p>
    <w:p>
      <w:pPr>
        <w:numPr>
          <w:ilvl w:val="0"/>
          <w:numId w:val="11"/>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按《建筑施工现场环境与卫生标准》等国家有关规范标准及工程所在地地方政府相关文明工地（场站）管理规定贯彻文明施工要求，在基础管理、质量管理、安全管理、环境形象、宣传教育、卫生防疫、综合治理等方面，推行现代化管理方法，科学组织施工，采取措施防止环境污染，做好文明施工管理及环境管理。由于管理不善，引起政府有关部门罚款、停工整改等处罚，及由此发生的损失由乙方自行承担，工期不顺延，且甲方保留缓付工程款、追究乙方违约责任的权利。</w:t>
      </w:r>
    </w:p>
    <w:p>
      <w:pPr>
        <w:numPr>
          <w:ilvl w:val="0"/>
          <w:numId w:val="11"/>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本工程严格执行施工工地100%围挡、施工工地物料堆放100%覆盖、施工工地道路100%硬化、施工现场100%湿法作业、运输车辆100%密闭、工地出入车辆100%冲洗、监控安装联网100%，工地内非道路移动机械车辆100%达标，“八个百分之百"措施。应遵循国务院《建设工程安全生产管理条例》加强安全施工管理。应遵循合同附件的规定，做好文明施工管理和场地交通安全的工作，并按规定的双方责任承担费用。</w:t>
      </w:r>
    </w:p>
    <w:p>
      <w:pPr>
        <w:numPr>
          <w:ilvl w:val="0"/>
          <w:numId w:val="11"/>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乙方应结合本工程的特点和施工招标文件的要求，提供完整的环保、安全文明施工组织方案并按其落实，并保证获得监理人、甲方的认可，其费用已包含在安措费内，不能依此要求增加费用。</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bookmarkStart w:id="117" w:name="_Toc17590"/>
      <w:r>
        <w:rPr>
          <w:rFonts w:hint="eastAsia" w:ascii="宋体" w:hAnsi="宋体" w:eastAsia="宋体" w:cs="宋体"/>
          <w:color w:val="auto"/>
          <w:sz w:val="24"/>
          <w:szCs w:val="24"/>
          <w:highlight w:val="none"/>
          <w:lang w:val="en-US" w:eastAsia="zh-CN" w:bidi="ar-SA"/>
        </w:rPr>
        <w:t>5.7.2环境保护要求</w:t>
      </w:r>
      <w:bookmarkEnd w:id="117"/>
    </w:p>
    <w:p>
      <w:pPr>
        <w:numPr>
          <w:ilvl w:val="0"/>
          <w:numId w:val="12"/>
        </w:numPr>
        <w:spacing w:line="360" w:lineRule="auto"/>
        <w:rPr>
          <w:rFonts w:hint="eastAsia" w:ascii="宋体" w:hAnsi="宋体"/>
          <w:color w:val="auto"/>
          <w:highlight w:val="none"/>
        </w:rPr>
      </w:pPr>
      <w:r>
        <w:rPr>
          <w:rFonts w:hint="eastAsia" w:ascii="宋体" w:hAnsi="宋体"/>
          <w:color w:val="auto"/>
          <w:highlight w:val="none"/>
        </w:rPr>
        <w:t>承包商应严格落实本工程环境影响评价报告书及政府批复文件提出的环保措施和监测方案。环保措施需符合《中华人民共和国环境保护法》及《环境影响评价报告书》批复要求</w:t>
      </w:r>
    </w:p>
    <w:p>
      <w:pPr>
        <w:numPr>
          <w:ilvl w:val="0"/>
          <w:numId w:val="12"/>
        </w:numPr>
        <w:spacing w:line="360" w:lineRule="auto"/>
        <w:rPr>
          <w:rFonts w:hint="eastAsia" w:ascii="宋体" w:hAnsi="宋体"/>
          <w:color w:val="auto"/>
          <w:highlight w:val="none"/>
        </w:rPr>
      </w:pPr>
      <w:r>
        <w:rPr>
          <w:rFonts w:hint="eastAsia" w:ascii="宋体" w:hAnsi="宋体"/>
          <w:color w:val="auto"/>
          <w:highlight w:val="none"/>
        </w:rPr>
        <w:t>在工程施工、完工及修补任何缺陷的过程中，承包商应始终遵守国家和工程所在地有关环境保护、水土保护和污染防治的法律、法规、规章、规范、标准和规程等，按照通用合同条款的相关约定履行其环境与生态保护职责。</w:t>
      </w:r>
    </w:p>
    <w:p>
      <w:pPr>
        <w:numPr>
          <w:ilvl w:val="0"/>
          <w:numId w:val="12"/>
        </w:numPr>
        <w:spacing w:line="360" w:lineRule="auto"/>
        <w:rPr>
          <w:rFonts w:hint="eastAsia" w:ascii="宋体" w:hAnsi="宋体"/>
          <w:color w:val="auto"/>
          <w:highlight w:val="none"/>
        </w:rPr>
      </w:pPr>
      <w:r>
        <w:rPr>
          <w:rFonts w:hint="eastAsia" w:ascii="宋体" w:hAnsi="宋体"/>
          <w:color w:val="auto"/>
          <w:highlight w:val="none"/>
        </w:rPr>
        <w:t>承包商应按合同约定和监理人及建设方指示，接受国家和地方环境保护行政主管部门的监督、监测和检查。承包商应对其违反现行法律、法规、规章、规范、标准和规程等以及本合同约定所造成的环境污染、水土流失、人员伤害和财产损失等承担赔偿责任。</w:t>
      </w:r>
    </w:p>
    <w:p>
      <w:pPr>
        <w:numPr>
          <w:ilvl w:val="0"/>
          <w:numId w:val="12"/>
        </w:numPr>
        <w:spacing w:line="360" w:lineRule="auto"/>
        <w:rPr>
          <w:rFonts w:hint="eastAsia" w:ascii="宋体" w:hAnsi="宋体"/>
          <w:color w:val="auto"/>
          <w:highlight w:val="none"/>
        </w:rPr>
      </w:pPr>
      <w:r>
        <w:rPr>
          <w:rFonts w:hint="eastAsia" w:ascii="宋体" w:hAnsi="宋体"/>
          <w:color w:val="auto"/>
          <w:highlight w:val="none"/>
        </w:rPr>
        <w:t>承包商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numPr>
          <w:ilvl w:val="0"/>
          <w:numId w:val="12"/>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施工现场“渣土垃圾”的整治处置及违约约定：</w:t>
      </w:r>
    </w:p>
    <w:p>
      <w:pPr>
        <w:pStyle w:val="35"/>
        <w:numPr>
          <w:ilvl w:val="0"/>
          <w:numId w:val="1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乙方应积极按政府有关要求，做好对施工过程中产生的渣土、淤泥、建筑垃圾（简称“渣土垃圾”）规范运输处理等工作。</w:t>
      </w:r>
    </w:p>
    <w:p>
      <w:pPr>
        <w:pStyle w:val="35"/>
        <w:numPr>
          <w:ilvl w:val="0"/>
          <w:numId w:val="1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乙方应加强对渣土、淤泥等运输车辆的车况检查，做好持证运营；保证不偷倒、不乱倒渣土和建筑垃圾。乙方应加强对施工工地的管理，要求施工工地整洁；落实车辆的清洁措施工程竣工验收确保无垃圾等。</w:t>
      </w:r>
    </w:p>
    <w:p>
      <w:pPr>
        <w:pStyle w:val="35"/>
        <w:numPr>
          <w:ilvl w:val="0"/>
          <w:numId w:val="1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乙方在施工中产生的污水、泥浆等必须按当地市环保要求达标排放，相关费用乙方承担。乙方在投标报价时应包含此项费用。</w:t>
      </w:r>
    </w:p>
    <w:p>
      <w:pPr>
        <w:pStyle w:val="35"/>
        <w:numPr>
          <w:ilvl w:val="0"/>
          <w:numId w:val="1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乙方应根据现场情况上报施工现场“渣土垃圾、泥浆”整治的经济保证措施。</w:t>
      </w:r>
    </w:p>
    <w:p>
      <w:pPr>
        <w:pStyle w:val="41"/>
        <w:spacing w:line="360" w:lineRule="auto"/>
        <w:rPr>
          <w:rFonts w:hint="eastAsia" w:ascii="微软雅黑" w:hAnsi="微软雅黑" w:eastAsia="微软雅黑" w:cs="微软雅黑"/>
          <w:color w:val="auto"/>
          <w:highlight w:val="none"/>
          <w:lang w:eastAsia="zh-CN"/>
        </w:rPr>
      </w:pPr>
      <w:bookmarkStart w:id="118" w:name="_Toc32522"/>
      <w:bookmarkStart w:id="119" w:name="_Toc7916"/>
      <w:bookmarkStart w:id="120" w:name="_Toc4998"/>
      <w:bookmarkStart w:id="121" w:name="_Toc2708"/>
      <w:bookmarkStart w:id="122" w:name="_Toc20685"/>
      <w:bookmarkStart w:id="123" w:name="_Toc12682"/>
      <w:r>
        <w:rPr>
          <w:rFonts w:hint="eastAsia" w:ascii="微软雅黑" w:hAnsi="微软雅黑" w:eastAsia="微软雅黑" w:cs="微软雅黑"/>
          <w:color w:val="auto"/>
          <w:highlight w:val="none"/>
          <w:lang w:eastAsia="zh-CN"/>
        </w:rPr>
        <w:t>农民工工资保证要求</w:t>
      </w:r>
      <w:bookmarkEnd w:id="118"/>
      <w:bookmarkEnd w:id="119"/>
      <w:bookmarkEnd w:id="120"/>
      <w:bookmarkEnd w:id="121"/>
      <w:bookmarkEnd w:id="122"/>
      <w:bookmarkEnd w:id="123"/>
    </w:p>
    <w:p>
      <w:pPr>
        <w:pStyle w:val="35"/>
        <w:spacing w:before="62" w:after="62" w:line="360" w:lineRule="auto"/>
        <w:ind w:firstLine="0" w:firstLineChars="0"/>
        <w:rPr>
          <w:rFonts w:hint="eastAsia" w:ascii="宋体" w:hAnsi="宋体" w:eastAsia="宋体"/>
          <w:color w:val="auto"/>
          <w:szCs w:val="24"/>
          <w:highlight w:val="none"/>
          <w:lang w:eastAsia="zh-CN"/>
        </w:rPr>
      </w:pPr>
      <w:bookmarkStart w:id="124" w:name="_Toc4208"/>
      <w:bookmarkStart w:id="125" w:name="_Toc31465"/>
      <w:bookmarkStart w:id="126" w:name="_Toc13008"/>
      <w:bookmarkStart w:id="127" w:name="_Toc12179"/>
      <w:bookmarkStart w:id="128" w:name="_Toc8103"/>
      <w:r>
        <w:rPr>
          <w:rFonts w:hint="eastAsia" w:ascii="宋体" w:hAnsi="宋体"/>
          <w:color w:val="auto"/>
          <w:szCs w:val="24"/>
          <w:highlight w:val="none"/>
        </w:rPr>
        <w:t>5.</w:t>
      </w:r>
      <w:r>
        <w:rPr>
          <w:rFonts w:hint="eastAsia" w:ascii="宋体" w:hAnsi="宋体"/>
          <w:color w:val="auto"/>
          <w:szCs w:val="24"/>
          <w:highlight w:val="none"/>
          <w:lang w:eastAsia="zh-CN"/>
        </w:rPr>
        <w:t>7</w:t>
      </w:r>
      <w:r>
        <w:rPr>
          <w:rFonts w:hint="eastAsia" w:ascii="宋体" w:hAnsi="宋体"/>
          <w:color w:val="auto"/>
          <w:szCs w:val="24"/>
          <w:highlight w:val="none"/>
        </w:rPr>
        <w:t>.1本项目的承包商应承担施工现场建筑工人实名制管理职责，制定本单位建筑工人实名制管理制度，配备建筑工人实名制管理人员，通过信息化手段将相关数据实时、准确、完整上传至相关部门的建筑工人实名制管理平台。实名制管理符合《保障农民工工资支付条例》及《建筑工人实名制管理办法（试行）》要求</w:t>
      </w:r>
      <w:r>
        <w:rPr>
          <w:rFonts w:hint="eastAsia" w:ascii="宋体" w:hAnsi="宋体"/>
          <w:color w:val="auto"/>
          <w:szCs w:val="24"/>
          <w:highlight w:val="none"/>
          <w:lang w:eastAsia="zh-CN"/>
        </w:rPr>
        <w:t>。</w:t>
      </w:r>
    </w:p>
    <w:p>
      <w:pPr>
        <w:pStyle w:val="35"/>
        <w:spacing w:before="62" w:after="62" w:line="360" w:lineRule="auto"/>
        <w:ind w:firstLine="0" w:firstLineChars="0"/>
        <w:rPr>
          <w:rFonts w:hint="eastAsia" w:ascii="宋体" w:hAnsi="宋体"/>
          <w:color w:val="auto"/>
          <w:szCs w:val="24"/>
          <w:highlight w:val="none"/>
        </w:rPr>
      </w:pPr>
      <w:r>
        <w:rPr>
          <w:rFonts w:hint="eastAsia" w:ascii="宋体" w:hAnsi="宋体"/>
          <w:color w:val="auto"/>
          <w:szCs w:val="24"/>
          <w:highlight w:val="none"/>
        </w:rPr>
        <w:t>5.</w:t>
      </w:r>
      <w:r>
        <w:rPr>
          <w:rFonts w:hint="eastAsia" w:ascii="宋体" w:hAnsi="宋体"/>
          <w:color w:val="auto"/>
          <w:szCs w:val="24"/>
          <w:highlight w:val="none"/>
          <w:lang w:eastAsia="zh-CN"/>
        </w:rPr>
        <w:t>7</w:t>
      </w:r>
      <w:r>
        <w:rPr>
          <w:rFonts w:hint="eastAsia" w:ascii="宋体" w:hAnsi="宋体"/>
          <w:color w:val="auto"/>
          <w:szCs w:val="24"/>
          <w:highlight w:val="none"/>
        </w:rPr>
        <w:t>.2本项目的承包商应配备的实现建筑工人实名制管理所必须的硬件设施设备，施工现场应实施封闭式管理，设立进出场门禁系统，采用人脸、指纹、虹膜等生物识别技术进行电子打卡，相关电子考勤和图像、影像等电子档案保存期限不少于2年。</w:t>
      </w:r>
    </w:p>
    <w:p>
      <w:pPr>
        <w:pStyle w:val="35"/>
        <w:spacing w:before="62" w:after="62" w:line="360" w:lineRule="auto"/>
        <w:ind w:firstLine="0" w:firstLineChars="0"/>
        <w:rPr>
          <w:rFonts w:hint="eastAsia" w:ascii="宋体" w:hAnsi="宋体"/>
          <w:color w:val="auto"/>
          <w:szCs w:val="24"/>
          <w:highlight w:val="none"/>
        </w:rPr>
      </w:pPr>
      <w:r>
        <w:rPr>
          <w:rFonts w:hint="eastAsia" w:ascii="宋体" w:hAnsi="宋体"/>
          <w:color w:val="auto"/>
          <w:szCs w:val="24"/>
          <w:highlight w:val="none"/>
        </w:rPr>
        <w:t>5.</w:t>
      </w:r>
      <w:r>
        <w:rPr>
          <w:rFonts w:hint="eastAsia" w:ascii="宋体" w:hAnsi="宋体"/>
          <w:color w:val="auto"/>
          <w:szCs w:val="24"/>
          <w:highlight w:val="none"/>
          <w:lang w:eastAsia="zh-CN"/>
        </w:rPr>
        <w:t>7</w:t>
      </w:r>
      <w:r>
        <w:rPr>
          <w:rFonts w:hint="eastAsia" w:ascii="宋体" w:hAnsi="宋体"/>
          <w:color w:val="auto"/>
          <w:szCs w:val="24"/>
          <w:highlight w:val="none"/>
        </w:rPr>
        <w:t>.3本项目的承包商应与招用的建筑工人依法签订劳动合同，对其进行基本安全培训，并在相关建筑工人实名制管理平台登记，方可办理入场手续。承包商项目负责人、技术负责人、质量负责人、安全负责人、劳务负责人等项目管理人员应承担本项目的建筑工人实名制管理相应责任。进入施工现场的承包单位的项目管理人员及建筑工人必须纳入建筑工人实名制管理范畴，并应定期如实向当地劳动和社会保障行政部门及建设行政主管部门报送本单位工资支付情况。</w:t>
      </w:r>
    </w:p>
    <w:p>
      <w:pPr>
        <w:pStyle w:val="35"/>
        <w:spacing w:before="62" w:after="62" w:line="360" w:lineRule="auto"/>
        <w:ind w:firstLine="0" w:firstLineChars="0"/>
        <w:rPr>
          <w:rFonts w:hint="eastAsia" w:ascii="宋体" w:hAnsi="宋体"/>
          <w:color w:val="auto"/>
          <w:szCs w:val="24"/>
          <w:highlight w:val="none"/>
        </w:rPr>
      </w:pPr>
      <w:r>
        <w:rPr>
          <w:rFonts w:hint="eastAsia" w:ascii="宋体" w:hAnsi="宋体"/>
          <w:color w:val="auto"/>
          <w:szCs w:val="24"/>
          <w:highlight w:val="none"/>
        </w:rPr>
        <w:t>5.</w:t>
      </w:r>
      <w:r>
        <w:rPr>
          <w:rFonts w:hint="eastAsia" w:ascii="宋体" w:hAnsi="宋体"/>
          <w:color w:val="auto"/>
          <w:szCs w:val="24"/>
          <w:highlight w:val="none"/>
          <w:lang w:eastAsia="zh-CN"/>
        </w:rPr>
        <w:t>7</w:t>
      </w:r>
      <w:r>
        <w:rPr>
          <w:rFonts w:hint="eastAsia" w:ascii="宋体" w:hAnsi="宋体"/>
          <w:color w:val="auto"/>
          <w:szCs w:val="24"/>
          <w:highlight w:val="none"/>
        </w:rPr>
        <w:t>.4本项目的承包商应依法按劳动合同约定，通过农民工工资专用账户按月足额将工资直接发放给建筑工人，并按规定在施工现场显著位置设置“建筑工人维权告示牌”，公开相关信息。承包商支付的建筑工人工资应编制工资支付表，如实记录支付单位、支付时间、支付对象、支付数额等工资支付情况，并保存两年以上备查。</w:t>
      </w:r>
    </w:p>
    <w:p>
      <w:pPr>
        <w:pStyle w:val="41"/>
        <w:spacing w:line="360" w:lineRule="auto"/>
        <w:rPr>
          <w:rFonts w:hint="eastAsia" w:ascii="微软雅黑" w:hAnsi="微软雅黑" w:eastAsia="微软雅黑" w:cs="微软雅黑"/>
          <w:color w:val="auto"/>
          <w:highlight w:val="none"/>
          <w:lang w:eastAsia="zh-CN"/>
        </w:rPr>
      </w:pPr>
      <w:bookmarkStart w:id="129" w:name="_Toc918"/>
      <w:r>
        <w:rPr>
          <w:rFonts w:hint="eastAsia" w:ascii="微软雅黑" w:hAnsi="微软雅黑" w:eastAsia="微软雅黑" w:cs="微软雅黑"/>
          <w:color w:val="auto"/>
          <w:highlight w:val="none"/>
          <w:lang w:eastAsia="zh-CN"/>
        </w:rPr>
        <w:t>事故/事件报告与处理</w:t>
      </w:r>
      <w:bookmarkEnd w:id="124"/>
      <w:bookmarkEnd w:id="125"/>
      <w:bookmarkEnd w:id="126"/>
      <w:bookmarkEnd w:id="127"/>
      <w:bookmarkEnd w:id="128"/>
      <w:bookmarkEnd w:id="129"/>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5.9.1乙方应按甲方明确的事故/事件报告程序进行事故/事件的报告。乙方自己建立的事故/事件报告程序，须经甲方认可。</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5.9.2事故/事件包括但不限于：火灾、爆炸（不论规模，损失程度大小）；起吊作业事故；人员伤害、职业病、人员失踪、食物中毒或严重的流行性传染病；自然灾害（地震、台风、冰灾等）影响；引起媒体、公众、社会强烈关注的其它事件。</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5.9.3对于上述事故/事件，不论其规模、损失程度大小，只要与本项目相关，乙方除立即口头报告甲方/监理单位现场监督（代表）外，必须在其发生后24小时内以初步报告表的形式和要求书面通报给甲方/监理单位现场监督（代表）。</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5.9.4事故发生后，乙方有责任采取必要的安全措施防止事态扩大，并在必要时保护事故现场以方便调查。</w:t>
      </w:r>
    </w:p>
    <w:p>
      <w:pPr>
        <w:pStyle w:val="41"/>
        <w:spacing w:line="360" w:lineRule="auto"/>
        <w:rPr>
          <w:rFonts w:hint="eastAsia" w:ascii="微软雅黑" w:hAnsi="微软雅黑" w:eastAsia="微软雅黑" w:cs="微软雅黑"/>
          <w:color w:val="auto"/>
          <w:highlight w:val="none"/>
          <w:lang w:eastAsia="zh-CN"/>
        </w:rPr>
      </w:pPr>
      <w:bookmarkStart w:id="130" w:name="_Toc25309"/>
      <w:bookmarkStart w:id="131" w:name="_Toc7909"/>
      <w:bookmarkStart w:id="132" w:name="_Toc21406"/>
      <w:bookmarkStart w:id="133" w:name="_Toc28413"/>
      <w:bookmarkStart w:id="134" w:name="_Toc18274"/>
      <w:bookmarkStart w:id="135" w:name="_Toc12880"/>
      <w:r>
        <w:rPr>
          <w:rFonts w:hint="eastAsia" w:ascii="微软雅黑" w:hAnsi="微软雅黑" w:eastAsia="微软雅黑" w:cs="微软雅黑"/>
          <w:color w:val="auto"/>
          <w:highlight w:val="none"/>
          <w:lang w:eastAsia="zh-CN"/>
        </w:rPr>
        <w:t>成果文件要求</w:t>
      </w:r>
      <w:bookmarkEnd w:id="130"/>
      <w:bookmarkEnd w:id="131"/>
      <w:bookmarkEnd w:id="132"/>
      <w:bookmarkEnd w:id="133"/>
      <w:bookmarkEnd w:id="134"/>
      <w:bookmarkEnd w:id="135"/>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5.10.1乙方完成的施工过程应符合国家有关现行法律、行政法规和相关的工程设计技术规范、规程、行业标准以及地方相关规范和规定，且必须执行国家规定的工程建设标准强制性条文要求，施工成品应通过政府行政主管部门和中国海油系统的工程竣工验收。</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5.10.2应甲方要求的格式和内容进行提交的各类报告、文件应以中文编写，提交的所有报告、文件等均须同时提供一份电子版给甲方，符合甲方及甲方的监理人、政府行政主管部门、中国海油系统对于工程档案文件的管理要求。</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5.10.3提供满足完成工程竣工验收的相关支持文件。</w:t>
      </w:r>
    </w:p>
    <w:p>
      <w:pPr>
        <w:pStyle w:val="41"/>
        <w:spacing w:line="360" w:lineRule="auto"/>
        <w:rPr>
          <w:rFonts w:hint="eastAsia" w:ascii="微软雅黑" w:hAnsi="微软雅黑" w:eastAsia="微软雅黑" w:cs="微软雅黑"/>
          <w:color w:val="auto"/>
          <w:highlight w:val="none"/>
          <w:lang w:eastAsia="zh-CN"/>
        </w:rPr>
      </w:pPr>
      <w:bookmarkStart w:id="136" w:name="_Toc20297"/>
      <w:bookmarkStart w:id="137" w:name="_Toc22294"/>
      <w:bookmarkStart w:id="138" w:name="_Toc5631"/>
      <w:bookmarkStart w:id="139" w:name="_Toc29232"/>
      <w:bookmarkStart w:id="140" w:name="_Toc7195"/>
      <w:bookmarkStart w:id="141" w:name="_Toc25666"/>
      <w:r>
        <w:rPr>
          <w:rFonts w:hint="eastAsia" w:ascii="微软雅黑" w:hAnsi="微软雅黑" w:eastAsia="微软雅黑" w:cs="微软雅黑"/>
          <w:color w:val="auto"/>
          <w:highlight w:val="none"/>
          <w:lang w:eastAsia="zh-CN"/>
        </w:rPr>
        <w:t>服务进度跟踪</w:t>
      </w:r>
      <w:bookmarkEnd w:id="136"/>
      <w:bookmarkEnd w:id="137"/>
      <w:bookmarkEnd w:id="138"/>
      <w:bookmarkEnd w:id="139"/>
      <w:bookmarkEnd w:id="140"/>
      <w:bookmarkEnd w:id="141"/>
    </w:p>
    <w:p>
      <w:pPr>
        <w:pStyle w:val="35"/>
        <w:spacing w:before="62" w:after="62" w:line="360" w:lineRule="auto"/>
        <w:ind w:firstLine="424" w:firstLineChars="177"/>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必须在合同生效后按照签订的合同要求执行。</w:t>
      </w:r>
    </w:p>
    <w:p>
      <w:pPr>
        <w:pStyle w:val="41"/>
        <w:spacing w:line="360" w:lineRule="auto"/>
        <w:rPr>
          <w:rFonts w:hint="eastAsia" w:ascii="微软雅黑" w:hAnsi="微软雅黑" w:eastAsia="微软雅黑" w:cs="微软雅黑"/>
          <w:color w:val="auto"/>
          <w:highlight w:val="none"/>
          <w:lang w:eastAsia="zh-CN"/>
        </w:rPr>
      </w:pPr>
      <w:bookmarkStart w:id="142" w:name="_Toc27186"/>
      <w:bookmarkStart w:id="143" w:name="_Toc27636"/>
      <w:bookmarkStart w:id="144" w:name="_Toc18757"/>
      <w:bookmarkStart w:id="145" w:name="_Toc21773"/>
      <w:bookmarkStart w:id="146" w:name="_Toc6287"/>
      <w:bookmarkStart w:id="147" w:name="_Toc8388"/>
      <w:r>
        <w:rPr>
          <w:rFonts w:hint="eastAsia" w:ascii="微软雅黑" w:hAnsi="微软雅黑" w:eastAsia="微软雅黑" w:cs="微软雅黑"/>
          <w:color w:val="auto"/>
          <w:highlight w:val="none"/>
          <w:lang w:eastAsia="zh-CN"/>
        </w:rPr>
        <w:t>服务及验收标准</w:t>
      </w:r>
      <w:bookmarkEnd w:id="142"/>
      <w:bookmarkEnd w:id="143"/>
      <w:bookmarkEnd w:id="144"/>
      <w:bookmarkEnd w:id="145"/>
      <w:bookmarkEnd w:id="146"/>
      <w:bookmarkEnd w:id="147"/>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5.12.1符合国家有关的法律法规及政策规定；</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5.12.2符合山东省龙口市行政主管部门和中国海油系统内的工程监督的双重验收标准；</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5.12.3符合工程建设规范及质量检验评定标准；</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5.12.4符合经批准的设计文件和其它有关文件；</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5.12.5符合建设工程设计合同、施工合同、监测合同、检测合同等；</w:t>
      </w:r>
    </w:p>
    <w:p>
      <w:pPr>
        <w:pStyle w:val="35"/>
        <w:spacing w:before="62" w:after="62" w:line="360" w:lineRule="auto"/>
        <w:ind w:left="0" w:leftChars="0" w:firstLine="0" w:firstLineChars="0"/>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5.12.6符合设计施工图纸中相关的验收标准及要求。</w:t>
      </w:r>
    </w:p>
    <w:p>
      <w:pPr>
        <w:pStyle w:val="3"/>
        <w:spacing w:line="360" w:lineRule="auto"/>
        <w:ind w:left="694" w:leftChars="0" w:firstLineChars="0"/>
        <w:rPr>
          <w:rFonts w:hint="eastAsia"/>
          <w:color w:val="auto"/>
          <w:highlight w:val="none"/>
        </w:rPr>
      </w:pPr>
      <w:bookmarkStart w:id="148" w:name="_Toc5047"/>
      <w:bookmarkStart w:id="149" w:name="_Toc15404"/>
      <w:bookmarkStart w:id="150" w:name="_Toc23179"/>
      <w:bookmarkStart w:id="151" w:name="_Toc12095"/>
      <w:r>
        <w:rPr>
          <w:rFonts w:hint="eastAsia"/>
          <w:color w:val="auto"/>
          <w:highlight w:val="none"/>
        </w:rPr>
        <w:t>工期要求</w:t>
      </w:r>
      <w:bookmarkEnd w:id="90"/>
      <w:bookmarkEnd w:id="148"/>
      <w:bookmarkEnd w:id="149"/>
      <w:bookmarkEnd w:id="150"/>
      <w:bookmarkEnd w:id="151"/>
    </w:p>
    <w:p>
      <w:pPr>
        <w:pStyle w:val="41"/>
        <w:spacing w:line="360" w:lineRule="auto"/>
        <w:rPr>
          <w:rFonts w:hint="default" w:ascii="微软雅黑" w:hAnsi="微软雅黑" w:eastAsia="微软雅黑" w:cs="微软雅黑"/>
          <w:color w:val="auto"/>
          <w:highlight w:val="none"/>
          <w:lang w:val="en-US" w:eastAsia="zh-CN"/>
        </w:rPr>
      </w:pPr>
      <w:bookmarkStart w:id="152" w:name="_Toc14537"/>
      <w:r>
        <w:rPr>
          <w:rFonts w:hint="eastAsia" w:ascii="微软雅黑" w:hAnsi="微软雅黑" w:eastAsia="微软雅黑" w:cs="微软雅黑"/>
          <w:color w:val="auto"/>
          <w:highlight w:val="none"/>
          <w:lang w:val="en-US" w:eastAsia="zh-CN"/>
        </w:rPr>
        <w:t>项目服务工期</w:t>
      </w:r>
      <w:bookmarkEnd w:id="152"/>
    </w:p>
    <w:p>
      <w:pPr>
        <w:pStyle w:val="35"/>
        <w:spacing w:before="62" w:after="62" w:line="360" w:lineRule="auto"/>
        <w:ind w:firstLine="559" w:firstLineChars="233"/>
        <w:rPr>
          <w:rFonts w:hint="eastAsia"/>
          <w:color w:val="auto"/>
          <w:highlight w:val="none"/>
        </w:rPr>
      </w:pPr>
      <w:r>
        <w:rPr>
          <w:rFonts w:hint="eastAsia"/>
          <w:color w:val="auto"/>
          <w:highlight w:val="none"/>
        </w:rPr>
        <w:t>本项目计划</w:t>
      </w:r>
      <w:r>
        <w:rPr>
          <w:rFonts w:hint="eastAsia"/>
          <w:color w:val="auto"/>
          <w:highlight w:val="none"/>
          <w:lang w:val="en-US" w:eastAsia="zh-CN"/>
        </w:rPr>
        <w:t>工期为</w:t>
      </w:r>
      <w:r>
        <w:rPr>
          <w:rFonts w:hint="eastAsia"/>
          <w:color w:val="auto"/>
          <w:highlight w:val="none"/>
          <w:u w:val="single"/>
          <w:lang w:val="en-US" w:eastAsia="zh-CN"/>
        </w:rPr>
        <w:t xml:space="preserve"> 150个日历日 </w:t>
      </w:r>
      <w:r>
        <w:rPr>
          <w:rFonts w:hint="eastAsia"/>
          <w:color w:val="auto"/>
          <w:highlight w:val="none"/>
          <w:lang w:val="en-US" w:eastAsia="zh-CN"/>
        </w:rPr>
        <w:t>，</w:t>
      </w:r>
      <w:r>
        <w:rPr>
          <w:rFonts w:hint="eastAsia"/>
          <w:color w:val="auto"/>
          <w:highlight w:val="none"/>
        </w:rPr>
        <w:t>具体</w:t>
      </w:r>
      <w:r>
        <w:rPr>
          <w:rFonts w:hint="eastAsia"/>
          <w:color w:val="auto"/>
          <w:highlight w:val="none"/>
          <w:lang w:val="en-US" w:eastAsia="zh-CN"/>
        </w:rPr>
        <w:t>开工时间</w:t>
      </w:r>
      <w:r>
        <w:rPr>
          <w:rFonts w:hint="eastAsia"/>
          <w:color w:val="auto"/>
          <w:highlight w:val="none"/>
        </w:rPr>
        <w:t>以合同</w:t>
      </w:r>
      <w:r>
        <w:rPr>
          <w:rFonts w:hint="eastAsia"/>
          <w:color w:val="auto"/>
          <w:highlight w:val="none"/>
          <w:lang w:val="en-US" w:eastAsia="zh-CN"/>
        </w:rPr>
        <w:t>签订后</w:t>
      </w:r>
      <w:r>
        <w:rPr>
          <w:rFonts w:hint="eastAsia"/>
          <w:color w:val="auto"/>
          <w:highlight w:val="none"/>
        </w:rPr>
        <w:t>甲方书面通知</w:t>
      </w:r>
      <w:r>
        <w:rPr>
          <w:rFonts w:hint="eastAsia"/>
          <w:color w:val="auto"/>
          <w:highlight w:val="none"/>
          <w:lang w:val="en-US" w:eastAsia="zh-CN"/>
        </w:rPr>
        <w:t>进场时间</w:t>
      </w:r>
      <w:r>
        <w:rPr>
          <w:rFonts w:hint="eastAsia"/>
          <w:color w:val="auto"/>
          <w:highlight w:val="none"/>
        </w:rPr>
        <w:t>为准。</w:t>
      </w:r>
    </w:p>
    <w:p>
      <w:pPr>
        <w:pStyle w:val="35"/>
        <w:spacing w:before="62" w:after="62" w:line="360" w:lineRule="auto"/>
        <w:ind w:firstLine="559" w:firstLineChars="233"/>
        <w:rPr>
          <w:rFonts w:hint="eastAsia"/>
          <w:color w:val="auto"/>
          <w:highlight w:val="none"/>
        </w:rPr>
      </w:pPr>
      <w:r>
        <w:rPr>
          <w:rFonts w:hint="eastAsia"/>
          <w:color w:val="auto"/>
          <w:highlight w:val="none"/>
          <w:lang w:val="en-US" w:eastAsia="zh-CN"/>
        </w:rPr>
        <w:t>计划</w:t>
      </w:r>
      <w:r>
        <w:rPr>
          <w:rFonts w:hint="eastAsia"/>
          <w:color w:val="auto"/>
          <w:highlight w:val="none"/>
        </w:rPr>
        <w:t>工期已考虑以下因素：所有法定节假日，如“劳动”、“中秋”、“国庆”、“端午”、“秋收”、“元旦”、“春节”等；龙口当地气候特征（如雨季、台风、强降雨、夏季持续高温、寒流、降雪、冰冻等）；场地及交通状况等；国家或本地区举行的一切大型活动；施工噪音、震动、光线等扰民因素导致的民扰对工程进展造成影响；工期如有调整，以甲方和乙方形成的书面确认文件为准。乙方不得以（上述）任何理由拖延工期。</w:t>
      </w:r>
    </w:p>
    <w:p>
      <w:pPr>
        <w:pStyle w:val="41"/>
        <w:spacing w:line="360" w:lineRule="auto"/>
        <w:rPr>
          <w:rFonts w:hint="eastAsia" w:ascii="微软雅黑" w:hAnsi="微软雅黑" w:eastAsia="微软雅黑" w:cs="微软雅黑"/>
          <w:color w:val="auto"/>
          <w:highlight w:val="none"/>
          <w:lang w:val="en-US" w:eastAsia="zh-CN"/>
        </w:rPr>
      </w:pPr>
      <w:bookmarkStart w:id="153" w:name="_Toc6978"/>
      <w:r>
        <w:rPr>
          <w:rFonts w:hint="eastAsia" w:ascii="微软雅黑" w:hAnsi="微软雅黑" w:eastAsia="微软雅黑" w:cs="微软雅黑"/>
          <w:color w:val="auto"/>
          <w:highlight w:val="none"/>
          <w:lang w:val="en-US" w:eastAsia="zh-CN"/>
        </w:rPr>
        <w:t>进度计划编制</w:t>
      </w:r>
      <w:bookmarkEnd w:id="153"/>
    </w:p>
    <w:p>
      <w:pPr>
        <w:pStyle w:val="35"/>
        <w:spacing w:before="62" w:after="62" w:line="360" w:lineRule="auto"/>
        <w:ind w:firstLine="559" w:firstLineChars="233"/>
        <w:rPr>
          <w:rFonts w:hint="eastAsia"/>
          <w:color w:val="auto"/>
          <w:highlight w:val="none"/>
        </w:rPr>
      </w:pPr>
      <w:r>
        <w:rPr>
          <w:rFonts w:hint="eastAsia"/>
          <w:color w:val="auto"/>
          <w:highlight w:val="none"/>
          <w:lang w:val="en-US" w:eastAsia="zh-CN"/>
        </w:rPr>
        <w:t>承包商</w:t>
      </w:r>
      <w:r>
        <w:rPr>
          <w:rFonts w:hint="eastAsia"/>
          <w:color w:val="auto"/>
          <w:highlight w:val="none"/>
        </w:rPr>
        <w:t>按照</w:t>
      </w:r>
      <w:r>
        <w:rPr>
          <w:rFonts w:hint="eastAsia"/>
          <w:color w:val="auto"/>
          <w:highlight w:val="none"/>
          <w:lang w:val="en-US" w:eastAsia="zh-CN"/>
        </w:rPr>
        <w:t>技术</w:t>
      </w:r>
      <w:r>
        <w:rPr>
          <w:rFonts w:hint="eastAsia"/>
          <w:color w:val="auto"/>
          <w:highlight w:val="none"/>
        </w:rPr>
        <w:t>文件的要求，在投标文件中编制详细的施工进度计划和</w:t>
      </w:r>
      <w:r>
        <w:rPr>
          <w:rFonts w:hint="eastAsia"/>
          <w:color w:val="auto"/>
          <w:highlight w:val="none"/>
          <w:lang w:val="en-US" w:eastAsia="zh-CN"/>
        </w:rPr>
        <w:t>施工组织设计</w:t>
      </w:r>
      <w:r>
        <w:rPr>
          <w:rFonts w:hint="eastAsia"/>
          <w:color w:val="auto"/>
          <w:highlight w:val="none"/>
        </w:rPr>
        <w:t>。施工进度计划应包括</w:t>
      </w:r>
      <w:r>
        <w:rPr>
          <w:rFonts w:hint="eastAsia"/>
          <w:color w:val="auto"/>
          <w:highlight w:val="none"/>
          <w:lang w:val="en-US" w:eastAsia="zh-CN"/>
        </w:rPr>
        <w:t>承包商</w:t>
      </w:r>
      <w:r>
        <w:rPr>
          <w:rFonts w:hint="eastAsia"/>
          <w:color w:val="auto"/>
          <w:highlight w:val="none"/>
        </w:rPr>
        <w:t>在本项目项下各</w:t>
      </w:r>
      <w:r>
        <w:rPr>
          <w:rFonts w:hint="eastAsia"/>
          <w:color w:val="auto"/>
          <w:highlight w:val="none"/>
          <w:lang w:val="en-US" w:eastAsia="zh-CN"/>
        </w:rPr>
        <w:t>专业</w:t>
      </w:r>
      <w:r>
        <w:rPr>
          <w:rFonts w:hint="eastAsia"/>
          <w:color w:val="auto"/>
          <w:highlight w:val="none"/>
        </w:rPr>
        <w:t>分包人</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lang w:eastAsia="zh-CN"/>
        </w:rPr>
        <w:t>）</w:t>
      </w:r>
      <w:r>
        <w:rPr>
          <w:rFonts w:hint="eastAsia"/>
          <w:color w:val="auto"/>
          <w:highlight w:val="none"/>
        </w:rPr>
        <w:t>的进场时间。</w:t>
      </w:r>
    </w:p>
    <w:p>
      <w:pPr>
        <w:pStyle w:val="41"/>
        <w:spacing w:line="360" w:lineRule="auto"/>
        <w:rPr>
          <w:rFonts w:hint="eastAsia" w:ascii="微软雅黑" w:hAnsi="微软雅黑" w:eastAsia="微软雅黑" w:cs="微软雅黑"/>
          <w:color w:val="auto"/>
          <w:highlight w:val="none"/>
          <w:lang w:val="en-US" w:eastAsia="zh-CN"/>
        </w:rPr>
      </w:pPr>
      <w:bookmarkStart w:id="154" w:name="_Toc6939"/>
      <w:r>
        <w:rPr>
          <w:rFonts w:hint="eastAsia" w:ascii="微软雅黑" w:hAnsi="微软雅黑" w:eastAsia="微软雅黑" w:cs="微软雅黑"/>
          <w:color w:val="auto"/>
          <w:highlight w:val="none"/>
          <w:lang w:val="en-US" w:eastAsia="zh-CN"/>
        </w:rPr>
        <w:t>工期偏差</w:t>
      </w:r>
      <w:bookmarkEnd w:id="154"/>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6.2.1工期延误</w:t>
      </w:r>
    </w:p>
    <w:p>
      <w:pPr>
        <w:pStyle w:val="56"/>
        <w:ind w:firstLine="480"/>
        <w:rPr>
          <w:rFonts w:hint="eastAsia"/>
          <w:b w:val="0"/>
          <w:bCs w:val="0"/>
          <w:color w:val="auto"/>
          <w:sz w:val="24"/>
          <w:szCs w:val="24"/>
          <w:highlight w:val="none"/>
        </w:rPr>
      </w:pPr>
      <w:r>
        <w:rPr>
          <w:rFonts w:hint="eastAsia"/>
          <w:b w:val="0"/>
          <w:bCs w:val="0"/>
          <w:color w:val="auto"/>
          <w:sz w:val="24"/>
          <w:szCs w:val="24"/>
          <w:highlight w:val="none"/>
        </w:rPr>
        <w:t>承包商应根据工期要求合理排布本项目施工总体进度计划，除不可抗力外，如没有按照上报的分部工程进度计划执行，则由承包商向建设单位支付违约金，承包商应按2万元/天的标准</w:t>
      </w:r>
      <w:r>
        <w:rPr>
          <w:rFonts w:hint="eastAsia"/>
          <w:b w:val="0"/>
          <w:bCs w:val="0"/>
          <w:color w:val="auto"/>
          <w:sz w:val="24"/>
          <w:szCs w:val="24"/>
          <w:highlight w:val="none"/>
        </w:rPr>
        <w:t>向建设方支付违约金。由于承包商原因导致项目总体工期发生延误，超出部分按5万元/天的标准向</w:t>
      </w:r>
      <w:r>
        <w:rPr>
          <w:rFonts w:hint="eastAsia"/>
          <w:b w:val="0"/>
          <w:bCs w:val="0"/>
          <w:color w:val="auto"/>
          <w:sz w:val="24"/>
          <w:szCs w:val="24"/>
          <w:highlight w:val="none"/>
        </w:rPr>
        <w:t>建设方支付违约金。因承包商原因造成工期延误，逾期竣工违约金的上限：合同金额的20%。若</w:t>
      </w:r>
      <w:r>
        <w:rPr>
          <w:rFonts w:hint="eastAsia"/>
          <w:b w:val="0"/>
          <w:bCs w:val="0"/>
          <w:color w:val="auto"/>
          <w:sz w:val="24"/>
          <w:szCs w:val="24"/>
          <w:highlight w:val="none"/>
        </w:rPr>
        <w:t>承包商主张违约金过高，应提供实际损失证明；反之，建设方可依据《最高人民法院关于审理建设工程施工合同纠纷案件适用法律问题的解释》第二十九条要求调整违约金至实际损失的130%</w:t>
      </w:r>
      <w:r>
        <w:rPr>
          <w:rFonts w:hint="eastAsia"/>
          <w:b w:val="0"/>
          <w:bCs w:val="0"/>
          <w:color w:val="auto"/>
          <w:sz w:val="24"/>
          <w:szCs w:val="24"/>
          <w:highlight w:val="none"/>
          <w:lang w:eastAsia="zh-CN"/>
        </w:rPr>
        <w:t>。</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6.2.2暂停施工</w:t>
      </w:r>
    </w:p>
    <w:p>
      <w:pPr>
        <w:pStyle w:val="56"/>
        <w:ind w:firstLine="480"/>
        <w:rPr>
          <w:rFonts w:hint="eastAsia"/>
          <w:color w:val="auto"/>
          <w:highlight w:val="none"/>
        </w:rPr>
      </w:pPr>
      <w:r>
        <w:rPr>
          <w:rFonts w:hint="eastAsia"/>
          <w:color w:val="auto"/>
          <w:highlight w:val="none"/>
        </w:rPr>
        <w:t>因下列任一原因导致暂停施工的，承包商应承担由此增加的费用和（或）延误的工期，并赔偿建设方由此遭受的全部损失：承包商违约引起的暂停施工。承包商为合理施工和安全保障所必需的暂停施工。承包商擅自暂停施工。承包商原因导致的暂停施工（如违约、擅自停工、安全事故），应赔偿建设方全部损失，包括直接经济损失（人工/机械闲置费用）及间接损失（延期投产导致的经营损失），依据《建设工程质量管理条例》第六十二条。其他因承包商原因引起的暂停施工。暂停期间工程照管责任：承包商需承担材料设备保管、场地维护及安全防护费用，按《建设工程安全生产管理条例》第二十四条执行</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6.2.3暂停施工后的复工</w:t>
      </w:r>
    </w:p>
    <w:p>
      <w:pPr>
        <w:pStyle w:val="35"/>
        <w:spacing w:before="62" w:after="62" w:line="360" w:lineRule="auto"/>
        <w:ind w:firstLine="559" w:firstLineChars="233"/>
        <w:rPr>
          <w:rFonts w:hint="eastAsia"/>
          <w:color w:val="auto"/>
          <w:highlight w:val="none"/>
        </w:rPr>
      </w:pPr>
      <w:r>
        <w:rPr>
          <w:rFonts w:hint="eastAsia"/>
          <w:color w:val="auto"/>
          <w:highlight w:val="none"/>
        </w:rPr>
        <w:t>因</w:t>
      </w:r>
      <w:r>
        <w:rPr>
          <w:rFonts w:hint="eastAsia"/>
          <w:color w:val="auto"/>
          <w:highlight w:val="none"/>
          <w:lang w:eastAsia="zh-CN"/>
        </w:rPr>
        <w:t>承包商</w:t>
      </w:r>
      <w:r>
        <w:rPr>
          <w:rFonts w:hint="eastAsia"/>
          <w:color w:val="auto"/>
          <w:highlight w:val="none"/>
        </w:rPr>
        <w:t>原因未按时复工，由此增加的费用和工期延误由</w:t>
      </w:r>
      <w:r>
        <w:rPr>
          <w:rFonts w:hint="eastAsia"/>
          <w:color w:val="auto"/>
          <w:highlight w:val="none"/>
          <w:lang w:eastAsia="zh-CN"/>
        </w:rPr>
        <w:t>承包商</w:t>
      </w:r>
      <w:r>
        <w:rPr>
          <w:rFonts w:hint="eastAsia"/>
          <w:color w:val="auto"/>
          <w:highlight w:val="none"/>
        </w:rPr>
        <w:t>承担。复工前，</w:t>
      </w:r>
      <w:r>
        <w:rPr>
          <w:rFonts w:hint="eastAsia"/>
          <w:color w:val="auto"/>
          <w:highlight w:val="none"/>
          <w:lang w:eastAsia="zh-CN"/>
        </w:rPr>
        <w:t>承包商</w:t>
      </w:r>
      <w:r>
        <w:rPr>
          <w:rFonts w:hint="eastAsia"/>
          <w:color w:val="auto"/>
          <w:highlight w:val="none"/>
        </w:rPr>
        <w:t>应和监理人共同检查受到暂停施工影响的工程、材料和工程设备。暂停施工期间，工程、材料和工程设备如果发生任何变质、缺陷或损失，</w:t>
      </w:r>
      <w:r>
        <w:rPr>
          <w:rFonts w:hint="eastAsia"/>
          <w:color w:val="auto"/>
          <w:highlight w:val="none"/>
          <w:lang w:eastAsia="zh-CN"/>
        </w:rPr>
        <w:t>承包商</w:t>
      </w:r>
      <w:r>
        <w:rPr>
          <w:rFonts w:hint="eastAsia"/>
          <w:color w:val="auto"/>
          <w:highlight w:val="none"/>
        </w:rPr>
        <w:t>应当自负费用予以修复，直至修复结果获得监理人认可。</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6.2.4不利物质条件</w:t>
      </w:r>
    </w:p>
    <w:p>
      <w:pPr>
        <w:pStyle w:val="56"/>
        <w:ind w:firstLine="480"/>
        <w:rPr>
          <w:rFonts w:hint="eastAsia"/>
          <w:color w:val="auto"/>
          <w:highlight w:val="none"/>
        </w:rPr>
      </w:pPr>
      <w:r>
        <w:rPr>
          <w:rFonts w:hint="eastAsia"/>
          <w:color w:val="auto"/>
          <w:highlight w:val="none"/>
        </w:rPr>
        <w:t>除不可预见的物质条件之外，承包商承诺已充分评估地质、水文等条件，并采取防范措施</w:t>
      </w:r>
      <w:r>
        <w:rPr>
          <w:rFonts w:hint="eastAsia"/>
          <w:color w:val="auto"/>
          <w:highlight w:val="none"/>
          <w:lang w:eastAsia="zh-CN"/>
        </w:rPr>
        <w:t>，</w:t>
      </w:r>
      <w:r>
        <w:rPr>
          <w:rFonts w:hint="eastAsia"/>
          <w:color w:val="auto"/>
          <w:highlight w:val="none"/>
        </w:rPr>
        <w:t>预测到现场存在或可能存在的阻碍合同履行的物质条件，并将采取合适和必要的防范措施确保工程的顺利进行。如因承包商违反本项承诺，造成的全部损失由承包商自行承担，且承包商无权要求合同变更、调整合同价格和工期。因承包商疏忽导致的损失（如未按勘察报告施工），由承包商承担全部责任，且无权索赔（参考《建筑法》第五十八条）</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6.2.5异常恶劣的气候条件影响（定义标准）包括：</w:t>
      </w:r>
    </w:p>
    <w:p>
      <w:pPr>
        <w:pStyle w:val="35"/>
        <w:spacing w:before="62" w:after="62" w:line="360" w:lineRule="auto"/>
        <w:ind w:firstLine="559" w:firstLineChars="233"/>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a）地震：地震裂度为7级以上的地震；b）大风天气：风力6级以上且持续时间不小于4小时，或阵风大于8级；c）暴雨天气：日降雨量100mm以上，或将降雨强度大于30mm/h、或持续降水24小时且降雨量为200mm以上；d）持续高温：连续三日日最高气温38度及以上，或高温持续24小时的高温；e）持续低温：连续三日日最低气温零下5℃以下；f）暴雪天气：日降雪量10mm及以上；g）水淹：施工场地大部或全部被潮水、洪水或雨水淹没超过1天。h）按照</w:t>
      </w:r>
      <w:r>
        <w:rPr>
          <w:rFonts w:hint="eastAsia" w:ascii="宋体" w:hAnsi="宋体" w:cs="宋体"/>
          <w:color w:val="auto"/>
          <w:highlight w:val="none"/>
          <w:lang w:val="en-US" w:eastAsia="zh-CN"/>
        </w:rPr>
        <w:t>龙口</w:t>
      </w:r>
      <w:r>
        <w:rPr>
          <w:rFonts w:hint="eastAsia" w:ascii="宋体" w:hAnsi="宋体" w:eastAsia="宋体" w:cs="宋体"/>
          <w:color w:val="auto"/>
          <w:highlight w:val="none"/>
          <w:lang w:val="en-US" w:eastAsia="zh-CN"/>
        </w:rPr>
        <w:t>市雾霾应急响应预案中规定的停工天气。i）上述不可抗力均以国家和</w:t>
      </w:r>
      <w:r>
        <w:rPr>
          <w:rFonts w:hint="eastAsia" w:ascii="宋体" w:hAnsi="宋体" w:cs="宋体"/>
          <w:color w:val="auto"/>
          <w:highlight w:val="none"/>
          <w:lang w:val="en-US" w:eastAsia="zh-CN"/>
        </w:rPr>
        <w:t>龙口</w:t>
      </w:r>
      <w:r>
        <w:rPr>
          <w:rFonts w:hint="eastAsia" w:ascii="宋体" w:hAnsi="宋体" w:eastAsia="宋体" w:cs="宋体"/>
          <w:color w:val="auto"/>
          <w:highlight w:val="none"/>
          <w:lang w:val="en-US" w:eastAsia="zh-CN"/>
        </w:rPr>
        <w:t>市的官方发布数据为准。</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6.2.6进度报告</w:t>
      </w:r>
    </w:p>
    <w:p>
      <w:pPr>
        <w:pStyle w:val="56"/>
        <w:ind w:firstLine="480"/>
        <w:rPr>
          <w:rFonts w:hint="eastAsia"/>
          <w:color w:val="auto"/>
          <w:highlight w:val="none"/>
        </w:rPr>
      </w:pPr>
      <w:r>
        <w:rPr>
          <w:rFonts w:hint="eastAsia"/>
          <w:color w:val="auto"/>
          <w:highlight w:val="none"/>
        </w:rPr>
        <w:t>本项目施行进度报告制度，报告内容需符合《建设工程施工现场环境与卫生标准》（JGJ 146-2013）</w:t>
      </w:r>
      <w:r>
        <w:rPr>
          <w:rFonts w:hint="eastAsia"/>
          <w:color w:val="auto"/>
          <w:highlight w:val="none"/>
          <w:lang w:eastAsia="zh-CN"/>
        </w:rPr>
        <w:t>，</w:t>
      </w:r>
      <w:r>
        <w:rPr>
          <w:rFonts w:hint="eastAsia"/>
          <w:color w:val="auto"/>
          <w:highlight w:val="none"/>
        </w:rPr>
        <w:t>应按照相关格式要求按时上报日报、周报、月报。进度报告内容应至少包括：现场工作的技术管理人员数量、各工种技术工人和非技术工人数量、后勤人员数量、参观现场的人员数量、分包单位及其人员数量，使用的各种主要机械设备和车辆的型号、数量和台班，工作的区段，工程进度情况、天气情况记录、现场照片、停工、质量和安全事故等特别事项说明、每日进场材料、物品或设备的分类汇总表、次日或次周的工程进度计划等。</w:t>
      </w:r>
    </w:p>
    <w:p>
      <w:pPr>
        <w:pStyle w:val="3"/>
        <w:spacing w:line="360" w:lineRule="auto"/>
        <w:ind w:left="694" w:leftChars="0" w:firstLineChars="0"/>
        <w:rPr>
          <w:rFonts w:hint="eastAsia" w:cs="宋体"/>
          <w:caps/>
          <w:color w:val="auto"/>
          <w:highlight w:val="none"/>
        </w:rPr>
      </w:pPr>
      <w:bookmarkStart w:id="155" w:name="_Toc21809"/>
      <w:r>
        <w:rPr>
          <w:rFonts w:hint="eastAsia" w:cs="宋体"/>
          <w:caps/>
          <w:color w:val="auto"/>
          <w:highlight w:val="none"/>
          <w:lang w:val="en-US" w:eastAsia="zh-CN"/>
        </w:rPr>
        <w:t>变更</w:t>
      </w:r>
      <w:r>
        <w:rPr>
          <w:rFonts w:hint="eastAsia" w:cs="宋体"/>
          <w:caps/>
          <w:color w:val="auto"/>
          <w:highlight w:val="none"/>
        </w:rPr>
        <w:t>要求</w:t>
      </w:r>
      <w:bookmarkEnd w:id="155"/>
    </w:p>
    <w:p>
      <w:pPr>
        <w:pStyle w:val="41"/>
        <w:numPr>
          <w:ilvl w:val="1"/>
          <w:numId w:val="14"/>
        </w:numPr>
        <w:tabs>
          <w:tab w:val="left" w:pos="454"/>
        </w:tabs>
        <w:spacing w:line="360" w:lineRule="auto"/>
        <w:rPr>
          <w:rFonts w:hint="eastAsia" w:ascii="微软雅黑" w:hAnsi="微软雅黑" w:eastAsia="微软雅黑" w:cs="微软雅黑"/>
          <w:color w:val="auto"/>
          <w:highlight w:val="none"/>
        </w:rPr>
      </w:pPr>
      <w:bookmarkStart w:id="156" w:name="_Toc18716"/>
      <w:bookmarkStart w:id="157" w:name="_Toc194333971"/>
      <w:bookmarkStart w:id="158" w:name="_Toc18458"/>
      <w:bookmarkStart w:id="159" w:name="_Toc3480"/>
      <w:bookmarkStart w:id="160" w:name="_Toc11196"/>
      <w:bookmarkStart w:id="161" w:name="_Toc27012"/>
      <w:bookmarkStart w:id="162" w:name="_Toc12820"/>
      <w:bookmarkStart w:id="163" w:name="_Toc508406782"/>
      <w:bookmarkStart w:id="164" w:name="_Toc25484"/>
      <w:r>
        <w:rPr>
          <w:rFonts w:hint="eastAsia" w:ascii="微软雅黑" w:hAnsi="微软雅黑" w:eastAsia="微软雅黑" w:cs="微软雅黑"/>
          <w:color w:val="auto"/>
          <w:highlight w:val="none"/>
        </w:rPr>
        <w:t>变更类型</w:t>
      </w:r>
      <w:bookmarkEnd w:id="156"/>
      <w:bookmarkEnd w:id="157"/>
      <w:bookmarkEnd w:id="158"/>
      <w:bookmarkEnd w:id="159"/>
      <w:bookmarkEnd w:id="160"/>
    </w:p>
    <w:p>
      <w:pPr>
        <w:pStyle w:val="35"/>
        <w:spacing w:before="62" w:after="62" w:line="360" w:lineRule="auto"/>
        <w:ind w:firstLine="0" w:firstLineChars="0"/>
        <w:rPr>
          <w:rFonts w:hint="eastAsia" w:ascii="宋体" w:hAnsi="宋体"/>
          <w:color w:val="auto"/>
          <w:szCs w:val="24"/>
          <w:highlight w:val="none"/>
        </w:rPr>
      </w:pPr>
      <w:r>
        <w:rPr>
          <w:rFonts w:hint="eastAsia" w:ascii="宋体" w:hAnsi="宋体"/>
          <w:color w:val="auto"/>
          <w:szCs w:val="24"/>
          <w:highlight w:val="none"/>
        </w:rPr>
        <w:t>7.1.1设计变更</w:t>
      </w:r>
    </w:p>
    <w:p>
      <w:pPr>
        <w:pStyle w:val="56"/>
        <w:ind w:firstLine="480"/>
        <w:rPr>
          <w:rFonts w:hint="eastAsia"/>
          <w:color w:val="auto"/>
          <w:highlight w:val="none"/>
        </w:rPr>
      </w:pPr>
      <w:r>
        <w:rPr>
          <w:rFonts w:hint="eastAsia"/>
          <w:color w:val="auto"/>
          <w:highlight w:val="none"/>
        </w:rPr>
        <w:t>设计变更包括两个方面：一是来自设计单位在设计文件发出后发现设计有待完善而发出的变更；二是由工程相关方发现设计需要修改完善的内容。</w:t>
      </w:r>
    </w:p>
    <w:p>
      <w:pPr>
        <w:pStyle w:val="56"/>
        <w:ind w:firstLine="480"/>
        <w:rPr>
          <w:rFonts w:hint="eastAsia"/>
          <w:color w:val="auto"/>
          <w:highlight w:val="none"/>
        </w:rPr>
      </w:pPr>
      <w:r>
        <w:rPr>
          <w:rFonts w:hint="eastAsia"/>
          <w:color w:val="auto"/>
          <w:highlight w:val="none"/>
        </w:rPr>
        <w:t>承包商在签订施工合同后，收到建设方提供的设计单位出具的盖章版的施工蓝图后，以设计单位出具的盖章版的施工蓝图为基准进行施工。在设计单位出具的盖章版的施工蓝图基础上发生的变更认定为设计变更。</w:t>
      </w:r>
    </w:p>
    <w:p>
      <w:pPr>
        <w:pStyle w:val="56"/>
        <w:ind w:firstLine="480"/>
        <w:rPr>
          <w:rFonts w:hint="eastAsia"/>
          <w:color w:val="auto"/>
          <w:highlight w:val="none"/>
        </w:rPr>
      </w:pPr>
      <w:r>
        <w:rPr>
          <w:rFonts w:hint="eastAsia"/>
          <w:color w:val="auto"/>
          <w:highlight w:val="none"/>
        </w:rPr>
        <w:t>设计单位提出的设计变更由监理公司审核同意，并经建设单位批准后方可实施。</w:t>
      </w:r>
    </w:p>
    <w:p>
      <w:pPr>
        <w:pStyle w:val="56"/>
        <w:ind w:firstLine="480"/>
        <w:rPr>
          <w:rFonts w:hint="eastAsia"/>
          <w:color w:val="auto"/>
          <w:highlight w:val="none"/>
        </w:rPr>
      </w:pPr>
      <w:r>
        <w:rPr>
          <w:rFonts w:hint="eastAsia"/>
          <w:color w:val="auto"/>
          <w:highlight w:val="none"/>
        </w:rPr>
        <w:t>工程相关方提出的设计变更：首先由监理公司审核同意，并建设单位同意，由专业工程师与设计单位协调变更。设计单位出具的设计变更单，经建设单位审核同意后。由监理公司发送变更至承包商，承包商应以书面回复对变更费用及进度的意见，如同意则按照变更程序执行。</w:t>
      </w:r>
    </w:p>
    <w:p>
      <w:pPr>
        <w:pStyle w:val="35"/>
        <w:spacing w:before="62" w:after="62" w:line="360" w:lineRule="auto"/>
        <w:ind w:firstLine="0" w:firstLineChars="0"/>
        <w:rPr>
          <w:rFonts w:hint="eastAsia" w:ascii="宋体" w:hAnsi="宋体"/>
          <w:color w:val="auto"/>
          <w:highlight w:val="none"/>
        </w:rPr>
      </w:pPr>
      <w:r>
        <w:rPr>
          <w:rFonts w:hint="eastAsia" w:ascii="宋体" w:hAnsi="宋体"/>
          <w:color w:val="auto"/>
          <w:highlight w:val="none"/>
        </w:rPr>
        <w:t>7.1.2施工范围变更</w:t>
      </w:r>
    </w:p>
    <w:p>
      <w:pPr>
        <w:pStyle w:val="56"/>
        <w:ind w:firstLine="480"/>
        <w:rPr>
          <w:rFonts w:hint="eastAsia"/>
          <w:color w:val="auto"/>
          <w:highlight w:val="none"/>
        </w:rPr>
      </w:pPr>
      <w:r>
        <w:rPr>
          <w:rFonts w:hint="eastAsia"/>
          <w:color w:val="auto"/>
          <w:highlight w:val="none"/>
        </w:rPr>
        <w:t>指承包商实际工作范围与合同规定工作范围相比发生超出或减少项，而造成合同金额改变的变更，施工范围变更提出后，由监理公司审核同意，并经建设单位批准后方可实施；</w:t>
      </w:r>
    </w:p>
    <w:p>
      <w:pPr>
        <w:pStyle w:val="35"/>
        <w:spacing w:before="62" w:after="62" w:line="360" w:lineRule="auto"/>
        <w:ind w:firstLine="0" w:firstLineChars="0"/>
        <w:rPr>
          <w:rFonts w:hint="eastAsia" w:ascii="宋体" w:hAnsi="宋体"/>
          <w:color w:val="auto"/>
          <w:highlight w:val="none"/>
        </w:rPr>
      </w:pPr>
      <w:r>
        <w:rPr>
          <w:rFonts w:hint="eastAsia" w:ascii="宋体" w:hAnsi="宋体"/>
          <w:color w:val="auto"/>
          <w:highlight w:val="none"/>
        </w:rPr>
        <w:t>7.1.3施工变更</w:t>
      </w:r>
    </w:p>
    <w:p>
      <w:pPr>
        <w:pStyle w:val="56"/>
        <w:ind w:firstLine="480"/>
        <w:rPr>
          <w:rFonts w:hint="eastAsia"/>
          <w:color w:val="auto"/>
          <w:highlight w:val="none"/>
        </w:rPr>
      </w:pPr>
      <w:r>
        <w:rPr>
          <w:rFonts w:hint="eastAsia"/>
          <w:color w:val="auto"/>
          <w:highlight w:val="none"/>
        </w:rPr>
        <w:t>指在项目施工过程中，由于施工条件的限制及其他原因而导致承包商施工方案改变的变更。经承包商与建设单位、监理公司协调，在合同许可范围内，可提出施工变更；施工变更如涉及到费用和进度方面的变更，需经监理公司审核同意，建设单位及设计单位审核确认，批准后方可实施。</w:t>
      </w:r>
    </w:p>
    <w:p>
      <w:pPr>
        <w:pStyle w:val="35"/>
        <w:spacing w:before="62" w:after="62" w:line="360" w:lineRule="auto"/>
        <w:ind w:firstLine="0" w:firstLineChars="0"/>
        <w:rPr>
          <w:rFonts w:hint="eastAsia" w:ascii="宋体" w:hAnsi="宋体"/>
          <w:color w:val="auto"/>
          <w:highlight w:val="none"/>
        </w:rPr>
      </w:pPr>
      <w:r>
        <w:rPr>
          <w:rFonts w:hint="eastAsia" w:ascii="宋体" w:hAnsi="宋体"/>
          <w:color w:val="auto"/>
          <w:highlight w:val="none"/>
        </w:rPr>
        <w:t>7.1.4 场地条件变更</w:t>
      </w:r>
    </w:p>
    <w:p>
      <w:pPr>
        <w:pStyle w:val="56"/>
        <w:ind w:firstLine="480"/>
        <w:rPr>
          <w:rFonts w:hint="eastAsia"/>
          <w:color w:val="auto"/>
          <w:highlight w:val="none"/>
        </w:rPr>
      </w:pPr>
      <w:r>
        <w:rPr>
          <w:rFonts w:hint="eastAsia"/>
          <w:color w:val="auto"/>
          <w:highlight w:val="none"/>
        </w:rPr>
        <w:t xml:space="preserve">指由于地质情况变化、恶劣天气影响，以及其他条件变化而不能满足施工正常开展 而引起的费用和进度的变更；由于场地条件的变化，需要进行设计变更才能满足相关技术要求的，可由承包商在施工过程中提出，经监理公司及原地质勘察单位同意后，并经建设单位审核确认，由专业工程师协调设计变更，相关的要求和流程与设计变更管理规定相同。 </w:t>
      </w:r>
    </w:p>
    <w:p>
      <w:pPr>
        <w:pStyle w:val="41"/>
        <w:numPr>
          <w:ilvl w:val="1"/>
          <w:numId w:val="14"/>
        </w:numPr>
        <w:tabs>
          <w:tab w:val="left" w:pos="454"/>
        </w:tabs>
        <w:spacing w:line="360" w:lineRule="auto"/>
        <w:rPr>
          <w:rFonts w:hint="eastAsia" w:ascii="微软雅黑" w:hAnsi="微软雅黑" w:eastAsia="微软雅黑" w:cs="微软雅黑"/>
          <w:color w:val="auto"/>
          <w:highlight w:val="none"/>
        </w:rPr>
      </w:pPr>
      <w:bookmarkStart w:id="165" w:name="_Toc17571"/>
      <w:bookmarkStart w:id="166" w:name="_Toc16456"/>
      <w:bookmarkStart w:id="167" w:name="_Toc9437"/>
      <w:bookmarkStart w:id="168" w:name="_Toc194333972"/>
      <w:bookmarkStart w:id="169" w:name="_Toc2885"/>
      <w:r>
        <w:rPr>
          <w:rFonts w:hint="eastAsia" w:ascii="微软雅黑" w:hAnsi="微软雅黑" w:eastAsia="微软雅黑" w:cs="微软雅黑"/>
          <w:color w:val="auto"/>
          <w:highlight w:val="none"/>
        </w:rPr>
        <w:t>变更流程</w:t>
      </w:r>
      <w:bookmarkEnd w:id="165"/>
      <w:bookmarkEnd w:id="166"/>
      <w:bookmarkEnd w:id="167"/>
      <w:bookmarkEnd w:id="168"/>
      <w:bookmarkEnd w:id="169"/>
    </w:p>
    <w:p>
      <w:pPr>
        <w:pStyle w:val="56"/>
        <w:ind w:firstLine="0" w:firstLineChars="0"/>
        <w:rPr>
          <w:rFonts w:ascii="Times New Roman" w:hAnsi="Times New Roman"/>
          <w:color w:val="auto"/>
          <w:highlight w:val="none"/>
        </w:rPr>
      </w:pPr>
      <w:r>
        <w:rPr>
          <w:rFonts w:hint="eastAsia" w:cs="宋体"/>
          <w:color w:val="auto"/>
          <w:highlight w:val="none"/>
        </w:rPr>
        <w:t>7.2.1</w:t>
      </w:r>
      <w:r>
        <w:rPr>
          <w:rFonts w:hint="eastAsia" w:ascii="Times New Roman" w:hAnsi="Times New Roman"/>
          <w:color w:val="auto"/>
          <w:highlight w:val="none"/>
        </w:rPr>
        <w:t>建设单位提出变更</w:t>
      </w:r>
    </w:p>
    <w:p>
      <w:pPr>
        <w:pStyle w:val="56"/>
        <w:ind w:firstLine="480"/>
        <w:rPr>
          <w:rFonts w:ascii="Times New Roman" w:hAnsi="Times New Roman"/>
          <w:color w:val="auto"/>
          <w:highlight w:val="none"/>
        </w:rPr>
      </w:pPr>
      <w:r>
        <w:rPr>
          <w:rFonts w:hint="eastAsia" w:ascii="Times New Roman" w:hAnsi="Times New Roman"/>
          <w:color w:val="auto"/>
          <w:highlight w:val="none"/>
        </w:rPr>
        <w:t>项目实施过程中，由于法规、规范、规则的更新、合同的要求、安全操作方面的考虑以及随着施工图设计的深化而为满足设备性能和建造要求，建设单位的提出变更。建设单位以《联络单》的形式通知承包商，承包商3日已联络单形式回复意见，如未在3日内回复视为不同意此项变更。达成一致后承包商3日内填写《工程变更申请表》，报监理单位，监理单位审核后上报建设单位，由原设计单位审批。建设单位在审批承包商提交的申请表后，执行内部审批流程。获批后建设单位发出变更指令，承包商严格按照变更内容实施。</w:t>
      </w:r>
    </w:p>
    <w:p>
      <w:pPr>
        <w:pStyle w:val="56"/>
        <w:ind w:firstLine="0" w:firstLineChars="0"/>
        <w:rPr>
          <w:rFonts w:ascii="Times New Roman" w:hAnsi="Times New Roman"/>
          <w:color w:val="auto"/>
          <w:highlight w:val="none"/>
        </w:rPr>
      </w:pPr>
      <w:r>
        <w:rPr>
          <w:rFonts w:hint="eastAsia" w:ascii="Times New Roman" w:hAnsi="Times New Roman"/>
          <w:color w:val="auto"/>
          <w:highlight w:val="none"/>
        </w:rPr>
        <w:t>7.2.2承包商提出变更</w:t>
      </w:r>
    </w:p>
    <w:p>
      <w:pPr>
        <w:pStyle w:val="56"/>
        <w:ind w:firstLine="480"/>
        <w:rPr>
          <w:rFonts w:ascii="Times New Roman" w:hAnsi="Times New Roman"/>
          <w:color w:val="auto"/>
          <w:highlight w:val="none"/>
        </w:rPr>
      </w:pPr>
      <w:r>
        <w:rPr>
          <w:rFonts w:hint="eastAsia" w:ascii="Times New Roman" w:hAnsi="Times New Roman"/>
          <w:color w:val="auto"/>
          <w:highlight w:val="none"/>
        </w:rPr>
        <w:t>因工程合同的范围改变、组织机构调整、项目总体计划或项目工程投资调整、已批准的重大施工方案或施工时间调整、合同费用调整而引起的变更，承包商以《联络单》的形式上报监理单位，由监理单位、建设单位3日已联络单形式回复意见。承包商获得同意回复后填写《工程变更申请表》，报监理单位，监理单位审核后上报建设单位，并由原设计单位审批。建设单位在审批承包商提交的申请表后，执行内部审批流程。获批后建设单位发出变更指令，承包商严格按照变更内容实施。</w:t>
      </w:r>
    </w:p>
    <w:p>
      <w:pPr>
        <w:pStyle w:val="56"/>
        <w:ind w:firstLine="480"/>
        <w:rPr>
          <w:rFonts w:hint="eastAsia" w:cs="宋体"/>
          <w:color w:val="auto"/>
          <w:highlight w:val="none"/>
        </w:rPr>
      </w:pPr>
      <w:r>
        <w:rPr>
          <w:rFonts w:hint="eastAsia" w:ascii="Times New Roman" w:hAnsi="Times New Roman"/>
          <w:color w:val="auto"/>
          <w:highlight w:val="none"/>
        </w:rPr>
        <w:t>《工程变更申请表》由承包商填写以进行变更申请，并附相关详细支持材料；申请表中的变更原因应详细描述该变更产生的缘由，以便于确认变更责任单位；变更提出单位应提供充分的变更依据，包括标准规范、合同、现场实际情况等；申请表中提供的变更内容及方案应详细描述变更的内容、数量（工作量）、工作范围、时间（进度影响）等并附拟使用的实施方案；申请表中的变更金额为本次变更预算金额，不作为变更结算依据，可用于审批权限的划分依据。</w:t>
      </w:r>
    </w:p>
    <w:p>
      <w:pPr>
        <w:pStyle w:val="41"/>
        <w:numPr>
          <w:ilvl w:val="1"/>
          <w:numId w:val="14"/>
        </w:numPr>
        <w:tabs>
          <w:tab w:val="left" w:pos="454"/>
        </w:tabs>
        <w:spacing w:line="360" w:lineRule="auto"/>
        <w:rPr>
          <w:rFonts w:hint="eastAsia" w:ascii="微软雅黑" w:hAnsi="微软雅黑" w:eastAsia="微软雅黑" w:cs="微软雅黑"/>
          <w:color w:val="auto"/>
          <w:highlight w:val="none"/>
        </w:rPr>
      </w:pPr>
      <w:bookmarkStart w:id="170" w:name="_Toc20067"/>
      <w:bookmarkStart w:id="171" w:name="_Toc194333973"/>
      <w:bookmarkStart w:id="172" w:name="_Toc10509"/>
      <w:bookmarkStart w:id="173" w:name="_Toc19558"/>
      <w:bookmarkStart w:id="174" w:name="_Toc9173"/>
      <w:r>
        <w:rPr>
          <w:rFonts w:hint="eastAsia" w:ascii="微软雅黑" w:hAnsi="微软雅黑" w:eastAsia="微软雅黑" w:cs="微软雅黑"/>
          <w:color w:val="auto"/>
          <w:highlight w:val="none"/>
        </w:rPr>
        <w:t>变更估价原则</w:t>
      </w:r>
      <w:bookmarkEnd w:id="170"/>
      <w:bookmarkEnd w:id="171"/>
      <w:bookmarkEnd w:id="172"/>
      <w:bookmarkEnd w:id="173"/>
      <w:bookmarkEnd w:id="174"/>
    </w:p>
    <w:p>
      <w:pPr>
        <w:pStyle w:val="56"/>
        <w:ind w:firstLine="480"/>
        <w:rPr>
          <w:rFonts w:hint="eastAsia"/>
          <w:color w:val="auto"/>
          <w:highlight w:val="none"/>
        </w:rPr>
      </w:pPr>
      <w:r>
        <w:rPr>
          <w:rFonts w:hint="eastAsia"/>
          <w:color w:val="auto"/>
          <w:highlight w:val="none"/>
        </w:rPr>
        <w:t>7.3.1已标价工程量清单或预算书有相同项目的，按照相同项目单价认定；</w:t>
      </w:r>
    </w:p>
    <w:p>
      <w:pPr>
        <w:pStyle w:val="56"/>
        <w:ind w:firstLine="480"/>
        <w:rPr>
          <w:rFonts w:hint="eastAsia"/>
          <w:color w:val="auto"/>
          <w:highlight w:val="none"/>
        </w:rPr>
      </w:pPr>
      <w:r>
        <w:rPr>
          <w:rFonts w:hint="eastAsia"/>
          <w:color w:val="auto"/>
          <w:highlight w:val="none"/>
        </w:rPr>
        <w:t>7.3.2已标价工程量清单或预算书中无相同项目，但有类似项目的，参照类似项目的单价认定；</w:t>
      </w:r>
    </w:p>
    <w:p>
      <w:pPr>
        <w:pStyle w:val="56"/>
        <w:ind w:firstLine="480"/>
        <w:rPr>
          <w:rFonts w:hint="eastAsia"/>
          <w:color w:val="auto"/>
          <w:highlight w:val="none"/>
        </w:rPr>
      </w:pPr>
      <w:r>
        <w:rPr>
          <w:rFonts w:hint="eastAsia"/>
          <w:color w:val="auto"/>
          <w:highlight w:val="none"/>
        </w:rPr>
        <w:t>7.3.3已标价工程量清单或预算书中无相同项目及类似项目单价的，按照合理的成本与利润构成的原则，由合同当事人按照工程所在地政府部门发行的近期造价指南信息价（商定）确定变更工作的单价。单项工程变更不足</w:t>
      </w:r>
      <w:r>
        <w:rPr>
          <w:rFonts w:hint="eastAsia"/>
          <w:color w:val="auto"/>
          <w:highlight w:val="none"/>
          <w:lang w:val="en-US" w:eastAsia="zh-CN"/>
        </w:rPr>
        <w:t>10</w:t>
      </w:r>
      <w:r>
        <w:rPr>
          <w:rFonts w:hint="eastAsia"/>
          <w:color w:val="auto"/>
          <w:highlight w:val="none"/>
        </w:rPr>
        <w:t>000元（含</w:t>
      </w:r>
      <w:r>
        <w:rPr>
          <w:rFonts w:hint="eastAsia"/>
          <w:color w:val="auto"/>
          <w:highlight w:val="none"/>
          <w:lang w:val="en-US" w:eastAsia="zh-CN"/>
        </w:rPr>
        <w:t>10</w:t>
      </w:r>
      <w:r>
        <w:rPr>
          <w:rFonts w:hint="eastAsia"/>
          <w:color w:val="auto"/>
          <w:highlight w:val="none"/>
        </w:rPr>
        <w:t>000元）的不发生经济变更，结算时不做费用增加。</w:t>
      </w:r>
    </w:p>
    <w:p>
      <w:pPr>
        <w:pStyle w:val="41"/>
        <w:numPr>
          <w:ilvl w:val="1"/>
          <w:numId w:val="14"/>
        </w:numPr>
        <w:tabs>
          <w:tab w:val="left" w:pos="454"/>
        </w:tabs>
        <w:spacing w:line="360" w:lineRule="auto"/>
        <w:rPr>
          <w:rFonts w:hint="eastAsia" w:ascii="微软雅黑" w:hAnsi="微软雅黑" w:eastAsia="微软雅黑" w:cs="微软雅黑"/>
          <w:color w:val="auto"/>
          <w:highlight w:val="none"/>
        </w:rPr>
      </w:pPr>
      <w:bookmarkStart w:id="175" w:name="_Toc7060"/>
      <w:bookmarkStart w:id="176" w:name="_Toc23003"/>
      <w:bookmarkStart w:id="177" w:name="_Toc11590"/>
      <w:bookmarkStart w:id="178" w:name="_Toc31175"/>
      <w:bookmarkStart w:id="179" w:name="_Toc194333974"/>
      <w:r>
        <w:rPr>
          <w:rFonts w:hint="eastAsia" w:ascii="微软雅黑" w:hAnsi="微软雅黑" w:eastAsia="微软雅黑" w:cs="微软雅黑"/>
          <w:color w:val="auto"/>
          <w:highlight w:val="none"/>
        </w:rPr>
        <w:t>变更要求</w:t>
      </w:r>
      <w:bookmarkEnd w:id="175"/>
      <w:bookmarkEnd w:id="176"/>
      <w:bookmarkEnd w:id="177"/>
      <w:bookmarkEnd w:id="178"/>
      <w:bookmarkEnd w:id="179"/>
    </w:p>
    <w:p>
      <w:pPr>
        <w:spacing w:line="360" w:lineRule="auto"/>
        <w:outlineLvl w:val="2"/>
        <w:rPr>
          <w:rFonts w:hint="eastAsia" w:ascii="宋体" w:hAnsi="宋体" w:cs="宋体"/>
          <w:color w:val="auto"/>
          <w:highlight w:val="none"/>
        </w:rPr>
      </w:pPr>
      <w:r>
        <w:rPr>
          <w:rFonts w:hint="eastAsia" w:ascii="宋体" w:hAnsi="宋体" w:cs="宋体"/>
          <w:color w:val="auto"/>
          <w:highlight w:val="none"/>
        </w:rPr>
        <w:t>7.4.1承包商应当在收到变更指令之日起或工程变更确定之日起3日内向建设方书面提出变更申请表。承包商逾期提出变更申请表的，则该等工程变更视为无经济内容，承包商再行提出的任何费用调整均不被考虑。</w:t>
      </w:r>
    </w:p>
    <w:p>
      <w:pPr>
        <w:spacing w:line="360" w:lineRule="auto"/>
        <w:outlineLvl w:val="2"/>
        <w:rPr>
          <w:rFonts w:hint="eastAsia" w:ascii="宋体" w:hAnsi="宋体" w:cs="宋体"/>
          <w:color w:val="auto"/>
          <w:highlight w:val="none"/>
        </w:rPr>
      </w:pPr>
      <w:r>
        <w:rPr>
          <w:rFonts w:hint="eastAsia" w:ascii="宋体" w:hAnsi="宋体" w:cs="宋体"/>
          <w:color w:val="auto"/>
          <w:highlight w:val="none"/>
        </w:rPr>
        <w:t>7.4.2变更申请表只有在监理工程师和建设方代表都签署同意时才对建设方有约束力。工程变更或合同价款的变更都应先由监理工程师提出监理意见，监理工程师签署的监建设方代表有权不同意承包商或监理工程师的意见，也有权部分同意其意见。</w:t>
      </w:r>
    </w:p>
    <w:p>
      <w:pPr>
        <w:spacing w:line="360" w:lineRule="auto"/>
        <w:outlineLvl w:val="2"/>
        <w:rPr>
          <w:rFonts w:hint="eastAsia" w:ascii="宋体" w:hAnsi="宋体" w:cs="宋体"/>
          <w:color w:val="auto"/>
          <w:highlight w:val="none"/>
        </w:rPr>
      </w:pPr>
      <w:r>
        <w:rPr>
          <w:rFonts w:hint="eastAsia" w:ascii="宋体" w:hAnsi="宋体" w:cs="宋体"/>
          <w:color w:val="auto"/>
          <w:highlight w:val="none"/>
        </w:rPr>
        <w:t>7.4.3建设方代表行使针对合同价款变更的最终决定权。建设方代表与监理工程师的意见不一致的，以建设方代表的决定为准。意见是任何一项变更指令或合同价款变更指令有效签发的必要条件。</w:t>
      </w:r>
    </w:p>
    <w:p>
      <w:pPr>
        <w:pStyle w:val="41"/>
        <w:numPr>
          <w:ilvl w:val="1"/>
          <w:numId w:val="14"/>
        </w:numPr>
        <w:tabs>
          <w:tab w:val="left" w:pos="454"/>
        </w:tabs>
        <w:spacing w:line="360" w:lineRule="auto"/>
        <w:rPr>
          <w:rFonts w:hint="eastAsia" w:ascii="微软雅黑" w:hAnsi="微软雅黑" w:eastAsia="微软雅黑" w:cs="微软雅黑"/>
          <w:color w:val="auto"/>
          <w:highlight w:val="none"/>
        </w:rPr>
      </w:pPr>
      <w:bookmarkStart w:id="180" w:name="_Toc16343"/>
      <w:bookmarkStart w:id="181" w:name="_Toc20429"/>
      <w:bookmarkStart w:id="182" w:name="_Toc194333975"/>
      <w:bookmarkStart w:id="183" w:name="_Toc2280"/>
      <w:bookmarkStart w:id="184" w:name="_Toc13929"/>
      <w:r>
        <w:rPr>
          <w:rFonts w:hint="eastAsia" w:ascii="微软雅黑" w:hAnsi="微软雅黑" w:eastAsia="微软雅黑" w:cs="微软雅黑"/>
          <w:color w:val="auto"/>
          <w:highlight w:val="none"/>
        </w:rPr>
        <w:t>不予确认变更情况</w:t>
      </w:r>
      <w:bookmarkEnd w:id="180"/>
      <w:bookmarkEnd w:id="181"/>
      <w:bookmarkEnd w:id="182"/>
      <w:bookmarkEnd w:id="183"/>
      <w:bookmarkEnd w:id="184"/>
    </w:p>
    <w:p>
      <w:pPr>
        <w:spacing w:line="360" w:lineRule="auto"/>
        <w:outlineLvl w:val="2"/>
        <w:rPr>
          <w:rFonts w:hint="eastAsia" w:ascii="宋体" w:hAnsi="宋体" w:cs="宋体"/>
          <w:color w:val="auto"/>
          <w:highlight w:val="none"/>
        </w:rPr>
      </w:pPr>
      <w:r>
        <w:rPr>
          <w:rFonts w:hint="eastAsia" w:ascii="宋体" w:hAnsi="宋体" w:cs="宋体"/>
          <w:color w:val="auto"/>
          <w:highlight w:val="none"/>
        </w:rPr>
        <w:t>7.5.1承包商在施工中提出的变更建议涉及到对设计图纸或施工组织设计的更改及对材料、设备的换用，须经建设方代表同意。未经同意擅自的更改或换用时，承包商承担由此发生的费用，并赔偿建设方的有关损失，延误的工期不予顺延。</w:t>
      </w:r>
    </w:p>
    <w:p>
      <w:pPr>
        <w:spacing w:line="360" w:lineRule="auto"/>
        <w:outlineLvl w:val="2"/>
        <w:rPr>
          <w:rFonts w:hint="eastAsia" w:ascii="宋体" w:hAnsi="宋体" w:cs="宋体"/>
          <w:color w:val="auto"/>
          <w:highlight w:val="none"/>
        </w:rPr>
      </w:pPr>
      <w:r>
        <w:rPr>
          <w:rFonts w:hint="eastAsia" w:ascii="宋体" w:hAnsi="宋体" w:cs="宋体"/>
          <w:color w:val="auto"/>
          <w:highlight w:val="none"/>
        </w:rPr>
        <w:t>7.5.2由于承包商的原因，非关键路径工作干扰了关键路径工作，导致工期延误和费用增加。对此，所产生的额外费用和工期顺延不被确认，且建设单位有权追究承包商由此造成的损失。</w:t>
      </w:r>
    </w:p>
    <w:p>
      <w:pPr>
        <w:spacing w:line="360" w:lineRule="auto"/>
        <w:outlineLvl w:val="2"/>
        <w:rPr>
          <w:rFonts w:hint="eastAsia" w:ascii="宋体" w:hAnsi="宋体" w:cs="宋体"/>
          <w:color w:val="auto"/>
          <w:highlight w:val="none"/>
        </w:rPr>
      </w:pPr>
      <w:r>
        <w:rPr>
          <w:rFonts w:hint="eastAsia" w:ascii="宋体" w:hAnsi="宋体" w:cs="宋体"/>
          <w:color w:val="auto"/>
          <w:highlight w:val="none"/>
        </w:rPr>
        <w:t>7.5.3由于私自作业，超出设计图纸施工范围及尺寸，未经监理单位、建设单位同意，出现超挖等情况，费用变更不予确认。</w:t>
      </w:r>
    </w:p>
    <w:p>
      <w:pPr>
        <w:pStyle w:val="3"/>
        <w:spacing w:line="360" w:lineRule="auto"/>
        <w:ind w:left="694" w:leftChars="0" w:firstLineChars="0"/>
        <w:rPr>
          <w:rFonts w:hint="eastAsia" w:cs="宋体"/>
          <w:caps/>
          <w:color w:val="auto"/>
          <w:highlight w:val="none"/>
        </w:rPr>
      </w:pPr>
      <w:bookmarkStart w:id="185" w:name="_Toc12652"/>
      <w:r>
        <w:rPr>
          <w:rFonts w:hint="eastAsia" w:cs="宋体"/>
          <w:caps/>
          <w:color w:val="auto"/>
          <w:highlight w:val="none"/>
        </w:rPr>
        <w:t>HSE要求</w:t>
      </w:r>
      <w:bookmarkEnd w:id="161"/>
      <w:bookmarkEnd w:id="162"/>
      <w:bookmarkEnd w:id="163"/>
      <w:bookmarkEnd w:id="164"/>
      <w:bookmarkEnd w:id="185"/>
    </w:p>
    <w:p>
      <w:pPr>
        <w:pStyle w:val="41"/>
        <w:spacing w:line="360" w:lineRule="auto"/>
        <w:rPr>
          <w:rFonts w:hint="eastAsia" w:ascii="微软雅黑" w:hAnsi="微软雅黑" w:eastAsia="微软雅黑" w:cs="微软雅黑"/>
          <w:color w:val="auto"/>
          <w:highlight w:val="none"/>
          <w:lang w:eastAsia="zh-CN"/>
        </w:rPr>
      </w:pPr>
      <w:bookmarkStart w:id="186" w:name="_Toc9198"/>
      <w:bookmarkStart w:id="187" w:name="_Toc23705"/>
      <w:bookmarkStart w:id="188" w:name="_Toc18441"/>
      <w:bookmarkStart w:id="189" w:name="_Toc9960"/>
      <w:bookmarkStart w:id="190" w:name="_Toc508406783"/>
      <w:r>
        <w:rPr>
          <w:rFonts w:hint="eastAsia" w:ascii="微软雅黑" w:hAnsi="微软雅黑" w:eastAsia="微软雅黑" w:cs="微软雅黑"/>
          <w:color w:val="auto"/>
          <w:highlight w:val="none"/>
          <w:lang w:eastAsia="zh-CN"/>
        </w:rPr>
        <w:t>HSE总体要求</w:t>
      </w:r>
      <w:bookmarkEnd w:id="186"/>
      <w:bookmarkEnd w:id="187"/>
      <w:bookmarkEnd w:id="188"/>
      <w:bookmarkEnd w:id="189"/>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8.1.1甲方责任</w:t>
      </w:r>
    </w:p>
    <w:p>
      <w:pPr>
        <w:numPr>
          <w:ilvl w:val="0"/>
          <w:numId w:val="15"/>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有权在HSE管理等方面向</w:t>
      </w:r>
      <w:r>
        <w:rPr>
          <w:rFonts w:hint="eastAsia" w:ascii="宋体" w:hAnsi="宋体"/>
          <w:color w:val="auto"/>
          <w:highlight w:val="none"/>
          <w:lang w:eastAsia="zh-CN"/>
        </w:rPr>
        <w:t>乙方</w:t>
      </w:r>
      <w:r>
        <w:rPr>
          <w:rFonts w:hint="eastAsia" w:ascii="宋体" w:hAnsi="宋体"/>
          <w:color w:val="auto"/>
          <w:highlight w:val="none"/>
        </w:rPr>
        <w:t>提出要求。在法律法规的框架内，</w:t>
      </w:r>
      <w:r>
        <w:rPr>
          <w:rFonts w:hint="eastAsia" w:ascii="宋体" w:hAnsi="宋体"/>
          <w:color w:val="auto"/>
          <w:highlight w:val="none"/>
          <w:lang w:eastAsia="zh-CN"/>
        </w:rPr>
        <w:t>甲方</w:t>
      </w:r>
      <w:r>
        <w:rPr>
          <w:rFonts w:hint="eastAsia" w:ascii="宋体" w:hAnsi="宋体"/>
          <w:color w:val="auto"/>
          <w:highlight w:val="none"/>
        </w:rPr>
        <w:t>有权要求</w:t>
      </w:r>
      <w:r>
        <w:rPr>
          <w:rFonts w:hint="eastAsia" w:ascii="宋体" w:hAnsi="宋体"/>
          <w:color w:val="auto"/>
          <w:highlight w:val="none"/>
          <w:lang w:eastAsia="zh-CN"/>
        </w:rPr>
        <w:t>乙方</w:t>
      </w:r>
      <w:r>
        <w:rPr>
          <w:rFonts w:hint="eastAsia" w:ascii="宋体" w:hAnsi="宋体"/>
          <w:color w:val="auto"/>
          <w:highlight w:val="none"/>
        </w:rPr>
        <w:t>达到高于相应标准的要求。</w:t>
      </w:r>
    </w:p>
    <w:p>
      <w:pPr>
        <w:numPr>
          <w:ilvl w:val="0"/>
          <w:numId w:val="15"/>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有权对</w:t>
      </w:r>
      <w:r>
        <w:rPr>
          <w:rFonts w:hint="eastAsia" w:ascii="宋体" w:hAnsi="宋体"/>
          <w:color w:val="auto"/>
          <w:highlight w:val="none"/>
          <w:lang w:eastAsia="zh-CN"/>
        </w:rPr>
        <w:t>乙方</w:t>
      </w:r>
      <w:r>
        <w:rPr>
          <w:rFonts w:hint="eastAsia" w:ascii="宋体" w:hAnsi="宋体"/>
          <w:color w:val="auto"/>
          <w:highlight w:val="none"/>
        </w:rPr>
        <w:t>施工作业的现场进行安全检查及监督。在履行合同过程中，发现</w:t>
      </w:r>
      <w:r>
        <w:rPr>
          <w:rFonts w:hint="eastAsia" w:ascii="宋体" w:hAnsi="宋体"/>
          <w:color w:val="auto"/>
          <w:highlight w:val="none"/>
          <w:lang w:eastAsia="zh-CN"/>
        </w:rPr>
        <w:t>乙方</w:t>
      </w:r>
      <w:r>
        <w:rPr>
          <w:rFonts w:hint="eastAsia" w:ascii="宋体" w:hAnsi="宋体"/>
          <w:color w:val="auto"/>
          <w:highlight w:val="none"/>
        </w:rPr>
        <w:t>有严重安全隐患时，</w:t>
      </w:r>
      <w:r>
        <w:rPr>
          <w:rFonts w:hint="eastAsia" w:ascii="宋体" w:hAnsi="宋体"/>
          <w:color w:val="auto"/>
          <w:highlight w:val="none"/>
          <w:lang w:eastAsia="zh-CN"/>
        </w:rPr>
        <w:t>甲方</w:t>
      </w:r>
      <w:r>
        <w:rPr>
          <w:rFonts w:hint="eastAsia" w:ascii="宋体" w:hAnsi="宋体"/>
          <w:color w:val="auto"/>
          <w:highlight w:val="none"/>
        </w:rPr>
        <w:t>有权要求承包商停工整改。</w:t>
      </w:r>
    </w:p>
    <w:p>
      <w:pPr>
        <w:numPr>
          <w:ilvl w:val="0"/>
          <w:numId w:val="15"/>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有权向</w:t>
      </w:r>
      <w:r>
        <w:rPr>
          <w:rFonts w:hint="eastAsia" w:ascii="宋体" w:hAnsi="宋体"/>
          <w:color w:val="auto"/>
          <w:highlight w:val="none"/>
          <w:lang w:eastAsia="zh-CN"/>
        </w:rPr>
        <w:t>乙方</w:t>
      </w:r>
      <w:r>
        <w:rPr>
          <w:rFonts w:hint="eastAsia" w:ascii="宋体" w:hAnsi="宋体"/>
          <w:color w:val="auto"/>
          <w:highlight w:val="none"/>
        </w:rPr>
        <w:t>提出标准及条件，要求</w:t>
      </w:r>
      <w:r>
        <w:rPr>
          <w:rFonts w:hint="eastAsia" w:ascii="宋体" w:hAnsi="宋体"/>
          <w:color w:val="auto"/>
          <w:highlight w:val="none"/>
          <w:lang w:eastAsia="zh-CN"/>
        </w:rPr>
        <w:t>乙方</w:t>
      </w:r>
      <w:r>
        <w:rPr>
          <w:rFonts w:hint="eastAsia" w:ascii="宋体" w:hAnsi="宋体"/>
          <w:color w:val="auto"/>
          <w:highlight w:val="none"/>
        </w:rPr>
        <w:t>在选择分包商时满足该标准及条件，有权要求</w:t>
      </w:r>
      <w:r>
        <w:rPr>
          <w:rFonts w:hint="eastAsia" w:ascii="宋体" w:hAnsi="宋体"/>
          <w:color w:val="auto"/>
          <w:highlight w:val="none"/>
          <w:lang w:eastAsia="zh-CN"/>
        </w:rPr>
        <w:t>乙方</w:t>
      </w:r>
      <w:r>
        <w:rPr>
          <w:rFonts w:hint="eastAsia" w:ascii="宋体" w:hAnsi="宋体"/>
          <w:color w:val="auto"/>
          <w:highlight w:val="none"/>
        </w:rPr>
        <w:t>与其分包商制订健康安全环保条款并按其落实。</w:t>
      </w:r>
    </w:p>
    <w:p>
      <w:pPr>
        <w:numPr>
          <w:ilvl w:val="0"/>
          <w:numId w:val="15"/>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甲方</w:t>
      </w:r>
      <w:r>
        <w:rPr>
          <w:rFonts w:hint="eastAsia" w:ascii="宋体" w:hAnsi="宋体"/>
          <w:color w:val="auto"/>
          <w:highlight w:val="none"/>
        </w:rPr>
        <w:t>有权对</w:t>
      </w:r>
      <w:r>
        <w:rPr>
          <w:rFonts w:hint="eastAsia" w:ascii="宋体" w:hAnsi="宋体"/>
          <w:color w:val="auto"/>
          <w:highlight w:val="none"/>
          <w:lang w:eastAsia="zh-CN"/>
        </w:rPr>
        <w:t>乙方</w:t>
      </w:r>
      <w:r>
        <w:rPr>
          <w:rFonts w:hint="eastAsia" w:ascii="宋体" w:hAnsi="宋体"/>
          <w:color w:val="auto"/>
          <w:highlight w:val="none"/>
        </w:rPr>
        <w:t>的HSE管理状况和管理人员进行考核，经考核发现</w:t>
      </w:r>
      <w:r>
        <w:rPr>
          <w:rFonts w:hint="eastAsia" w:ascii="宋体" w:hAnsi="宋体"/>
          <w:color w:val="auto"/>
          <w:highlight w:val="none"/>
          <w:lang w:eastAsia="zh-CN"/>
        </w:rPr>
        <w:t>乙方</w:t>
      </w:r>
      <w:r>
        <w:rPr>
          <w:rFonts w:hint="eastAsia" w:ascii="宋体" w:hAnsi="宋体"/>
          <w:color w:val="auto"/>
          <w:highlight w:val="none"/>
        </w:rPr>
        <w:t>HSE管理状况和管理人员不能满足</w:t>
      </w:r>
      <w:r>
        <w:rPr>
          <w:rFonts w:hint="eastAsia" w:ascii="宋体" w:hAnsi="宋体"/>
          <w:color w:val="auto"/>
          <w:highlight w:val="none"/>
          <w:lang w:eastAsia="zh-CN"/>
        </w:rPr>
        <w:t>甲方</w:t>
      </w:r>
      <w:r>
        <w:rPr>
          <w:rFonts w:hint="eastAsia" w:ascii="宋体" w:hAnsi="宋体"/>
          <w:color w:val="auto"/>
          <w:highlight w:val="none"/>
        </w:rPr>
        <w:t>要求的，</w:t>
      </w:r>
      <w:r>
        <w:rPr>
          <w:rFonts w:hint="eastAsia" w:ascii="宋体" w:hAnsi="宋体"/>
          <w:color w:val="auto"/>
          <w:highlight w:val="none"/>
          <w:lang w:eastAsia="zh-CN"/>
        </w:rPr>
        <w:t>甲方</w:t>
      </w:r>
      <w:r>
        <w:rPr>
          <w:rFonts w:hint="eastAsia" w:ascii="宋体" w:hAnsi="宋体"/>
          <w:color w:val="auto"/>
          <w:highlight w:val="none"/>
        </w:rPr>
        <w:t>有权要求</w:t>
      </w:r>
      <w:r>
        <w:rPr>
          <w:rFonts w:hint="eastAsia" w:ascii="宋体" w:hAnsi="宋体"/>
          <w:color w:val="auto"/>
          <w:highlight w:val="none"/>
          <w:lang w:eastAsia="zh-CN"/>
        </w:rPr>
        <w:t>乙方</w:t>
      </w:r>
      <w:r>
        <w:rPr>
          <w:rFonts w:hint="eastAsia" w:ascii="宋体" w:hAnsi="宋体"/>
          <w:color w:val="auto"/>
          <w:highlight w:val="none"/>
        </w:rPr>
        <w:t>整改、更换管理人员,直至满足要求。</w:t>
      </w:r>
    </w:p>
    <w:p>
      <w:pPr>
        <w:numPr>
          <w:ilvl w:val="0"/>
          <w:numId w:val="15"/>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当</w:t>
      </w:r>
      <w:r>
        <w:rPr>
          <w:rFonts w:hint="eastAsia" w:ascii="宋体" w:hAnsi="宋体"/>
          <w:color w:val="auto"/>
          <w:highlight w:val="none"/>
          <w:lang w:eastAsia="zh-CN"/>
        </w:rPr>
        <w:t>乙方</w:t>
      </w:r>
      <w:r>
        <w:rPr>
          <w:rFonts w:hint="eastAsia" w:ascii="宋体" w:hAnsi="宋体"/>
          <w:color w:val="auto"/>
          <w:highlight w:val="none"/>
        </w:rPr>
        <w:t>的工作程序或工作环境对人身、财产或环境构成了威胁，违反了有关的法律、法规、标准、规范、规程、规定、合同要求或任何有关的健康安全环保标准，或者当</w:t>
      </w:r>
      <w:r>
        <w:rPr>
          <w:rFonts w:hint="eastAsia" w:ascii="宋体" w:hAnsi="宋体"/>
          <w:color w:val="auto"/>
          <w:highlight w:val="none"/>
          <w:lang w:eastAsia="zh-CN"/>
        </w:rPr>
        <w:t>甲方</w:t>
      </w:r>
      <w:r>
        <w:rPr>
          <w:rFonts w:hint="eastAsia" w:ascii="宋体" w:hAnsi="宋体"/>
          <w:color w:val="auto"/>
          <w:highlight w:val="none"/>
        </w:rPr>
        <w:t>认为</w:t>
      </w:r>
      <w:r>
        <w:rPr>
          <w:rFonts w:hint="eastAsia" w:ascii="宋体" w:hAnsi="宋体"/>
          <w:color w:val="auto"/>
          <w:highlight w:val="none"/>
          <w:lang w:eastAsia="zh-CN"/>
        </w:rPr>
        <w:t>乙方</w:t>
      </w:r>
      <w:r>
        <w:rPr>
          <w:rFonts w:hint="eastAsia" w:ascii="宋体" w:hAnsi="宋体"/>
          <w:color w:val="auto"/>
          <w:highlight w:val="none"/>
        </w:rPr>
        <w:t>项目管理人员的管理能力和水平达不到要求时，</w:t>
      </w:r>
      <w:r>
        <w:rPr>
          <w:rFonts w:hint="eastAsia" w:ascii="宋体" w:hAnsi="宋体"/>
          <w:color w:val="auto"/>
          <w:highlight w:val="none"/>
          <w:lang w:eastAsia="zh-CN"/>
        </w:rPr>
        <w:t>甲方</w:t>
      </w:r>
      <w:r>
        <w:rPr>
          <w:rFonts w:hint="eastAsia" w:ascii="宋体" w:hAnsi="宋体"/>
          <w:color w:val="auto"/>
          <w:highlight w:val="none"/>
        </w:rPr>
        <w:t>有权随时停止</w:t>
      </w:r>
      <w:r>
        <w:rPr>
          <w:rFonts w:hint="eastAsia" w:ascii="宋体" w:hAnsi="宋体"/>
          <w:color w:val="auto"/>
          <w:highlight w:val="none"/>
          <w:lang w:eastAsia="zh-CN"/>
        </w:rPr>
        <w:t>乙方</w:t>
      </w:r>
      <w:r>
        <w:rPr>
          <w:rFonts w:hint="eastAsia" w:ascii="宋体" w:hAnsi="宋体"/>
          <w:color w:val="auto"/>
          <w:highlight w:val="none"/>
        </w:rPr>
        <w:t>的工作，令其整改或将其有关员工从工作场所撤换掉。严重违反的行为自然构成提前终止承包合同的理由和依据。</w:t>
      </w:r>
    </w:p>
    <w:p>
      <w:pPr>
        <w:numPr>
          <w:ilvl w:val="0"/>
          <w:numId w:val="15"/>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未履行HSE管理责任或履行不到位，达不到</w:t>
      </w:r>
      <w:r>
        <w:rPr>
          <w:rFonts w:hint="eastAsia" w:ascii="宋体" w:hAnsi="宋体"/>
          <w:color w:val="auto"/>
          <w:highlight w:val="none"/>
          <w:lang w:eastAsia="zh-CN"/>
        </w:rPr>
        <w:t>甲方</w:t>
      </w:r>
      <w:r>
        <w:rPr>
          <w:rFonts w:hint="eastAsia" w:ascii="宋体" w:hAnsi="宋体"/>
          <w:color w:val="auto"/>
          <w:highlight w:val="none"/>
        </w:rPr>
        <w:t>的HSE施工要求，</w:t>
      </w:r>
      <w:r>
        <w:rPr>
          <w:rFonts w:hint="eastAsia" w:ascii="宋体" w:hAnsi="宋体"/>
          <w:color w:val="auto"/>
          <w:highlight w:val="none"/>
          <w:lang w:eastAsia="zh-CN"/>
        </w:rPr>
        <w:t>甲方</w:t>
      </w:r>
      <w:r>
        <w:rPr>
          <w:rFonts w:hint="eastAsia" w:ascii="宋体" w:hAnsi="宋体"/>
          <w:color w:val="auto"/>
          <w:highlight w:val="none"/>
        </w:rPr>
        <w:t>有权自行采取措施，并有权要求</w:t>
      </w:r>
      <w:r>
        <w:rPr>
          <w:rFonts w:hint="eastAsia" w:ascii="宋体" w:hAnsi="宋体"/>
          <w:color w:val="auto"/>
          <w:highlight w:val="none"/>
          <w:lang w:eastAsia="zh-CN"/>
        </w:rPr>
        <w:t>乙方</w:t>
      </w:r>
      <w:r>
        <w:rPr>
          <w:rFonts w:hint="eastAsia" w:ascii="宋体" w:hAnsi="宋体"/>
          <w:color w:val="auto"/>
          <w:highlight w:val="none"/>
        </w:rPr>
        <w:t>按照合同约定支付违约金。</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8.1.2乙方责任</w:t>
      </w:r>
    </w:p>
    <w:p>
      <w:pPr>
        <w:numPr>
          <w:ilvl w:val="0"/>
          <w:numId w:val="16"/>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应遵守有关的法律、法规、规范、规程、规定，有关的HSE标准；国家和地方政府的最新法律法规要求均自动成为本HSE合同的条款，承包商有义务遵守和执行。</w:t>
      </w:r>
    </w:p>
    <w:p>
      <w:pPr>
        <w:numPr>
          <w:ilvl w:val="0"/>
          <w:numId w:val="16"/>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以自己的设备、技术、劳力等完成工作任务的</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，不仅对完成的工作成果负责，而且要独立承担工作中遭受的意外风险。</w:t>
      </w:r>
    </w:p>
    <w:p>
      <w:pPr>
        <w:numPr>
          <w:ilvl w:val="0"/>
          <w:numId w:val="16"/>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有责任和义务免除、保护、防护、补偿</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，避免</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由于</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或</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的员工直接或间接未能贯彻、执行、遵循和遵守有关法律、法规和规定的原因受到任何损失、伤害、索赔或债务。在任何时候，承包商的这种责任都不应被认为可以改变、修正、减少或者重新界定</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按承包合同应尽的其他应补偿、免除、保险或担保等义务。</w:t>
      </w:r>
    </w:p>
    <w:p>
      <w:pPr>
        <w:numPr>
          <w:ilvl w:val="0"/>
          <w:numId w:val="16"/>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有义务对为</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提供服务的设备、设施状况进行定期检查，做好相关的维护工作，保证其处于随时可用的状态。</w:t>
      </w:r>
    </w:p>
    <w:p>
      <w:pPr>
        <w:numPr>
          <w:ilvl w:val="0"/>
          <w:numId w:val="16"/>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负责为其管理的所有人员的工伤保险、人员意外伤害保险等与HSE相关险种的投保工作，由于其员工未能投保而带来的一切损失由</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全权负责。</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8.1.3其他要求</w:t>
      </w:r>
    </w:p>
    <w:p>
      <w:pPr>
        <w:numPr>
          <w:ilvl w:val="0"/>
          <w:numId w:val="17"/>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乙方应具备与承包项目施工作业相符合的HSE管理体系或健全的HSE管理制度</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乙方不得进行转包和再分包。特殊情况确需再分包时，必须报甲方认可后再进行，并按甲方要求做好对再分包商的安全管理</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同意按照国家规定的行业安全投入比例</w:t>
      </w:r>
      <w:r>
        <w:rPr>
          <w:rFonts w:hint="eastAsia" w:ascii="宋体" w:hAnsi="宋体" w:eastAsia="宋体" w:cs="Times New Roman"/>
          <w:color w:val="auto"/>
          <w:highlight w:val="none"/>
        </w:rPr>
        <w:t>（房屋建筑工程不低于</w:t>
      </w:r>
      <w:r>
        <w:rPr>
          <w:rFonts w:hint="eastAsia" w:ascii="宋体" w:hAnsi="宋体" w:cs="Times New Roman"/>
          <w:color w:val="auto"/>
          <w:highlight w:val="none"/>
          <w:lang w:val="en-US" w:eastAsia="zh-CN"/>
        </w:rPr>
        <w:t>3</w:t>
      </w:r>
      <w:r>
        <w:rPr>
          <w:rFonts w:hint="eastAsia" w:ascii="宋体" w:hAnsi="宋体" w:eastAsia="宋体" w:cs="Times New Roman"/>
          <w:color w:val="auto"/>
          <w:highlight w:val="none"/>
        </w:rPr>
        <w:t>%</w:t>
      </w:r>
      <w:r>
        <w:rPr>
          <w:rFonts w:hint="eastAsia" w:ascii="宋体" w:hAnsi="宋体" w:eastAsia="宋体" w:cs="Times New Roman"/>
          <w:color w:val="auto"/>
          <w:highlight w:val="none"/>
        </w:rPr>
        <w:t>）作为承包项目专项安全投</w:t>
      </w:r>
      <w:r>
        <w:rPr>
          <w:rFonts w:hint="eastAsia" w:ascii="宋体" w:hAnsi="宋体"/>
          <w:color w:val="auto"/>
          <w:highlight w:val="none"/>
        </w:rPr>
        <w:t>入资金，确保专款专用。做好人员个人防护，</w:t>
      </w:r>
      <w:r>
        <w:rPr>
          <w:rFonts w:hint="eastAsia" w:ascii="宋体" w:hAnsi="宋体"/>
          <w:color w:val="auto"/>
          <w:highlight w:val="none"/>
          <w:lang w:val="en-US" w:eastAsia="zh-CN"/>
        </w:rPr>
        <w:t>防暑</w:t>
      </w:r>
      <w:r>
        <w:rPr>
          <w:rFonts w:hint="eastAsia" w:ascii="宋体" w:hAnsi="宋体"/>
          <w:color w:val="auto"/>
          <w:highlight w:val="none"/>
        </w:rPr>
        <w:t>降温或保暖措施，设备安全维护、检验，现场安全规范（安全防护、隔离、警告标识等）管理，满足甲方明确的作业安全要求</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eastAsia="宋体"/>
          <w:color w:val="auto"/>
          <w:highlight w:val="none"/>
          <w:lang w:eastAsia="zh-CN"/>
        </w:rPr>
      </w:pPr>
      <w:r>
        <w:rPr>
          <w:rFonts w:hint="eastAsia" w:ascii="宋体" w:hAnsi="宋体"/>
          <w:color w:val="auto"/>
          <w:highlight w:val="none"/>
        </w:rPr>
        <w:t>按照作业人员30-50：1的比例配备专职安全管理人员，30人以下的设1名专职安全管理人员；危险作业场所必须有安全管理人员进行现场监督</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eastAsia="宋体"/>
          <w:color w:val="auto"/>
          <w:highlight w:val="none"/>
          <w:lang w:eastAsia="zh-CN"/>
        </w:rPr>
      </w:pPr>
      <w:r>
        <w:rPr>
          <w:rFonts w:hint="eastAsia" w:ascii="宋体" w:hAnsi="宋体"/>
          <w:color w:val="auto"/>
          <w:highlight w:val="none"/>
        </w:rPr>
        <w:t>保证进入作业现场的人员具备基本的文化素质和安全技能，100%接受了安全培训，特殊工种持证上岗率保持100%，且入场工人男性年龄不得超过60周岁，女性不得超过55周岁，特殊工种人员年龄男性不得超过55周岁，女性不得超过50岁，未签订劳动合同不得进场作业</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积极参与甲方组织的“五想五不干”行为观察、隐患排查治理等安全活动</w:t>
      </w:r>
      <w:r>
        <w:rPr>
          <w:rFonts w:hint="eastAsia" w:ascii="宋体" w:hAnsi="宋体"/>
          <w:color w:val="auto"/>
          <w:highlight w:val="none"/>
          <w:lang w:eastAsia="zh-CN"/>
        </w:rPr>
        <w:t>；</w:t>
      </w:r>
      <w:r>
        <w:rPr>
          <w:rFonts w:hint="eastAsia" w:ascii="宋体" w:hAnsi="宋体"/>
          <w:color w:val="auto"/>
          <w:highlight w:val="none"/>
        </w:rPr>
        <w:t>及时、如实向甲方报告所发生的事故事件，并认真进行调查处理，完善相应的安全管理措施</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在开工前，乙方必须办理</w:t>
      </w:r>
      <w:r>
        <w:rPr>
          <w:rFonts w:hint="eastAsia" w:ascii="宋体" w:hAnsi="宋体"/>
          <w:color w:val="auto"/>
          <w:highlight w:val="none"/>
          <w:lang w:val="en-US" w:eastAsia="zh-CN"/>
        </w:rPr>
        <w:t>甲方要求的</w:t>
      </w:r>
      <w:r>
        <w:rPr>
          <w:rFonts w:hint="eastAsia" w:ascii="宋体" w:hAnsi="宋体"/>
          <w:color w:val="auto"/>
          <w:highlight w:val="none"/>
        </w:rPr>
        <w:t>安全作业许可证</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主要专业工种（如但不限于：焊工、电工等）必须持有效上岗证上岗</w:t>
      </w:r>
      <w:r>
        <w:rPr>
          <w:rFonts w:hint="eastAsia" w:ascii="宋体" w:hAnsi="宋体"/>
          <w:color w:val="auto"/>
          <w:highlight w:val="none"/>
          <w:lang w:eastAsia="zh-CN"/>
        </w:rPr>
        <w:t>。</w:t>
      </w:r>
    </w:p>
    <w:p>
      <w:pPr>
        <w:numPr>
          <w:ilvl w:val="0"/>
          <w:numId w:val="17"/>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乙方应该为施工作业人员办理工伤保险或意外伤害保险，对现场使用的机械设备办理财产保险，乙方应该为施工作业人员办理工伤保险或意外伤害保险，对现场使用的机械设备办理财产保险，每人每次事故赔偿限额不低于100万元人民币，每次事故赔偿限额不低于200万元人民币，且不设事故次数上限。附加医疗保险不低于5万元/人。</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8.1.4应急预案体系</w:t>
      </w:r>
    </w:p>
    <w:p>
      <w:pPr>
        <w:pStyle w:val="35"/>
        <w:spacing w:before="62" w:after="62" w:line="360" w:lineRule="auto"/>
        <w:ind w:firstLine="424" w:firstLineChars="177"/>
        <w:rPr>
          <w:rFonts w:hint="eastAsia" w:ascii="宋体" w:hAnsi="宋体"/>
          <w:color w:val="auto"/>
          <w:highlight w:val="none"/>
        </w:rPr>
      </w:pPr>
      <w:r>
        <w:rPr>
          <w:rFonts w:hint="eastAsia" w:ascii="宋体" w:hAnsi="宋体" w:eastAsia="宋体" w:cs="宋体"/>
          <w:color w:val="auto"/>
          <w:highlight w:val="none"/>
        </w:rPr>
        <w:t>本工程要求对施工中可能出现的安全风险进行准确预计和采取良好的防范应急措施，安全预案至少需要包括如下几个方面的内容：</w:t>
      </w:r>
      <w:r>
        <w:rPr>
          <w:rFonts w:hint="eastAsia" w:ascii="宋体" w:hAnsi="宋体"/>
          <w:color w:val="auto"/>
          <w:highlight w:val="none"/>
        </w:rPr>
        <w:t>HSE组织结构</w:t>
      </w:r>
      <w:r>
        <w:rPr>
          <w:rFonts w:hint="eastAsia" w:ascii="宋体" w:hAnsi="宋体"/>
          <w:color w:val="auto"/>
          <w:highlight w:val="none"/>
          <w:lang w:eastAsia="zh-CN"/>
        </w:rPr>
        <w:t>；</w:t>
      </w:r>
      <w:r>
        <w:rPr>
          <w:rFonts w:hint="eastAsia" w:ascii="宋体" w:hAnsi="宋体"/>
          <w:color w:val="auto"/>
          <w:highlight w:val="none"/>
        </w:rPr>
        <w:t>整个施工过程中的人员、物资和设备安全的保证措施</w:t>
      </w:r>
      <w:r>
        <w:rPr>
          <w:rFonts w:hint="eastAsia" w:ascii="宋体" w:hAnsi="宋体"/>
          <w:color w:val="auto"/>
          <w:highlight w:val="none"/>
          <w:lang w:eastAsia="zh-CN"/>
        </w:rPr>
        <w:t>；</w:t>
      </w:r>
      <w:r>
        <w:rPr>
          <w:rFonts w:hint="eastAsia" w:ascii="宋体" w:hAnsi="宋体"/>
          <w:color w:val="auto"/>
          <w:highlight w:val="none"/>
        </w:rPr>
        <w:t>应急预案体系</w:t>
      </w:r>
      <w:r>
        <w:rPr>
          <w:rFonts w:hint="eastAsia" w:ascii="宋体" w:hAnsi="宋体"/>
          <w:color w:val="auto"/>
          <w:highlight w:val="none"/>
          <w:lang w:val="en-US" w:eastAsia="zh-CN"/>
        </w:rPr>
        <w:t>等</w:t>
      </w:r>
      <w:r>
        <w:rPr>
          <w:rFonts w:hint="eastAsia" w:ascii="宋体" w:hAnsi="宋体"/>
          <w:color w:val="auto"/>
          <w:highlight w:val="none"/>
        </w:rPr>
        <w:t>。</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8.1.5 HSE方面的技术管理措施</w:t>
      </w:r>
    </w:p>
    <w:p>
      <w:pPr>
        <w:numPr>
          <w:ilvl w:val="0"/>
          <w:numId w:val="18"/>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针对本工程施工的实际情况，从防暑、防台、防汛、防暴雨、防塌方等方面制定具体的安全技术措施。</w:t>
      </w:r>
    </w:p>
    <w:p>
      <w:pPr>
        <w:numPr>
          <w:ilvl w:val="0"/>
          <w:numId w:val="18"/>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作为安全施工的第一责任人，有义务</w:t>
      </w:r>
      <w:r>
        <w:rPr>
          <w:rFonts w:hint="eastAsia" w:ascii="宋体" w:hAnsi="宋体"/>
          <w:color w:val="auto"/>
          <w:highlight w:val="none"/>
          <w:lang w:val="en-US" w:eastAsia="zh-CN"/>
        </w:rPr>
        <w:t>承担</w:t>
      </w:r>
      <w:r>
        <w:rPr>
          <w:rFonts w:hint="eastAsia" w:ascii="宋体" w:hAnsi="宋体"/>
          <w:color w:val="auto"/>
          <w:highlight w:val="none"/>
        </w:rPr>
        <w:t>在其承包范围内的施工及管理工作。</w:t>
      </w:r>
    </w:p>
    <w:p>
      <w:pPr>
        <w:numPr>
          <w:ilvl w:val="0"/>
          <w:numId w:val="18"/>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必须确保文明施工、安全生产措施费（以下简称“安措费”）专款专用，</w:t>
      </w:r>
      <w:r>
        <w:rPr>
          <w:rFonts w:hint="eastAsia" w:ascii="宋体" w:hAnsi="宋体"/>
          <w:color w:val="auto"/>
          <w:highlight w:val="none"/>
          <w:lang w:eastAsia="zh-CN"/>
        </w:rPr>
        <w:t>甲方</w:t>
      </w:r>
      <w:r>
        <w:rPr>
          <w:rFonts w:hint="eastAsia" w:ascii="宋体" w:hAnsi="宋体"/>
          <w:color w:val="auto"/>
          <w:highlight w:val="none"/>
        </w:rPr>
        <w:t>在支付</w:t>
      </w:r>
      <w:r>
        <w:rPr>
          <w:rFonts w:hint="eastAsia" w:ascii="宋体" w:hAnsi="宋体"/>
          <w:color w:val="auto"/>
          <w:highlight w:val="none"/>
          <w:lang w:eastAsia="zh-CN"/>
        </w:rPr>
        <w:t>乙方</w:t>
      </w:r>
      <w:r>
        <w:rPr>
          <w:rFonts w:hint="eastAsia" w:ascii="宋体" w:hAnsi="宋体"/>
          <w:color w:val="auto"/>
          <w:highlight w:val="none"/>
        </w:rPr>
        <w:t>每阶段安措费前，</w:t>
      </w:r>
      <w:r>
        <w:rPr>
          <w:rFonts w:hint="eastAsia" w:ascii="宋体" w:hAnsi="宋体"/>
          <w:color w:val="auto"/>
          <w:highlight w:val="none"/>
          <w:lang w:eastAsia="zh-CN"/>
        </w:rPr>
        <w:t>乙方</w:t>
      </w:r>
      <w:r>
        <w:rPr>
          <w:rFonts w:hint="eastAsia" w:ascii="宋体" w:hAnsi="宋体"/>
          <w:color w:val="auto"/>
          <w:highlight w:val="none"/>
        </w:rPr>
        <w:t>必须提供上一次安措费实际使用情况清单及相关证明材料，上报监理及</w:t>
      </w:r>
      <w:r>
        <w:rPr>
          <w:rFonts w:hint="eastAsia" w:ascii="宋体" w:hAnsi="宋体"/>
          <w:color w:val="auto"/>
          <w:highlight w:val="none"/>
          <w:lang w:eastAsia="zh-CN"/>
        </w:rPr>
        <w:t>甲方</w:t>
      </w:r>
      <w:r>
        <w:rPr>
          <w:rFonts w:hint="eastAsia" w:ascii="宋体" w:hAnsi="宋体"/>
          <w:color w:val="auto"/>
          <w:highlight w:val="none"/>
        </w:rPr>
        <w:t>取得书面认可。</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8.1.6 HSE作业计划</w:t>
      </w:r>
    </w:p>
    <w:p>
      <w:pPr>
        <w:numPr>
          <w:ilvl w:val="0"/>
          <w:numId w:val="19"/>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应在</w:t>
      </w:r>
      <w:r>
        <w:rPr>
          <w:rFonts w:hint="eastAsia" w:ascii="宋体" w:hAnsi="宋体" w:eastAsia="宋体" w:cs="Times New Roman"/>
          <w:color w:val="auto"/>
          <w:highlight w:val="none"/>
          <w:lang w:eastAsia="zh-CN"/>
        </w:rPr>
        <w:t>在项目实施前</w:t>
      </w:r>
      <w:r>
        <w:rPr>
          <w:rFonts w:hint="eastAsia" w:ascii="宋体" w:hAnsi="宋体" w:eastAsia="宋体" w:cs="Times New Roman"/>
          <w:color w:val="auto"/>
          <w:highlight w:val="none"/>
        </w:rPr>
        <w:t>，制订项目HSE作业计划，报送监理人/</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审批，在得到</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的审批之前，</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有权拒绝接受</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的任何工作。如果监理人/</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认为</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提交的HSE作业计划的内容不能满足项目管理的需要，</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必须根据监理人/</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的审查意见进行完善。</w:t>
      </w:r>
    </w:p>
    <w:p>
      <w:pPr>
        <w:numPr>
          <w:ilvl w:val="0"/>
          <w:numId w:val="19"/>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在项目实施前，</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有权对</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的相关程序制定情况进行审核，对现场进行检查，确认</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已经按照项目HSE作业计划及监理人／</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的要求完成了相关的准备工作。对于不符合要求的内容，</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必须及时进行整改。</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8.1.7 HSE会议</w:t>
      </w:r>
    </w:p>
    <w:p>
      <w:pPr>
        <w:numPr>
          <w:ilvl w:val="0"/>
          <w:numId w:val="20"/>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HSE会议至少应包括班前会、HSE例会。HSE例会至少包括周会、月会等，其中周会和月会必须是专项例会，并且要形成会议记录。在</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认为有必要时，</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有权参加上述</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HSE会议，</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有义务向</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提供上述会议记录。</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8.1.8 HSE检查</w:t>
      </w:r>
    </w:p>
    <w:p>
      <w:pPr>
        <w:numPr>
          <w:ilvl w:val="0"/>
          <w:numId w:val="21"/>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在项目建设过程中，</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／监理人对</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的HSE检查包括但不限于如下检查形式：日常检查、专项检查、季节性检查、节日检查、综合检查。</w:t>
      </w:r>
    </w:p>
    <w:p>
      <w:pPr>
        <w:numPr>
          <w:ilvl w:val="0"/>
          <w:numId w:val="21"/>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／监理人对</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的检查可以在通知或不通知的情况下并且在</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认为合适的时间和场所进行，</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必须给予积极的配合。</w:t>
      </w:r>
    </w:p>
    <w:p>
      <w:pPr>
        <w:numPr>
          <w:ilvl w:val="0"/>
          <w:numId w:val="21"/>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对HSE检查的结果</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可以采取备忘录、会议纪要、整改通知单及至停工整改令等多种形式形成检查文件，</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必须对检查中发现的不符合项目进行整改，并且必须将整改情况（包括需整改问题、整改措施、整改记录、自检记录及自检结论）在三个工作日或</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要求的其他期限内报</w:t>
      </w:r>
      <w:r>
        <w:rPr>
          <w:rFonts w:hint="eastAsia" w:ascii="宋体" w:hAnsi="宋体" w:cs="Times New Roman"/>
          <w:color w:val="auto"/>
          <w:highlight w:val="none"/>
          <w:lang w:val="en-US" w:eastAsia="zh-CN"/>
        </w:rPr>
        <w:t>建设</w:t>
      </w:r>
      <w:r>
        <w:rPr>
          <w:rFonts w:hint="eastAsia" w:ascii="宋体" w:hAnsi="宋体" w:eastAsia="宋体" w:cs="Times New Roman"/>
          <w:color w:val="auto"/>
          <w:highlight w:val="none"/>
          <w:lang w:eastAsia="zh-CN"/>
        </w:rPr>
        <w:t>方</w:t>
      </w:r>
      <w:r>
        <w:rPr>
          <w:rFonts w:hint="eastAsia" w:ascii="宋体" w:hAnsi="宋体" w:eastAsia="宋体" w:cs="Times New Roman"/>
          <w:color w:val="auto"/>
          <w:highlight w:val="none"/>
        </w:rPr>
        <w:t>／监理人，如未按要求上报或整改不到位，</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有权自行采取措施，</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应按照本合同约定向</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支付违约金。</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8.1.9 HSE管理报告</w:t>
      </w:r>
    </w:p>
    <w:p>
      <w:pPr>
        <w:numPr>
          <w:ilvl w:val="0"/>
          <w:numId w:val="22"/>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必须按照</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规定的格式，在向</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提交的周报、月报中反映阶段HSE管理状况，其中应包括阶段HSE管理状态的描述和各专业/工种的人力投入情况，即各专业/工种的工时统计。</w:t>
      </w:r>
    </w:p>
    <w:p>
      <w:pPr>
        <w:numPr>
          <w:ilvl w:val="0"/>
          <w:numId w:val="22"/>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在出现HSE隐患、险情或事故的情况下，必须向</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提交专项调查与处理报告。如果涉及可记录事件，还应向</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填报职业伤害和职业病事故报告表，即OSHA Form 301，并在事故发生后24小时内提交给</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w:t>
      </w:r>
    </w:p>
    <w:p>
      <w:pPr>
        <w:numPr>
          <w:ilvl w:val="0"/>
          <w:numId w:val="22"/>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有义务按照</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要求提交重大施工阶段HSE报告，该报告至少应包括HSE作业计划运行情况、阶段HSE管理状况、相关统计数据、专项控制措施、事故及隐患分析报告。</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8.1.10员工资质管理及培训</w:t>
      </w:r>
    </w:p>
    <w:p>
      <w:pPr>
        <w:numPr>
          <w:ilvl w:val="0"/>
          <w:numId w:val="23"/>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应结合项目施工作业需要和员工能力评估的结果，列出培训计划。培训内容至少应包括</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对</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的相关HSE要求、</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自身HSE管理体系文件的基本内容、HSE作业计划、风险识别/削减/控制措施、应急预案、岗位职业培训和HSE培训、作业许可和作业控制程序等。培训范围至少应包括所有进入本项目的</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在册员工、临时雇员、分包商人员、供货商人员、劳务人员等。</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8.1.11应急与急救</w:t>
      </w:r>
    </w:p>
    <w:p>
      <w:pPr>
        <w:numPr>
          <w:ilvl w:val="0"/>
          <w:numId w:val="24"/>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组织制定和完善各类专项应急预案和现场处置方案；完善应急物资的保管和使用制度；项目现场成立并保持满足项目需求的兼职应急救援队伍；建立政府与企业之间的应急联动机制；评估自然灾害影响，落实防范和应对措施。</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8.1.12风险分析与风险控制</w:t>
      </w:r>
    </w:p>
    <w:p>
      <w:pPr>
        <w:numPr>
          <w:ilvl w:val="0"/>
          <w:numId w:val="25"/>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必须在其项目HSE作业计划中阐明项目危险及环境因素的辩识原则、方式及风险评估的方法，并制订完整的风险分析程序。</w:t>
      </w:r>
    </w:p>
    <w:p>
      <w:pPr>
        <w:numPr>
          <w:ilvl w:val="0"/>
          <w:numId w:val="25"/>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在项目运行前，应进行环境影响评估和项目实施风险分析；在项目实施的各个主要阶段进行环境因素辨识和评价、危险识别与风险评估，并制订专项HSE措施。</w:t>
      </w:r>
    </w:p>
    <w:p>
      <w:pPr>
        <w:numPr>
          <w:ilvl w:val="0"/>
          <w:numId w:val="25"/>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的环境影响评估和风险分析报告必须提交</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审查，风险控制措施的实施必须接受监理人／</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代表的监督、检查。</w:t>
      </w:r>
    </w:p>
    <w:p>
      <w:pPr>
        <w:numPr>
          <w:ilvl w:val="0"/>
          <w:numId w:val="25"/>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对于作业风险较高（按照作业条件危险评价法风险等级大于等于3级）的作业、非常规作业，以及频繁发生违章的作业，应组织相关方开展作业安全分析（JSA），确定风险管控措施。</w:t>
      </w:r>
    </w:p>
    <w:p>
      <w:pPr>
        <w:numPr>
          <w:ilvl w:val="0"/>
          <w:numId w:val="25"/>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对于风险较大的作业，例如进入动火作业、受限空间、吊装起重、交叉作业、易燃易爆材料堆放等，应严格执行安全作业许可、安全和技术交底程序。</w:t>
      </w:r>
    </w:p>
    <w:p>
      <w:pPr>
        <w:pStyle w:val="41"/>
        <w:spacing w:line="360" w:lineRule="auto"/>
        <w:rPr>
          <w:rFonts w:hint="eastAsia" w:ascii="微软雅黑" w:hAnsi="微软雅黑" w:eastAsia="微软雅黑" w:cs="微软雅黑"/>
          <w:color w:val="auto"/>
          <w:highlight w:val="none"/>
          <w:lang w:eastAsia="zh-CN"/>
        </w:rPr>
      </w:pPr>
      <w:bookmarkStart w:id="191" w:name="_Toc11694"/>
      <w:bookmarkStart w:id="192" w:name="_Toc25236"/>
      <w:bookmarkStart w:id="193" w:name="_Toc26394"/>
      <w:bookmarkStart w:id="194" w:name="_Toc4126"/>
      <w:r>
        <w:rPr>
          <w:rFonts w:hint="eastAsia" w:ascii="微软雅黑" w:hAnsi="微软雅黑" w:eastAsia="微软雅黑" w:cs="微软雅黑"/>
          <w:color w:val="auto"/>
          <w:highlight w:val="none"/>
          <w:lang w:eastAsia="zh-CN"/>
        </w:rPr>
        <w:t>HSE专项要求</w:t>
      </w:r>
      <w:bookmarkEnd w:id="191"/>
      <w:bookmarkEnd w:id="192"/>
      <w:bookmarkEnd w:id="193"/>
      <w:bookmarkEnd w:id="194"/>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8.2.1安全防护</w:t>
      </w:r>
    </w:p>
    <w:p>
      <w:pPr>
        <w:numPr>
          <w:ilvl w:val="0"/>
          <w:numId w:val="26"/>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应坚持“安全第一、预防为主、综合治理”的方针，建立、健全安全生产责任制度和安全生产教育培训制度。</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设立在现场入口显著位置的现场施工总平面图、总平面管理、安全生产、文明施工、环境保护、质量控制、材料管理等的规章制度和主要参建单位名称和工程概况等说明的图板；</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设置公告栏、告知卡和警示标志，标明主要危险因素、危险程度、安全操作要点、事故预防措施和应急措施等内容；标明事故隐患治理责任和期限；公开安全生产行政处罚和执行情况；及时更新安全生产风险公告内容并建立档案。</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各类电动工具的安全保护和接地装置和操作说明；</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大中型机械设备、设施安全应张贴悬挂操作规程；</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装备良好的临时急救站和配备称职的医护人员；</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主要作业场所和临时安全疏散通道24小时36V安全照明和必要的警示等以防止各种可能的事故；</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足够数量的和合格的灭火器等消防设备、设施；</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装备良好的仓库和相应的使用管理制度；</w:t>
      </w:r>
    </w:p>
    <w:p>
      <w:pPr>
        <w:numPr>
          <w:ilvl w:val="0"/>
          <w:numId w:val="26"/>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对涉及明火施工的工作制定诸如动火证等的管理制度。</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8.2.2出入管理</w:t>
      </w:r>
    </w:p>
    <w:p>
      <w:pPr>
        <w:numPr>
          <w:ilvl w:val="0"/>
          <w:numId w:val="27"/>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应建立门禁系统</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lang w:val="en-US" w:eastAsia="zh-CN"/>
        </w:rPr>
        <w:t>并满足</w:t>
      </w:r>
      <w:r>
        <w:rPr>
          <w:rFonts w:hint="eastAsia" w:ascii="宋体" w:hAnsi="宋体" w:eastAsia="宋体" w:cs="Times New Roman"/>
          <w:color w:val="auto"/>
          <w:highlight w:val="none"/>
          <w:lang w:eastAsia="zh-CN"/>
        </w:rPr>
        <w:t>中海石油（龙口）基地物流有限公司</w:t>
      </w:r>
      <w:r>
        <w:rPr>
          <w:rFonts w:hint="eastAsia" w:ascii="宋体" w:hAnsi="宋体" w:eastAsia="宋体" w:cs="Times New Roman"/>
          <w:color w:val="auto"/>
          <w:highlight w:val="none"/>
          <w:lang w:val="en-US" w:eastAsia="zh-CN"/>
        </w:rPr>
        <w:t>门卫管理相关要求</w:t>
      </w:r>
      <w:r>
        <w:rPr>
          <w:rFonts w:hint="eastAsia" w:ascii="宋体" w:hAnsi="宋体" w:eastAsia="宋体" w:cs="Times New Roman"/>
          <w:color w:val="auto"/>
          <w:highlight w:val="none"/>
        </w:rPr>
        <w:t>，对施工现场进行封闭管理，控制人员、机具和物料出入，掌握现场人员动态；如</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达不到</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的出入管理要求，</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有权自行采取措施，及由此发生的费用由</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自行承担，并应按照本合同约定向</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支付违约金。</w:t>
      </w:r>
    </w:p>
    <w:p>
      <w:pPr>
        <w:numPr>
          <w:ilvl w:val="0"/>
          <w:numId w:val="27"/>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应事先将要进入项目建设场地的人员基本情况书面通知</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/监理单位现场监督（代表），包括临时和长期停留人员。所有人员在进入项目建设场地后应先向有关管理人员报到。</w:t>
      </w:r>
    </w:p>
    <w:p>
      <w:pPr>
        <w:numPr>
          <w:ilvl w:val="0"/>
          <w:numId w:val="27"/>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所有人员须遵守出入管理规定，禁止携带含酒精饮料、易燃易爆有毒有害物品（工程建设需要并经批准的除外）进入工作场所。</w:t>
      </w:r>
    </w:p>
    <w:p>
      <w:pPr>
        <w:numPr>
          <w:ilvl w:val="0"/>
          <w:numId w:val="27"/>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施工现场出入口必须设置考勤闸机，对进出场施工人员进行考勤和统计。</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8.2.3工作许可证制度</w:t>
      </w:r>
    </w:p>
    <w:p>
      <w:pPr>
        <w:numPr>
          <w:ilvl w:val="0"/>
          <w:numId w:val="28"/>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在项目建设场地内/外为</w:t>
      </w:r>
      <w:r>
        <w:rPr>
          <w:rFonts w:hint="eastAsia" w:ascii="宋体" w:hAnsi="宋体"/>
          <w:color w:val="auto"/>
          <w:highlight w:val="none"/>
          <w:lang w:eastAsia="zh-CN"/>
        </w:rPr>
        <w:t>甲方</w:t>
      </w:r>
      <w:r>
        <w:rPr>
          <w:rFonts w:hint="eastAsia" w:ascii="宋体" w:hAnsi="宋体"/>
          <w:color w:val="auto"/>
          <w:highlight w:val="none"/>
        </w:rPr>
        <w:t>提供作业和服务，</w:t>
      </w:r>
      <w:r>
        <w:rPr>
          <w:rFonts w:hint="eastAsia" w:ascii="宋体" w:hAnsi="宋体"/>
          <w:color w:val="auto"/>
          <w:highlight w:val="none"/>
          <w:lang w:eastAsia="zh-CN"/>
        </w:rPr>
        <w:t>乙方</w:t>
      </w:r>
      <w:r>
        <w:rPr>
          <w:rFonts w:hint="eastAsia" w:ascii="宋体" w:hAnsi="宋体"/>
          <w:color w:val="auto"/>
          <w:highlight w:val="none"/>
        </w:rPr>
        <w:t>应按照自身的HSE管理体系建立相应的工作许可证制度，对实行工作许可证制度的作业和活动以及实施程序做出明确规定。</w:t>
      </w:r>
      <w:r>
        <w:rPr>
          <w:rFonts w:hint="eastAsia" w:ascii="宋体" w:hAnsi="宋体"/>
          <w:color w:val="auto"/>
          <w:highlight w:val="none"/>
          <w:lang w:eastAsia="zh-CN"/>
        </w:rPr>
        <w:t>乙方</w:t>
      </w:r>
      <w:r>
        <w:rPr>
          <w:rFonts w:hint="eastAsia" w:ascii="宋体" w:hAnsi="宋体"/>
          <w:color w:val="auto"/>
          <w:highlight w:val="none"/>
        </w:rPr>
        <w:t>有义务按照</w:t>
      </w:r>
      <w:r>
        <w:rPr>
          <w:rFonts w:hint="eastAsia" w:ascii="宋体" w:hAnsi="宋体"/>
          <w:color w:val="auto"/>
          <w:highlight w:val="none"/>
          <w:lang w:eastAsia="zh-CN"/>
        </w:rPr>
        <w:t>甲方</w:t>
      </w:r>
      <w:r>
        <w:rPr>
          <w:rFonts w:hint="eastAsia" w:ascii="宋体" w:hAnsi="宋体"/>
          <w:color w:val="auto"/>
          <w:highlight w:val="none"/>
        </w:rPr>
        <w:t>现场监督（代表）提出的合理建议对自身的工作许可证制度加以完善。凡属于工作许可证制度管理的各项作业和活动，在未取得有效的许可证之前，任何人都不能开始这项作业或活动。</w:t>
      </w:r>
    </w:p>
    <w:p>
      <w:pPr>
        <w:numPr>
          <w:ilvl w:val="0"/>
          <w:numId w:val="28"/>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建立的工作许可证制度至少应包括：动火工作许可证、吊装工作许可证、进入有限空间工作许可证、电工作业许可证、场地动土作业许可证</w:t>
      </w:r>
      <w:r>
        <w:rPr>
          <w:rFonts w:hint="eastAsia" w:ascii="宋体" w:hAnsi="宋体"/>
          <w:color w:val="auto"/>
          <w:highlight w:val="none"/>
          <w:lang w:val="en-US" w:eastAsia="zh-CN"/>
        </w:rPr>
        <w:t>等</w:t>
      </w:r>
      <w:r>
        <w:rPr>
          <w:rFonts w:hint="eastAsia" w:ascii="宋体" w:hAnsi="宋体"/>
          <w:color w:val="auto"/>
          <w:highlight w:val="none"/>
        </w:rPr>
        <w:t>。</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8.2.4临时消防</w:t>
      </w:r>
    </w:p>
    <w:p>
      <w:pPr>
        <w:numPr>
          <w:ilvl w:val="0"/>
          <w:numId w:val="29"/>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应建立消防安全责任制度，制定用火、用电和使用易燃易爆等危险品的消防安全管理制度和操作规程。各项制度和规程等应满足相关法律法规和政府消防管理机构的要求。</w:t>
      </w:r>
    </w:p>
    <w:p>
      <w:pPr>
        <w:numPr>
          <w:ilvl w:val="0"/>
          <w:numId w:val="29"/>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w:t>
      </w:r>
      <w:r>
        <w:rPr>
          <w:rFonts w:hint="eastAsia" w:ascii="宋体" w:hAnsi="宋体"/>
          <w:color w:val="auto"/>
          <w:highlight w:val="none"/>
          <w:lang w:val="en-US" w:eastAsia="zh-CN"/>
        </w:rPr>
        <w:t>等</w:t>
      </w:r>
      <w:r>
        <w:rPr>
          <w:rFonts w:hint="eastAsia" w:ascii="宋体" w:hAnsi="宋体"/>
          <w:color w:val="auto"/>
          <w:highlight w:val="none"/>
        </w:rPr>
        <w:t>，消防设施的设立和消防设备的型号和功率应满足消防任务的需要，始终保持能够随时投入正常使用的状态，并设立明显标志。</w:t>
      </w:r>
      <w:r>
        <w:rPr>
          <w:rFonts w:hint="eastAsia" w:ascii="宋体" w:hAnsi="宋体"/>
          <w:color w:val="auto"/>
          <w:highlight w:val="none"/>
          <w:lang w:eastAsia="zh-CN"/>
        </w:rPr>
        <w:t>乙方</w:t>
      </w:r>
      <w:r>
        <w:rPr>
          <w:rFonts w:hint="eastAsia" w:ascii="宋体" w:hAnsi="宋体"/>
          <w:color w:val="auto"/>
          <w:highlight w:val="none"/>
        </w:rPr>
        <w:t>的临时消防系统和配置应分别经过监理人和消防管理部门的审批和验收；</w:t>
      </w:r>
      <w:r>
        <w:rPr>
          <w:rFonts w:hint="eastAsia" w:ascii="宋体" w:hAnsi="宋体"/>
          <w:color w:val="auto"/>
          <w:highlight w:val="none"/>
          <w:lang w:eastAsia="zh-CN"/>
        </w:rPr>
        <w:t>乙方</w:t>
      </w:r>
      <w:r>
        <w:rPr>
          <w:rFonts w:hint="eastAsia" w:ascii="宋体" w:hAnsi="宋体"/>
          <w:color w:val="auto"/>
          <w:highlight w:val="none"/>
        </w:rPr>
        <w:t>还应自费获得消防管理部门的临时消防证书。所有的临时消防设施属于</w:t>
      </w:r>
      <w:r>
        <w:rPr>
          <w:rFonts w:hint="eastAsia" w:ascii="宋体" w:hAnsi="宋体"/>
          <w:color w:val="auto"/>
          <w:highlight w:val="none"/>
          <w:lang w:eastAsia="zh-CN"/>
        </w:rPr>
        <w:t>乙方</w:t>
      </w:r>
      <w:r>
        <w:rPr>
          <w:rFonts w:hint="eastAsia" w:ascii="宋体" w:hAnsi="宋体"/>
          <w:color w:val="auto"/>
          <w:highlight w:val="none"/>
        </w:rPr>
        <w:t>所有，至工程实际竣工时且永久性消防系统投入使用后从现场拆除。</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8.2.5临时用电</w:t>
      </w:r>
    </w:p>
    <w:p>
      <w:pPr>
        <w:numPr>
          <w:ilvl w:val="0"/>
          <w:numId w:val="30"/>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应当根据《施工现场临时用电安全技术规范（附条文说明）》（JGJ 462005）及其适用的修订版本的规定和施工要求编制施工临时用电方案。</w:t>
      </w:r>
    </w:p>
    <w:p>
      <w:pPr>
        <w:numPr>
          <w:ilvl w:val="0"/>
          <w:numId w:val="30"/>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临时用电方案及其变更必须履行“编制、审核、批准”程序。施工临时用电方案应当由电气工程技术人员组织编制，经企业技术负责人批准后实施，经编制、审核、批准部门和使用单位共同验收合格后方可投入使用。</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8.2.6劳动保护</w:t>
      </w:r>
    </w:p>
    <w:p>
      <w:pPr>
        <w:numPr>
          <w:ilvl w:val="0"/>
          <w:numId w:val="31"/>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遵守所有适用于本合同的劳动法规及其他有关法律、法规、规章和规定中关于工人工资标准、劳动时间和劳动条件的规定，合理安排现场作业人员的劳动和休息时间，保障劳动者必须的休息时间，支付合理的报酬和费用。</w:t>
      </w:r>
      <w:r>
        <w:rPr>
          <w:rFonts w:hint="eastAsia" w:ascii="宋体" w:hAnsi="宋体"/>
          <w:color w:val="auto"/>
          <w:highlight w:val="none"/>
          <w:lang w:eastAsia="zh-CN"/>
        </w:rPr>
        <w:t>乙方</w:t>
      </w:r>
      <w:r>
        <w:rPr>
          <w:rFonts w:hint="eastAsia" w:ascii="宋体" w:hAnsi="宋体"/>
          <w:color w:val="auto"/>
          <w:highlight w:val="none"/>
        </w:rPr>
        <w:t>应按有关行政管理部门的规定为本合同下雇佣的职员和工人办理任何必要的证件、许可、保险和注册等，并保障</w:t>
      </w:r>
      <w:r>
        <w:rPr>
          <w:rFonts w:hint="eastAsia" w:ascii="宋体" w:hAnsi="宋体"/>
          <w:color w:val="auto"/>
          <w:highlight w:val="none"/>
          <w:lang w:eastAsia="zh-CN"/>
        </w:rPr>
        <w:t>甲方</w:t>
      </w:r>
      <w:r>
        <w:rPr>
          <w:rFonts w:hint="eastAsia" w:ascii="宋体" w:hAnsi="宋体"/>
          <w:color w:val="auto"/>
          <w:highlight w:val="none"/>
        </w:rPr>
        <w:t>免于因</w:t>
      </w:r>
      <w:r>
        <w:rPr>
          <w:rFonts w:hint="eastAsia" w:ascii="宋体" w:hAnsi="宋体"/>
          <w:color w:val="auto"/>
          <w:highlight w:val="none"/>
          <w:lang w:eastAsia="zh-CN"/>
        </w:rPr>
        <w:t>乙方</w:t>
      </w:r>
      <w:r>
        <w:rPr>
          <w:rFonts w:hint="eastAsia" w:ascii="宋体" w:hAnsi="宋体"/>
          <w:color w:val="auto"/>
          <w:highlight w:val="none"/>
        </w:rPr>
        <w:t>不能依照或完全依照上述所有法律、法规、规章和规定等可能给</w:t>
      </w:r>
      <w:r>
        <w:rPr>
          <w:rFonts w:hint="eastAsia" w:ascii="宋体" w:hAnsi="宋体"/>
          <w:color w:val="auto"/>
          <w:highlight w:val="none"/>
          <w:lang w:eastAsia="zh-CN"/>
        </w:rPr>
        <w:t>甲方</w:t>
      </w:r>
      <w:r>
        <w:rPr>
          <w:rFonts w:hint="eastAsia" w:ascii="宋体" w:hAnsi="宋体"/>
          <w:color w:val="auto"/>
          <w:highlight w:val="none"/>
        </w:rPr>
        <w:t>带来的任何处罚、索赔、损失和损害等。</w:t>
      </w:r>
    </w:p>
    <w:p>
      <w:pPr>
        <w:numPr>
          <w:ilvl w:val="0"/>
          <w:numId w:val="31"/>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应按照国家《劳动保护法》的规定，保障现场施工人员的劳动安全。</w:t>
      </w:r>
      <w:r>
        <w:rPr>
          <w:rFonts w:hint="eastAsia" w:ascii="宋体" w:hAnsi="宋体"/>
          <w:color w:val="auto"/>
          <w:highlight w:val="none"/>
          <w:lang w:eastAsia="zh-CN"/>
        </w:rPr>
        <w:t>乙方</w:t>
      </w:r>
      <w:r>
        <w:rPr>
          <w:rFonts w:hint="eastAsia" w:ascii="宋体" w:hAnsi="宋体"/>
          <w:color w:val="auto"/>
          <w:highlight w:val="none"/>
        </w:rPr>
        <w:t>应为本合同下雇佣的职员和工人提供适当和充分的劳动保护，包括但不限于安全防护、防寒、防雨、防尘、绝缘保护、常用药品、急救设备、传染病预防等。</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8.2.7危险品通知</w:t>
      </w:r>
    </w:p>
    <w:p>
      <w:pPr>
        <w:numPr>
          <w:ilvl w:val="0"/>
          <w:numId w:val="0"/>
        </w:numPr>
        <w:spacing w:line="360" w:lineRule="auto"/>
        <w:ind w:leftChars="0"/>
        <w:rPr>
          <w:rFonts w:hint="eastAsia" w:ascii="宋体" w:hAnsi="宋体"/>
          <w:color w:val="auto"/>
          <w:highlight w:val="none"/>
        </w:rPr>
      </w:pPr>
      <w:r>
        <w:rPr>
          <w:rFonts w:hint="eastAsia" w:ascii="宋体" w:hAnsi="宋体"/>
          <w:color w:val="auto"/>
          <w:highlight w:val="none"/>
          <w:lang w:val="en-US" w:eastAsia="zh-CN"/>
        </w:rPr>
        <w:t>如涉及到危险品，</w:t>
      </w:r>
      <w:r>
        <w:rPr>
          <w:rFonts w:hint="eastAsia" w:ascii="宋体" w:hAnsi="宋体"/>
          <w:color w:val="auto"/>
          <w:highlight w:val="none"/>
          <w:lang w:eastAsia="zh-CN"/>
        </w:rPr>
        <w:t>乙方</w:t>
      </w:r>
      <w:r>
        <w:rPr>
          <w:rFonts w:hint="eastAsia" w:ascii="宋体" w:hAnsi="宋体"/>
          <w:color w:val="auto"/>
          <w:highlight w:val="none"/>
        </w:rPr>
        <w:t>应根据有关的法律、法规和规定建立一个书面的危险品通知方案，并应对所有有关人员进行培训，确保所有有关人员知悉其危害及防控措施。</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8.2.8防火、防爆与防毒</w:t>
      </w:r>
    </w:p>
    <w:p>
      <w:pPr>
        <w:numPr>
          <w:ilvl w:val="0"/>
          <w:numId w:val="32"/>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应采取一切必要措施预防火灾、爆炸的发生，并负责对其员工进行含防火、防爆、防毒等方面的培训。</w:t>
      </w:r>
    </w:p>
    <w:p>
      <w:pPr>
        <w:numPr>
          <w:ilvl w:val="0"/>
          <w:numId w:val="32"/>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rPr>
        <w:t>除非承包合同另有规定，</w:t>
      </w:r>
      <w:r>
        <w:rPr>
          <w:rFonts w:hint="eastAsia" w:ascii="宋体" w:hAnsi="宋体"/>
          <w:color w:val="auto"/>
          <w:highlight w:val="none"/>
          <w:lang w:eastAsia="zh-CN"/>
        </w:rPr>
        <w:t>乙方</w:t>
      </w:r>
      <w:r>
        <w:rPr>
          <w:rFonts w:hint="eastAsia" w:ascii="宋体" w:hAnsi="宋体"/>
          <w:color w:val="auto"/>
          <w:highlight w:val="none"/>
        </w:rPr>
        <w:t>应提供、安装或配备满足有关的法律、法规和规定，有关的HSE标准的消防设备。</w:t>
      </w:r>
    </w:p>
    <w:p>
      <w:pPr>
        <w:numPr>
          <w:ilvl w:val="0"/>
          <w:numId w:val="32"/>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应建立并保持与工作场所相适应的防火、防爆、防止意外伤害管理制度。</w:t>
      </w:r>
    </w:p>
    <w:p>
      <w:pPr>
        <w:spacing w:line="360" w:lineRule="auto"/>
        <w:outlineLvl w:val="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8.2.9文明施工</w:t>
      </w:r>
    </w:p>
    <w:p>
      <w:pPr>
        <w:numPr>
          <w:ilvl w:val="0"/>
          <w:numId w:val="33"/>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应遵守国家和工程所在地有关法规、规范、规程和标准的规定，履行文明施工义务，确保文明施工专项费用专款专用。如</w:t>
      </w:r>
      <w:r>
        <w:rPr>
          <w:rFonts w:hint="eastAsia" w:ascii="宋体" w:hAnsi="宋体"/>
          <w:color w:val="auto"/>
          <w:highlight w:val="none"/>
          <w:lang w:eastAsia="zh-CN"/>
        </w:rPr>
        <w:t>乙方</w:t>
      </w:r>
      <w:r>
        <w:rPr>
          <w:rFonts w:hint="eastAsia" w:ascii="宋体" w:hAnsi="宋体"/>
          <w:color w:val="auto"/>
          <w:highlight w:val="none"/>
        </w:rPr>
        <w:t>达不到</w:t>
      </w:r>
      <w:r>
        <w:rPr>
          <w:rFonts w:hint="eastAsia" w:ascii="宋体" w:hAnsi="宋体"/>
          <w:color w:val="auto"/>
          <w:highlight w:val="none"/>
          <w:lang w:eastAsia="zh-CN"/>
        </w:rPr>
        <w:t>甲方</w:t>
      </w:r>
      <w:r>
        <w:rPr>
          <w:rFonts w:hint="eastAsia" w:ascii="宋体" w:hAnsi="宋体"/>
          <w:color w:val="auto"/>
          <w:highlight w:val="none"/>
        </w:rPr>
        <w:t>的文明施工管理要求，</w:t>
      </w:r>
      <w:r>
        <w:rPr>
          <w:rFonts w:hint="eastAsia" w:ascii="宋体" w:hAnsi="宋体"/>
          <w:color w:val="auto"/>
          <w:highlight w:val="none"/>
          <w:lang w:eastAsia="zh-CN"/>
        </w:rPr>
        <w:t>甲方</w:t>
      </w:r>
      <w:r>
        <w:rPr>
          <w:rFonts w:hint="eastAsia" w:ascii="宋体" w:hAnsi="宋体"/>
          <w:color w:val="auto"/>
          <w:highlight w:val="none"/>
        </w:rPr>
        <w:t>有权自行采取措施，</w:t>
      </w:r>
      <w:r>
        <w:rPr>
          <w:rFonts w:hint="eastAsia" w:ascii="宋体" w:hAnsi="宋体"/>
          <w:color w:val="auto"/>
          <w:highlight w:val="none"/>
          <w:lang w:eastAsia="zh-CN"/>
        </w:rPr>
        <w:t>乙方</w:t>
      </w:r>
      <w:r>
        <w:rPr>
          <w:rFonts w:hint="eastAsia" w:ascii="宋体" w:hAnsi="宋体"/>
          <w:color w:val="auto"/>
          <w:highlight w:val="none"/>
        </w:rPr>
        <w:t>应按照本合同约定向</w:t>
      </w:r>
      <w:r>
        <w:rPr>
          <w:rFonts w:hint="eastAsia" w:ascii="宋体" w:hAnsi="宋体"/>
          <w:color w:val="auto"/>
          <w:highlight w:val="none"/>
          <w:lang w:eastAsia="zh-CN"/>
        </w:rPr>
        <w:t>甲方</w:t>
      </w:r>
      <w:r>
        <w:rPr>
          <w:rFonts w:hint="eastAsia" w:ascii="宋体" w:hAnsi="宋体"/>
          <w:color w:val="auto"/>
          <w:highlight w:val="none"/>
        </w:rPr>
        <w:t>支付违约金。</w:t>
      </w:r>
    </w:p>
    <w:p>
      <w:pPr>
        <w:numPr>
          <w:ilvl w:val="0"/>
          <w:numId w:val="33"/>
        </w:numPr>
        <w:spacing w:line="360" w:lineRule="auto"/>
        <w:ind w:left="425" w:leftChars="0" w:hanging="425" w:firstLineChars="0"/>
        <w:rPr>
          <w:rFonts w:hint="eastAsia" w:ascii="宋体" w:hAnsi="宋体"/>
          <w:color w:val="auto"/>
          <w:highlight w:val="none"/>
        </w:rPr>
      </w:pPr>
      <w:r>
        <w:rPr>
          <w:rFonts w:hint="eastAsia" w:ascii="宋体" w:hAnsi="宋体"/>
          <w:color w:val="auto"/>
          <w:highlight w:val="none"/>
          <w:lang w:eastAsia="zh-CN"/>
        </w:rPr>
        <w:t>乙方</w:t>
      </w:r>
      <w:r>
        <w:rPr>
          <w:rFonts w:hint="eastAsia" w:ascii="宋体" w:hAnsi="宋体"/>
          <w:color w:val="auto"/>
          <w:highlight w:val="none"/>
        </w:rPr>
        <w:t>应当规范现场施工秩序，实行标准化管理</w:t>
      </w:r>
      <w:r>
        <w:rPr>
          <w:rFonts w:hint="eastAsia" w:ascii="宋体" w:hAnsi="宋体"/>
          <w:color w:val="auto"/>
          <w:highlight w:val="none"/>
          <w:lang w:eastAsia="zh-CN"/>
        </w:rPr>
        <w:t>。</w:t>
      </w:r>
    </w:p>
    <w:p>
      <w:pPr>
        <w:numPr>
          <w:ilvl w:val="0"/>
          <w:numId w:val="33"/>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rPr>
        <w:t>在工程施工期间，</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应始终避免现场出现不必要的障碍物，妥当存放并处置施工设备和多余的材料，及时从现场清除运走任何废料、垃圾或不再需要的临时工程和设施。</w:t>
      </w:r>
    </w:p>
    <w:p>
      <w:pPr>
        <w:numPr>
          <w:ilvl w:val="0"/>
          <w:numId w:val="33"/>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所在现场设立固定的垃圾临时存放点；所有垃圾必须在当天清除出现场，并按有关行政管理部门的规定，运送到指定的垃圾消纳场。</w:t>
      </w:r>
    </w:p>
    <w:p>
      <w:pPr>
        <w:numPr>
          <w:ilvl w:val="0"/>
          <w:numId w:val="33"/>
        </w:numPr>
        <w:spacing w:line="360" w:lineRule="auto"/>
        <w:ind w:left="425" w:leftChars="0" w:hanging="425" w:firstLineChars="0"/>
        <w:rPr>
          <w:rFonts w:hint="eastAsia" w:ascii="宋体" w:hAnsi="宋体" w:eastAsia="宋体" w:cs="Times New Roman"/>
          <w:color w:val="auto"/>
          <w:highlight w:val="none"/>
        </w:rPr>
      </w:pP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应对离场垃圾和所有车辆进行防遗洒和防污染公共道路的处理。</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在运输任何材料的过程中，应采取一切必要的措施，防止遗洒和污染公共道路；一旦出现上述遗洒或污染现象，</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应立即采取措施进行清扫，并承担所有费用。</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在混凝土浇注、材料运输、材料装卸、现场清理等工作中应采取一切必要的措施防止影响公共交通。</w:t>
      </w:r>
    </w:p>
    <w:p>
      <w:pPr>
        <w:pStyle w:val="41"/>
        <w:spacing w:line="360" w:lineRule="auto"/>
        <w:rPr>
          <w:rFonts w:hint="eastAsia" w:ascii="微软雅黑" w:hAnsi="微软雅黑" w:eastAsia="微软雅黑" w:cs="微软雅黑"/>
          <w:color w:val="auto"/>
          <w:highlight w:val="none"/>
          <w:lang w:eastAsia="zh-CN"/>
        </w:rPr>
      </w:pPr>
      <w:bookmarkStart w:id="195" w:name="_Toc24611"/>
      <w:bookmarkStart w:id="196" w:name="_Toc13695"/>
      <w:bookmarkStart w:id="197" w:name="_Toc5731"/>
      <w:bookmarkStart w:id="198" w:name="_Toc7644"/>
      <w:r>
        <w:rPr>
          <w:rFonts w:hint="eastAsia" w:ascii="微软雅黑" w:hAnsi="微软雅黑" w:eastAsia="微软雅黑" w:cs="微软雅黑"/>
          <w:color w:val="auto"/>
          <w:highlight w:val="none"/>
          <w:lang w:eastAsia="zh-CN"/>
        </w:rPr>
        <w:t>健康安全环保管理要求</w:t>
      </w:r>
      <w:bookmarkEnd w:id="195"/>
      <w:bookmarkEnd w:id="196"/>
      <w:bookmarkEnd w:id="197"/>
      <w:bookmarkEnd w:id="198"/>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必须遵守健康安全环保（英文缩写：HSE）标准：包括有关法律、法规规定的，本合同规定和要求的，以及经</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和</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书面同意的所有有关安全、职业健康和环境保护的要求、标准、预防措施、工作程序和已被广为接受的行业惯例。</w:t>
      </w:r>
    </w:p>
    <w:p>
      <w:pPr>
        <w:pStyle w:val="41"/>
        <w:spacing w:line="360" w:lineRule="auto"/>
        <w:rPr>
          <w:rFonts w:hint="eastAsia" w:ascii="微软雅黑" w:hAnsi="微软雅黑" w:eastAsia="微软雅黑" w:cs="微软雅黑"/>
          <w:color w:val="auto"/>
          <w:highlight w:val="none"/>
          <w:lang w:eastAsia="zh-CN"/>
        </w:rPr>
      </w:pPr>
      <w:bookmarkStart w:id="199" w:name="_Toc2707"/>
      <w:bookmarkStart w:id="200" w:name="_Toc10651"/>
      <w:bookmarkStart w:id="201" w:name="_Toc29404"/>
      <w:bookmarkStart w:id="202" w:name="_Toc7767"/>
      <w:r>
        <w:rPr>
          <w:rFonts w:hint="eastAsia" w:ascii="微软雅黑" w:hAnsi="微软雅黑" w:eastAsia="微软雅黑" w:cs="微软雅黑"/>
          <w:color w:val="auto"/>
          <w:highlight w:val="none"/>
          <w:lang w:eastAsia="zh-CN"/>
        </w:rPr>
        <w:t>HSE管理界面</w:t>
      </w:r>
      <w:bookmarkEnd w:id="199"/>
      <w:bookmarkEnd w:id="200"/>
      <w:bookmarkEnd w:id="201"/>
      <w:bookmarkEnd w:id="202"/>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8.4.1《中华人民共和国建筑法》第五章建筑安全生产管理第四十五条“施工现场安全由建筑施工企业负责。实行施工总承包的，由施工总承包负责。分包单位向施工总承包负责，服从施工总承包对施工现场的安全生产管理”。</w:t>
      </w:r>
    </w:p>
    <w:p>
      <w:pPr>
        <w:pStyle w:val="41"/>
        <w:spacing w:line="360" w:lineRule="auto"/>
        <w:rPr>
          <w:rFonts w:hint="eastAsia" w:ascii="微软雅黑" w:hAnsi="微软雅黑" w:eastAsia="微软雅黑" w:cs="微软雅黑"/>
          <w:color w:val="auto"/>
          <w:highlight w:val="none"/>
          <w:lang w:eastAsia="zh-CN"/>
        </w:rPr>
      </w:pPr>
      <w:bookmarkStart w:id="203" w:name="_Toc21320"/>
      <w:bookmarkStart w:id="204" w:name="_Toc17089"/>
      <w:bookmarkStart w:id="205" w:name="_Toc31456"/>
      <w:bookmarkStart w:id="206" w:name="_Toc17149"/>
      <w:r>
        <w:rPr>
          <w:rFonts w:hint="eastAsia" w:ascii="微软雅黑" w:hAnsi="微软雅黑" w:eastAsia="微软雅黑" w:cs="微软雅黑"/>
          <w:color w:val="auto"/>
          <w:highlight w:val="none"/>
          <w:lang w:eastAsia="zh-CN"/>
        </w:rPr>
        <w:t>安措费使用</w:t>
      </w:r>
      <w:bookmarkEnd w:id="203"/>
      <w:bookmarkEnd w:id="204"/>
      <w:bookmarkEnd w:id="205"/>
      <w:bookmarkEnd w:id="206"/>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8.5.1乙方应按照国家、地方政府法律法规的要求计提HSE费用，编制HSE费用使用明细。乙方合同报价中的安措费应全额用于本工程HSE管理。乙方在申请进度付款时，所申请支付的安措费应经甲方审核。</w:t>
      </w:r>
    </w:p>
    <w:p>
      <w:pPr>
        <w:pStyle w:val="3"/>
        <w:spacing w:line="360" w:lineRule="auto"/>
        <w:ind w:left="694" w:leftChars="0" w:firstLineChars="0"/>
        <w:rPr>
          <w:rFonts w:hint="eastAsia" w:cs="宋体"/>
          <w:caps/>
          <w:color w:val="auto"/>
          <w:highlight w:val="none"/>
          <w:lang w:val="en-US" w:eastAsia="zh-CN"/>
        </w:rPr>
      </w:pPr>
      <w:bookmarkStart w:id="207" w:name="_Toc18813"/>
      <w:r>
        <w:rPr>
          <w:rFonts w:hint="eastAsia" w:cs="宋体"/>
          <w:caps/>
          <w:color w:val="auto"/>
          <w:highlight w:val="none"/>
          <w:lang w:val="en-US" w:eastAsia="zh-CN"/>
        </w:rPr>
        <w:t>文明施工及环境保护要求</w:t>
      </w:r>
      <w:bookmarkEnd w:id="207"/>
    </w:p>
    <w:p>
      <w:pPr>
        <w:pStyle w:val="41"/>
        <w:spacing w:line="360" w:lineRule="auto"/>
        <w:rPr>
          <w:rFonts w:hint="eastAsia" w:ascii="微软雅黑" w:hAnsi="微软雅黑" w:eastAsia="微软雅黑" w:cs="微软雅黑"/>
          <w:color w:val="auto"/>
          <w:highlight w:val="none"/>
          <w:lang w:val="en-US" w:eastAsia="zh-CN"/>
        </w:rPr>
      </w:pPr>
      <w:bookmarkStart w:id="208" w:name="_Toc25266"/>
      <w:r>
        <w:rPr>
          <w:rFonts w:hint="eastAsia" w:ascii="微软雅黑" w:hAnsi="微软雅黑" w:eastAsia="微软雅黑" w:cs="微软雅黑"/>
          <w:color w:val="auto"/>
          <w:highlight w:val="none"/>
          <w:lang w:val="en-US" w:eastAsia="zh-CN"/>
        </w:rPr>
        <w:t>文明施工管理要求</w:t>
      </w:r>
      <w:bookmarkEnd w:id="208"/>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9.1.1按《建筑施工现场环境与卫生标准》等国家有关规范标准及工程所在地地方政府相关文明工地（场站）管理规定贯彻文明施工要求，在基础管理、质量管理、安全管理、环境形象、宣传教育、卫生防疫、综合治理等方面，推行现代化管理方法，科学组织施工，采取措施防止环境污染，做好文明施工管理及环境管理。由于管理不善，引起政府有关部门罚款、停工整改等处罚，及由此发生的损失由承包商自行承担，工期不顺延，且建设方保留缓付工程款、追究承包商违约责任的权利。</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9.1.2本工程严格执行施工工地100%围挡、施工工地物料堆放100%覆盖、施工工地道路100%硬化、施工现场100%湿法作业、运输车辆100%密闭、工地出入车辆100%冲洗、监控安装联网100%，工地内非道路移动机械车辆100%达标，“八个百分之百”措施。应遵循国务院《建设工程安全生产管理条例》加强安全施工管理。应遵循合同附件的规定，做好文明施工管理和场地交通安全的工作，并按规定的双方责任承担费用。</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9.1.3承包商应结合本工程的特点和施工招标文件的要求，提供完整的环保、安全文明施工组织方案并按其落实，并保证获得监理人、建设方的认可，其费用已包含在安措费内，不能依此要求增加费用。</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9.1.4承包商应根据要求全面实施建筑工人平安卡管理制度。</w:t>
      </w:r>
    </w:p>
    <w:p>
      <w:pPr>
        <w:pStyle w:val="35"/>
        <w:spacing w:before="62" w:after="62" w:line="360" w:lineRule="auto"/>
        <w:ind w:left="0" w:leftChars="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文明施工管理具体要求为：a)施工现场道路畅通、工地沿线单位与居民的出入通道畅通；b)施工中无管线事故、无重大工伤事故，施工现场道路平整无积水；c)施工区域与非施工区域必须分隔，工地显目处必须设置施工铭牌、管理人员必须佩卡上岗；d)施工现场材料必须堆放整齐，生活设施清洁，周边环境美化、文明；e)施工现场必须严格按规定控制噪音、扬尘，并必须落实防污染、防泥浆外溢的措施；f)施工现场必须开展以创建文明工地为主要内容的宣传、教育工作。g)现场安全、文明施工必须达到地方行建设方管部门规定的安全施工管理水平，施工中应无重大伤亡事故、重大环境污染事故和重大社会影响事件，一旦发生类似事故事件，承包商除接受相关职能部门罚款外，承包商还需按照本合同约定向建设方支付违约金。h)承包商在本工程施工期间，必须配备专职安全员，按规范布置要求提供足够数量的消防灭火器材，消防安全方面的制度和措施，必须符合建设方、监理人及有关职能部门的要求。i)在工程施工期间，承包商应根据实际情况，配有足够的安保人员，并做好材料、设备、产品的保护工作，以确保工地安全和己完工程的完好，如遇失窃、损坏等原因造成的损失全部由承包商承担。j)本工程施工期间的环境卫生、排水、排污、防尘和其他环保措施，由承包商充分根据现场实际状况并依据有关法律规定和政府主管部门的要求，制定施工方案。承包商在施工时须严格遵守有关市容、环境保护和卫生等的规定，若发生因违反此类规定而被罚款的事件，由承包商自行负责并赔偿建设方因此遭受的损失，同时按照本合同约定向建设方支付违约金。</w:t>
      </w:r>
    </w:p>
    <w:p>
      <w:pPr>
        <w:pStyle w:val="41"/>
        <w:spacing w:line="360" w:lineRule="auto"/>
        <w:rPr>
          <w:rFonts w:hint="eastAsia" w:ascii="微软雅黑" w:hAnsi="微软雅黑" w:eastAsia="微软雅黑" w:cs="微软雅黑"/>
          <w:color w:val="auto"/>
          <w:highlight w:val="none"/>
          <w:lang w:val="en-US" w:eastAsia="zh-CN"/>
        </w:rPr>
      </w:pPr>
      <w:bookmarkStart w:id="209" w:name="_Toc7460"/>
      <w:r>
        <w:rPr>
          <w:rFonts w:hint="eastAsia" w:ascii="微软雅黑" w:hAnsi="微软雅黑" w:eastAsia="微软雅黑" w:cs="微软雅黑"/>
          <w:color w:val="auto"/>
          <w:highlight w:val="none"/>
          <w:lang w:val="en-US" w:eastAsia="zh-CN"/>
        </w:rPr>
        <w:t>环境保护要求</w:t>
      </w:r>
      <w:bookmarkEnd w:id="209"/>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9.2.1承包商应严格落实本工程环境影响评价报告书及政府批复文件提出的环保措施和监测方案。</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9.2.2在工程施工、完工及修补任何缺陷的过程中，承包商应始终遵守国家和工程所在地有关环境保护、水土保护和污染防治的法律、法规、规章、规范、标准和规程等，按照通用合同条款的相关约定履行其环境与生态保护职责。</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9.2.3承包商应按合同约定和监理人指示，接受国家和地方环境保护行政主管部门的监督、监测和检查。承包商应对其违反现行法律、法规、规章、规范、标准和规程等以及本合同约定所造成的环境污染、水土流失、人员伤害和财产损失等承担赔偿责任。</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承包商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9.2.4承包商应当做好施工场地(现场)范围内各项工程的开挖支护、截水、降水、灌浆、衬砌、挡护结构及排水等工程防护措施。施工场地（现场）内所有边坡应当采取有效的水土流失防治和保持措施。承包商采用的降水方案应当充分考虑对地下水的保护和合理使用，如果国家和（或）地方人民政府有特别规定的，承包商应当遵守有关规定。承包商还应设置完善的排水系统，保持施工场地（现场）始终处于良好的排水状态，防止降雨径流对施工场地(现场)的冲刷。</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9.2.5承包商应当确保其所提供的材料、工程设备、施工设备和其他材料都是绿色环保产品，列入国家强制认证产品名录的，还应当是通过国家强制认证的产品。承包商不得在任何临时和永久性工程中使用任何政府明令禁止使用的对人体有害的任何材料（如放射性材料、石棉制品等）和方法，同时也不得在永久性工程中使用政府虽未明令禁止但会给居住或使用人带来不适的任何材料和添加剂等；承包商应在其施工环保措施计划中明确防止误用的保证措施；承包商违背此项约定的责任和后果全部由承包商承担。</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9.2.6承包商应为防止进出场的车辆的遗洒和轮胎夹带物等污染周边和公共道路等行为制定并落实必要的措施，这类措施应至少包括在现场出人口设立冲刷池、对现场道路做硬化处理和采用密闭车厢或者对车厢进行必要的覆盖等。</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9.2.7承包商应当保证施工生产用水和生活用水符合国家有关标准的规定。承包商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9.2.8承包商应当采取有效措施，建立相应的过滤、分离、分解或沉淀等处理系统，不得让有害物质（如燃料、油料、化学品、酸等，以及超过剂量的有害气体和尘埃、污水、泥土或水、弃渣等）污染施工场地（现场）及其周边环境。承包商施工工序、工作时间安排和施工设备的配置应当充分考虑降低噪声和照明等对施工场地（现场）周边生产和生活的影响，并满足国家和地方政府有关规定的要求。</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9.2.9施工现场“渣土垃圾”的整治处置及违约约定：a)承包商应积极按政府有关要求，做好对施工过程中产生的渣土、淤泥、建筑垃圾（简称“渣土垃圾”）规范运输处理等工作。b)承包商应加强对渣土、淤泥等运输车辆的车况检查，做好持证运营；保证不偷倒、不乱倒渣土和建筑垃圾。承包商应加强对施工工地的管理，要求施工工地整洁；落实车辆的清洁措施工程竣工验收确保无垃圾等。c)承包商在施工中产生的污水、泥浆等必须按当地市环保要求达标排放，相关费用承包商承担。承包商在投标报价时应包含此项费用。d)承包商应根据现场情况上报施工现场“渣土垃圾、泥浆”整治的经济保证措施。e)凡承包商违反上述情况之一者，均将被视为承包商违约，建设方将有权从承包商应得工程款中扣除相应的金额作为违约金。</w:t>
      </w:r>
    </w:p>
    <w:p>
      <w:pPr>
        <w:pStyle w:val="41"/>
        <w:spacing w:line="360" w:lineRule="auto"/>
        <w:rPr>
          <w:rFonts w:hint="eastAsia" w:ascii="微软雅黑" w:hAnsi="微软雅黑" w:eastAsia="微软雅黑" w:cs="微软雅黑"/>
          <w:color w:val="auto"/>
          <w:highlight w:val="none"/>
          <w:lang w:val="en-US" w:eastAsia="zh-CN"/>
        </w:rPr>
      </w:pPr>
      <w:bookmarkStart w:id="210" w:name="_Toc30477"/>
      <w:r>
        <w:rPr>
          <w:rFonts w:hint="eastAsia" w:ascii="微软雅黑" w:hAnsi="微软雅黑" w:eastAsia="微软雅黑" w:cs="微软雅黑"/>
          <w:color w:val="auto"/>
          <w:highlight w:val="none"/>
          <w:lang w:val="en-US" w:eastAsia="zh-CN"/>
        </w:rPr>
        <w:t>龙口市政府对工程施工扬尘治理要求</w:t>
      </w:r>
      <w:bookmarkEnd w:id="210"/>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9.3.1施工单位需将施工扬尘污染防治纳入项目施工组织设计，编制相应的专项方案，施工单位严格落实各项扬尘防治措施，并配监理单位、建设单位及有关行政主管部门对现场扬尘防治整改要求。现场施工作业应严格执行施工现场以下扬尘防治措施：</w:t>
      </w:r>
    </w:p>
    <w:p>
      <w:pPr>
        <w:numPr>
          <w:ilvl w:val="0"/>
          <w:numId w:val="34"/>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施工现场围挡：在施工现场四周设置连续、封闭的硬质围挡，在建工程外立面采用密目式安全网全封闭围护，对施工现场实行封闭管理。城区主要路段工地围挡高度不低于2.5米，一般路段的工地不低于1.8米，做到坚固、平稳、整洁、美观。</w:t>
      </w:r>
    </w:p>
    <w:p>
      <w:pPr>
        <w:numPr>
          <w:ilvl w:val="0"/>
          <w:numId w:val="34"/>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施工现场硬化：施工现场内主要路段、加工区、办公区、生活区必须采用混凝土进行硬化处理，其他裸露区域平整后使用碎石覆盖。硬化后的地面不得有浮土、积土。</w:t>
      </w:r>
    </w:p>
    <w:p>
      <w:pPr>
        <w:numPr>
          <w:ilvl w:val="0"/>
          <w:numId w:val="34"/>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车辆冲洗设施：施工现场大门出入口处必须设置车辆冲洗设施，驶出施工现场的机动车辆冲洗干净后方可上路行驶，严禁带泥土上路。车辆冲洗装置必须设置沉淀池，不得将冲洗污水直接排入城市下水道和河流。</w:t>
      </w:r>
    </w:p>
    <w:p>
      <w:pPr>
        <w:numPr>
          <w:ilvl w:val="0"/>
          <w:numId w:val="34"/>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现场物料覆盖：施工现场物料要按品种、规格分类堆放整齐，做到“五成一入”（成方、成垛、成堆、成捆、成排、散装材料入池），并悬挂名称、品种、规格、主要负责人等标示牌，对易产生扬尘的要蓬盖。建筑物内施工垃圾严禁凌空抛撒。</w:t>
      </w:r>
    </w:p>
    <w:p>
      <w:pPr>
        <w:numPr>
          <w:ilvl w:val="0"/>
          <w:numId w:val="34"/>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定时洒水降尘：施工现场设专人负责卫生保洁，每天上午、下午各进行一次洒水降尘，遇到干旱和大风天气时，应增加洒水降尘次数，确保无浮尘扬尘。</w:t>
      </w:r>
    </w:p>
    <w:p>
      <w:pPr>
        <w:numPr>
          <w:ilvl w:val="0"/>
          <w:numId w:val="34"/>
        </w:numPr>
        <w:spacing w:line="360" w:lineRule="auto"/>
        <w:ind w:left="425" w:leftChars="0" w:hanging="425" w:firstLineChars="0"/>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施工单位项目部成员岗位证件及施工合同原件必须留存工程现场项目部，以备建设主管部门检查。</w:t>
      </w:r>
    </w:p>
    <w:p>
      <w:pPr>
        <w:pStyle w:val="3"/>
        <w:spacing w:line="360" w:lineRule="auto"/>
        <w:ind w:left="694" w:leftChars="0" w:firstLineChars="0"/>
        <w:rPr>
          <w:rFonts w:hint="eastAsia" w:cs="宋体"/>
          <w:caps/>
          <w:color w:val="auto"/>
          <w:highlight w:val="none"/>
        </w:rPr>
      </w:pPr>
      <w:bookmarkStart w:id="211" w:name="_Toc19833"/>
      <w:bookmarkStart w:id="212" w:name="_Toc15170"/>
      <w:bookmarkStart w:id="213" w:name="_Toc18964"/>
      <w:bookmarkStart w:id="214" w:name="_Toc26940"/>
      <w:r>
        <w:rPr>
          <w:rFonts w:hint="eastAsia" w:cs="宋体"/>
          <w:caps/>
          <w:color w:val="auto"/>
          <w:highlight w:val="none"/>
        </w:rPr>
        <w:t>工程</w:t>
      </w:r>
      <w:r>
        <w:rPr>
          <w:rFonts w:hint="eastAsia" w:cs="宋体"/>
          <w:caps/>
          <w:color w:val="auto"/>
          <w:highlight w:val="none"/>
          <w:lang w:val="en-US" w:eastAsia="zh-CN"/>
        </w:rPr>
        <w:t>质量</w:t>
      </w:r>
      <w:r>
        <w:rPr>
          <w:rFonts w:hint="eastAsia" w:cs="宋体"/>
          <w:caps/>
          <w:color w:val="auto"/>
          <w:highlight w:val="none"/>
        </w:rPr>
        <w:t>管理规定</w:t>
      </w:r>
      <w:bookmarkEnd w:id="190"/>
      <w:bookmarkEnd w:id="211"/>
      <w:bookmarkEnd w:id="212"/>
      <w:bookmarkEnd w:id="213"/>
      <w:bookmarkEnd w:id="214"/>
    </w:p>
    <w:p>
      <w:pPr>
        <w:pStyle w:val="4"/>
        <w:spacing w:line="360" w:lineRule="auto"/>
        <w:rPr>
          <w:rFonts w:hint="eastAsia" w:ascii="微软雅黑" w:hAnsi="微软雅黑" w:eastAsia="微软雅黑" w:cs="微软雅黑"/>
          <w:color w:val="auto"/>
          <w:highlight w:val="none"/>
        </w:rPr>
      </w:pPr>
      <w:bookmarkStart w:id="215" w:name="_Toc21540"/>
      <w:bookmarkStart w:id="216" w:name="_Toc25609"/>
      <w:bookmarkStart w:id="217" w:name="_Toc28609"/>
      <w:bookmarkStart w:id="218" w:name="_Toc30581"/>
      <w:bookmarkStart w:id="219" w:name="_Toc508406784"/>
      <w:r>
        <w:rPr>
          <w:rFonts w:hint="eastAsia" w:ascii="微软雅黑" w:hAnsi="微软雅黑" w:eastAsia="微软雅黑" w:cs="微软雅黑"/>
          <w:color w:val="auto"/>
          <w:highlight w:val="none"/>
          <w:lang w:eastAsia="zh-CN"/>
        </w:rPr>
        <w:t>乙方</w:t>
      </w:r>
      <w:r>
        <w:rPr>
          <w:rFonts w:hint="eastAsia" w:ascii="微软雅黑" w:hAnsi="微软雅黑" w:eastAsia="微软雅黑" w:cs="微软雅黑"/>
          <w:color w:val="auto"/>
          <w:highlight w:val="none"/>
        </w:rPr>
        <w:t>质量管理责任</w:t>
      </w:r>
      <w:bookmarkEnd w:id="215"/>
      <w:bookmarkEnd w:id="216"/>
      <w:bookmarkEnd w:id="217"/>
      <w:bookmarkEnd w:id="218"/>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按照《中华人民共和国建筑法》工程质量由</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负责。</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必须遵守国家、地方政府、行业现行有效包括有关法律、法规、标准规定的，本合同规定和要求的，以及经</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和</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书面同意的所有有关质量的要求、标准、预防措施、工作程序和已被广为接受的行业惯例。</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在项目建设过程中，</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的管理和作业行为应遵照执行自身的质量管理体系文件和其它有关质量的管理规定、程序和要求，</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应对其全部管理行为和作业行为负全部责任。必须接受</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／监理人的监督和检查，</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有义务将其自身的质量管理体系文件和其它有关质量的管理规定、程序和要求提交给</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／监理人，以便于</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／监理人审查、监督和检查。</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当</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的工作程序或工作环境对工程质量构成了威胁，违反了有关的法律、法规和规定或任何有关的质量标准，</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有权随时停止</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的工作，令其整改或将其有关员工从工作场所撤换掉。严重违反的行为自然构成提前终止承包合同的理由和依据。</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有责任和义务免除、保护、防护、补偿</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，避免</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由于</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或</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的员工直接或间接未能贯彻、执行、遵循和遵守有关法律、法规和规定的原因受到任何损失、伤害、索赔或债务。在任何时候，</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的这种责任都不被认为可以改变、修正、减少或者重新界定</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按承包合同应尽的其他应补偿、免除、保险或担保等义务。</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为执行并满足本附件要求所发生的各项费用均包含在</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合同总价内。</w:t>
      </w:r>
    </w:p>
    <w:p>
      <w:pPr>
        <w:pStyle w:val="4"/>
        <w:spacing w:line="360" w:lineRule="auto"/>
        <w:rPr>
          <w:rFonts w:hint="eastAsia" w:ascii="微软雅黑" w:hAnsi="微软雅黑" w:eastAsia="微软雅黑" w:cs="微软雅黑"/>
          <w:color w:val="auto"/>
          <w:highlight w:val="none"/>
        </w:rPr>
      </w:pPr>
      <w:bookmarkStart w:id="220" w:name="_Toc1934"/>
      <w:bookmarkStart w:id="221" w:name="_Toc10781"/>
      <w:bookmarkStart w:id="222" w:name="_Toc4016"/>
      <w:bookmarkStart w:id="223" w:name="_Toc20795"/>
      <w:r>
        <w:rPr>
          <w:rFonts w:hint="eastAsia" w:ascii="微软雅黑" w:hAnsi="微软雅黑" w:eastAsia="微软雅黑" w:cs="微软雅黑"/>
          <w:color w:val="auto"/>
          <w:highlight w:val="none"/>
        </w:rPr>
        <w:t>质量管理</w:t>
      </w:r>
      <w:bookmarkEnd w:id="220"/>
      <w:bookmarkEnd w:id="221"/>
      <w:bookmarkEnd w:id="222"/>
      <w:bookmarkEnd w:id="223"/>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10.2.1乙方必须建立现场项目经理部，明确工程项目经理是项目第一责任人，对整个工程项目负责。</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10.2.2乙方必须按合同条款和相关规定要求，配备适宜的、充足的技术质量管理人员，相关人员必须持证上岗，分工必须明确；</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10.2.3乙方不得随意更换在岗主要质量管理人员，如确需更换必须提交书面申请，经甲方项目经理签字同意才可更换；</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10.2.4乙方必须按甲方管理要求，提交相关的质量策划文件，其格式与要求如甲方未做要求，必须满足相关文件的规定要求，经甲方审核、批准后，方可组织实施；</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10.2.5主要施工设备的进场，必须通过监理、甲方质量、安全人员验收合格，挂牌后，方可投入使用。完工退场时，必须经过监理、甲方管理人员的书面同意；</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10.2.6按行业、标准、合同及甲方管理要求及时编制、完善、上报各类项目施工技术方案，并切实按审批的方案组织施工；</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10.2.7现场施工资料、竣工资料等必须与工程进度同步、齐全，确保真实、有效，并及时提交；</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10.2.8乙方必须加强施工过程控制，加强现场质量管理，建立与所承担项目相适宜的质量管理制度，服从甲方项目部的管理要求，如有违反，甲方项目部有权根据情况给予处罚；</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10.2.9乙方必须建立健全项目管理制度（如但不限于：项目质量管理规定、质量管理处罚规定、质量检查制度、质量例会制度等），并且切实贯彻落实，以确保工程质量满足要求；</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10.2.10原材料、设备等必须由监理及甲方相关人员验收合格后才能进场，按照相关要求见证取样后进行复试，复试合格后才能用于项目建设；分部、分项工程、检验批质量检查及隐蔽工程施工过程中必须由监理、甲方相关人员验收合格后才能进行下一工序实施。</w:t>
      </w:r>
    </w:p>
    <w:p>
      <w:pPr>
        <w:pStyle w:val="4"/>
        <w:spacing w:line="360" w:lineRule="auto"/>
        <w:rPr>
          <w:rFonts w:hint="eastAsia" w:ascii="微软雅黑" w:hAnsi="微软雅黑" w:eastAsia="微软雅黑" w:cs="微软雅黑"/>
          <w:color w:val="auto"/>
          <w:highlight w:val="none"/>
        </w:rPr>
      </w:pPr>
      <w:bookmarkStart w:id="224" w:name="_Toc1345"/>
      <w:bookmarkStart w:id="225" w:name="_Toc19859"/>
      <w:bookmarkStart w:id="226" w:name="_Toc8687"/>
      <w:bookmarkStart w:id="227" w:name="_Toc6281"/>
      <w:r>
        <w:rPr>
          <w:rFonts w:hint="eastAsia" w:ascii="微软雅黑" w:hAnsi="微软雅黑" w:eastAsia="微软雅黑" w:cs="微软雅黑"/>
          <w:color w:val="auto"/>
          <w:highlight w:val="none"/>
        </w:rPr>
        <w:t>质量保证要求</w:t>
      </w:r>
      <w:bookmarkEnd w:id="224"/>
      <w:bookmarkEnd w:id="225"/>
      <w:bookmarkEnd w:id="226"/>
      <w:bookmarkEnd w:id="227"/>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10.3.1质量体系要求</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的质量体系应符合ISO 9001质量管理和质量保证标准的要求，并已获得认证机构的认可。</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的质量手册及支持程序文件应在合同生效日后 14 天内提交给</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及监理备查。</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10.3.2质量计划</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质量计划编制与审批：</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应编制项目质量计划作为项目质量管理指导性文件提交</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／监理人审批。</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的项目质量计划应包括对主要分包商的质量管理。主要分包的质量计划在其进场之后提交。</w:t>
      </w:r>
    </w:p>
    <w:p>
      <w:pPr>
        <w:pStyle w:val="4"/>
        <w:spacing w:line="360" w:lineRule="auto"/>
        <w:rPr>
          <w:rFonts w:hint="eastAsia" w:ascii="微软雅黑" w:hAnsi="微软雅黑" w:eastAsia="微软雅黑" w:cs="微软雅黑"/>
          <w:color w:val="auto"/>
          <w:highlight w:val="none"/>
        </w:rPr>
      </w:pPr>
      <w:bookmarkStart w:id="228" w:name="_Toc31352"/>
      <w:bookmarkStart w:id="229" w:name="_Toc24081"/>
      <w:bookmarkStart w:id="230" w:name="_Toc10314"/>
      <w:bookmarkStart w:id="231" w:name="_Toc25798"/>
      <w:r>
        <w:rPr>
          <w:rFonts w:hint="eastAsia" w:ascii="微软雅黑" w:hAnsi="微软雅黑" w:eastAsia="微软雅黑" w:cs="微软雅黑"/>
          <w:color w:val="auto"/>
          <w:highlight w:val="none"/>
        </w:rPr>
        <w:t>质量职责</w:t>
      </w:r>
      <w:bookmarkEnd w:id="228"/>
      <w:bookmarkEnd w:id="229"/>
      <w:bookmarkEnd w:id="230"/>
      <w:bookmarkEnd w:id="231"/>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项目质量计划应详细描述项目关键人的相关质量责任。</w:t>
      </w:r>
    </w:p>
    <w:p>
      <w:pPr>
        <w:pStyle w:val="4"/>
        <w:spacing w:line="360" w:lineRule="auto"/>
        <w:rPr>
          <w:rFonts w:hint="eastAsia" w:ascii="微软雅黑" w:hAnsi="微软雅黑" w:eastAsia="微软雅黑" w:cs="微软雅黑"/>
          <w:color w:val="auto"/>
          <w:highlight w:val="none"/>
        </w:rPr>
      </w:pPr>
      <w:bookmarkStart w:id="232" w:name="_Toc1347"/>
      <w:bookmarkStart w:id="233" w:name="_Toc32220"/>
      <w:bookmarkStart w:id="234" w:name="_Toc25164"/>
      <w:bookmarkStart w:id="235" w:name="_Toc21197"/>
      <w:r>
        <w:rPr>
          <w:rFonts w:hint="eastAsia" w:ascii="微软雅黑" w:hAnsi="微软雅黑" w:eastAsia="微软雅黑" w:cs="微软雅黑"/>
          <w:color w:val="auto"/>
          <w:highlight w:val="none"/>
        </w:rPr>
        <w:t>质量管理人员</w:t>
      </w:r>
      <w:bookmarkEnd w:id="232"/>
      <w:bookmarkEnd w:id="233"/>
      <w:bookmarkEnd w:id="234"/>
      <w:bookmarkEnd w:id="235"/>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10.5.1质量组织架构：</w:t>
      </w:r>
    </w:p>
    <w:p>
      <w:pPr>
        <w:pStyle w:val="35"/>
        <w:spacing w:before="62" w:after="62" w:line="360" w:lineRule="auto"/>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应编制用于本项目的总的组织机构表和反映出各个阶段从事质量活动的人员数量、职责的QA/QC组织机构表，该组织机构表应包括在项目质量计划中。在QA/QC组织机构表中应反映出从质检员到项目经理各级间的报告关系。</w:t>
      </w:r>
    </w:p>
    <w:p>
      <w:pPr>
        <w:pStyle w:val="4"/>
        <w:spacing w:line="360" w:lineRule="auto"/>
        <w:rPr>
          <w:rFonts w:hint="eastAsia" w:ascii="微软雅黑" w:hAnsi="微软雅黑" w:eastAsia="微软雅黑" w:cs="微软雅黑"/>
          <w:color w:val="auto"/>
          <w:highlight w:val="none"/>
        </w:rPr>
      </w:pPr>
      <w:bookmarkStart w:id="236" w:name="_Toc32764"/>
      <w:bookmarkStart w:id="237" w:name="_Toc32300"/>
      <w:bookmarkStart w:id="238" w:name="_Toc28390"/>
      <w:bookmarkStart w:id="239" w:name="_Toc10110"/>
      <w:r>
        <w:rPr>
          <w:rFonts w:hint="eastAsia" w:ascii="微软雅黑" w:hAnsi="微软雅黑" w:eastAsia="微软雅黑" w:cs="微软雅黑"/>
          <w:color w:val="auto"/>
          <w:highlight w:val="none"/>
        </w:rPr>
        <w:t>质量控制要求</w:t>
      </w:r>
      <w:bookmarkEnd w:id="236"/>
      <w:bookmarkEnd w:id="237"/>
      <w:bookmarkEnd w:id="238"/>
      <w:bookmarkEnd w:id="239"/>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10.6.1甲方检查</w:t>
      </w:r>
    </w:p>
    <w:p>
      <w:pPr>
        <w:pStyle w:val="35"/>
        <w:numPr>
          <w:ilvl w:val="0"/>
          <w:numId w:val="35"/>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甲方依据合同、设计施工图纸、国家标准规范，以及乙方经过甲方/监理审核认可的质量体系文件，对乙方的工程质量和管理进行检查。检查中发现的质量、观感和尺寸偏差，以及质量管理过程中的不合格、不符合，以口头、书面的形式向乙方提出，乙方须限期整改。甲方可依据问题的数量、严重程度以及乙方的响应情况，要求乙方支付违约金。</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10.6.2材料设备进场验收</w:t>
      </w:r>
    </w:p>
    <w:p>
      <w:pPr>
        <w:pStyle w:val="35"/>
        <w:numPr>
          <w:ilvl w:val="0"/>
          <w:numId w:val="36"/>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材料设备进场前，乙方需提前一周制定进场材料设备验收计划报监理和甲方并获得审批。</w:t>
      </w:r>
    </w:p>
    <w:p>
      <w:pPr>
        <w:pStyle w:val="35"/>
        <w:numPr>
          <w:ilvl w:val="0"/>
          <w:numId w:val="36"/>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材料进场（含同种材料分批次进场）应及时通知监理工程师或甲方验收，不得擅自进场。</w:t>
      </w:r>
    </w:p>
    <w:p>
      <w:pPr>
        <w:pStyle w:val="35"/>
        <w:numPr>
          <w:ilvl w:val="0"/>
          <w:numId w:val="36"/>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各种材料、设备的证明文件应齐全，质量应能满足使用要求。如在报验后发现某种材料、设备不合格，乙方应无条件将此种材料、设备清退出场。</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10.6.3甲方参与检验与测试</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有权（但无义务）参与</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工作过程中的所有检验和测试。在进行相关检验和测试前，</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应提前通知</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应为</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参加检验和调试提供便利，并确保其人身和财产安全。但是，</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参与、批准、认可或缺席任何检验和测试，不得减少、免除</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本合同项下的任何责任和义务（包括但不限于</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对工程性能、质量应承担的责任）。</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10.6.4已完工程的检查</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有权要求</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拆卸已完成的工程。如经检查发现相关工作存在缺陷或不符合本合同要求，</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应及时修复、纠正，承担因此发生的全部费用，且无权要求调整工期；如发现相关工作不存在缺陷、且符合本合同要求，</w:t>
      </w:r>
      <w:r>
        <w:rPr>
          <w:rFonts w:hint="eastAsia" w:ascii="宋体" w:hAnsi="宋体" w:eastAsia="宋体" w:cs="宋体"/>
          <w:color w:val="auto"/>
          <w:highlight w:val="none"/>
          <w:lang w:eastAsia="zh-CN"/>
        </w:rPr>
        <w:t>甲方</w:t>
      </w:r>
      <w:r>
        <w:rPr>
          <w:rFonts w:hint="eastAsia" w:ascii="宋体" w:hAnsi="宋体" w:eastAsia="宋体" w:cs="宋体"/>
          <w:color w:val="auto"/>
          <w:highlight w:val="none"/>
        </w:rPr>
        <w:t>承担因拆卸及复原相关工作发生的费用，</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可就发生的费用及对工期的直接影响，提出工作变更请求。</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10.6.5质量缺陷处理</w:t>
      </w:r>
    </w:p>
    <w:p>
      <w:pPr>
        <w:pStyle w:val="35"/>
        <w:numPr>
          <w:ilvl w:val="0"/>
          <w:numId w:val="37"/>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甲方发现乙方的工作存在任何缺陷、瑕疵、疏漏或不符合本合同的规定（“质量缺陷”），乙方应根据甲方的要求立即采取一切合理、必要的补救措施消除缺陷。乙方无权因此要求调整里程碑、工期和合同总价，并承担因此发生的一切后果。如乙方未在合理的时间内提供充足的人力资源、设备、材料消除工程缺陷，甲方有权指令乙方停止全部或部分工作，直至乙方消除工程缺陷，乙方无权就该等指令要求调整工期和合同总价。如乙方未在合理时间消除工程缺陷，除前述权利外，甲方有权聘用其他工程单位消除工程缺陷，乙方应承担因此发生的全部费用，且无权要求调整合同总价和工期，甲方有权从工程款、合同总价余额和质量保证金中直接扣除该等费用。</w:t>
      </w:r>
    </w:p>
    <w:p>
      <w:pPr>
        <w:pStyle w:val="35"/>
        <w:numPr>
          <w:ilvl w:val="0"/>
          <w:numId w:val="37"/>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如乙方交付的工作存在工程缺陷，但甲方未发现该等缺陷或未拒绝接收相关工作，并不表明甲方认可、接受该等工作，亦不减少、免除乙方本合同项下的责任和义务（包括但不限于消除工程缺陷和工程质量保证等责任）。</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10.6.6隐蔽工程</w:t>
      </w:r>
    </w:p>
    <w:p>
      <w:pPr>
        <w:pStyle w:val="35"/>
        <w:numPr>
          <w:ilvl w:val="0"/>
          <w:numId w:val="38"/>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所有的隐蔽工程都设为停工待检点，通知监理人/甲方检查。监理人/甲方检查确认质量不合格的，乙方应在监理人指示的时间内修整返工后，由监理人重新检查。</w:t>
      </w:r>
    </w:p>
    <w:p>
      <w:pPr>
        <w:pStyle w:val="35"/>
        <w:numPr>
          <w:ilvl w:val="0"/>
          <w:numId w:val="38"/>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乙方未通知监理人到场检查，私自将工程隐蔽部位覆盖的，监理人有权指示乙方钻孔探测或揭开检查，由此增加的费用和（或）工期延误由乙方承担。</w:t>
      </w:r>
    </w:p>
    <w:p>
      <w:pPr>
        <w:pStyle w:val="35"/>
        <w:numPr>
          <w:ilvl w:val="0"/>
          <w:numId w:val="38"/>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未经甲方批准，不得对隐蔽工程进行覆盖和继续施工。即使甲方参与、批准相关工程的隐蔽工作，其有权随时要求乙方打开已隐蔽的工程，重新进行检验。如经检验，被隐蔽的工程不符合本合同的要求，乙方应立即采取修复、更换或其他补救措施，直至相关工程符合本合同的要求，乙方无权因此要求调整里程碑、工期及其他任何补偿。</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10.6.7质量管理信息化</w:t>
      </w:r>
    </w:p>
    <w:p>
      <w:pPr>
        <w:pStyle w:val="35"/>
        <w:numPr>
          <w:ilvl w:val="0"/>
          <w:numId w:val="39"/>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在项目施工中，鼓励乙方引入质量管理信息化系统，为甲方、监理、乙方的质量管理带来极大便利和效率。</w:t>
      </w:r>
    </w:p>
    <w:p>
      <w:pPr>
        <w:pStyle w:val="35"/>
        <w:numPr>
          <w:ilvl w:val="0"/>
          <w:numId w:val="39"/>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乙方须根据甲方要求，将自身所涉及的质量管理信息化要求落实到项目管理体系中，并将信息化的职责分配到岗、落实到人。</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10.6.8会议与报告</w:t>
      </w:r>
    </w:p>
    <w:p>
      <w:pPr>
        <w:pStyle w:val="35"/>
        <w:numPr>
          <w:ilvl w:val="0"/>
          <w:numId w:val="40"/>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质量例会可分周/月例会和专题例会两种，参会人员为甲方/监理人/乙方等，召开时间和地点由各方代表协商确定。</w:t>
      </w:r>
    </w:p>
    <w:p>
      <w:pPr>
        <w:pStyle w:val="35"/>
        <w:numPr>
          <w:ilvl w:val="0"/>
          <w:numId w:val="40"/>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质量周/月会的主要内容。首先由乙方对上周/月质量管理和控制过程中存在的问题解决情况进行总结，对已落实的问题进行描述，对未落实的问题分析原因，并提出解决措施。其次对本周/月的质量情况作出汇报，提出本周/月施工中出现的质量和出现的原因，并提出解决措施。再次根据施工进度和部位对下周/月质量管理提出管理预防措施。然后监理单位及项目部各专业人员分别对本周/月施工中出现的质量问题进行汇报并提出相应整改意见。最后由项目部质量负责人将出现的问题进行总结，并落实责任单位进行解决，同时明确解决时间，由监理人牵头监督和检查落实情况。</w:t>
      </w:r>
    </w:p>
    <w:p>
      <w:pPr>
        <w:pStyle w:val="35"/>
        <w:numPr>
          <w:ilvl w:val="0"/>
          <w:numId w:val="40"/>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专题例会的主要内容。专题例会可以结合施工情况单独召开或与质量周/月例会合并召开，主要侧重解决施工过程中出现的质量通病和重要质量实施方案的讨论，由参会各方提出问题解决的意见并形成一致性的决议，决议需抄送各方项目主管领导。</w:t>
      </w:r>
    </w:p>
    <w:p>
      <w:pPr>
        <w:pStyle w:val="35"/>
        <w:numPr>
          <w:ilvl w:val="0"/>
          <w:numId w:val="40"/>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乙方有义务参加甲方／监理人召集的各类定期和根据项目运作过程中的实际质量管理需求而临时召开的质量管理会议。</w:t>
      </w:r>
    </w:p>
    <w:p>
      <w:pPr>
        <w:pStyle w:val="35"/>
        <w:numPr>
          <w:ilvl w:val="0"/>
          <w:numId w:val="40"/>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质量周/月报告主要内容：上周质量问题整改落实情况；本周主要施工部位及相对应的质量检查事项、隐患排查描述、验收整改情况和质量记录情况统计；本周技术交底及培训活动情况；本周质量专项活动开展情况；下周主要施工部位及相应的质量控制计划。报告中应结合描述工作内容，附表格或照片。报告应由专人定期上传至工程信息平台。</w:t>
      </w:r>
    </w:p>
    <w:p>
      <w:pPr>
        <w:pStyle w:val="4"/>
        <w:spacing w:line="360" w:lineRule="auto"/>
        <w:rPr>
          <w:rFonts w:hint="eastAsia" w:ascii="微软雅黑" w:hAnsi="微软雅黑" w:eastAsia="微软雅黑" w:cs="微软雅黑"/>
          <w:color w:val="auto"/>
          <w:highlight w:val="none"/>
        </w:rPr>
      </w:pPr>
      <w:bookmarkStart w:id="240" w:name="_Toc29831"/>
      <w:bookmarkStart w:id="241" w:name="_Toc25191"/>
      <w:bookmarkStart w:id="242" w:name="_Toc21479"/>
      <w:bookmarkStart w:id="243" w:name="_Toc4199"/>
      <w:r>
        <w:rPr>
          <w:rFonts w:hint="eastAsia" w:ascii="微软雅黑" w:hAnsi="微软雅黑" w:eastAsia="微软雅黑" w:cs="微软雅黑"/>
          <w:color w:val="auto"/>
          <w:highlight w:val="none"/>
        </w:rPr>
        <w:t>策划文件</w:t>
      </w:r>
      <w:bookmarkEnd w:id="240"/>
      <w:bookmarkEnd w:id="241"/>
      <w:bookmarkEnd w:id="242"/>
      <w:bookmarkEnd w:id="243"/>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10.7.1乙方在收到中标通知书按甲方要求时间节点，必须依照甲方的要求提交施工方案、质量计划、施工分段区域图等产品策划文件或其它必要的相关文件，获得甲方批准后，方可组织施工；</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10.7.2必须制定施工组织设计，获得甲方批准后，方可组织施工；</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10.7.3涉及特殊过程和关键技术要求的施工，必须制定专项施工方案。专项施工方案亦应获得必要的批准后，方可组织施工；</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10.7.4乙方上报的方案及计划均做为施工时的依据，如施工工艺与方案不一致，需要向甲方提交变更报告，获得同意后方可变更；</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10.7.5乙方必须按照招标文件要求编制施工方案等，并详细叙述施工工艺、设备配备情况、人员配备情况及进度计划；</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10.7.6乙方必须按照业主及甲方要求提供所需要的其他相关方案。</w:t>
      </w:r>
    </w:p>
    <w:p>
      <w:pPr>
        <w:pStyle w:val="4"/>
        <w:spacing w:line="360" w:lineRule="auto"/>
        <w:rPr>
          <w:rFonts w:hint="eastAsia" w:ascii="微软雅黑" w:hAnsi="微软雅黑" w:eastAsia="微软雅黑" w:cs="微软雅黑"/>
          <w:color w:val="auto"/>
          <w:highlight w:val="none"/>
        </w:rPr>
      </w:pPr>
      <w:bookmarkStart w:id="244" w:name="_Toc8298"/>
      <w:bookmarkStart w:id="245" w:name="_Toc2000"/>
      <w:bookmarkStart w:id="246" w:name="_Toc18530"/>
      <w:bookmarkStart w:id="247" w:name="_Toc31438"/>
      <w:r>
        <w:rPr>
          <w:rFonts w:hint="eastAsia" w:ascii="微软雅黑" w:hAnsi="微软雅黑" w:eastAsia="微软雅黑" w:cs="微软雅黑"/>
          <w:color w:val="auto"/>
          <w:highlight w:val="none"/>
        </w:rPr>
        <w:t>工程报告</w:t>
      </w:r>
      <w:bookmarkEnd w:id="244"/>
      <w:bookmarkEnd w:id="245"/>
      <w:bookmarkEnd w:id="246"/>
      <w:bookmarkEnd w:id="247"/>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10.8.1工程开工前，乙方应书面向监理/甲方提交开工申请，并经监理/甲方审核批准后，方可开工；</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10.8.3施工过程中出现的有关技术、质量方面的偏差，乙方应第一时间向监理/甲方汇报，未经监理/甲方同意的技术、质量偏差，均以不合格项或违约相关条款进行处置；</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10.8.4乙方应遵循甲方工程项目周报、月报制度，按时提交质量、进度等报表材料（包括工程照片），报表材料须如实填写，乙方应对其报表真实性负责。</w:t>
      </w:r>
    </w:p>
    <w:p>
      <w:pPr>
        <w:pStyle w:val="4"/>
        <w:spacing w:line="360" w:lineRule="auto"/>
        <w:rPr>
          <w:rFonts w:hint="eastAsia" w:ascii="微软雅黑" w:hAnsi="微软雅黑" w:eastAsia="微软雅黑" w:cs="微软雅黑"/>
          <w:color w:val="auto"/>
          <w:highlight w:val="none"/>
        </w:rPr>
      </w:pPr>
      <w:bookmarkStart w:id="248" w:name="_Toc5670"/>
      <w:bookmarkStart w:id="249" w:name="_Toc4448"/>
      <w:bookmarkStart w:id="250" w:name="_Toc4456"/>
      <w:bookmarkStart w:id="251" w:name="_Toc12162"/>
      <w:r>
        <w:rPr>
          <w:rFonts w:hint="eastAsia" w:ascii="微软雅黑" w:hAnsi="微软雅黑" w:eastAsia="微软雅黑" w:cs="微软雅黑"/>
          <w:color w:val="auto"/>
          <w:highlight w:val="none"/>
        </w:rPr>
        <w:t>施工测量</w:t>
      </w:r>
      <w:bookmarkEnd w:id="248"/>
      <w:bookmarkEnd w:id="249"/>
      <w:bookmarkEnd w:id="250"/>
      <w:bookmarkEnd w:id="251"/>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10.9.1甲方通过监理人向乙方提供测量基准点、基准线和水准点及其书面资料。</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10.9.2乙方必须使用检定合格的测量仪器和设备、工具等；</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10.9.3施工过程中的所有测量工作均由乙方来执行（包括但不限于施工定位、检查验收等）。</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10.9.4施工测量：</w:t>
      </w:r>
    </w:p>
    <w:p>
      <w:pPr>
        <w:pStyle w:val="35"/>
        <w:spacing w:before="62" w:after="62"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测量放线工作完成后，</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应当通知监理人组织相关部门或机构进行复验并确认。如果复验发现</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的测量放线有误，</w:t>
      </w:r>
      <w:r>
        <w:rPr>
          <w:rFonts w:hint="eastAsia" w:ascii="宋体" w:hAnsi="宋体" w:eastAsia="宋体" w:cs="宋体"/>
          <w:color w:val="auto"/>
          <w:highlight w:val="none"/>
          <w:lang w:eastAsia="zh-CN"/>
        </w:rPr>
        <w:t>乙方</w:t>
      </w:r>
      <w:r>
        <w:rPr>
          <w:rFonts w:hint="eastAsia" w:ascii="宋体" w:hAnsi="宋体" w:eastAsia="宋体" w:cs="宋体"/>
          <w:color w:val="auto"/>
          <w:highlight w:val="none"/>
        </w:rPr>
        <w:t>应当立即予以矫正并承担矫正的费用，工期不予顺延。</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10.9.5施工控制网：</w:t>
      </w:r>
    </w:p>
    <w:p>
      <w:pPr>
        <w:pStyle w:val="35"/>
        <w:numPr>
          <w:ilvl w:val="0"/>
          <w:numId w:val="41"/>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乙方应根据国家测绘基准、测绘系统和工程测量技术规范，按照甲方提供的上述基准资料以及工程精度要求，测试施工控制网，并在开工日期前7日内，将施工控制网资料报送监理人审批。</w:t>
      </w:r>
    </w:p>
    <w:p>
      <w:pPr>
        <w:pStyle w:val="35"/>
        <w:numPr>
          <w:ilvl w:val="0"/>
          <w:numId w:val="41"/>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乙方应自行承担费用保护、修复施工控制网点，并应在工程竣工后将施工控制网点移交给甲方。在施工过程中，如监理人需要使用施工控制网的，乙方应免费提供并给予必要的协助。</w:t>
      </w:r>
    </w:p>
    <w:p>
      <w:pPr>
        <w:pStyle w:val="3"/>
        <w:spacing w:line="360" w:lineRule="auto"/>
        <w:ind w:left="694" w:leftChars="0" w:firstLineChars="0"/>
        <w:rPr>
          <w:rFonts w:hint="eastAsia" w:cs="宋体"/>
          <w:caps/>
          <w:color w:val="auto"/>
          <w:highlight w:val="none"/>
        </w:rPr>
      </w:pPr>
      <w:bookmarkStart w:id="252" w:name="_Toc15516"/>
      <w:bookmarkStart w:id="253" w:name="_Toc447"/>
      <w:bookmarkStart w:id="254" w:name="_Toc11973"/>
      <w:bookmarkStart w:id="255" w:name="_Toc27845"/>
      <w:r>
        <w:rPr>
          <w:rFonts w:hint="eastAsia" w:cs="宋体"/>
          <w:caps/>
          <w:color w:val="auto"/>
          <w:highlight w:val="none"/>
        </w:rPr>
        <w:t>工程计量</w:t>
      </w:r>
      <w:bookmarkEnd w:id="252"/>
      <w:bookmarkEnd w:id="253"/>
      <w:bookmarkEnd w:id="254"/>
      <w:bookmarkEnd w:id="255"/>
    </w:p>
    <w:p>
      <w:pPr>
        <w:pStyle w:val="4"/>
        <w:spacing w:line="360" w:lineRule="auto"/>
        <w:rPr>
          <w:rFonts w:hint="eastAsia" w:ascii="微软雅黑" w:hAnsi="微软雅黑" w:eastAsia="微软雅黑" w:cs="微软雅黑"/>
          <w:color w:val="auto"/>
          <w:highlight w:val="none"/>
        </w:rPr>
      </w:pPr>
      <w:bookmarkStart w:id="256" w:name="_Toc21382"/>
      <w:bookmarkStart w:id="257" w:name="_Toc23532"/>
      <w:bookmarkStart w:id="258" w:name="_Toc28055"/>
      <w:bookmarkStart w:id="259" w:name="_Toc31531"/>
      <w:r>
        <w:rPr>
          <w:rFonts w:hint="eastAsia" w:ascii="微软雅黑" w:hAnsi="微软雅黑" w:eastAsia="微软雅黑" w:cs="微软雅黑"/>
          <w:color w:val="auto"/>
          <w:highlight w:val="none"/>
          <w:lang w:val="en-US" w:eastAsia="zh-CN"/>
        </w:rPr>
        <w:t>工程计量要求</w:t>
      </w:r>
      <w:bookmarkEnd w:id="256"/>
      <w:bookmarkEnd w:id="257"/>
      <w:bookmarkEnd w:id="258"/>
      <w:bookmarkEnd w:id="259"/>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11.1.1本工程应计量的所有工程分部、分项等，均以我国法定计量单位计量。</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11.1.2核定按合同提供的材料数量和完成的工程数量所采用的测量与计算方法进行，并应符合技术标准。</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11.1.3乙方应提供符合精度要求的计量设备和条件。一切工程的计量，经甲方监理审核，报甲方代表审核确认。</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11.1.4工程计量的依据是按照检验批经甲方或监理签署合格的数量来进行计量，只考虑已经验收结束的检验批，未检验或不合格的不予计量。凡因乙方原因超过了施工图纸所示或未经甲方代表同意的任何长度、面积或体积的计量部分，均不予确认。</w:t>
      </w:r>
    </w:p>
    <w:p>
      <w:pPr>
        <w:pStyle w:val="3"/>
        <w:spacing w:line="360" w:lineRule="auto"/>
        <w:ind w:left="694" w:leftChars="0" w:firstLineChars="0"/>
        <w:rPr>
          <w:rFonts w:hint="eastAsia" w:cs="宋体"/>
          <w:caps/>
          <w:color w:val="auto"/>
          <w:highlight w:val="none"/>
        </w:rPr>
      </w:pPr>
      <w:bookmarkStart w:id="260" w:name="_Toc5995"/>
      <w:bookmarkStart w:id="261" w:name="_Toc23848"/>
      <w:bookmarkStart w:id="262" w:name="_Toc1750"/>
      <w:bookmarkStart w:id="263" w:name="_Toc17683"/>
      <w:r>
        <w:rPr>
          <w:rFonts w:hint="eastAsia" w:cs="宋体"/>
          <w:caps/>
          <w:color w:val="auto"/>
          <w:highlight w:val="none"/>
        </w:rPr>
        <w:t>质量保修</w:t>
      </w:r>
      <w:bookmarkEnd w:id="219"/>
      <w:bookmarkEnd w:id="260"/>
      <w:bookmarkEnd w:id="261"/>
      <w:bookmarkEnd w:id="262"/>
      <w:bookmarkEnd w:id="263"/>
    </w:p>
    <w:p>
      <w:pPr>
        <w:pStyle w:val="4"/>
        <w:spacing w:line="360" w:lineRule="auto"/>
        <w:rPr>
          <w:rFonts w:hint="eastAsia" w:ascii="微软雅黑" w:hAnsi="微软雅黑" w:eastAsia="微软雅黑" w:cs="微软雅黑"/>
          <w:color w:val="auto"/>
          <w:highlight w:val="none"/>
          <w:lang w:val="en-US" w:eastAsia="zh-CN"/>
        </w:rPr>
      </w:pPr>
      <w:bookmarkStart w:id="264" w:name="_Toc15023"/>
      <w:bookmarkStart w:id="265" w:name="_Toc12690"/>
      <w:bookmarkStart w:id="266" w:name="_Toc10928"/>
      <w:bookmarkStart w:id="267" w:name="_Toc13648"/>
      <w:r>
        <w:rPr>
          <w:rFonts w:hint="eastAsia" w:ascii="微软雅黑" w:hAnsi="微软雅黑" w:eastAsia="微软雅黑" w:cs="微软雅黑"/>
          <w:color w:val="auto"/>
          <w:highlight w:val="none"/>
          <w:lang w:val="en-US" w:eastAsia="zh-CN"/>
        </w:rPr>
        <w:t>质保要求</w:t>
      </w:r>
      <w:bookmarkEnd w:id="264"/>
      <w:bookmarkEnd w:id="265"/>
      <w:bookmarkEnd w:id="266"/>
      <w:bookmarkEnd w:id="267"/>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bookmarkStart w:id="268" w:name="_Toc508406785"/>
      <w:r>
        <w:rPr>
          <w:rFonts w:hint="eastAsia" w:ascii="宋体" w:hAnsi="宋体" w:eastAsia="宋体" w:cs="宋体"/>
          <w:color w:val="auto"/>
          <w:sz w:val="24"/>
          <w:szCs w:val="24"/>
          <w:highlight w:val="none"/>
          <w:lang w:val="en-US" w:eastAsia="zh-CN" w:bidi="ar-SA"/>
        </w:rPr>
        <w:t>12.1.1乙方应承诺，其任何工作和交付的工作成果符合法律法规、行业规范、标准和良好的行业惯例的要求，不存在任何缺陷；</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12.1.2乙方应按法律、行政法规或国家关于工程质量保修的相关规定，对交付甲方使用的工程在质量保修期内承担质量保修责任，符合《建设工程质量管理条例》；</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12.1.3质量保修工作的实施。乙方应在工程完工验收之前，与甲方签订质量保修书；</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12.1.4质保期要求：本工程的质量保修期自本工程实际竣工验收合格之日起开始计算，质量保修期为24个月，质保金额为合同含税金额的3%； </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12.1.5质保期内甲乙方各自具体责任：质保期内出现任何规定的质量保证范围内的问题， 甲方应及时通知乙方：如乙方人员未能按时实施整改工作，甲方有权委托第三方执行该等工作；</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12.1.6质保期内出现问题处理方案：质保期内，如因其乙方服务或工作成果存在任何缺陷或违反前述质保承诺，乙方应承担质保责任，采取修复措施或重新提供相关服务，直至消除该等缺陷；</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12.1.7质量保修期内，承包人应在接到甲方发出的维修通知后48小时内到达维修现场，并根据现场情况提出维修方案及满足甲方要求的合理施工计划。</w:t>
      </w:r>
    </w:p>
    <w:p>
      <w:pPr>
        <w:pStyle w:val="35"/>
        <w:spacing w:before="62" w:after="62" w:line="360" w:lineRule="auto"/>
        <w:ind w:left="0" w:leftChars="0" w:firstLine="0" w:firstLineChars="0"/>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12.1.8质量保修金的支付方法，根据签订后的合同条款执行。</w:t>
      </w:r>
    </w:p>
    <w:p>
      <w:pPr>
        <w:pStyle w:val="3"/>
        <w:spacing w:line="360" w:lineRule="auto"/>
        <w:ind w:left="694" w:leftChars="0" w:firstLineChars="0"/>
        <w:rPr>
          <w:rFonts w:hint="eastAsia" w:cs="宋体"/>
          <w:caps/>
          <w:color w:val="auto"/>
          <w:highlight w:val="none"/>
        </w:rPr>
      </w:pPr>
      <w:bookmarkStart w:id="269" w:name="_Toc7824"/>
      <w:bookmarkStart w:id="270" w:name="_Toc32256"/>
      <w:bookmarkStart w:id="271" w:name="_Toc369"/>
      <w:bookmarkStart w:id="272" w:name="_Toc29274"/>
      <w:r>
        <w:rPr>
          <w:rFonts w:hint="eastAsia" w:cs="宋体"/>
          <w:caps/>
          <w:color w:val="auto"/>
          <w:highlight w:val="none"/>
        </w:rPr>
        <w:t>资格要求</w:t>
      </w:r>
      <w:bookmarkEnd w:id="269"/>
      <w:bookmarkEnd w:id="270"/>
      <w:bookmarkEnd w:id="271"/>
      <w:bookmarkEnd w:id="272"/>
    </w:p>
    <w:p>
      <w:pPr>
        <w:pStyle w:val="4"/>
        <w:spacing w:line="360" w:lineRule="auto"/>
        <w:rPr>
          <w:rFonts w:hint="eastAsia" w:ascii="微软雅黑" w:hAnsi="微软雅黑" w:eastAsia="微软雅黑" w:cs="微软雅黑"/>
          <w:color w:val="auto"/>
          <w:highlight w:val="none"/>
          <w:lang w:val="en-US" w:eastAsia="zh-CN"/>
        </w:rPr>
      </w:pPr>
      <w:bookmarkStart w:id="273" w:name="_Toc11899"/>
      <w:bookmarkStart w:id="274" w:name="_Toc23062"/>
      <w:bookmarkStart w:id="275" w:name="_Toc9902"/>
      <w:bookmarkStart w:id="276" w:name="_Toc32465"/>
      <w:r>
        <w:rPr>
          <w:rFonts w:hint="eastAsia" w:ascii="微软雅黑" w:hAnsi="微软雅黑" w:eastAsia="微软雅黑" w:cs="微软雅黑"/>
          <w:color w:val="auto"/>
          <w:highlight w:val="none"/>
          <w:lang w:val="en-US" w:eastAsia="zh-CN"/>
        </w:rPr>
        <w:t>资格要求</w:t>
      </w:r>
      <w:bookmarkEnd w:id="273"/>
      <w:bookmarkEnd w:id="274"/>
      <w:bookmarkEnd w:id="275"/>
      <w:bookmarkEnd w:id="276"/>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13.1.1基本资格要求：具有中华人民共和国独立企业法人资格，企业营业执照须在有效期内。依法取得营业执照税务登记证及组织机构代码证，或三证合一或五证合一的营业执照，并经登记机关年审合格，具有独立订立合同的权利和履行合同的能力。</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13.1.2资质等级要求：</w:t>
      </w:r>
    </w:p>
    <w:p>
      <w:pPr>
        <w:pStyle w:val="35"/>
        <w:numPr>
          <w:ilvl w:val="0"/>
          <w:numId w:val="4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本项目要求承包人满足</w:t>
      </w:r>
      <w:r>
        <w:rPr>
          <w:rFonts w:hint="eastAsia" w:ascii="宋体" w:hAnsi="宋体" w:eastAsia="宋体" w:cs="宋体"/>
          <w:color w:val="auto"/>
          <w:highlight w:val="none"/>
          <w:u w:val="single"/>
          <w:lang w:val="en-US" w:eastAsia="zh-CN"/>
        </w:rPr>
        <w:t>建筑工程施工总承包二级</w:t>
      </w:r>
      <w:r>
        <w:rPr>
          <w:rFonts w:hint="eastAsia" w:ascii="宋体" w:hAnsi="宋体" w:eastAsia="宋体" w:cs="宋体"/>
          <w:color w:val="auto"/>
          <w:highlight w:val="none"/>
          <w:lang w:val="en-US" w:eastAsia="zh-CN"/>
        </w:rPr>
        <w:t>及以上资质。</w:t>
      </w:r>
    </w:p>
    <w:p>
      <w:pPr>
        <w:pStyle w:val="35"/>
        <w:numPr>
          <w:ilvl w:val="0"/>
          <w:numId w:val="0"/>
        </w:numPr>
        <w:spacing w:before="62" w:after="62" w:line="360" w:lineRule="auto"/>
        <w:ind w:leftChars="0"/>
        <w:rPr>
          <w:rFonts w:hint="eastAsia" w:ascii="宋体" w:hAnsi="宋体" w:eastAsia="宋体" w:cs="宋体"/>
          <w:color w:val="auto"/>
          <w:highlight w:val="none"/>
          <w:lang w:val="en-US" w:eastAsia="zh-CN"/>
        </w:rPr>
      </w:pP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依据</w:t>
      </w:r>
      <w:r>
        <w:rPr>
          <w:rFonts w:ascii="宋体" w:hAnsi="宋体" w:eastAsia="宋体" w:cs="宋体"/>
          <w:sz w:val="24"/>
          <w:szCs w:val="24"/>
          <w:highlight w:val="none"/>
        </w:rPr>
        <w:t>《</w:t>
      </w:r>
      <w:r>
        <w:rPr>
          <w:rFonts w:hint="eastAsia" w:ascii="宋体" w:hAnsi="宋体" w:eastAsia="宋体" w:cs="宋体"/>
          <w:color w:val="auto"/>
          <w:highlight w:val="none"/>
          <w:lang w:val="en-US" w:eastAsia="zh-CN"/>
        </w:rPr>
        <w:t>建筑业企业资质标准》1.4.2二级资质可承担下列建筑工程的施工：</w:t>
      </w:r>
    </w:p>
    <w:p>
      <w:pPr>
        <w:pStyle w:val="35"/>
        <w:numPr>
          <w:ilvl w:val="0"/>
          <w:numId w:val="0"/>
        </w:numPr>
        <w:spacing w:before="62" w:after="62" w:line="360" w:lineRule="auto"/>
        <w:ind w:leftChars="0"/>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①</w:t>
      </w:r>
      <w:r>
        <w:rPr>
          <w:rFonts w:hint="eastAsia" w:ascii="宋体" w:hAnsi="宋体" w:eastAsia="宋体" w:cs="宋体"/>
          <w:color w:val="auto"/>
          <w:highlight w:val="none"/>
          <w:lang w:val="en-US" w:eastAsia="zh-CN"/>
        </w:rPr>
        <w:t>高度100米以下的工业、民用建筑工程；</w:t>
      </w:r>
      <w:r>
        <w:rPr>
          <w:rFonts w:hint="default" w:ascii="宋体" w:hAnsi="宋体" w:eastAsia="宋体" w:cs="宋体"/>
          <w:color w:val="auto"/>
          <w:highlight w:val="none"/>
          <w:lang w:val="en-US" w:eastAsia="zh-CN"/>
        </w:rPr>
        <w:t>②</w:t>
      </w:r>
      <w:r>
        <w:rPr>
          <w:rFonts w:hint="eastAsia" w:ascii="宋体" w:hAnsi="宋体" w:eastAsia="宋体" w:cs="宋体"/>
          <w:color w:val="auto"/>
          <w:highlight w:val="none"/>
          <w:lang w:val="en-US" w:eastAsia="zh-CN"/>
        </w:rPr>
        <w:t>高度120米以下的构筑物工程；</w:t>
      </w:r>
      <w:r>
        <w:rPr>
          <w:rFonts w:hint="default" w:ascii="宋体" w:hAnsi="宋体" w:eastAsia="宋体" w:cs="宋体"/>
          <w:color w:val="auto"/>
          <w:highlight w:val="none"/>
          <w:lang w:val="en-US" w:eastAsia="zh-CN"/>
        </w:rPr>
        <w:t>③</w:t>
      </w:r>
      <w:r>
        <w:rPr>
          <w:rFonts w:hint="eastAsia" w:ascii="宋体" w:hAnsi="宋体" w:eastAsia="宋体" w:cs="宋体"/>
          <w:sz w:val="24"/>
          <w:szCs w:val="24"/>
          <w:highlight w:val="none"/>
        </w:rPr>
        <w:t xml:space="preserve">建筑面积4万平方米以下的单体工业、民用建筑工程； </w:t>
      </w:r>
      <w:r>
        <w:rPr>
          <w:rFonts w:hint="eastAsia" w:ascii="宋体" w:hAnsi="宋体" w:eastAsia="宋体" w:cs="宋体"/>
          <w:color w:val="auto"/>
          <w:highlight w:val="none"/>
          <w:lang w:val="en-US" w:eastAsia="zh-CN"/>
        </w:rPr>
        <w:t>④</w:t>
      </w:r>
      <w:r>
        <w:rPr>
          <w:rFonts w:hint="eastAsia" w:ascii="宋体" w:hAnsi="宋体" w:eastAsia="宋体" w:cs="宋体"/>
          <w:sz w:val="24"/>
          <w:szCs w:val="24"/>
          <w:highlight w:val="none"/>
        </w:rPr>
        <w:t>单跨跨度39米以下的建筑工程。</w:t>
      </w:r>
      <w:r>
        <w:rPr>
          <w:rFonts w:hint="eastAsia" w:ascii="宋体" w:hAnsi="宋体" w:cs="宋体"/>
          <w:sz w:val="24"/>
          <w:szCs w:val="24"/>
          <w:highlight w:val="none"/>
          <w:lang w:val="en-US" w:eastAsia="zh-CN"/>
        </w:rPr>
        <w:t>）</w:t>
      </w:r>
    </w:p>
    <w:p>
      <w:pPr>
        <w:pStyle w:val="35"/>
        <w:numPr>
          <w:ilvl w:val="0"/>
          <w:numId w:val="42"/>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资质证书须在有效期内。</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13.1.</w:t>
      </w:r>
      <w:r>
        <w:rPr>
          <w:rFonts w:hint="eastAsia" w:ascii="宋体" w:hAnsi="宋体" w:cs="宋体"/>
          <w:color w:val="auto"/>
          <w:sz w:val="24"/>
          <w:szCs w:val="24"/>
          <w:highlight w:val="none"/>
          <w:lang w:val="en-US" w:eastAsia="zh-CN" w:bidi="ar-SA"/>
        </w:rPr>
        <w:t>3</w:t>
      </w:r>
      <w:r>
        <w:rPr>
          <w:rFonts w:hint="eastAsia" w:ascii="宋体" w:hAnsi="宋体" w:eastAsia="宋体" w:cs="宋体"/>
          <w:color w:val="auto"/>
          <w:sz w:val="24"/>
          <w:szCs w:val="24"/>
          <w:highlight w:val="none"/>
          <w:lang w:val="en-US" w:eastAsia="zh-CN" w:bidi="ar-SA"/>
        </w:rPr>
        <w:t>安全许可证要求：须提供有效的建设行政主管部门颁发的</w:t>
      </w:r>
      <w:r>
        <w:rPr>
          <w:rFonts w:hint="eastAsia" w:ascii="宋体" w:hAnsi="宋体" w:eastAsia="宋体" w:cs="宋体"/>
          <w:b/>
          <w:bCs/>
          <w:color w:val="auto"/>
          <w:sz w:val="24"/>
          <w:szCs w:val="24"/>
          <w:highlight w:val="none"/>
          <w:u w:val="single"/>
          <w:lang w:val="en-US" w:eastAsia="zh-CN" w:bidi="ar-SA"/>
        </w:rPr>
        <w:t>安全生产许可证</w:t>
      </w:r>
      <w:r>
        <w:rPr>
          <w:rFonts w:hint="eastAsia" w:ascii="宋体" w:hAnsi="宋体" w:eastAsia="宋体" w:cs="宋体"/>
          <w:color w:val="auto"/>
          <w:sz w:val="24"/>
          <w:szCs w:val="24"/>
          <w:highlight w:val="none"/>
          <w:lang w:val="en-US" w:eastAsia="zh-CN" w:bidi="ar-SA"/>
        </w:rPr>
        <w:t>。</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13.1.</w:t>
      </w:r>
      <w:r>
        <w:rPr>
          <w:rFonts w:hint="eastAsia" w:ascii="宋体" w:hAnsi="宋体" w:cs="宋体"/>
          <w:color w:val="auto"/>
          <w:sz w:val="24"/>
          <w:szCs w:val="24"/>
          <w:highlight w:val="none"/>
          <w:lang w:val="en-US" w:eastAsia="zh-CN" w:bidi="ar-SA"/>
        </w:rPr>
        <w:t>4</w:t>
      </w:r>
      <w:r>
        <w:rPr>
          <w:rFonts w:hint="eastAsia" w:ascii="宋体" w:hAnsi="宋体" w:eastAsia="宋体" w:cs="宋体"/>
          <w:color w:val="auto"/>
          <w:sz w:val="24"/>
          <w:szCs w:val="24"/>
          <w:highlight w:val="none"/>
          <w:lang w:val="en-US" w:eastAsia="zh-CN" w:bidi="ar-SA"/>
        </w:rPr>
        <w:t>不接受联合体投标</w:t>
      </w:r>
    </w:p>
    <w:p>
      <w:pPr>
        <w:pStyle w:val="4"/>
        <w:spacing w:line="360" w:lineRule="auto"/>
        <w:rPr>
          <w:rFonts w:hint="eastAsia" w:ascii="微软雅黑" w:hAnsi="微软雅黑" w:eastAsia="微软雅黑" w:cs="微软雅黑"/>
          <w:color w:val="auto"/>
          <w:highlight w:val="none"/>
          <w:lang w:val="en-US" w:eastAsia="zh-CN"/>
        </w:rPr>
      </w:pPr>
      <w:bookmarkStart w:id="277" w:name="_Toc17355"/>
      <w:bookmarkStart w:id="278" w:name="_Toc13953"/>
      <w:bookmarkStart w:id="279" w:name="_Toc14879"/>
      <w:bookmarkStart w:id="280" w:name="_Toc454"/>
      <w:r>
        <w:rPr>
          <w:rFonts w:hint="eastAsia" w:ascii="微软雅黑" w:hAnsi="微软雅黑" w:eastAsia="微软雅黑" w:cs="微软雅黑"/>
          <w:color w:val="auto"/>
          <w:highlight w:val="none"/>
          <w:lang w:val="en-US" w:eastAsia="zh-CN"/>
        </w:rPr>
        <w:t>关键岗位人员要求</w:t>
      </w:r>
      <w:bookmarkEnd w:id="277"/>
      <w:bookmarkEnd w:id="278"/>
      <w:bookmarkEnd w:id="279"/>
      <w:bookmarkEnd w:id="280"/>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13.2.1项目部组织机构</w:t>
      </w:r>
    </w:p>
    <w:p>
      <w:pPr>
        <w:pStyle w:val="35"/>
        <w:numPr>
          <w:ilvl w:val="0"/>
          <w:numId w:val="4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应为完成本工作范围的施工工作成立专门的组织机构，专业配备应齐全和合理。组织机构表中应反映出从现场人员到项目经理各级报告关系，并明确规定各职员的岗位职责和任务。配置的施工项目部人员总数不得少于9 人（人员兼任不重复计算）</w:t>
      </w:r>
    </w:p>
    <w:p>
      <w:pPr>
        <w:pStyle w:val="35"/>
        <w:numPr>
          <w:ilvl w:val="0"/>
          <w:numId w:val="4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项目经理：要求目前无在建工程职务，中级及以上职称，</w:t>
      </w:r>
      <w:r>
        <w:rPr>
          <w:rFonts w:hint="eastAsia" w:ascii="宋体" w:hAnsi="宋体" w:eastAsia="宋体" w:cs="宋体"/>
          <w:b/>
          <w:bCs/>
          <w:color w:val="auto"/>
          <w:highlight w:val="none"/>
          <w:u w:val="single"/>
          <w:lang w:val="en-US" w:eastAsia="zh-CN"/>
        </w:rPr>
        <w:t>建筑工程注册一级建造师</w:t>
      </w:r>
      <w:r>
        <w:rPr>
          <w:rFonts w:hint="eastAsia" w:ascii="宋体" w:hAnsi="宋体" w:eastAsia="宋体" w:cs="宋体"/>
          <w:color w:val="auto"/>
          <w:highlight w:val="none"/>
          <w:lang w:val="en-US" w:eastAsia="zh-CN"/>
        </w:rPr>
        <w:t>执业资格证，并项目经理必须具备安全B证，应具备大学本科及以上学历，10年</w:t>
      </w:r>
      <w:r>
        <w:rPr>
          <w:rFonts w:hint="eastAsia" w:ascii="宋体" w:hAnsi="宋体" w:cs="宋体"/>
          <w:color w:val="auto"/>
          <w:highlight w:val="none"/>
          <w:lang w:val="en-US" w:eastAsia="zh-CN"/>
        </w:rPr>
        <w:t>及</w:t>
      </w:r>
      <w:r>
        <w:rPr>
          <w:rFonts w:hint="eastAsia" w:ascii="宋体" w:hAnsi="宋体" w:eastAsia="宋体" w:cs="宋体"/>
          <w:color w:val="auto"/>
          <w:highlight w:val="none"/>
          <w:lang w:val="en-US" w:eastAsia="zh-CN"/>
        </w:rPr>
        <w:t>以上工作经验。</w:t>
      </w:r>
    </w:p>
    <w:p>
      <w:pPr>
        <w:pStyle w:val="35"/>
        <w:numPr>
          <w:ilvl w:val="0"/>
          <w:numId w:val="4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项目技术负责人：要求目前无在建工程职务，中级及以上职称，</w:t>
      </w:r>
      <w:r>
        <w:rPr>
          <w:rFonts w:hint="eastAsia" w:ascii="宋体" w:hAnsi="宋体" w:eastAsia="宋体" w:cs="宋体"/>
          <w:b/>
          <w:bCs/>
          <w:color w:val="auto"/>
          <w:highlight w:val="none"/>
          <w:u w:val="single"/>
          <w:lang w:val="en-US" w:eastAsia="zh-CN"/>
        </w:rPr>
        <w:t>建筑工程注册一级建造师</w:t>
      </w:r>
      <w:r>
        <w:rPr>
          <w:rFonts w:hint="eastAsia" w:ascii="宋体" w:hAnsi="宋体" w:eastAsia="宋体" w:cs="宋体"/>
          <w:color w:val="auto"/>
          <w:highlight w:val="none"/>
          <w:lang w:val="en-US" w:eastAsia="zh-CN"/>
        </w:rPr>
        <w:t>执业资格证，并项应具备大学本科及以上学历，10年</w:t>
      </w:r>
      <w:r>
        <w:rPr>
          <w:rFonts w:hint="eastAsia" w:ascii="宋体" w:hAnsi="宋体" w:cs="宋体"/>
          <w:color w:val="auto"/>
          <w:highlight w:val="none"/>
          <w:lang w:val="en-US" w:eastAsia="zh-CN"/>
        </w:rPr>
        <w:t>及</w:t>
      </w:r>
      <w:r>
        <w:rPr>
          <w:rFonts w:hint="eastAsia" w:ascii="宋体" w:hAnsi="宋体" w:eastAsia="宋体" w:cs="宋体"/>
          <w:color w:val="auto"/>
          <w:highlight w:val="none"/>
          <w:lang w:val="en-US" w:eastAsia="zh-CN"/>
        </w:rPr>
        <w:t>以上工作经验。</w:t>
      </w:r>
    </w:p>
    <w:p>
      <w:pPr>
        <w:pStyle w:val="35"/>
        <w:numPr>
          <w:ilvl w:val="0"/>
          <w:numId w:val="4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HSE工程师：要求目前无在建工程职务；安全管理人员应单独配置，不得兼任其他管理岗位，</w:t>
      </w:r>
      <w:r>
        <w:rPr>
          <w:rFonts w:hint="eastAsia" w:ascii="宋体" w:hAnsi="宋体" w:cs="宋体"/>
          <w:color w:val="auto"/>
          <w:highlight w:val="none"/>
          <w:lang w:val="en-US" w:eastAsia="zh-CN"/>
        </w:rPr>
        <w:t>持有专职安全员C证</w:t>
      </w:r>
      <w:r>
        <w:rPr>
          <w:rFonts w:hint="eastAsia" w:ascii="宋体" w:hAnsi="宋体" w:eastAsia="宋体" w:cs="宋体"/>
          <w:color w:val="auto"/>
          <w:highlight w:val="none"/>
          <w:lang w:val="en-US" w:eastAsia="zh-CN"/>
        </w:rPr>
        <w:t>，具有类似工程的安全管理经验，并提供相关证书。</w:t>
      </w:r>
    </w:p>
    <w:p>
      <w:pPr>
        <w:pStyle w:val="35"/>
        <w:numPr>
          <w:ilvl w:val="0"/>
          <w:numId w:val="4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钢结构</w:t>
      </w:r>
      <w:r>
        <w:rPr>
          <w:rFonts w:hint="eastAsia" w:ascii="宋体" w:hAnsi="宋体" w:eastAsia="宋体" w:cs="宋体"/>
          <w:color w:val="auto"/>
          <w:highlight w:val="none"/>
          <w:lang w:val="en-US" w:eastAsia="zh-CN"/>
        </w:rPr>
        <w:t>工程师：要求目前无在建工程职务，中级及以上职称。</w:t>
      </w:r>
    </w:p>
    <w:p>
      <w:pPr>
        <w:pStyle w:val="35"/>
        <w:numPr>
          <w:ilvl w:val="0"/>
          <w:numId w:val="43"/>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其他技术和管理人员资格：根据岗位职责提供相关国家</w:t>
      </w:r>
      <w:r>
        <w:rPr>
          <w:rFonts w:hint="eastAsia" w:ascii="宋体" w:hAnsi="宋体" w:cs="宋体"/>
          <w:color w:val="auto"/>
          <w:highlight w:val="none"/>
          <w:lang w:val="en-US" w:eastAsia="zh-CN"/>
        </w:rPr>
        <w:t>认定</w:t>
      </w:r>
      <w:r>
        <w:rPr>
          <w:rFonts w:hint="eastAsia" w:ascii="宋体" w:hAnsi="宋体" w:eastAsia="宋体" w:cs="宋体"/>
          <w:color w:val="auto"/>
          <w:highlight w:val="none"/>
          <w:lang w:val="en-US" w:eastAsia="zh-CN"/>
        </w:rPr>
        <w:t>证书。</w:t>
      </w:r>
    </w:p>
    <w:p>
      <w:pPr>
        <w:pStyle w:val="35"/>
        <w:spacing w:before="62" w:after="62" w:line="360" w:lineRule="auto"/>
        <w:ind w:left="0" w:leftChars="0" w:firstLine="0" w:firstLineChars="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13.2.2施工管理人员</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其他施工管理人员须是本单位职工（需提供近半年社保证明（至投标截止日前），</w:t>
      </w:r>
      <w:r>
        <w:rPr>
          <w:rFonts w:hint="eastAsia" w:ascii="宋体" w:hAnsi="宋体" w:eastAsia="宋体" w:cs="宋体"/>
          <w:color w:val="auto"/>
          <w:highlight w:val="none"/>
          <w:lang w:val="en-US" w:eastAsia="zh-CN"/>
        </w:rPr>
        <w:t>且项目部所有人员注册证书聘用企业必须和乙方单位一致。</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乙方无特殊原因不得随意更换施工管理人员，</w:t>
      </w:r>
      <w:r>
        <w:rPr>
          <w:rFonts w:hint="eastAsia" w:ascii="宋体" w:hAnsi="宋体" w:eastAsia="宋体" w:cs="宋体"/>
          <w:b/>
          <w:bCs/>
          <w:color w:val="auto"/>
          <w:highlight w:val="none"/>
          <w:u w:val="single"/>
          <w:lang w:val="en-US" w:eastAsia="zh-CN"/>
        </w:rPr>
        <w:t>现场施工管理人员即投标中相关人员</w:t>
      </w:r>
      <w:r>
        <w:rPr>
          <w:rFonts w:hint="eastAsia" w:ascii="宋体" w:hAnsi="宋体" w:eastAsia="宋体" w:cs="宋体"/>
          <w:color w:val="auto"/>
          <w:highlight w:val="none"/>
          <w:lang w:val="en-US" w:eastAsia="zh-CN"/>
        </w:rPr>
        <w:t>。</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商无特殊原因不得随意更换施工管理人员，更换或新进承包商的管理人员必须经过建设方审批。未经建设方同意，承包商擅自更换项目经理的，支付违约金50万元。未经建设方同意，承包商擅自更换项目副经理、技术负责人、施工经理、质量经理、安全经理的，支付违约金25万元。未经建设方同意，承包商擅自更换本项目其他管理人员的，支付违约金15万元。违约金在当月进度款中扣除。承包商更换管理人员必须提前14天通知，并做好工作交接，同时提交工作交接书面记录给建设方和监理人审核。</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所有承包商管理人员必须每天到项目现场项目部上班，不得兼任其它项目职务。项目经理离岗时间在两天以内的，应向建设方工程部请假。离岗两天以上的，应向建设方项目主管副经理请假，经同意后上报请假条。</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承包商现场管理人员每周上班时间为6天（周六周日轮休，轮休期间应根据建设方要求随时到项目现场投入工作），每天的工作时间应为 8:00—17:30（根据工程施工需要，夜间安排值班），并做到24小时现场有管理人员值班，能及时处理发生的问题。承包商项目经理每周在工地办公时间不少于5天，每月带班生产时间不得少于本月施工时间的80%。</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对出现以下情况的承包商管理人员，建设方有权要求更换人员，包括：泄露项目的各方确认需要保密的事项；玩忽职守，不严格执行材料进场检验制度、不严格执行过程检验制度，不能及时发现施工过程中的质量、进度问题；责任心不强，不具备任职资格的管理人员等。</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工程项目部成员情况表（参照下表填写）</w:t>
      </w:r>
    </w:p>
    <w:p>
      <w:pPr>
        <w:pStyle w:val="35"/>
        <w:numPr>
          <w:ilvl w:val="0"/>
          <w:numId w:val="44"/>
        </w:numPr>
        <w:spacing w:before="62" w:after="62" w:line="360" w:lineRule="auto"/>
        <w:ind w:left="425" w:leftChars="0" w:hanging="425" w:firstLineChars="0"/>
        <w:rPr>
          <w:rFonts w:hint="eastAsia" w:ascii="宋体" w:hAnsi="宋体" w:eastAsia="宋体" w:cs="宋体"/>
          <w:color w:val="auto"/>
          <w:highlight w:val="none"/>
          <w:lang w:val="en-US" w:eastAsia="zh-CN"/>
        </w:rPr>
      </w:pPr>
    </w:p>
    <w:p>
      <w:pPr>
        <w:spacing w:line="520" w:lineRule="exact"/>
        <w:ind w:firstLine="1542" w:firstLineChars="640"/>
        <w:rPr>
          <w:rFonts w:hint="eastAsia" w:ascii="宋体" w:hAnsi="宋体" w:cs="仿宋_GB2312"/>
          <w:color w:val="auto"/>
          <w:sz w:val="24"/>
          <w:highlight w:val="none"/>
        </w:rPr>
      </w:pPr>
      <w:r>
        <w:rPr>
          <w:rFonts w:hint="eastAsia" w:ascii="宋体" w:hAnsi="宋体" w:cs="宋体"/>
          <w:b/>
          <w:bCs/>
          <w:color w:val="auto"/>
          <w:kern w:val="0"/>
          <w:sz w:val="24"/>
          <w:highlight w:val="none"/>
          <w:u w:val="single"/>
        </w:rPr>
        <w:t>　　　　　　　　　</w:t>
      </w:r>
      <w:r>
        <w:rPr>
          <w:rFonts w:hint="eastAsia" w:ascii="宋体" w:hAnsi="宋体" w:cs="宋体"/>
          <w:b/>
          <w:bCs/>
          <w:color w:val="auto"/>
          <w:kern w:val="0"/>
          <w:sz w:val="24"/>
          <w:highlight w:val="none"/>
          <w:u w:val="single"/>
          <w:lang w:val="en-US" w:eastAsia="zh-CN"/>
        </w:rPr>
        <w:t xml:space="preserve">       </w:t>
      </w:r>
      <w:r>
        <w:rPr>
          <w:rFonts w:hint="eastAsia" w:ascii="宋体" w:hAnsi="宋体" w:cs="宋体"/>
          <w:b/>
          <w:bCs/>
          <w:color w:val="auto"/>
          <w:kern w:val="0"/>
          <w:sz w:val="24"/>
          <w:highlight w:val="none"/>
        </w:rPr>
        <w:t>项目部成员情况表</w:t>
      </w:r>
    </w:p>
    <w:p>
      <w:pPr>
        <w:spacing w:line="52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项目部成员共</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人</w:t>
      </w:r>
    </w:p>
    <w:tbl>
      <w:tblPr>
        <w:tblStyle w:val="27"/>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751"/>
        <w:gridCol w:w="1372"/>
        <w:gridCol w:w="2250"/>
        <w:gridCol w:w="1179"/>
        <w:gridCol w:w="1180"/>
        <w:gridCol w:w="1180"/>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751"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姓名</w:t>
            </w:r>
          </w:p>
        </w:tc>
        <w:tc>
          <w:tcPr>
            <w:tcW w:w="1372"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在本项目担任职务</w:t>
            </w:r>
          </w:p>
        </w:tc>
        <w:tc>
          <w:tcPr>
            <w:tcW w:w="225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证件类别</w:t>
            </w:r>
          </w:p>
        </w:tc>
        <w:tc>
          <w:tcPr>
            <w:tcW w:w="1179"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证书编号</w:t>
            </w: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身份证号码</w:t>
            </w: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联系电话</w:t>
            </w:r>
          </w:p>
        </w:tc>
        <w:tc>
          <w:tcPr>
            <w:tcW w:w="1093" w:type="dxa"/>
            <w:noWrap w:val="0"/>
            <w:vAlign w:val="center"/>
          </w:tcPr>
          <w:p>
            <w:pPr>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tcBorders>
              <w:bottom w:val="single" w:color="auto" w:sz="4" w:space="0"/>
            </w:tcBorders>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751" w:type="dxa"/>
            <w:tcBorders>
              <w:bottom w:val="single" w:color="auto" w:sz="4" w:space="0"/>
            </w:tcBorders>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72" w:type="dxa"/>
            <w:tcBorders>
              <w:bottom w:val="single" w:color="auto" w:sz="4" w:space="0"/>
            </w:tcBorders>
            <w:noWrap w:val="0"/>
            <w:vAlign w:val="center"/>
          </w:tcPr>
          <w:p>
            <w:pPr>
              <w:widowControl/>
              <w:spacing w:line="400" w:lineRule="exact"/>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项目经理</w:t>
            </w:r>
          </w:p>
        </w:tc>
        <w:tc>
          <w:tcPr>
            <w:tcW w:w="2250" w:type="dxa"/>
            <w:tcBorders>
              <w:bottom w:val="single" w:color="auto" w:sz="4" w:space="0"/>
            </w:tcBorders>
            <w:noWrap w:val="0"/>
            <w:vAlign w:val="center"/>
          </w:tcPr>
          <w:p>
            <w:pPr>
              <w:widowControl/>
              <w:spacing w:line="40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注册建造师证</w:t>
            </w:r>
          </w:p>
          <w:p>
            <w:pPr>
              <w:widowControl/>
              <w:spacing w:line="40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安全生产考核合格证书（B证</w:t>
            </w:r>
            <w:r>
              <w:rPr>
                <w:rFonts w:hint="eastAsia" w:ascii="宋体" w:hAnsi="宋体" w:eastAsia="宋体" w:cs="宋体"/>
                <w:color w:val="auto"/>
                <w:sz w:val="21"/>
                <w:szCs w:val="21"/>
                <w:highlight w:val="none"/>
              </w:rPr>
              <w:t>）</w:t>
            </w:r>
          </w:p>
          <w:p>
            <w:pPr>
              <w:pStyle w:val="38"/>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中级或中级以上职称证</w:t>
            </w:r>
          </w:p>
        </w:tc>
        <w:tc>
          <w:tcPr>
            <w:tcW w:w="1179" w:type="dxa"/>
            <w:tcBorders>
              <w:bottom w:val="single" w:color="auto" w:sz="4" w:space="0"/>
            </w:tcBorders>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证书编号勿填写成注册号</w:t>
            </w:r>
          </w:p>
        </w:tc>
        <w:tc>
          <w:tcPr>
            <w:tcW w:w="1180" w:type="dxa"/>
            <w:tcBorders>
              <w:bottom w:val="single" w:color="auto" w:sz="4" w:space="0"/>
            </w:tcBorders>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tcBorders>
              <w:bottom w:val="single" w:color="auto" w:sz="4" w:space="0"/>
            </w:tcBorders>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093" w:type="dxa"/>
            <w:tcBorders>
              <w:bottom w:val="single" w:color="auto" w:sz="4" w:space="0"/>
            </w:tcBorders>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751"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72"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技术负责人</w:t>
            </w:r>
          </w:p>
        </w:tc>
        <w:tc>
          <w:tcPr>
            <w:tcW w:w="2250" w:type="dxa"/>
            <w:noWrap w:val="0"/>
            <w:vAlign w:val="center"/>
          </w:tcPr>
          <w:p>
            <w:pPr>
              <w:widowControl/>
              <w:spacing w:line="40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注册建造师证</w:t>
            </w:r>
          </w:p>
          <w:p>
            <w:pPr>
              <w:pStyle w:val="38"/>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中级或中级以上职称证</w:t>
            </w:r>
          </w:p>
        </w:tc>
        <w:tc>
          <w:tcPr>
            <w:tcW w:w="1179"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09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noWrap w:val="0"/>
            <w:vAlign w:val="center"/>
          </w:tcPr>
          <w:p>
            <w:pPr>
              <w:widowControl/>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751"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72" w:type="dxa"/>
            <w:noWrap w:val="0"/>
            <w:vAlign w:val="center"/>
          </w:tcPr>
          <w:p>
            <w:pPr>
              <w:widowControl/>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安全负责人</w:t>
            </w:r>
          </w:p>
        </w:tc>
        <w:tc>
          <w:tcPr>
            <w:tcW w:w="2250" w:type="dxa"/>
            <w:noWrap w:val="0"/>
            <w:vAlign w:val="center"/>
          </w:tcPr>
          <w:p>
            <w:pPr>
              <w:widowControl/>
              <w:spacing w:line="400" w:lineRule="exact"/>
              <w:jc w:val="both"/>
              <w:rPr>
                <w:rFonts w:hint="eastAsia" w:ascii="宋体" w:hAnsi="宋体" w:eastAsia="宋体" w:cs="宋体"/>
                <w:color w:val="auto"/>
                <w:kern w:val="0"/>
                <w:sz w:val="21"/>
                <w:szCs w:val="21"/>
                <w:highlight w:val="none"/>
                <w:lang w:val="en-US" w:eastAsia="zh-CN"/>
              </w:rPr>
            </w:pPr>
            <w:r>
              <w:rPr>
                <w:rFonts w:hint="eastAsia" w:ascii="宋体" w:hAnsi="宋体" w:cs="宋体"/>
                <w:color w:val="auto"/>
                <w:highlight w:val="none"/>
                <w:lang w:val="en-US" w:eastAsia="zh-CN"/>
              </w:rPr>
              <w:t>专职安全员C证</w:t>
            </w:r>
          </w:p>
        </w:tc>
        <w:tc>
          <w:tcPr>
            <w:tcW w:w="1179"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09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noWrap w:val="0"/>
            <w:vAlign w:val="center"/>
          </w:tcPr>
          <w:p>
            <w:pPr>
              <w:widowControl/>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751"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72"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施工员</w:t>
            </w:r>
          </w:p>
        </w:tc>
        <w:tc>
          <w:tcPr>
            <w:tcW w:w="2250" w:type="dxa"/>
            <w:noWrap w:val="0"/>
            <w:vAlign w:val="center"/>
          </w:tcPr>
          <w:p>
            <w:pPr>
              <w:widowControl/>
              <w:spacing w:line="400" w:lineRule="exact"/>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施工员证</w:t>
            </w:r>
          </w:p>
        </w:tc>
        <w:tc>
          <w:tcPr>
            <w:tcW w:w="1179"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09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noWrap w:val="0"/>
            <w:vAlign w:val="center"/>
          </w:tcPr>
          <w:p>
            <w:pPr>
              <w:widowControl/>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751"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72"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质检员</w:t>
            </w:r>
          </w:p>
        </w:tc>
        <w:tc>
          <w:tcPr>
            <w:tcW w:w="2250" w:type="dxa"/>
            <w:noWrap w:val="0"/>
            <w:vAlign w:val="center"/>
          </w:tcPr>
          <w:p>
            <w:pPr>
              <w:widowControl/>
              <w:spacing w:line="400" w:lineRule="exact"/>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质检员证</w:t>
            </w:r>
          </w:p>
        </w:tc>
        <w:tc>
          <w:tcPr>
            <w:tcW w:w="1179"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09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noWrap w:val="0"/>
            <w:vAlign w:val="center"/>
          </w:tcPr>
          <w:p>
            <w:pPr>
              <w:widowControl/>
              <w:spacing w:line="400" w:lineRule="exact"/>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751"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72"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现场</w:t>
            </w:r>
            <w:r>
              <w:rPr>
                <w:rFonts w:hint="eastAsia" w:ascii="宋体" w:hAnsi="宋体" w:eastAsia="宋体" w:cs="宋体"/>
                <w:color w:val="auto"/>
                <w:kern w:val="0"/>
                <w:sz w:val="21"/>
                <w:szCs w:val="21"/>
                <w:highlight w:val="none"/>
              </w:rPr>
              <w:t>专职安全生产管理人员</w:t>
            </w:r>
          </w:p>
        </w:tc>
        <w:tc>
          <w:tcPr>
            <w:tcW w:w="2250" w:type="dxa"/>
            <w:noWrap w:val="0"/>
            <w:vAlign w:val="center"/>
          </w:tcPr>
          <w:p>
            <w:pPr>
              <w:widowControl/>
              <w:spacing w:line="400" w:lineRule="exact"/>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安全生产考核合格证书（C证）</w:t>
            </w:r>
          </w:p>
        </w:tc>
        <w:tc>
          <w:tcPr>
            <w:tcW w:w="1179"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09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473" w:type="dxa"/>
            <w:noWrap w:val="0"/>
            <w:vAlign w:val="center"/>
          </w:tcPr>
          <w:p>
            <w:pPr>
              <w:widowControl/>
              <w:spacing w:line="400" w:lineRule="exact"/>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751"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72"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其他人员</w:t>
            </w:r>
          </w:p>
        </w:tc>
        <w:tc>
          <w:tcPr>
            <w:tcW w:w="225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79"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180"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093" w:type="dxa"/>
            <w:noWrap w:val="0"/>
            <w:vAlign w:val="center"/>
          </w:tcPr>
          <w:p>
            <w:pPr>
              <w:widowControl/>
              <w:spacing w:line="400" w:lineRule="exact"/>
              <w:jc w:val="center"/>
              <w:rPr>
                <w:rFonts w:hint="eastAsia" w:ascii="宋体" w:hAnsi="宋体" w:eastAsia="宋体" w:cs="宋体"/>
                <w:color w:val="auto"/>
                <w:kern w:val="0"/>
                <w:sz w:val="21"/>
                <w:szCs w:val="21"/>
                <w:highlight w:val="none"/>
              </w:rPr>
            </w:pPr>
          </w:p>
        </w:tc>
      </w:tr>
    </w:tbl>
    <w:p>
      <w:pPr>
        <w:pStyle w:val="35"/>
        <w:numPr>
          <w:ilvl w:val="0"/>
          <w:numId w:val="0"/>
        </w:numPr>
        <w:spacing w:before="62" w:after="62" w:line="360" w:lineRule="auto"/>
        <w:ind w:leftChars="0"/>
        <w:rPr>
          <w:rFonts w:hint="eastAsia" w:ascii="宋体" w:hAnsi="宋体" w:eastAsia="宋体" w:cs="宋体"/>
          <w:color w:val="auto"/>
          <w:highlight w:val="none"/>
          <w:lang w:val="en-US" w:eastAsia="zh-CN"/>
        </w:rPr>
      </w:pPr>
      <w:r>
        <w:rPr>
          <w:rFonts w:hint="eastAsia" w:ascii="仿宋_GB2312" w:hAnsi="宋体" w:eastAsia="仿宋_GB2312" w:cs="宋体"/>
          <w:b/>
          <w:color w:val="auto"/>
          <w:kern w:val="0"/>
          <w:sz w:val="24"/>
          <w:highlight w:val="none"/>
        </w:rPr>
        <w:t>注：1、本表格须填写项目部全部成员情况，可扩展，须附</w:t>
      </w:r>
      <w:r>
        <w:rPr>
          <w:rFonts w:hint="eastAsia" w:ascii="仿宋_GB2312" w:hAnsi="宋体" w:eastAsia="仿宋_GB2312" w:cs="宋体"/>
          <w:b/>
          <w:color w:val="auto"/>
          <w:kern w:val="0"/>
          <w:sz w:val="24"/>
          <w:highlight w:val="none"/>
          <w:lang w:val="en-US" w:eastAsia="zh-CN"/>
        </w:rPr>
        <w:t>施工</w:t>
      </w:r>
      <w:r>
        <w:rPr>
          <w:rFonts w:hint="eastAsia" w:ascii="仿宋_GB2312" w:hAnsi="宋体" w:eastAsia="仿宋_GB2312" w:cs="宋体"/>
          <w:b/>
          <w:color w:val="auto"/>
          <w:kern w:val="0"/>
          <w:sz w:val="24"/>
          <w:highlight w:val="none"/>
        </w:rPr>
        <w:t>合同中</w:t>
      </w:r>
      <w:r>
        <w:rPr>
          <w:rFonts w:hint="eastAsia" w:ascii="仿宋_GB2312" w:hAnsi="宋体" w:eastAsia="仿宋_GB2312" w:cs="宋体"/>
          <w:color w:val="auto"/>
          <w:kern w:val="0"/>
          <w:sz w:val="24"/>
          <w:highlight w:val="none"/>
        </w:rPr>
        <w:t>。</w:t>
      </w:r>
    </w:p>
    <w:p>
      <w:pPr>
        <w:pStyle w:val="4"/>
        <w:spacing w:line="360" w:lineRule="auto"/>
        <w:rPr>
          <w:rFonts w:hint="eastAsia" w:ascii="微软雅黑" w:hAnsi="微软雅黑" w:eastAsia="微软雅黑" w:cs="微软雅黑"/>
          <w:color w:val="auto"/>
          <w:highlight w:val="none"/>
          <w:lang w:val="en-US" w:eastAsia="zh-CN"/>
        </w:rPr>
      </w:pPr>
      <w:bookmarkStart w:id="281" w:name="_Toc2279"/>
      <w:r>
        <w:rPr>
          <w:rFonts w:hint="eastAsia" w:ascii="微软雅黑" w:hAnsi="微软雅黑" w:eastAsia="微软雅黑" w:cs="微软雅黑"/>
          <w:color w:val="auto"/>
          <w:highlight w:val="none"/>
          <w:lang w:val="en-US" w:eastAsia="zh-CN"/>
        </w:rPr>
        <w:t>业绩要求</w:t>
      </w:r>
      <w:bookmarkEnd w:id="281"/>
    </w:p>
    <w:p>
      <w:pPr>
        <w:pStyle w:val="35"/>
        <w:numPr>
          <w:ilvl w:val="0"/>
          <w:numId w:val="0"/>
        </w:numPr>
        <w:spacing w:before="62" w:after="62" w:line="360" w:lineRule="auto"/>
        <w:ind w:leftChars="0" w:firstLine="24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（1）202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年1月1日起至投标截止日，至少具有2项（含）以上已完工的合同金额不低于</w:t>
      </w:r>
      <w:r>
        <w:rPr>
          <w:rFonts w:hint="eastAsia" w:ascii="宋体" w:hAnsi="宋体" w:cs="宋体"/>
          <w:color w:val="auto"/>
          <w:highlight w:val="none"/>
          <w:lang w:val="en-US" w:eastAsia="zh-CN"/>
        </w:rPr>
        <w:t>2000</w:t>
      </w:r>
      <w:r>
        <w:rPr>
          <w:rFonts w:hint="eastAsia" w:ascii="宋体" w:hAnsi="宋体" w:eastAsia="宋体" w:cs="宋体"/>
          <w:color w:val="auto"/>
          <w:highlight w:val="none"/>
          <w:lang w:val="en-US" w:eastAsia="zh-CN"/>
        </w:rPr>
        <w:t>万元的建筑工程</w:t>
      </w:r>
      <w:r>
        <w:rPr>
          <w:rFonts w:hint="eastAsia" w:ascii="宋体" w:hAnsi="宋体" w:cs="宋体"/>
          <w:color w:val="auto"/>
          <w:highlight w:val="none"/>
          <w:lang w:val="en-US" w:eastAsia="zh-CN"/>
        </w:rPr>
        <w:t>（钢结构）</w:t>
      </w:r>
      <w:r>
        <w:rPr>
          <w:rFonts w:hint="eastAsia" w:ascii="宋体" w:hAnsi="宋体" w:eastAsia="宋体" w:cs="宋体"/>
          <w:color w:val="auto"/>
          <w:highlight w:val="none"/>
          <w:lang w:val="en-US" w:eastAsia="zh-CN"/>
        </w:rPr>
        <w:t>施工业绩，并提供业绩证明材料扫描件（证明材料包括：合同关键页（封面页、合同内容页、签约金额/项目规模页和签字页）、项目规模证明材料，验收报告或完工报告或中间交工验收报告等证明合作双方工作内容和工作已完成的证明文件（以完工日期为准，原件备查），未提供证明材料的业绩为无效业绩。</w:t>
      </w:r>
    </w:p>
    <w:p>
      <w:pPr>
        <w:pStyle w:val="35"/>
        <w:numPr>
          <w:ilvl w:val="0"/>
          <w:numId w:val="0"/>
        </w:numPr>
        <w:spacing w:before="62" w:after="62" w:line="360" w:lineRule="auto"/>
        <w:ind w:leftChars="0" w:firstLine="24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（2）近三年内（202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年至投标截止日）有良好的健康安全环保（HSE）及文明施工业绩，并书面承诺近五年内施工的工程未发生重大安全质量事故。</w:t>
      </w:r>
    </w:p>
    <w:p>
      <w:pPr>
        <w:pStyle w:val="35"/>
        <w:numPr>
          <w:ilvl w:val="0"/>
          <w:numId w:val="0"/>
        </w:numPr>
        <w:spacing w:before="62" w:after="62" w:line="360" w:lineRule="auto"/>
        <w:ind w:leftChars="0" w:firstLine="24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（3）未被列入严重违法失信企业名单或失信被执行人名单，并提供信用中国等网站查询结果。</w:t>
      </w:r>
    </w:p>
    <w:p>
      <w:pPr>
        <w:pStyle w:val="3"/>
        <w:spacing w:line="360" w:lineRule="auto"/>
        <w:ind w:left="694" w:leftChars="0" w:firstLineChars="0"/>
        <w:rPr>
          <w:rFonts w:hint="eastAsia" w:cs="宋体"/>
          <w:caps/>
          <w:color w:val="auto"/>
          <w:highlight w:val="none"/>
        </w:rPr>
      </w:pPr>
      <w:bookmarkStart w:id="282" w:name="_Toc23771"/>
      <w:bookmarkStart w:id="283" w:name="_Toc23401"/>
      <w:bookmarkStart w:id="284" w:name="_Toc25803"/>
      <w:bookmarkStart w:id="285" w:name="_Toc20916"/>
      <w:r>
        <w:rPr>
          <w:rFonts w:hint="eastAsia" w:cs="宋体"/>
          <w:caps/>
          <w:color w:val="auto"/>
          <w:highlight w:val="none"/>
        </w:rPr>
        <w:t>其他</w:t>
      </w:r>
      <w:bookmarkEnd w:id="282"/>
      <w:bookmarkEnd w:id="283"/>
      <w:bookmarkEnd w:id="284"/>
      <w:bookmarkEnd w:id="285"/>
    </w:p>
    <w:p>
      <w:pPr>
        <w:spacing w:line="360" w:lineRule="auto"/>
        <w:ind w:left="0" w:leftChars="0" w:firstLine="0" w:firstLineChars="0"/>
        <w:jc w:val="left"/>
        <w:outlineLvl w:val="1"/>
        <w:rPr>
          <w:rFonts w:hint="eastAsia" w:ascii="宋体" w:hAnsi="宋体" w:eastAsia="宋体" w:cs="宋体"/>
          <w:color w:val="auto"/>
          <w:sz w:val="24"/>
          <w:szCs w:val="24"/>
          <w:highlight w:val="none"/>
          <w:lang w:val="en-US" w:eastAsia="zh-CN" w:bidi="ar-SA"/>
        </w:rPr>
      </w:pPr>
      <w:bookmarkStart w:id="286" w:name="_Toc22743"/>
      <w:bookmarkStart w:id="287" w:name="_Toc10051"/>
      <w:bookmarkStart w:id="288" w:name="_Toc27024"/>
      <w:bookmarkStart w:id="289" w:name="_Toc19768"/>
      <w:bookmarkStart w:id="290" w:name="_Toc4844"/>
      <w:r>
        <w:rPr>
          <w:rFonts w:hint="eastAsia" w:ascii="微软雅黑" w:hAnsi="微软雅黑" w:eastAsia="微软雅黑" w:cs="微软雅黑"/>
          <w:color w:val="auto"/>
          <w:sz w:val="24"/>
          <w:szCs w:val="20"/>
          <w:highlight w:val="none"/>
          <w:lang w:val="en-US" w:eastAsia="zh-CN" w:bidi="ar-SA"/>
        </w:rPr>
        <w:t>14.1技术联系人</w:t>
      </w:r>
      <w:r>
        <w:rPr>
          <w:rFonts w:hint="eastAsia" w:ascii="宋体" w:hAnsi="宋体" w:eastAsia="宋体" w:cs="宋体"/>
          <w:color w:val="auto"/>
          <w:sz w:val="24"/>
          <w:szCs w:val="24"/>
          <w:highlight w:val="none"/>
          <w:lang w:val="en-US" w:eastAsia="zh-CN" w:bidi="ar-SA"/>
        </w:rPr>
        <w:t>：张明玮</w:t>
      </w:r>
      <w:bookmarkEnd w:id="286"/>
      <w:r>
        <w:rPr>
          <w:rFonts w:hint="eastAsia" w:ascii="宋体" w:hAnsi="宋体" w:eastAsia="宋体" w:cs="宋体"/>
          <w:color w:val="auto"/>
          <w:sz w:val="24"/>
          <w:szCs w:val="24"/>
          <w:highlight w:val="none"/>
          <w:lang w:val="en-US" w:eastAsia="zh-CN" w:bidi="ar-SA"/>
        </w:rPr>
        <w:t xml:space="preserve">   </w:t>
      </w:r>
      <w:bookmarkEnd w:id="287"/>
      <w:bookmarkEnd w:id="288"/>
      <w:bookmarkEnd w:id="289"/>
      <w:bookmarkEnd w:id="290"/>
    </w:p>
    <w:p>
      <w:pPr>
        <w:spacing w:line="360" w:lineRule="auto"/>
        <w:ind w:left="0" w:leftChars="0" w:firstLine="0" w:firstLineChars="0"/>
        <w:jc w:val="left"/>
        <w:outlineLvl w:val="1"/>
        <w:rPr>
          <w:rFonts w:hint="eastAsia" w:ascii="宋体" w:hAnsi="宋体" w:eastAsia="宋体" w:cs="宋体"/>
          <w:b w:val="0"/>
          <w:bCs w:val="0"/>
          <w:color w:val="auto"/>
          <w:highlight w:val="none"/>
          <w:lang w:val="en-US" w:eastAsia="zh-CN"/>
        </w:rPr>
      </w:pPr>
      <w:bookmarkStart w:id="291" w:name="_Toc12894"/>
      <w:r>
        <w:rPr>
          <w:rFonts w:hint="eastAsia" w:ascii="微软雅黑" w:hAnsi="微软雅黑" w:eastAsia="微软雅黑" w:cs="微软雅黑"/>
          <w:color w:val="auto"/>
          <w:sz w:val="24"/>
          <w:szCs w:val="20"/>
          <w:highlight w:val="none"/>
          <w:lang w:val="en-US" w:eastAsia="zh-CN" w:bidi="ar-SA"/>
        </w:rPr>
        <w:t>14.2付款方式</w:t>
      </w:r>
      <w:r>
        <w:rPr>
          <w:rFonts w:hint="eastAsia" w:ascii="宋体" w:hAnsi="宋体" w:eastAsia="宋体" w:cs="宋体"/>
          <w:b w:val="0"/>
          <w:bCs w:val="0"/>
          <w:color w:val="auto"/>
          <w:highlight w:val="none"/>
          <w:lang w:val="en-US" w:eastAsia="zh-CN"/>
        </w:rPr>
        <w:t>：银行电汇。</w:t>
      </w:r>
      <w:bookmarkEnd w:id="291"/>
    </w:p>
    <w:p>
      <w:pPr>
        <w:spacing w:line="360" w:lineRule="auto"/>
        <w:ind w:left="0" w:leftChars="0" w:firstLine="0" w:firstLineChars="0"/>
        <w:jc w:val="left"/>
        <w:outlineLvl w:val="1"/>
        <w:rPr>
          <w:rFonts w:hint="eastAsia" w:ascii="宋体" w:hAnsi="宋体" w:eastAsia="宋体" w:cs="宋体"/>
          <w:b w:val="0"/>
          <w:bCs w:val="0"/>
          <w:color w:val="auto"/>
          <w:highlight w:val="none"/>
          <w:lang w:val="en-US" w:eastAsia="zh-CN"/>
        </w:rPr>
      </w:pPr>
      <w:bookmarkStart w:id="292" w:name="_Toc24128"/>
      <w:r>
        <w:rPr>
          <w:rFonts w:hint="eastAsia" w:ascii="微软雅黑" w:hAnsi="微软雅黑" w:eastAsia="微软雅黑" w:cs="微软雅黑"/>
          <w:color w:val="auto"/>
          <w:sz w:val="24"/>
          <w:szCs w:val="20"/>
          <w:highlight w:val="none"/>
          <w:lang w:val="en-US" w:eastAsia="zh-CN" w:bidi="ar-SA"/>
        </w:rPr>
        <w:t>14.3付款周期要求</w:t>
      </w:r>
      <w:r>
        <w:rPr>
          <w:rFonts w:hint="eastAsia" w:ascii="宋体" w:hAnsi="宋体" w:eastAsia="宋体" w:cs="宋体"/>
          <w:b w:val="0"/>
          <w:bCs w:val="0"/>
          <w:color w:val="auto"/>
          <w:highlight w:val="none"/>
          <w:lang w:val="en-US" w:eastAsia="zh-CN"/>
        </w:rPr>
        <w:t>：</w:t>
      </w:r>
      <w:bookmarkEnd w:id="292"/>
    </w:p>
    <w:p>
      <w:pPr>
        <w:pStyle w:val="35"/>
        <w:spacing w:before="62" w:after="62" w:line="360" w:lineRule="auto"/>
        <w:ind w:left="0" w:leftChars="0" w:firstLine="480" w:firstLineChars="200"/>
        <w:rPr>
          <w:rFonts w:hint="eastAsia" w:ascii="宋体" w:hAnsi="宋体" w:eastAsia="宋体" w:cs="宋体"/>
          <w:b w:val="0"/>
          <w:bCs w:val="0"/>
          <w:color w:val="auto"/>
          <w:highlight w:val="none"/>
          <w:lang w:val="en-US" w:eastAsia="zh-CN"/>
        </w:rPr>
      </w:pPr>
      <w:bookmarkStart w:id="298" w:name="_GoBack"/>
      <w:r>
        <w:rPr>
          <w:rFonts w:hint="eastAsia" w:ascii="宋体" w:hAnsi="宋体" w:eastAsia="宋体" w:cs="宋体"/>
          <w:b w:val="0"/>
          <w:bCs w:val="0"/>
          <w:color w:val="auto"/>
          <w:highlight w:val="none"/>
          <w:lang w:val="en-US" w:eastAsia="zh-CN"/>
        </w:rPr>
        <w:t>（1）预付款：发包人预付合同总价（扣除暂列金额、暂估价项目、发包人供应材料设备价格、总承包服务费、安全防护文明施工措施费）的10%工程预付款。发包人收到投标人提出支付申请、提供按合同约定格式开具的与预付款等额的预付款银行保函、履约保函证明文件、合同约定应由投标人购买的保险单复印件（验原件）、收据，发包人在收到支付预付款所需的全部文件后的45个工作日内审核完毕并进行支付。</w:t>
      </w:r>
    </w:p>
    <w:bookmarkEnd w:id="298"/>
    <w:p>
      <w:pPr>
        <w:pStyle w:val="35"/>
        <w:spacing w:before="62" w:after="62" w:line="360" w:lineRule="auto"/>
        <w:ind w:left="0" w:leftChars="0" w:firstLine="48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工程款：1）合同生效后，投标人每月25日前向监理人报送上月20日至当月19日已完工工程统计报表和进度款支付申请，农民工工资发放证明，经建设方、承包人、监理人、造价咨询机构四方审定的产值,承包人按审定产值开具增值税发票，建设方每月审定完成后45天内支付一次工程进度款，支付额度为审定合同内实际完成工程量的80%，累计支付不超过签约合同价格（实际完成部分）的80%，同步扣回预付款；2）承包人施工的工程经整体机械验收合格后，承包人提交付款申请及农民工工资结清单据及依据，</w:t>
      </w:r>
      <w:r>
        <w:rPr>
          <w:rFonts w:hint="eastAsia" w:ascii="宋体" w:hAnsi="宋体" w:cs="宋体"/>
          <w:b w:val="0"/>
          <w:bCs w:val="0"/>
          <w:color w:val="auto"/>
          <w:highlight w:val="none"/>
          <w:lang w:val="en-US" w:eastAsia="zh-CN"/>
        </w:rPr>
        <w:t>并</w:t>
      </w:r>
      <w:r>
        <w:rPr>
          <w:rFonts w:hint="eastAsia" w:ascii="宋体" w:hAnsi="宋体" w:eastAsia="宋体" w:cs="宋体"/>
          <w:b w:val="0"/>
          <w:bCs w:val="0"/>
          <w:color w:val="auto"/>
          <w:highlight w:val="none"/>
          <w:lang w:val="en-US" w:eastAsia="zh-CN"/>
        </w:rPr>
        <w:t>经审计部门审计完成并已出具审计报告，审计后确定的工程价款</w:t>
      </w:r>
      <w:r>
        <w:rPr>
          <w:rFonts w:hint="eastAsia" w:ascii="宋体" w:hAnsi="宋体" w:cs="宋体"/>
          <w:b w:val="0"/>
          <w:bCs w:val="0"/>
          <w:color w:val="auto"/>
          <w:highlight w:val="none"/>
          <w:lang w:val="en-US" w:eastAsia="zh-CN"/>
        </w:rPr>
        <w:t>，</w:t>
      </w:r>
      <w:r>
        <w:rPr>
          <w:rFonts w:hint="eastAsia" w:ascii="宋体" w:hAnsi="宋体" w:eastAsia="宋体" w:cs="宋体"/>
          <w:b w:val="0"/>
          <w:bCs w:val="0"/>
          <w:color w:val="auto"/>
          <w:highlight w:val="none"/>
          <w:lang w:val="en-US" w:eastAsia="zh-CN"/>
        </w:rPr>
        <w:t>45天内支付至签约合同总价款的</w:t>
      </w:r>
      <w:r>
        <w:rPr>
          <w:rFonts w:hint="eastAsia" w:ascii="宋体" w:hAnsi="宋体" w:cs="宋体"/>
          <w:b w:val="0"/>
          <w:bCs w:val="0"/>
          <w:color w:val="auto"/>
          <w:highlight w:val="none"/>
          <w:lang w:val="en-US" w:eastAsia="zh-CN"/>
        </w:rPr>
        <w:t>97</w:t>
      </w:r>
      <w:r>
        <w:rPr>
          <w:rFonts w:hint="eastAsia" w:ascii="宋体" w:hAnsi="宋体" w:eastAsia="宋体" w:cs="宋体"/>
          <w:b w:val="0"/>
          <w:bCs w:val="0"/>
          <w:color w:val="auto"/>
          <w:highlight w:val="none"/>
          <w:lang w:val="en-US" w:eastAsia="zh-CN"/>
        </w:rPr>
        <w:t>%；3）本项目剩余的3%价款作为质量保证金。5）最终结清：在竣工验收合格之日起1年（缺陷责任期满无质量问题后）后30天后，将剩余质量保留金无息返还。</w:t>
      </w:r>
    </w:p>
    <w:p>
      <w:pPr>
        <w:pStyle w:val="35"/>
        <w:spacing w:before="62" w:after="62" w:line="360" w:lineRule="auto"/>
        <w:ind w:left="0" w:leftChars="0" w:firstLine="48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lang w:val="en-US" w:eastAsia="zh-CN"/>
        </w:rPr>
        <w:t>）预付款扣回将在支付第一次进度款时开始扣回，分</w:t>
      </w: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lang w:val="en-US" w:eastAsia="zh-CN"/>
        </w:rPr>
        <w:t>次等额扣回。</w:t>
      </w:r>
    </w:p>
    <w:p>
      <w:pPr>
        <w:pStyle w:val="35"/>
        <w:spacing w:before="62" w:after="62" w:line="360" w:lineRule="auto"/>
        <w:ind w:left="0" w:leftChars="0" w:firstLine="480"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4、结算方式：按合同约定执行。</w:t>
      </w:r>
    </w:p>
    <w:p>
      <w:pPr>
        <w:pStyle w:val="35"/>
        <w:spacing w:before="62" w:after="62" w:line="360" w:lineRule="auto"/>
        <w:ind w:left="0" w:leftChars="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b w:val="0"/>
          <w:bCs w:val="0"/>
          <w:color w:val="auto"/>
          <w:highlight w:val="none"/>
          <w:lang w:val="en-US" w:eastAsia="zh-CN"/>
        </w:rPr>
        <w:t>5、其他特殊要求：无</w:t>
      </w:r>
      <w:r>
        <w:rPr>
          <w:rFonts w:hint="eastAsia" w:ascii="宋体" w:hAnsi="宋体" w:eastAsia="宋体" w:cs="宋体"/>
          <w:color w:val="auto"/>
          <w:sz w:val="24"/>
          <w:szCs w:val="24"/>
          <w:highlight w:val="none"/>
          <w:lang w:val="en-US" w:eastAsia="zh-CN" w:bidi="ar-SA"/>
        </w:rPr>
        <w:t>。</w:t>
      </w:r>
    </w:p>
    <w:p>
      <w:pPr>
        <w:pStyle w:val="3"/>
        <w:numPr>
          <w:ilvl w:val="0"/>
          <w:numId w:val="0"/>
        </w:numPr>
        <w:spacing w:line="360" w:lineRule="auto"/>
        <w:rPr>
          <w:rFonts w:hint="eastAsia" w:cs="宋体"/>
          <w:caps/>
          <w:color w:val="auto"/>
          <w:highlight w:val="none"/>
        </w:rPr>
      </w:pPr>
      <w:bookmarkStart w:id="293" w:name="_Toc14405"/>
      <w:bookmarkStart w:id="294" w:name="_Toc29277"/>
      <w:bookmarkStart w:id="295" w:name="_Toc25247"/>
      <w:bookmarkStart w:id="296" w:name="_Toc26467"/>
      <w:r>
        <w:rPr>
          <w:rFonts w:hint="eastAsia" w:cs="宋体"/>
          <w:caps/>
          <w:color w:val="auto"/>
          <w:highlight w:val="none"/>
          <w:lang w:val="en-US" w:eastAsia="zh-CN"/>
        </w:rPr>
        <w:t>15 相关</w:t>
      </w:r>
      <w:r>
        <w:rPr>
          <w:rFonts w:hint="eastAsia" w:cs="宋体"/>
          <w:caps/>
          <w:color w:val="auto"/>
          <w:highlight w:val="none"/>
        </w:rPr>
        <w:t>附件</w:t>
      </w:r>
      <w:bookmarkEnd w:id="268"/>
      <w:bookmarkEnd w:id="293"/>
      <w:bookmarkEnd w:id="294"/>
      <w:bookmarkEnd w:id="295"/>
      <w:bookmarkEnd w:id="296"/>
    </w:p>
    <w:p>
      <w:pPr>
        <w:spacing w:line="360" w:lineRule="auto"/>
        <w:ind w:left="0" w:leftChars="0" w:firstLine="0" w:firstLineChars="0"/>
        <w:jc w:val="left"/>
        <w:outlineLvl w:val="1"/>
        <w:rPr>
          <w:rFonts w:hint="default" w:ascii="微软雅黑" w:hAnsi="微软雅黑" w:eastAsia="微软雅黑" w:cs="微软雅黑"/>
          <w:b w:val="0"/>
          <w:bCs w:val="0"/>
          <w:color w:val="auto"/>
          <w:highlight w:val="none"/>
          <w:lang w:val="en-US" w:eastAsia="zh-CN"/>
        </w:rPr>
      </w:pPr>
      <w:bookmarkStart w:id="297" w:name="_Toc17169"/>
      <w:r>
        <w:rPr>
          <w:rFonts w:hint="eastAsia" w:ascii="微软雅黑" w:hAnsi="微软雅黑" w:eastAsia="微软雅黑" w:cs="微软雅黑"/>
          <w:b w:val="0"/>
          <w:bCs w:val="0"/>
          <w:color w:val="auto"/>
          <w:highlight w:val="none"/>
          <w:lang w:val="en-US" w:eastAsia="zh-CN"/>
        </w:rPr>
        <w:t>15.1 附件清单</w:t>
      </w:r>
      <w:bookmarkEnd w:id="297"/>
    </w:p>
    <w:p>
      <w:pPr>
        <w:pStyle w:val="35"/>
        <w:spacing w:before="0" w:beforeLines="0" w:after="0" w:afterLines="0" w:line="360" w:lineRule="auto"/>
        <w:ind w:firstLine="0" w:firstLineChars="0"/>
        <w:outlineLvl w:val="9"/>
        <w:rPr>
          <w:color w:val="auto"/>
          <w:highlight w:val="none"/>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6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58" w:type="dxa"/>
            <w:noWrap w:val="0"/>
            <w:vAlign w:val="center"/>
          </w:tcPr>
          <w:p>
            <w:pPr>
              <w:pStyle w:val="35"/>
              <w:spacing w:before="0" w:beforeLines="0" w:after="0" w:afterLines="0" w:line="360" w:lineRule="auto"/>
              <w:ind w:right="60" w:rightChars="25" w:firstLine="0" w:firstLineChars="0"/>
              <w:jc w:val="center"/>
              <w:outlineLvl w:val="9"/>
              <w:rPr>
                <w:rFonts w:hint="eastAsia" w:ascii="宋体" w:hAnsi="宋体"/>
                <w:color w:val="auto"/>
                <w:sz w:val="28"/>
                <w:szCs w:val="28"/>
                <w:highlight w:val="none"/>
              </w:rPr>
            </w:pPr>
            <w:r>
              <w:rPr>
                <w:rFonts w:hint="eastAsia" w:ascii="宋体" w:hAnsi="宋体"/>
                <w:color w:val="auto"/>
                <w:sz w:val="28"/>
                <w:szCs w:val="28"/>
                <w:highlight w:val="none"/>
              </w:rPr>
              <w:t>序号</w:t>
            </w:r>
          </w:p>
        </w:tc>
        <w:tc>
          <w:tcPr>
            <w:tcW w:w="6021" w:type="dxa"/>
            <w:noWrap w:val="0"/>
            <w:vAlign w:val="center"/>
          </w:tcPr>
          <w:p>
            <w:pPr>
              <w:pStyle w:val="35"/>
              <w:spacing w:before="0" w:beforeLines="0" w:after="0" w:afterLines="0" w:line="360" w:lineRule="auto"/>
              <w:ind w:right="60" w:rightChars="25" w:firstLine="0" w:firstLineChars="0"/>
              <w:jc w:val="center"/>
              <w:outlineLvl w:val="9"/>
              <w:rPr>
                <w:rFonts w:hint="eastAsia" w:ascii="宋体" w:hAnsi="宋体"/>
                <w:color w:val="auto"/>
                <w:sz w:val="28"/>
                <w:szCs w:val="28"/>
                <w:highlight w:val="none"/>
              </w:rPr>
            </w:pPr>
            <w:r>
              <w:rPr>
                <w:rFonts w:hint="eastAsia" w:ascii="宋体" w:hAnsi="宋体"/>
                <w:color w:val="auto"/>
                <w:sz w:val="28"/>
                <w:szCs w:val="28"/>
                <w:highlight w:val="none"/>
              </w:rPr>
              <w:t>设计文件名称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958" w:type="dxa"/>
            <w:noWrap w:val="0"/>
            <w:vAlign w:val="center"/>
          </w:tcPr>
          <w:p>
            <w:pPr>
              <w:pStyle w:val="35"/>
              <w:spacing w:before="0" w:beforeLines="0" w:after="0" w:afterLines="0" w:line="360" w:lineRule="auto"/>
              <w:ind w:left="0" w:leftChars="0" w:right="60" w:rightChars="25" w:firstLine="0" w:firstLineChars="0"/>
              <w:jc w:val="center"/>
              <w:outlineLvl w:val="9"/>
              <w:rPr>
                <w:rFonts w:hint="eastAsia" w:ascii="宋体" w:hAnsi="宋体"/>
                <w:color w:val="auto"/>
                <w:sz w:val="28"/>
                <w:szCs w:val="28"/>
                <w:highlight w:val="none"/>
              </w:rPr>
            </w:pPr>
            <w:r>
              <w:rPr>
                <w:rFonts w:hint="eastAsia" w:ascii="宋体" w:hAnsi="宋体"/>
                <w:color w:val="auto"/>
                <w:sz w:val="28"/>
                <w:szCs w:val="28"/>
                <w:highlight w:val="none"/>
              </w:rPr>
              <w:t>1</w:t>
            </w:r>
          </w:p>
        </w:tc>
        <w:tc>
          <w:tcPr>
            <w:tcW w:w="6021" w:type="dxa"/>
            <w:noWrap w:val="0"/>
            <w:vAlign w:val="center"/>
          </w:tcPr>
          <w:p>
            <w:pPr>
              <w:pStyle w:val="35"/>
              <w:spacing w:before="0" w:beforeLines="0" w:after="0" w:afterLines="0" w:line="360" w:lineRule="auto"/>
              <w:ind w:left="0" w:leftChars="0" w:right="60" w:rightChars="25" w:firstLine="0" w:firstLineChars="0"/>
              <w:jc w:val="center"/>
              <w:outlineLvl w:val="9"/>
              <w:rPr>
                <w:rFonts w:hint="eastAsia" w:ascii="宋体" w:hAnsi="宋体"/>
                <w:color w:val="auto"/>
                <w:sz w:val="28"/>
                <w:szCs w:val="28"/>
                <w:highlight w:val="none"/>
              </w:rPr>
            </w:pPr>
            <w:r>
              <w:rPr>
                <w:rFonts w:hint="eastAsia" w:ascii="宋体" w:hAnsi="宋体"/>
                <w:color w:val="auto"/>
                <w:sz w:val="28"/>
                <w:szCs w:val="28"/>
                <w:highlight w:val="none"/>
              </w:rPr>
              <w:t>工程量清单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958" w:type="dxa"/>
            <w:noWrap w:val="0"/>
            <w:vAlign w:val="center"/>
          </w:tcPr>
          <w:p>
            <w:pPr>
              <w:pStyle w:val="35"/>
              <w:spacing w:before="0" w:beforeLines="0" w:after="0" w:afterLines="0" w:line="360" w:lineRule="auto"/>
              <w:ind w:left="0" w:leftChars="0" w:right="60" w:rightChars="25" w:firstLine="0" w:firstLineChars="0"/>
              <w:jc w:val="center"/>
              <w:outlineLvl w:val="9"/>
              <w:rPr>
                <w:rFonts w:hint="eastAsia"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2</w:t>
            </w:r>
          </w:p>
        </w:tc>
        <w:tc>
          <w:tcPr>
            <w:tcW w:w="6021" w:type="dxa"/>
            <w:noWrap w:val="0"/>
            <w:vAlign w:val="center"/>
          </w:tcPr>
          <w:p>
            <w:pPr>
              <w:pStyle w:val="35"/>
              <w:spacing w:before="0" w:beforeLines="0" w:after="0" w:afterLines="0" w:line="360" w:lineRule="auto"/>
              <w:ind w:left="0" w:leftChars="0" w:right="60" w:rightChars="25" w:firstLine="0" w:firstLineChars="0"/>
              <w:jc w:val="center"/>
              <w:outlineLvl w:val="9"/>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设计施工图纸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958" w:type="dxa"/>
            <w:noWrap w:val="0"/>
            <w:vAlign w:val="center"/>
          </w:tcPr>
          <w:p>
            <w:pPr>
              <w:pStyle w:val="35"/>
              <w:spacing w:before="0" w:beforeLines="0" w:after="0" w:afterLines="0" w:line="360" w:lineRule="auto"/>
              <w:ind w:left="0" w:leftChars="0" w:right="60" w:rightChars="25" w:firstLine="0" w:firstLineChars="0"/>
              <w:jc w:val="center"/>
              <w:outlineLvl w:val="9"/>
              <w:rPr>
                <w:rFonts w:hint="default" w:ascii="宋体" w:hAnsi="宋体"/>
                <w:color w:val="auto"/>
                <w:sz w:val="28"/>
                <w:szCs w:val="28"/>
                <w:highlight w:val="none"/>
                <w:lang w:val="en-US" w:eastAsia="zh-CN"/>
              </w:rPr>
            </w:pPr>
            <w:r>
              <w:rPr>
                <w:rFonts w:hint="eastAsia" w:ascii="宋体" w:hAnsi="宋体"/>
                <w:color w:val="auto"/>
                <w:sz w:val="28"/>
                <w:szCs w:val="28"/>
                <w:highlight w:val="none"/>
                <w:lang w:val="en-US" w:eastAsia="zh-CN"/>
              </w:rPr>
              <w:t>3</w:t>
            </w:r>
          </w:p>
        </w:tc>
        <w:tc>
          <w:tcPr>
            <w:tcW w:w="6021" w:type="dxa"/>
            <w:noWrap w:val="0"/>
            <w:vAlign w:val="center"/>
          </w:tcPr>
          <w:p>
            <w:pPr>
              <w:pStyle w:val="35"/>
              <w:spacing w:before="0" w:beforeLines="0" w:after="0" w:afterLines="0" w:line="240" w:lineRule="auto"/>
              <w:ind w:left="0" w:leftChars="0" w:right="60" w:rightChars="25" w:firstLine="0" w:firstLineChars="0"/>
              <w:jc w:val="center"/>
              <w:outlineLvl w:val="9"/>
              <w:rPr>
                <w:rFonts w:hint="default" w:ascii="宋体" w:hAnsi="宋体" w:eastAsia="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《中海石油(龙口)基地物流有限公司龙口基地三期项目（第</w:t>
            </w:r>
            <w:r>
              <w:rPr>
                <w:rFonts w:hint="eastAsia" w:ascii="宋体" w:hAnsi="宋体" w:cs="宋体"/>
                <w:color w:val="auto"/>
                <w:sz w:val="28"/>
                <w:szCs w:val="28"/>
                <w:highlight w:val="none"/>
                <w:lang w:val="en-US" w:eastAsia="zh-CN"/>
              </w:rPr>
              <w:t>二</w:t>
            </w:r>
            <w:r>
              <w:rPr>
                <w:rFonts w:hint="eastAsia" w:ascii="宋体" w:hAnsi="宋体" w:eastAsia="宋体" w:cs="宋体"/>
                <w:color w:val="auto"/>
                <w:sz w:val="28"/>
                <w:szCs w:val="28"/>
                <w:highlight w:val="none"/>
                <w:lang w:val="en-US" w:eastAsia="zh-CN"/>
              </w:rPr>
              <w:t>阶段）岩土工程勘察报告》</w:t>
            </w:r>
          </w:p>
        </w:tc>
      </w:tr>
    </w:tbl>
    <w:p>
      <w:pPr>
        <w:pStyle w:val="35"/>
        <w:spacing w:before="0" w:beforeLines="0" w:after="0" w:afterLines="0" w:line="360" w:lineRule="auto"/>
        <w:ind w:firstLine="0" w:firstLineChars="0"/>
        <w:outlineLvl w:val="9"/>
        <w:rPr>
          <w:rFonts w:hint="eastAsia" w:ascii="宋体" w:hAnsi="宋体"/>
          <w:color w:val="auto"/>
          <w:sz w:val="18"/>
          <w:szCs w:val="18"/>
          <w:highlight w:val="none"/>
        </w:rPr>
      </w:pPr>
    </w:p>
    <w:p>
      <w:pPr>
        <w:rPr>
          <w:rFonts w:hint="eastAsia" w:ascii="宋体" w:hAnsi="宋体"/>
          <w:color w:val="auto"/>
          <w:sz w:val="18"/>
          <w:szCs w:val="18"/>
          <w:highlight w:val="none"/>
          <w:lang w:val="en-US" w:eastAsia="zh-CN"/>
        </w:rPr>
      </w:pPr>
      <w:r>
        <w:rPr>
          <w:rFonts w:hint="eastAsia" w:ascii="宋体" w:hAnsi="宋体"/>
          <w:color w:val="auto"/>
          <w:sz w:val="18"/>
          <w:szCs w:val="18"/>
          <w:highlight w:val="none"/>
          <w:lang w:val="en-US" w:eastAsia="zh-CN"/>
        </w:rPr>
        <w:br w:type="page"/>
      </w:r>
    </w:p>
    <w:p>
      <w:pPr>
        <w:rPr>
          <w:b/>
          <w:sz w:val="28"/>
          <w:szCs w:val="28"/>
          <w:highlight w:val="none"/>
        </w:rPr>
      </w:pPr>
    </w:p>
    <w:p>
      <w:pPr>
        <w:jc w:val="center"/>
        <w:rPr>
          <w:rFonts w:ascii="黑体" w:eastAsia="黑体"/>
          <w:b/>
          <w:sz w:val="36"/>
          <w:szCs w:val="36"/>
          <w:highlight w:val="none"/>
        </w:rPr>
      </w:pPr>
      <w:r>
        <w:rPr>
          <w:rFonts w:hint="eastAsia" w:ascii="黑体" w:eastAsia="黑体"/>
          <w:b/>
          <w:sz w:val="36"/>
          <w:szCs w:val="36"/>
          <w:highlight w:val="none"/>
        </w:rPr>
        <w:t>安全环保协议书</w:t>
      </w:r>
    </w:p>
    <w:p>
      <w:pPr>
        <w:spacing w:line="400" w:lineRule="exact"/>
        <w:jc w:val="left"/>
        <w:rPr>
          <w:rFonts w:ascii="仿宋_GB2312" w:eastAsia="仿宋_GB2312"/>
          <w:b/>
          <w:sz w:val="32"/>
          <w:szCs w:val="32"/>
          <w:highlight w:val="none"/>
        </w:rPr>
      </w:pPr>
    </w:p>
    <w:p>
      <w:pPr>
        <w:tabs>
          <w:tab w:val="left" w:pos="8280"/>
          <w:tab w:val="left" w:pos="9540"/>
        </w:tabs>
        <w:spacing w:line="360" w:lineRule="auto"/>
        <w:ind w:right="-103" w:rightChars="-43"/>
        <w:rPr>
          <w:rFonts w:hint="default" w:ascii="宋体" w:hAnsi="宋体" w:eastAsia="宋体"/>
          <w:color w:val="000000"/>
          <w:szCs w:val="21"/>
          <w:highlight w:val="none"/>
          <w:lang w:val="en-US" w:eastAsia="zh-CN"/>
        </w:rPr>
      </w:pPr>
      <w:r>
        <w:rPr>
          <w:rFonts w:hint="eastAsia" w:ascii="宋体" w:hAnsi="宋体"/>
          <w:color w:val="000000"/>
          <w:szCs w:val="21"/>
          <w:highlight w:val="none"/>
        </w:rPr>
        <w:t>甲方：</w:t>
      </w:r>
    </w:p>
    <w:p>
      <w:pPr>
        <w:tabs>
          <w:tab w:val="left" w:pos="8280"/>
          <w:tab w:val="left" w:pos="9540"/>
        </w:tabs>
        <w:spacing w:line="360" w:lineRule="auto"/>
        <w:ind w:right="-103" w:rightChars="-43"/>
        <w:rPr>
          <w:rFonts w:hint="default" w:ascii="宋体" w:hAnsi="宋体"/>
          <w:color w:val="000000"/>
          <w:szCs w:val="21"/>
          <w:highlight w:val="none"/>
          <w:lang w:val="en-US"/>
        </w:rPr>
      </w:pPr>
      <w:r>
        <w:rPr>
          <w:rFonts w:hint="eastAsia" w:ascii="宋体" w:hAnsi="宋体"/>
          <w:color w:val="000000"/>
          <w:szCs w:val="21"/>
          <w:highlight w:val="none"/>
        </w:rPr>
        <w:t>乙方：</w:t>
      </w:r>
    </w:p>
    <w:p>
      <w:pPr>
        <w:tabs>
          <w:tab w:val="left" w:pos="8280"/>
          <w:tab w:val="left" w:pos="9540"/>
        </w:tabs>
        <w:spacing w:line="360" w:lineRule="auto"/>
        <w:ind w:right="-103" w:rightChars="-43"/>
        <w:rPr>
          <w:rFonts w:ascii="宋体" w:hAnsi="宋体"/>
          <w:color w:val="000000"/>
          <w:szCs w:val="21"/>
          <w:highlight w:val="none"/>
        </w:rPr>
      </w:pPr>
    </w:p>
    <w:p>
      <w:pPr>
        <w:tabs>
          <w:tab w:val="left" w:pos="8280"/>
          <w:tab w:val="left" w:pos="9540"/>
        </w:tabs>
        <w:spacing w:line="360" w:lineRule="auto"/>
        <w:ind w:right="-103" w:rightChars="-43" w:firstLine="480" w:firstLineChars="200"/>
        <w:rPr>
          <w:rFonts w:ascii="宋体" w:hAnsi="宋体"/>
          <w:color w:val="auto"/>
          <w:szCs w:val="21"/>
          <w:highlight w:val="none"/>
        </w:rPr>
      </w:pPr>
      <w:r>
        <w:rPr>
          <w:rFonts w:hint="eastAsia" w:ascii="宋体" w:hAnsi="宋体"/>
          <w:color w:val="000000"/>
          <w:szCs w:val="21"/>
          <w:highlight w:val="none"/>
        </w:rPr>
        <w:t>按照《中华人民共和国安全生产法》、《中华人民共和国环境保护法》</w:t>
      </w:r>
      <w:r>
        <w:rPr>
          <w:rFonts w:hint="eastAsia" w:ascii="宋体" w:hAnsi="宋体"/>
          <w:color w:val="auto"/>
          <w:szCs w:val="21"/>
          <w:highlight w:val="none"/>
        </w:rPr>
        <w:t>、《中华人民共和国</w:t>
      </w:r>
      <w:r>
        <w:rPr>
          <w:rFonts w:hint="eastAsia" w:ascii="宋体" w:hAnsi="宋体"/>
          <w:color w:val="auto"/>
          <w:szCs w:val="21"/>
          <w:highlight w:val="none"/>
          <w:lang w:val="en-US" w:eastAsia="zh-CN"/>
        </w:rPr>
        <w:t>建筑</w:t>
      </w:r>
      <w:r>
        <w:rPr>
          <w:rFonts w:hint="eastAsia" w:ascii="宋体" w:hAnsi="宋体"/>
          <w:color w:val="auto"/>
          <w:szCs w:val="21"/>
          <w:highlight w:val="none"/>
        </w:rPr>
        <w:t>法》、《</w:t>
      </w:r>
      <w:r>
        <w:rPr>
          <w:rFonts w:hint="eastAsia" w:ascii="宋体" w:hAnsi="宋体"/>
          <w:color w:val="auto"/>
          <w:szCs w:val="21"/>
          <w:highlight w:val="none"/>
          <w:lang w:val="en-US" w:eastAsia="zh-CN"/>
        </w:rPr>
        <w:t>承包商管理细则</w:t>
      </w:r>
      <w:r>
        <w:rPr>
          <w:rFonts w:hint="eastAsia" w:ascii="宋体" w:hAnsi="宋体"/>
          <w:color w:val="auto"/>
          <w:szCs w:val="21"/>
          <w:highlight w:val="none"/>
        </w:rPr>
        <w:t>》经甲乙双方共同协商，达成安全环保协议</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安全环保有效期与主合同有效期一致,协议具体内容</w:t>
      </w:r>
      <w:r>
        <w:rPr>
          <w:rFonts w:hint="eastAsia" w:ascii="宋体" w:hAnsi="宋体"/>
          <w:color w:val="auto"/>
          <w:szCs w:val="21"/>
          <w:highlight w:val="none"/>
        </w:rPr>
        <w:t>如下：</w:t>
      </w:r>
    </w:p>
    <w:p>
      <w:pPr>
        <w:pStyle w:val="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一、甲方的HSE管理界面</w:t>
      </w:r>
    </w:p>
    <w:p>
      <w:pPr>
        <w:numPr>
          <w:ilvl w:val="0"/>
          <w:numId w:val="0"/>
        </w:numPr>
        <w:spacing w:line="360" w:lineRule="auto"/>
        <w:ind w:firstLine="420" w:firstLineChars="200"/>
        <w:rPr>
          <w:rFonts w:hint="eastAsia" w:ascii="宋体" w:hAnsi="宋体" w:eastAsia="宋体" w:cs="宋体"/>
          <w:color w:val="auto"/>
          <w:kern w:val="0"/>
          <w:sz w:val="21"/>
          <w:szCs w:val="20"/>
          <w:highlight w:val="none"/>
        </w:rPr>
      </w:pPr>
      <w:r>
        <w:rPr>
          <w:rFonts w:hint="eastAsia" w:ascii="宋体" w:hAnsi="宋体" w:eastAsia="宋体" w:cs="宋体"/>
          <w:color w:val="auto"/>
          <w:kern w:val="0"/>
          <w:sz w:val="21"/>
          <w:szCs w:val="20"/>
          <w:highlight w:val="none"/>
          <w:lang w:val="en-US" w:eastAsia="zh-CN"/>
        </w:rPr>
        <w:t>1、甲</w:t>
      </w:r>
      <w:r>
        <w:rPr>
          <w:rFonts w:hint="eastAsia" w:ascii="宋体" w:hAnsi="宋体" w:eastAsia="宋体" w:cs="宋体"/>
          <w:color w:val="auto"/>
          <w:kern w:val="0"/>
          <w:sz w:val="21"/>
          <w:szCs w:val="20"/>
          <w:highlight w:val="none"/>
        </w:rPr>
        <w:t>方有权依据国家、行业、企业的标准、规范、规程和设计技术要求对</w:t>
      </w:r>
      <w:r>
        <w:rPr>
          <w:rFonts w:hint="eastAsia" w:ascii="宋体" w:hAnsi="宋体" w:eastAsia="宋体" w:cs="宋体"/>
          <w:color w:val="auto"/>
          <w:kern w:val="0"/>
          <w:sz w:val="21"/>
          <w:szCs w:val="20"/>
          <w:highlight w:val="none"/>
          <w:lang w:val="en-US" w:eastAsia="zh-CN"/>
        </w:rPr>
        <w:t>乙</w:t>
      </w:r>
      <w:r>
        <w:rPr>
          <w:rFonts w:hint="eastAsia" w:ascii="宋体" w:hAnsi="宋体" w:eastAsia="宋体" w:cs="宋体"/>
          <w:color w:val="auto"/>
          <w:kern w:val="0"/>
          <w:sz w:val="21"/>
          <w:szCs w:val="20"/>
          <w:highlight w:val="none"/>
        </w:rPr>
        <w:t>方</w:t>
      </w:r>
      <w:r>
        <w:rPr>
          <w:rFonts w:hint="eastAsia" w:ascii="宋体" w:hAnsi="宋体" w:eastAsia="宋体" w:cs="宋体"/>
          <w:color w:val="auto"/>
          <w:kern w:val="0"/>
          <w:sz w:val="21"/>
          <w:szCs w:val="20"/>
          <w:highlight w:val="none"/>
          <w:lang w:eastAsia="zh-CN"/>
        </w:rPr>
        <w:t>在该区域的</w:t>
      </w:r>
      <w:r>
        <w:rPr>
          <w:rFonts w:hint="eastAsia" w:ascii="宋体" w:hAnsi="宋体" w:eastAsia="宋体" w:cs="宋体"/>
          <w:color w:val="auto"/>
          <w:kern w:val="0"/>
          <w:sz w:val="21"/>
          <w:szCs w:val="20"/>
          <w:highlight w:val="none"/>
        </w:rPr>
        <w:t>各项施工作业</w:t>
      </w:r>
      <w:r>
        <w:rPr>
          <w:rFonts w:hint="eastAsia" w:ascii="宋体" w:hAnsi="宋体" w:eastAsia="宋体" w:cs="宋体"/>
          <w:color w:val="auto"/>
          <w:kern w:val="0"/>
          <w:sz w:val="21"/>
          <w:szCs w:val="20"/>
          <w:highlight w:val="none"/>
          <w:lang w:eastAsia="zh-CN"/>
        </w:rPr>
        <w:t>和使用情况</w:t>
      </w:r>
      <w:r>
        <w:rPr>
          <w:rFonts w:hint="eastAsia" w:ascii="宋体" w:hAnsi="宋体" w:eastAsia="宋体" w:cs="宋体"/>
          <w:color w:val="auto"/>
          <w:kern w:val="0"/>
          <w:sz w:val="21"/>
          <w:szCs w:val="20"/>
          <w:highlight w:val="none"/>
        </w:rPr>
        <w:t>行使监督权利；有权派代表或现场监督进入</w:t>
      </w:r>
      <w:r>
        <w:rPr>
          <w:rFonts w:hint="eastAsia" w:ascii="宋体" w:hAnsi="宋体" w:eastAsia="宋体" w:cs="宋体"/>
          <w:color w:val="auto"/>
          <w:kern w:val="0"/>
          <w:sz w:val="21"/>
          <w:szCs w:val="20"/>
          <w:highlight w:val="none"/>
          <w:lang w:eastAsia="zh-CN"/>
        </w:rPr>
        <w:t>该区域</w:t>
      </w:r>
      <w:r>
        <w:rPr>
          <w:rFonts w:hint="eastAsia" w:ascii="宋体" w:hAnsi="宋体" w:eastAsia="宋体" w:cs="宋体"/>
          <w:color w:val="auto"/>
          <w:kern w:val="0"/>
          <w:sz w:val="21"/>
          <w:szCs w:val="20"/>
          <w:highlight w:val="none"/>
        </w:rPr>
        <w:t>对合同的履行情况、HSE管理等方面进行监督、检查。</w:t>
      </w:r>
    </w:p>
    <w:p>
      <w:pPr>
        <w:spacing w:line="360" w:lineRule="auto"/>
        <w:ind w:firstLine="420" w:firstLineChars="200"/>
        <w:rPr>
          <w:rFonts w:hint="eastAsia" w:ascii="宋体" w:hAnsi="宋体" w:eastAsia="宋体" w:cs="宋体"/>
          <w:color w:val="auto"/>
          <w:sz w:val="21"/>
          <w:szCs w:val="20"/>
          <w:highlight w:val="none"/>
        </w:rPr>
      </w:pPr>
      <w:r>
        <w:rPr>
          <w:rFonts w:hint="eastAsia" w:ascii="宋体" w:hAnsi="宋体" w:eastAsia="宋体" w:cs="宋体"/>
          <w:color w:val="auto"/>
          <w:sz w:val="21"/>
          <w:szCs w:val="20"/>
          <w:highlight w:val="none"/>
          <w:lang w:val="en-US" w:eastAsia="zh-CN"/>
        </w:rPr>
        <w:t>2、</w:t>
      </w:r>
      <w:r>
        <w:rPr>
          <w:rFonts w:hint="eastAsia" w:ascii="宋体" w:hAnsi="宋体" w:eastAsia="宋体" w:cs="宋体"/>
          <w:color w:val="auto"/>
          <w:sz w:val="21"/>
          <w:szCs w:val="20"/>
          <w:highlight w:val="none"/>
        </w:rPr>
        <w:t>甲方有权保留对乙方的HSE管理体系文件和其它有关HSE的管理规定、程序和要求进行评估的权力，并有权就不符合部分提出修改意见。</w:t>
      </w:r>
    </w:p>
    <w:p>
      <w:pPr>
        <w:pStyle w:val="6"/>
        <w:numPr>
          <w:ilvl w:val="0"/>
          <w:numId w:val="45"/>
        </w:num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乙方的HSE管理界面</w:t>
      </w:r>
    </w:p>
    <w:p>
      <w:pPr>
        <w:spacing w:line="360" w:lineRule="auto"/>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rPr>
        <w:t>1、在</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方资产界内进行的各项作业</w:t>
      </w:r>
      <w:r>
        <w:rPr>
          <w:rFonts w:hint="eastAsia" w:ascii="宋体" w:hAnsi="宋体" w:eastAsia="宋体" w:cs="宋体"/>
          <w:color w:val="auto"/>
          <w:kern w:val="0"/>
          <w:highlight w:val="none"/>
          <w:lang w:eastAsia="zh-CN"/>
        </w:rPr>
        <w:t>及使用情况</w:t>
      </w:r>
      <w:r>
        <w:rPr>
          <w:rFonts w:hint="eastAsia" w:ascii="宋体" w:hAnsi="宋体" w:eastAsia="宋体" w:cs="宋体"/>
          <w:color w:val="auto"/>
          <w:kern w:val="0"/>
          <w:highlight w:val="none"/>
        </w:rPr>
        <w:t>，</w:t>
      </w:r>
      <w:r>
        <w:rPr>
          <w:rFonts w:hint="eastAsia" w:ascii="宋体" w:hAnsi="宋体" w:eastAsia="宋体" w:cs="宋体"/>
          <w:color w:val="auto"/>
          <w:kern w:val="0"/>
          <w:highlight w:val="none"/>
          <w:lang w:val="en-US" w:eastAsia="zh-CN"/>
        </w:rPr>
        <w:t>乙</w:t>
      </w:r>
      <w:r>
        <w:rPr>
          <w:rFonts w:hint="eastAsia" w:ascii="宋体" w:hAnsi="宋体" w:eastAsia="宋体" w:cs="宋体"/>
          <w:color w:val="auto"/>
          <w:kern w:val="0"/>
          <w:highlight w:val="none"/>
        </w:rPr>
        <w:t>方全权负责该区域内的HSE管理，以及</w:t>
      </w:r>
      <w:r>
        <w:rPr>
          <w:rFonts w:hint="eastAsia" w:ascii="宋体" w:hAnsi="宋体" w:eastAsia="宋体" w:cs="宋体"/>
          <w:color w:val="auto"/>
          <w:kern w:val="0"/>
          <w:highlight w:val="none"/>
          <w:lang w:eastAsia="zh-CN"/>
        </w:rPr>
        <w:t>该区域</w:t>
      </w:r>
      <w:r>
        <w:rPr>
          <w:rFonts w:hint="eastAsia" w:ascii="宋体" w:hAnsi="宋体" w:eastAsia="宋体" w:cs="宋体"/>
          <w:color w:val="auto"/>
          <w:kern w:val="0"/>
          <w:highlight w:val="none"/>
        </w:rPr>
        <w:t>的HSE实施方案或风险控制措施。</w:t>
      </w:r>
    </w:p>
    <w:p>
      <w:pPr>
        <w:spacing w:line="360" w:lineRule="auto"/>
        <w:ind w:left="0" w:leftChars="0" w:firstLine="48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r>
        <w:rPr>
          <w:rFonts w:hint="eastAsia" w:ascii="宋体" w:hAnsi="宋体" w:eastAsia="宋体" w:cs="宋体"/>
          <w:color w:val="auto"/>
          <w:highlight w:val="none"/>
        </w:rPr>
        <w:t>乙方</w:t>
      </w:r>
      <w:r>
        <w:rPr>
          <w:rFonts w:hint="eastAsia" w:ascii="宋体" w:hAnsi="宋体" w:cs="宋体"/>
          <w:color w:val="auto"/>
          <w:highlight w:val="none"/>
          <w:lang w:val="en-US" w:eastAsia="zh-CN"/>
        </w:rPr>
        <w:t>作业</w:t>
      </w:r>
      <w:r>
        <w:rPr>
          <w:rFonts w:hint="eastAsia" w:ascii="宋体" w:hAnsi="宋体" w:eastAsia="宋体" w:cs="宋体"/>
          <w:color w:val="auto"/>
          <w:highlight w:val="none"/>
        </w:rPr>
        <w:t>人员在甲方资产界内进行的各项</w:t>
      </w:r>
      <w:r>
        <w:rPr>
          <w:rFonts w:hint="eastAsia" w:ascii="宋体" w:hAnsi="宋体" w:cs="宋体"/>
          <w:color w:val="auto"/>
          <w:highlight w:val="none"/>
          <w:lang w:val="en-US" w:eastAsia="zh-CN"/>
        </w:rPr>
        <w:t>施工作业</w:t>
      </w:r>
      <w:r>
        <w:rPr>
          <w:rFonts w:hint="eastAsia" w:ascii="宋体" w:hAnsi="宋体" w:eastAsia="宋体" w:cs="宋体"/>
          <w:color w:val="auto"/>
          <w:highlight w:val="none"/>
        </w:rPr>
        <w:t>，乙方</w:t>
      </w:r>
      <w:r>
        <w:rPr>
          <w:rFonts w:hint="eastAsia" w:ascii="宋体" w:hAnsi="宋体" w:cs="宋体"/>
          <w:color w:val="auto"/>
          <w:highlight w:val="none"/>
          <w:lang w:val="en-US" w:eastAsia="zh-CN"/>
        </w:rPr>
        <w:t>作业</w:t>
      </w:r>
      <w:r>
        <w:rPr>
          <w:rFonts w:hint="eastAsia" w:ascii="宋体" w:hAnsi="宋体" w:eastAsia="宋体" w:cs="宋体"/>
          <w:color w:val="auto"/>
          <w:highlight w:val="none"/>
        </w:rPr>
        <w:t>人员应为自身的行为负全部责任。乙方必须遵照执行甲方的HSE管理体系文件、其它有关HSE的管理规定、程序和要求，乙方有义务配合甲方的HSE管理。</w:t>
      </w:r>
    </w:p>
    <w:p>
      <w:pPr>
        <w:keepNext w:val="0"/>
        <w:keepLines w:val="0"/>
        <w:pageBreakBefore w:val="0"/>
        <w:widowControl/>
        <w:kinsoku/>
        <w:wordWrap/>
        <w:overflowPunct/>
        <w:topLinePunct w:val="0"/>
        <w:autoSpaceDE/>
        <w:autoSpaceDN/>
        <w:bidi w:val="0"/>
        <w:adjustRightInd/>
        <w:snapToGrid/>
        <w:spacing w:before="120" w:line="360" w:lineRule="auto"/>
        <w:ind w:firstLine="480" w:firstLineChars="200"/>
        <w:textAlignment w:val="auto"/>
        <w:rPr>
          <w:rFonts w:ascii="宋体" w:hAnsi="宋体"/>
          <w:color w:val="auto"/>
          <w:szCs w:val="21"/>
          <w:highlight w:val="none"/>
        </w:rPr>
      </w:pPr>
      <w:r>
        <w:rPr>
          <w:rFonts w:hint="eastAsia" w:ascii="宋体" w:hAnsi="宋体" w:eastAsia="宋体" w:cs="宋体"/>
          <w:color w:val="auto"/>
          <w:kern w:val="0"/>
          <w:highlight w:val="none"/>
          <w:lang w:val="en-US" w:eastAsia="zh-CN"/>
        </w:rPr>
        <w:t>3、乙</w:t>
      </w:r>
      <w:r>
        <w:rPr>
          <w:rFonts w:hint="eastAsia" w:ascii="宋体" w:hAnsi="宋体" w:eastAsia="宋体" w:cs="宋体"/>
          <w:color w:val="auto"/>
          <w:kern w:val="0"/>
          <w:highlight w:val="none"/>
          <w:lang w:eastAsia="zh-CN"/>
        </w:rPr>
        <w:t>方</w:t>
      </w:r>
      <w:r>
        <w:rPr>
          <w:rFonts w:hint="eastAsia" w:ascii="宋体" w:hAnsi="宋体" w:eastAsia="宋体" w:cs="宋体"/>
          <w:color w:val="auto"/>
          <w:kern w:val="0"/>
          <w:highlight w:val="none"/>
        </w:rPr>
        <w:t>在</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方资产界内组织进行的</w:t>
      </w:r>
      <w:r>
        <w:rPr>
          <w:rFonts w:hint="eastAsia" w:ascii="宋体" w:hAnsi="宋体" w:eastAsia="宋体" w:cs="宋体"/>
          <w:color w:val="auto"/>
          <w:kern w:val="0"/>
          <w:highlight w:val="none"/>
          <w:lang w:eastAsia="zh-CN"/>
        </w:rPr>
        <w:t>一切行为，</w:t>
      </w:r>
      <w:r>
        <w:rPr>
          <w:rFonts w:hint="eastAsia" w:ascii="宋体" w:hAnsi="宋体" w:eastAsia="宋体" w:cs="宋体"/>
          <w:color w:val="auto"/>
          <w:kern w:val="0"/>
          <w:highlight w:val="none"/>
          <w:lang w:val="en-US" w:eastAsia="zh-CN"/>
        </w:rPr>
        <w:t>乙</w:t>
      </w:r>
      <w:r>
        <w:rPr>
          <w:rFonts w:hint="eastAsia" w:ascii="宋体" w:hAnsi="宋体" w:eastAsia="宋体" w:cs="宋体"/>
          <w:color w:val="auto"/>
          <w:kern w:val="0"/>
          <w:highlight w:val="none"/>
          <w:lang w:eastAsia="zh-CN"/>
        </w:rPr>
        <w:t>方</w:t>
      </w:r>
      <w:r>
        <w:rPr>
          <w:rFonts w:hint="eastAsia" w:ascii="宋体" w:hAnsi="宋体" w:eastAsia="宋体" w:cs="宋体"/>
          <w:color w:val="auto"/>
          <w:kern w:val="0"/>
          <w:highlight w:val="none"/>
        </w:rPr>
        <w:t>应对其管理行为和作业行为负全部责任，</w:t>
      </w:r>
      <w:r>
        <w:rPr>
          <w:rFonts w:hint="eastAsia" w:ascii="宋体" w:hAnsi="宋体" w:eastAsia="宋体" w:cs="宋体"/>
          <w:color w:val="auto"/>
          <w:kern w:val="0"/>
          <w:highlight w:val="none"/>
          <w:lang w:val="en-US" w:eastAsia="zh-CN"/>
        </w:rPr>
        <w:t>且</w:t>
      </w:r>
      <w:r>
        <w:rPr>
          <w:rFonts w:hint="eastAsia" w:ascii="宋体" w:hAnsi="宋体" w:eastAsia="宋体" w:cs="宋体"/>
          <w:color w:val="auto"/>
          <w:kern w:val="0"/>
          <w:highlight w:val="none"/>
        </w:rPr>
        <w:t>必须接受</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方的监督和检查。</w:t>
      </w:r>
      <w:r>
        <w:rPr>
          <w:rFonts w:hint="eastAsia" w:ascii="宋体" w:hAnsi="宋体" w:eastAsia="宋体" w:cs="宋体"/>
          <w:color w:val="auto"/>
          <w:kern w:val="0"/>
          <w:highlight w:val="none"/>
          <w:lang w:val="en-US" w:eastAsia="zh-CN"/>
        </w:rPr>
        <w:t>乙</w:t>
      </w:r>
      <w:r>
        <w:rPr>
          <w:rFonts w:hint="eastAsia" w:ascii="宋体" w:hAnsi="宋体" w:eastAsia="宋体" w:cs="宋体"/>
          <w:color w:val="auto"/>
          <w:kern w:val="0"/>
          <w:highlight w:val="none"/>
        </w:rPr>
        <w:t>方有义务将其自身的HSE管理体系文件和其它有关HSE的管理规定、程序和要求提交给</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方，以便于</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方审查、监督和检查。</w:t>
      </w:r>
      <w:r>
        <w:rPr>
          <w:rFonts w:hint="eastAsia" w:ascii="宋体" w:hAnsi="宋体" w:eastAsia="宋体" w:cs="宋体"/>
          <w:color w:val="auto"/>
          <w:kern w:val="0"/>
          <w:highlight w:val="none"/>
          <w:lang w:val="en-US" w:eastAsia="zh-CN"/>
        </w:rPr>
        <w:t>乙</w:t>
      </w:r>
      <w:r>
        <w:rPr>
          <w:rFonts w:hint="eastAsia" w:ascii="宋体" w:hAnsi="宋体" w:eastAsia="宋体" w:cs="宋体"/>
          <w:color w:val="auto"/>
          <w:kern w:val="0"/>
          <w:highlight w:val="none"/>
        </w:rPr>
        <w:t>方自身的HSE管理体系文件和其它有关HSE的管理规定、程序和要求应符合</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方HSE管理体系文件和其它有关HSE的管理规定、程序和要求的基本原则，</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方保留对</w:t>
      </w:r>
      <w:r>
        <w:rPr>
          <w:rFonts w:hint="eastAsia" w:ascii="宋体" w:hAnsi="宋体" w:eastAsia="宋体" w:cs="宋体"/>
          <w:color w:val="auto"/>
          <w:kern w:val="0"/>
          <w:highlight w:val="none"/>
          <w:lang w:val="en-US" w:eastAsia="zh-CN"/>
        </w:rPr>
        <w:t>乙</w:t>
      </w:r>
      <w:r>
        <w:rPr>
          <w:rFonts w:hint="eastAsia" w:ascii="宋体" w:hAnsi="宋体" w:eastAsia="宋体" w:cs="宋体"/>
          <w:color w:val="auto"/>
          <w:kern w:val="0"/>
          <w:highlight w:val="none"/>
        </w:rPr>
        <w:t>方的HSE管理体系文件和其它有关HSE的管理规定、程序和要求进行评估的权力，并有权就不符合部分提出修改意见，</w:t>
      </w:r>
      <w:r>
        <w:rPr>
          <w:rFonts w:hint="eastAsia" w:ascii="宋体" w:hAnsi="宋体" w:eastAsia="宋体" w:cs="宋体"/>
          <w:color w:val="auto"/>
          <w:kern w:val="0"/>
          <w:highlight w:val="none"/>
          <w:lang w:val="en-US" w:eastAsia="zh-CN"/>
        </w:rPr>
        <w:t>乙</w:t>
      </w:r>
      <w:r>
        <w:rPr>
          <w:rFonts w:hint="eastAsia" w:ascii="宋体" w:hAnsi="宋体" w:eastAsia="宋体" w:cs="宋体"/>
          <w:color w:val="auto"/>
          <w:kern w:val="0"/>
          <w:highlight w:val="none"/>
        </w:rPr>
        <w:t>方有义务参照</w:t>
      </w:r>
      <w:r>
        <w:rPr>
          <w:rFonts w:hint="eastAsia" w:ascii="宋体" w:hAnsi="宋体" w:eastAsia="宋体" w:cs="宋体"/>
          <w:color w:val="auto"/>
          <w:kern w:val="0"/>
          <w:highlight w:val="none"/>
          <w:lang w:val="en-US" w:eastAsia="zh-CN"/>
        </w:rPr>
        <w:t>甲</w:t>
      </w:r>
      <w:r>
        <w:rPr>
          <w:rFonts w:hint="eastAsia" w:ascii="宋体" w:hAnsi="宋体" w:eastAsia="宋体" w:cs="宋体"/>
          <w:color w:val="auto"/>
          <w:kern w:val="0"/>
          <w:highlight w:val="none"/>
        </w:rPr>
        <w:t>方意见进行相应的修改。</w:t>
      </w:r>
    </w:p>
    <w:p>
      <w:pPr>
        <w:pStyle w:val="6"/>
        <w:numPr>
          <w:ilvl w:val="0"/>
          <w:numId w:val="45"/>
        </w:num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甲方责任、义务和权利：</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1.提供合法有效的各种资质、证件, 审核</w:t>
      </w:r>
      <w:r>
        <w:rPr>
          <w:rFonts w:hint="eastAsia" w:ascii="宋体" w:hAnsi="宋体"/>
          <w:color w:val="000000"/>
          <w:szCs w:val="21"/>
          <w:highlight w:val="none"/>
          <w:lang w:val="en-US" w:eastAsia="zh-CN"/>
        </w:rPr>
        <w:t>乙</w:t>
      </w:r>
      <w:r>
        <w:rPr>
          <w:rFonts w:hint="eastAsia" w:ascii="宋体" w:hAnsi="宋体"/>
          <w:color w:val="000000"/>
          <w:szCs w:val="21"/>
          <w:highlight w:val="none"/>
        </w:rPr>
        <w:t>方各种资质及有效证件。</w:t>
      </w:r>
    </w:p>
    <w:p>
      <w:pPr>
        <w:tabs>
          <w:tab w:val="left" w:pos="8280"/>
          <w:tab w:val="left" w:pos="9540"/>
        </w:tabs>
        <w:spacing w:line="360" w:lineRule="auto"/>
        <w:ind w:right="-103" w:rightChars="-43"/>
        <w:rPr>
          <w:rFonts w:hint="eastAsia" w:ascii="宋体" w:hAnsi="宋体"/>
          <w:color w:val="000000"/>
          <w:szCs w:val="21"/>
          <w:highlight w:val="none"/>
        </w:rPr>
      </w:pPr>
      <w:r>
        <w:rPr>
          <w:rFonts w:hint="eastAsia" w:ascii="宋体" w:hAnsi="宋体"/>
          <w:color w:val="000000"/>
          <w:szCs w:val="21"/>
          <w:highlight w:val="none"/>
        </w:rPr>
        <w:t>2.认真执行国家的安全法律、法规及双方HSE体系和各种安全管理规定。</w:t>
      </w:r>
    </w:p>
    <w:p>
      <w:pPr>
        <w:numPr>
          <w:ilvl w:val="0"/>
          <w:numId w:val="0"/>
        </w:numPr>
        <w:spacing w:line="360" w:lineRule="auto"/>
        <w:ind w:leftChars="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有权在HSE管理等方面向</w:t>
      </w:r>
      <w:r>
        <w:rPr>
          <w:rFonts w:hint="eastAsia" w:ascii="宋体" w:hAnsi="宋体"/>
          <w:color w:val="auto"/>
          <w:highlight w:val="none"/>
          <w:lang w:eastAsia="zh-CN"/>
        </w:rPr>
        <w:t>乙方</w:t>
      </w:r>
      <w:r>
        <w:rPr>
          <w:rFonts w:hint="eastAsia" w:ascii="宋体" w:hAnsi="宋体"/>
          <w:color w:val="auto"/>
          <w:highlight w:val="none"/>
        </w:rPr>
        <w:t>提出要求。在法律法规的框架内，有权要求</w:t>
      </w:r>
      <w:r>
        <w:rPr>
          <w:rFonts w:hint="eastAsia" w:ascii="宋体" w:hAnsi="宋体"/>
          <w:color w:val="auto"/>
          <w:highlight w:val="none"/>
          <w:lang w:eastAsia="zh-CN"/>
        </w:rPr>
        <w:t>乙方</w:t>
      </w:r>
      <w:r>
        <w:rPr>
          <w:rFonts w:hint="eastAsia" w:ascii="宋体" w:hAnsi="宋体"/>
          <w:color w:val="auto"/>
          <w:highlight w:val="none"/>
        </w:rPr>
        <w:t>达到高于相应标准的要求。</w:t>
      </w:r>
    </w:p>
    <w:p>
      <w:pPr>
        <w:numPr>
          <w:ilvl w:val="0"/>
          <w:numId w:val="0"/>
        </w:numPr>
        <w:spacing w:line="360" w:lineRule="auto"/>
        <w:ind w:leftChars="0"/>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有权向</w:t>
      </w:r>
      <w:r>
        <w:rPr>
          <w:rFonts w:hint="eastAsia" w:ascii="宋体" w:hAnsi="宋体"/>
          <w:color w:val="auto"/>
          <w:highlight w:val="none"/>
          <w:lang w:eastAsia="zh-CN"/>
        </w:rPr>
        <w:t>乙方</w:t>
      </w:r>
      <w:r>
        <w:rPr>
          <w:rFonts w:hint="eastAsia" w:ascii="宋体" w:hAnsi="宋体"/>
          <w:color w:val="auto"/>
          <w:highlight w:val="none"/>
        </w:rPr>
        <w:t>提出标准及条件，要求</w:t>
      </w:r>
      <w:r>
        <w:rPr>
          <w:rFonts w:hint="eastAsia" w:ascii="宋体" w:hAnsi="宋体"/>
          <w:color w:val="auto"/>
          <w:highlight w:val="none"/>
          <w:lang w:eastAsia="zh-CN"/>
        </w:rPr>
        <w:t>乙方</w:t>
      </w:r>
      <w:r>
        <w:rPr>
          <w:rFonts w:hint="eastAsia" w:ascii="宋体" w:hAnsi="宋体"/>
          <w:color w:val="auto"/>
          <w:highlight w:val="none"/>
        </w:rPr>
        <w:t>在选择分包商时满足该标准及条件，有权要求</w:t>
      </w:r>
      <w:r>
        <w:rPr>
          <w:rFonts w:hint="eastAsia" w:ascii="宋体" w:hAnsi="宋体"/>
          <w:color w:val="auto"/>
          <w:highlight w:val="none"/>
          <w:lang w:eastAsia="zh-CN"/>
        </w:rPr>
        <w:t>乙方</w:t>
      </w:r>
      <w:r>
        <w:rPr>
          <w:rFonts w:hint="eastAsia" w:ascii="宋体" w:hAnsi="宋体"/>
          <w:color w:val="auto"/>
          <w:highlight w:val="none"/>
        </w:rPr>
        <w:t>与其分包商制订健康安全环保条款并按其落实。</w:t>
      </w:r>
    </w:p>
    <w:p>
      <w:pPr>
        <w:numPr>
          <w:ilvl w:val="0"/>
          <w:numId w:val="0"/>
        </w:numPr>
        <w:spacing w:line="360" w:lineRule="auto"/>
        <w:ind w:leftChars="0"/>
        <w:rPr>
          <w:rFonts w:hint="eastAsia" w:ascii="宋体" w:hAnsi="宋体" w:eastAsia="宋体" w:cs="Times New Roman"/>
          <w:color w:val="auto"/>
          <w:highlight w:val="none"/>
          <w:lang w:val="en-US" w:eastAsia="zh-CN"/>
        </w:rPr>
      </w:pPr>
      <w:r>
        <w:rPr>
          <w:rFonts w:hint="eastAsia" w:ascii="宋体" w:hAnsi="宋体" w:eastAsia="宋体" w:cs="Times New Roman"/>
          <w:color w:val="auto"/>
          <w:kern w:val="2"/>
          <w:sz w:val="21"/>
          <w:szCs w:val="24"/>
          <w:highlight w:val="none"/>
          <w:lang w:val="en-US" w:eastAsia="zh-CN" w:bidi="ar-SA"/>
        </w:rPr>
        <w:t>5.</w:t>
      </w:r>
      <w:r>
        <w:rPr>
          <w:rFonts w:hint="eastAsia" w:ascii="宋体" w:hAnsi="宋体" w:eastAsia="宋体" w:cs="Times New Roman"/>
          <w:color w:val="auto"/>
          <w:highlight w:val="none"/>
          <w:lang w:val="en-US" w:eastAsia="zh-CN"/>
        </w:rPr>
        <w:t>有权对乙方的HSE管理状况和管理人员进行考核，经考核发现乙方HSE管理状况和管理人员不能满足甲方要求的，甲方有权要求乙方整改、更换管理人员,直至满足要求。</w:t>
      </w:r>
    </w:p>
    <w:p>
      <w:pPr>
        <w:numPr>
          <w:ilvl w:val="0"/>
          <w:numId w:val="0"/>
        </w:numPr>
        <w:spacing w:line="360" w:lineRule="auto"/>
        <w:ind w:leftChars="0"/>
        <w:rPr>
          <w:rFonts w:hint="eastAsia"/>
          <w:highlight w:val="none"/>
          <w:lang w:val="en-US" w:eastAsia="zh-CN"/>
        </w:rPr>
      </w:pPr>
      <w:r>
        <w:rPr>
          <w:rFonts w:hint="eastAsia" w:ascii="宋体" w:hAnsi="宋体"/>
          <w:color w:val="auto"/>
          <w:highlight w:val="none"/>
          <w:lang w:val="en-US" w:eastAsia="zh-CN"/>
        </w:rPr>
        <w:t>6.</w:t>
      </w:r>
      <w:r>
        <w:rPr>
          <w:rFonts w:hint="eastAsia" w:ascii="宋体" w:hAnsi="宋体"/>
          <w:color w:val="auto"/>
          <w:highlight w:val="none"/>
        </w:rPr>
        <w:t>当</w:t>
      </w:r>
      <w:r>
        <w:rPr>
          <w:rFonts w:hint="eastAsia" w:ascii="宋体" w:hAnsi="宋体"/>
          <w:color w:val="auto"/>
          <w:highlight w:val="none"/>
          <w:lang w:eastAsia="zh-CN"/>
        </w:rPr>
        <w:t>乙方</w:t>
      </w:r>
      <w:r>
        <w:rPr>
          <w:rFonts w:hint="eastAsia" w:ascii="宋体" w:hAnsi="宋体"/>
          <w:color w:val="auto"/>
          <w:highlight w:val="none"/>
        </w:rPr>
        <w:t>的工作程序或工作环境对人身、财产或环境构成了威胁，违反了有关的法律、法规、标准、规范、规程、规定、合同要求或任何有关的健康安全环保标准，或者当</w:t>
      </w:r>
      <w:r>
        <w:rPr>
          <w:rFonts w:hint="eastAsia" w:ascii="宋体" w:hAnsi="宋体"/>
          <w:color w:val="auto"/>
          <w:highlight w:val="none"/>
          <w:lang w:eastAsia="zh-CN"/>
        </w:rPr>
        <w:t>甲方</w:t>
      </w:r>
      <w:r>
        <w:rPr>
          <w:rFonts w:hint="eastAsia" w:ascii="宋体" w:hAnsi="宋体"/>
          <w:color w:val="auto"/>
          <w:highlight w:val="none"/>
        </w:rPr>
        <w:t>认为</w:t>
      </w:r>
      <w:r>
        <w:rPr>
          <w:rFonts w:hint="eastAsia" w:ascii="宋体" w:hAnsi="宋体"/>
          <w:color w:val="auto"/>
          <w:highlight w:val="none"/>
          <w:lang w:eastAsia="zh-CN"/>
        </w:rPr>
        <w:t>乙方</w:t>
      </w:r>
      <w:r>
        <w:rPr>
          <w:rFonts w:hint="eastAsia" w:ascii="宋体" w:hAnsi="宋体"/>
          <w:color w:val="auto"/>
          <w:highlight w:val="none"/>
        </w:rPr>
        <w:t>项目管理人员的管理能力和水平达不到要求时，</w:t>
      </w:r>
      <w:r>
        <w:rPr>
          <w:rFonts w:hint="eastAsia" w:ascii="宋体" w:hAnsi="宋体"/>
          <w:color w:val="auto"/>
          <w:highlight w:val="none"/>
          <w:lang w:eastAsia="zh-CN"/>
        </w:rPr>
        <w:t>甲方</w:t>
      </w:r>
      <w:r>
        <w:rPr>
          <w:rFonts w:hint="eastAsia" w:ascii="宋体" w:hAnsi="宋体"/>
          <w:color w:val="auto"/>
          <w:highlight w:val="none"/>
        </w:rPr>
        <w:t>有权随时停止</w:t>
      </w:r>
      <w:r>
        <w:rPr>
          <w:rFonts w:hint="eastAsia" w:ascii="宋体" w:hAnsi="宋体"/>
          <w:color w:val="auto"/>
          <w:highlight w:val="none"/>
          <w:lang w:eastAsia="zh-CN"/>
        </w:rPr>
        <w:t>乙方</w:t>
      </w:r>
      <w:r>
        <w:rPr>
          <w:rFonts w:hint="eastAsia" w:ascii="宋体" w:hAnsi="宋体"/>
          <w:color w:val="auto"/>
          <w:highlight w:val="none"/>
        </w:rPr>
        <w:t>的工作，令其整改或将其有关员工从工作场所撤换掉。严重违反的行为自然构成提前终止承包合同的理由和依据。</w:t>
      </w:r>
    </w:p>
    <w:p>
      <w:pPr>
        <w:numPr>
          <w:ilvl w:val="0"/>
          <w:numId w:val="0"/>
        </w:numPr>
        <w:spacing w:line="360" w:lineRule="auto"/>
        <w:ind w:leftChars="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7</w:t>
      </w:r>
      <w:r>
        <w:rPr>
          <w:rFonts w:hint="eastAsia" w:ascii="宋体" w:hAnsi="宋体" w:eastAsia="宋体" w:cs="Times New Roman"/>
          <w:color w:val="auto"/>
          <w:highlight w:val="none"/>
        </w:rPr>
        <w:t>.若发现</w:t>
      </w:r>
      <w:r>
        <w:rPr>
          <w:rFonts w:hint="eastAsia" w:ascii="宋体" w:hAnsi="宋体" w:eastAsia="宋体" w:cs="Times New Roman"/>
          <w:color w:val="auto"/>
          <w:highlight w:val="none"/>
          <w:lang w:val="en-US" w:eastAsia="zh-CN"/>
        </w:rPr>
        <w:t>施工现场</w:t>
      </w:r>
      <w:r>
        <w:rPr>
          <w:rFonts w:hint="eastAsia" w:ascii="宋体" w:hAnsi="宋体" w:eastAsia="宋体" w:cs="Times New Roman"/>
          <w:color w:val="auto"/>
          <w:highlight w:val="none"/>
        </w:rPr>
        <w:t>安全环保隐患及问题，应及时通知</w:t>
      </w:r>
      <w:r>
        <w:rPr>
          <w:rFonts w:hint="eastAsia" w:ascii="宋体" w:hAnsi="宋体" w:eastAsia="宋体" w:cs="Times New Roman"/>
          <w:color w:val="auto"/>
          <w:highlight w:val="none"/>
          <w:lang w:val="en-US" w:eastAsia="zh-CN"/>
        </w:rPr>
        <w:t>乙</w:t>
      </w:r>
      <w:r>
        <w:rPr>
          <w:rFonts w:hint="eastAsia" w:ascii="宋体" w:hAnsi="宋体" w:eastAsia="宋体" w:cs="Times New Roman"/>
          <w:color w:val="auto"/>
          <w:highlight w:val="none"/>
        </w:rPr>
        <w:t>方作业人员。</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lang w:val="en-US" w:eastAsia="zh-CN"/>
        </w:rPr>
        <w:t>8</w:t>
      </w:r>
      <w:r>
        <w:rPr>
          <w:rFonts w:hint="eastAsia" w:ascii="宋体" w:hAnsi="宋体"/>
          <w:color w:val="000000"/>
          <w:szCs w:val="21"/>
          <w:highlight w:val="none"/>
        </w:rPr>
        <w:t>.经常到现场进行检查，对</w:t>
      </w:r>
      <w:r>
        <w:rPr>
          <w:rFonts w:hint="eastAsia" w:ascii="宋体" w:hAnsi="宋体"/>
          <w:color w:val="000000"/>
          <w:szCs w:val="21"/>
          <w:highlight w:val="none"/>
          <w:lang w:val="en-US" w:eastAsia="zh-CN"/>
        </w:rPr>
        <w:t>乙</w:t>
      </w:r>
      <w:r>
        <w:rPr>
          <w:rFonts w:hint="eastAsia" w:ascii="宋体" w:hAnsi="宋体"/>
          <w:color w:val="000000"/>
          <w:szCs w:val="21"/>
          <w:highlight w:val="none"/>
        </w:rPr>
        <w:t>方人员可能引发</w:t>
      </w:r>
      <w:r>
        <w:rPr>
          <w:rFonts w:hint="eastAsia" w:ascii="宋体" w:hAnsi="宋体"/>
          <w:color w:val="auto"/>
          <w:szCs w:val="21"/>
          <w:highlight w:val="none"/>
          <w:lang w:val="en-US" w:eastAsia="zh-CN"/>
        </w:rPr>
        <w:t>项目施工</w:t>
      </w:r>
      <w:r>
        <w:rPr>
          <w:rFonts w:hint="eastAsia" w:ascii="宋体" w:hAnsi="宋体"/>
          <w:color w:val="000000"/>
          <w:szCs w:val="21"/>
          <w:highlight w:val="none"/>
        </w:rPr>
        <w:t>安全环保问题的行为及操作，</w:t>
      </w:r>
      <w:r>
        <w:rPr>
          <w:rFonts w:hint="eastAsia" w:ascii="宋体" w:hAnsi="宋体"/>
          <w:color w:val="000000"/>
          <w:szCs w:val="21"/>
          <w:highlight w:val="none"/>
          <w:lang w:val="en-US" w:eastAsia="zh-CN"/>
        </w:rPr>
        <w:t>甲</w:t>
      </w:r>
      <w:r>
        <w:rPr>
          <w:rFonts w:hint="eastAsia" w:ascii="宋体" w:hAnsi="宋体"/>
          <w:color w:val="000000"/>
          <w:szCs w:val="21"/>
          <w:highlight w:val="none"/>
        </w:rPr>
        <w:t>方人员有权予以制止</w:t>
      </w:r>
      <w:r>
        <w:rPr>
          <w:rFonts w:hint="eastAsia" w:ascii="宋体" w:hAnsi="宋体"/>
          <w:color w:val="000000"/>
          <w:szCs w:val="21"/>
          <w:highlight w:val="none"/>
          <w:lang w:eastAsia="zh-CN"/>
        </w:rPr>
        <w:t>，</w:t>
      </w:r>
      <w:r>
        <w:rPr>
          <w:rFonts w:hint="eastAsia" w:ascii="宋体" w:hAnsi="宋体"/>
          <w:color w:val="000000"/>
          <w:szCs w:val="21"/>
          <w:highlight w:val="none"/>
        </w:rPr>
        <w:t>责成</w:t>
      </w:r>
      <w:r>
        <w:rPr>
          <w:rFonts w:hint="eastAsia" w:ascii="宋体" w:hAnsi="宋体"/>
          <w:color w:val="000000"/>
          <w:szCs w:val="21"/>
          <w:highlight w:val="none"/>
          <w:lang w:val="en-US" w:eastAsia="zh-CN"/>
        </w:rPr>
        <w:t>乙</w:t>
      </w:r>
      <w:r>
        <w:rPr>
          <w:rFonts w:hint="eastAsia" w:ascii="宋体" w:hAnsi="宋体"/>
          <w:color w:val="000000"/>
          <w:szCs w:val="21"/>
          <w:highlight w:val="none"/>
        </w:rPr>
        <w:t>方尽快整改。发现</w:t>
      </w:r>
      <w:r>
        <w:rPr>
          <w:rFonts w:hint="eastAsia" w:ascii="宋体" w:hAnsi="宋体"/>
          <w:color w:val="000000"/>
          <w:szCs w:val="21"/>
          <w:highlight w:val="none"/>
          <w:lang w:val="en-US" w:eastAsia="zh-CN"/>
        </w:rPr>
        <w:t>乙</w:t>
      </w:r>
      <w:r>
        <w:rPr>
          <w:rFonts w:hint="eastAsia" w:ascii="宋体" w:hAnsi="宋体"/>
          <w:color w:val="000000"/>
          <w:szCs w:val="21"/>
          <w:highlight w:val="none"/>
        </w:rPr>
        <w:t>方严重违反条款规定或存在严重HSE隐患时，</w:t>
      </w:r>
      <w:r>
        <w:rPr>
          <w:rFonts w:hint="eastAsia" w:ascii="宋体" w:hAnsi="宋体"/>
          <w:color w:val="000000"/>
          <w:szCs w:val="21"/>
          <w:highlight w:val="none"/>
          <w:lang w:val="en-US" w:eastAsia="zh-CN"/>
        </w:rPr>
        <w:t>甲</w:t>
      </w:r>
      <w:r>
        <w:rPr>
          <w:rFonts w:hint="eastAsia" w:ascii="宋体" w:hAnsi="宋体"/>
          <w:color w:val="000000"/>
          <w:szCs w:val="21"/>
          <w:highlight w:val="none"/>
        </w:rPr>
        <w:t>方有权要求甲方停止作业整改，逾期整改不合格的，可解除合同。</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lang w:val="en-US" w:eastAsia="zh-CN"/>
        </w:rPr>
        <w:t>9</w:t>
      </w:r>
      <w:r>
        <w:rPr>
          <w:rFonts w:hint="eastAsia" w:ascii="宋体" w:hAnsi="宋体"/>
          <w:color w:val="000000"/>
          <w:szCs w:val="21"/>
          <w:highlight w:val="none"/>
        </w:rPr>
        <w:t>.</w:t>
      </w:r>
      <w:r>
        <w:rPr>
          <w:rFonts w:hint="eastAsia" w:ascii="宋体" w:hAnsi="宋体" w:eastAsia="宋体" w:cs="Times New Roman"/>
          <w:color w:val="000000"/>
          <w:szCs w:val="21"/>
          <w:highlight w:val="none"/>
          <w:lang w:eastAsia="zh-CN"/>
        </w:rPr>
        <w:t>乙方</w:t>
      </w:r>
      <w:r>
        <w:rPr>
          <w:rFonts w:hint="eastAsia" w:ascii="宋体" w:hAnsi="宋体" w:eastAsia="宋体" w:cs="Times New Roman"/>
          <w:color w:val="000000"/>
          <w:szCs w:val="21"/>
          <w:highlight w:val="none"/>
        </w:rPr>
        <w:t>未履行HSE管理责任或履行不到位，达不到</w:t>
      </w:r>
      <w:r>
        <w:rPr>
          <w:rFonts w:hint="eastAsia" w:ascii="宋体" w:hAnsi="宋体" w:eastAsia="宋体" w:cs="Times New Roman"/>
          <w:color w:val="000000"/>
          <w:szCs w:val="21"/>
          <w:highlight w:val="none"/>
          <w:lang w:eastAsia="zh-CN"/>
        </w:rPr>
        <w:t>甲方</w:t>
      </w:r>
      <w:r>
        <w:rPr>
          <w:rFonts w:hint="eastAsia" w:ascii="宋体" w:hAnsi="宋体" w:eastAsia="宋体" w:cs="Times New Roman"/>
          <w:color w:val="000000"/>
          <w:szCs w:val="21"/>
          <w:highlight w:val="none"/>
        </w:rPr>
        <w:t>的HSE施工要求，</w:t>
      </w:r>
      <w:r>
        <w:rPr>
          <w:rFonts w:hint="eastAsia" w:ascii="宋体" w:hAnsi="宋体" w:eastAsia="宋体" w:cs="Times New Roman"/>
          <w:color w:val="000000"/>
          <w:szCs w:val="21"/>
          <w:highlight w:val="none"/>
          <w:lang w:eastAsia="zh-CN"/>
        </w:rPr>
        <w:t>甲方</w:t>
      </w:r>
      <w:r>
        <w:rPr>
          <w:rFonts w:hint="eastAsia" w:ascii="宋体" w:hAnsi="宋体" w:eastAsia="宋体" w:cs="Times New Roman"/>
          <w:color w:val="000000"/>
          <w:szCs w:val="21"/>
          <w:highlight w:val="none"/>
        </w:rPr>
        <w:t>有权自行采取措施，并有权要求</w:t>
      </w:r>
      <w:r>
        <w:rPr>
          <w:rFonts w:hint="eastAsia" w:ascii="宋体" w:hAnsi="宋体" w:eastAsia="宋体" w:cs="Times New Roman"/>
          <w:color w:val="000000"/>
          <w:szCs w:val="21"/>
          <w:highlight w:val="none"/>
          <w:lang w:eastAsia="zh-CN"/>
        </w:rPr>
        <w:t>乙方</w:t>
      </w:r>
      <w:r>
        <w:rPr>
          <w:rFonts w:hint="eastAsia" w:ascii="宋体" w:hAnsi="宋体" w:eastAsia="宋体" w:cs="Times New Roman"/>
          <w:color w:val="000000"/>
          <w:szCs w:val="21"/>
          <w:highlight w:val="none"/>
        </w:rPr>
        <w:t>按照合同约定支付违约金</w:t>
      </w:r>
    </w:p>
    <w:p>
      <w:pPr>
        <w:tabs>
          <w:tab w:val="left" w:pos="8280"/>
          <w:tab w:val="left" w:pos="9540"/>
        </w:tabs>
        <w:spacing w:line="360" w:lineRule="auto"/>
        <w:ind w:right="-103" w:rightChars="-43"/>
        <w:rPr>
          <w:rFonts w:hint="eastAsia" w:ascii="宋体" w:hAnsi="宋体"/>
          <w:color w:val="000000"/>
          <w:szCs w:val="21"/>
          <w:highlight w:val="none"/>
        </w:rPr>
      </w:pPr>
      <w:r>
        <w:rPr>
          <w:rFonts w:hint="eastAsia" w:ascii="宋体" w:hAnsi="宋体"/>
          <w:color w:val="000000"/>
          <w:szCs w:val="21"/>
          <w:highlight w:val="none"/>
          <w:lang w:val="en-US" w:eastAsia="zh-CN"/>
        </w:rPr>
        <w:t>10</w:t>
      </w:r>
      <w:r>
        <w:rPr>
          <w:rFonts w:hint="eastAsia" w:ascii="宋体" w:hAnsi="宋体"/>
          <w:color w:val="000000"/>
          <w:szCs w:val="21"/>
          <w:highlight w:val="none"/>
        </w:rPr>
        <w:t>.组织对</w:t>
      </w:r>
      <w:r>
        <w:rPr>
          <w:rFonts w:hint="eastAsia" w:ascii="宋体" w:hAnsi="宋体"/>
          <w:color w:val="000000"/>
          <w:szCs w:val="21"/>
          <w:highlight w:val="none"/>
          <w:lang w:val="en-US" w:eastAsia="zh-CN"/>
        </w:rPr>
        <w:t>乙</w:t>
      </w:r>
      <w:r>
        <w:rPr>
          <w:rFonts w:hint="eastAsia" w:ascii="宋体" w:hAnsi="宋体"/>
          <w:color w:val="000000"/>
          <w:szCs w:val="21"/>
          <w:highlight w:val="none"/>
        </w:rPr>
        <w:t>方进行必要的安全教育</w:t>
      </w:r>
      <w:r>
        <w:rPr>
          <w:rFonts w:hint="eastAsia" w:ascii="宋体" w:hAnsi="宋体" w:eastAsia="宋体" w:cs="Times New Roman"/>
          <w:color w:val="000000"/>
          <w:szCs w:val="21"/>
          <w:highlight w:val="none"/>
        </w:rPr>
        <w:t>。</w:t>
      </w:r>
    </w:p>
    <w:p>
      <w:pPr>
        <w:tabs>
          <w:tab w:val="left" w:pos="8280"/>
          <w:tab w:val="left" w:pos="9540"/>
        </w:tabs>
        <w:spacing w:line="360" w:lineRule="auto"/>
        <w:ind w:right="-103" w:rightChars="-43"/>
        <w:rPr>
          <w:highlight w:val="none"/>
        </w:rPr>
      </w:pPr>
      <w:r>
        <w:rPr>
          <w:rFonts w:hint="eastAsia" w:ascii="宋体" w:hAnsi="宋体" w:eastAsia="宋体" w:cs="Times New Roman"/>
          <w:color w:val="000000"/>
          <w:szCs w:val="21"/>
          <w:highlight w:val="none"/>
          <w:lang w:val="en-US" w:eastAsia="zh-CN"/>
        </w:rPr>
        <w:t>11.</w:t>
      </w:r>
      <w:r>
        <w:rPr>
          <w:rFonts w:hint="eastAsia" w:ascii="宋体" w:hAnsi="宋体"/>
          <w:color w:val="000000"/>
          <w:szCs w:val="21"/>
          <w:highlight w:val="none"/>
        </w:rPr>
        <w:t>审核批准</w:t>
      </w:r>
      <w:r>
        <w:rPr>
          <w:rFonts w:hint="eastAsia" w:ascii="宋体" w:hAnsi="宋体"/>
          <w:color w:val="000000"/>
          <w:szCs w:val="21"/>
          <w:highlight w:val="none"/>
          <w:lang w:val="en-US" w:eastAsia="zh-CN"/>
        </w:rPr>
        <w:t>乙</w:t>
      </w:r>
      <w:r>
        <w:rPr>
          <w:rFonts w:hint="eastAsia" w:ascii="宋体" w:hAnsi="宋体"/>
          <w:color w:val="000000"/>
          <w:szCs w:val="21"/>
          <w:highlight w:val="none"/>
        </w:rPr>
        <w:t>方特殊作业的“三危”辨识，制订的防范措施是否全面、安全、可靠，措施是否得力。</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lang w:val="en-US" w:eastAsia="zh-CN"/>
        </w:rPr>
        <w:t>12</w:t>
      </w:r>
      <w:r>
        <w:rPr>
          <w:rFonts w:hint="eastAsia" w:ascii="宋体" w:hAnsi="宋体"/>
          <w:color w:val="000000"/>
          <w:szCs w:val="21"/>
          <w:highlight w:val="none"/>
        </w:rPr>
        <w:t>.特殊作业</w:t>
      </w:r>
      <w:r>
        <w:rPr>
          <w:rFonts w:hint="eastAsia" w:ascii="宋体" w:hAnsi="宋体"/>
          <w:color w:val="000000"/>
          <w:szCs w:val="21"/>
          <w:highlight w:val="none"/>
          <w:lang w:val="en-US" w:eastAsia="zh-CN"/>
        </w:rPr>
        <w:t>如“动火、动土、高处、断路、临时用电、电气、限制空间、起重吊装、</w:t>
      </w:r>
      <w:r>
        <w:rPr>
          <w:rFonts w:hint="eastAsia" w:ascii="宋体" w:hAnsi="宋体"/>
          <w:color w:val="auto"/>
          <w:szCs w:val="21"/>
          <w:highlight w:val="none"/>
          <w:lang w:val="en-US" w:eastAsia="zh-CN"/>
        </w:rPr>
        <w:t>盲板抽堵、隔离与锁定</w:t>
      </w:r>
      <w:r>
        <w:rPr>
          <w:rFonts w:hint="eastAsia" w:ascii="宋体" w:hAnsi="宋体"/>
          <w:color w:val="000000"/>
          <w:szCs w:val="21"/>
          <w:highlight w:val="none"/>
          <w:lang w:val="en-US" w:eastAsia="zh-CN"/>
        </w:rPr>
        <w:t>、管线容器吹扫、脚手架和梯子作业等”作业</w:t>
      </w:r>
      <w:r>
        <w:rPr>
          <w:rFonts w:hint="eastAsia" w:ascii="宋体" w:hAnsi="宋体"/>
          <w:color w:val="000000"/>
          <w:szCs w:val="21"/>
          <w:highlight w:val="none"/>
        </w:rPr>
        <w:t>前</w:t>
      </w:r>
      <w:r>
        <w:rPr>
          <w:rFonts w:hint="eastAsia" w:ascii="宋体" w:hAnsi="宋体"/>
          <w:color w:val="000000"/>
          <w:szCs w:val="21"/>
          <w:highlight w:val="none"/>
          <w:lang w:eastAsia="zh-CN"/>
        </w:rPr>
        <w:t>，</w:t>
      </w:r>
      <w:r>
        <w:rPr>
          <w:rFonts w:hint="eastAsia" w:ascii="宋体" w:hAnsi="宋体"/>
          <w:color w:val="000000"/>
          <w:szCs w:val="21"/>
          <w:highlight w:val="none"/>
          <w:lang w:val="en-US" w:eastAsia="zh-CN"/>
        </w:rPr>
        <w:t>监督乙方</w:t>
      </w:r>
      <w:r>
        <w:rPr>
          <w:rFonts w:hint="eastAsia" w:ascii="宋体" w:hAnsi="宋体"/>
          <w:color w:val="000000"/>
          <w:szCs w:val="21"/>
          <w:highlight w:val="none"/>
        </w:rPr>
        <w:t>组织</w:t>
      </w:r>
      <w:r>
        <w:rPr>
          <w:rFonts w:hint="eastAsia" w:ascii="宋体" w:hAnsi="宋体"/>
          <w:color w:val="000000"/>
          <w:szCs w:val="21"/>
          <w:highlight w:val="none"/>
          <w:lang w:val="en-US" w:eastAsia="zh-CN"/>
        </w:rPr>
        <w:t>员工</w:t>
      </w:r>
      <w:r>
        <w:rPr>
          <w:rFonts w:hint="eastAsia" w:ascii="宋体" w:hAnsi="宋体"/>
          <w:color w:val="000000"/>
          <w:szCs w:val="21"/>
          <w:highlight w:val="none"/>
        </w:rPr>
        <w:t>针对作业项目、作业进行安全交底。</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lang w:val="en-US" w:eastAsia="zh-CN"/>
        </w:rPr>
        <w:t>13</w:t>
      </w:r>
      <w:r>
        <w:rPr>
          <w:rFonts w:hint="eastAsia" w:ascii="宋体" w:hAnsi="宋体"/>
          <w:color w:val="000000"/>
          <w:szCs w:val="21"/>
          <w:highlight w:val="none"/>
        </w:rPr>
        <w:t>.对</w:t>
      </w:r>
      <w:r>
        <w:rPr>
          <w:rFonts w:hint="eastAsia" w:ascii="宋体" w:hAnsi="宋体"/>
          <w:color w:val="000000"/>
          <w:szCs w:val="21"/>
          <w:highlight w:val="none"/>
          <w:lang w:val="en-US" w:eastAsia="zh-CN"/>
        </w:rPr>
        <w:t>乙</w:t>
      </w:r>
      <w:r>
        <w:rPr>
          <w:rFonts w:hint="eastAsia" w:ascii="宋体" w:hAnsi="宋体"/>
          <w:color w:val="000000"/>
          <w:szCs w:val="21"/>
          <w:highlight w:val="none"/>
        </w:rPr>
        <w:t>方发生的事故，</w:t>
      </w:r>
      <w:r>
        <w:rPr>
          <w:rFonts w:hint="eastAsia" w:ascii="宋体" w:hAnsi="宋体"/>
          <w:color w:val="000000"/>
          <w:szCs w:val="21"/>
          <w:highlight w:val="none"/>
          <w:lang w:val="en-US" w:eastAsia="zh-CN"/>
        </w:rPr>
        <w:t>甲</w:t>
      </w:r>
      <w:r>
        <w:rPr>
          <w:rFonts w:hint="eastAsia" w:ascii="宋体" w:hAnsi="宋体"/>
          <w:color w:val="000000"/>
          <w:szCs w:val="21"/>
          <w:highlight w:val="none"/>
        </w:rPr>
        <w:t>方认为有必要时，有权组织事故调查。</w:t>
      </w:r>
    </w:p>
    <w:p>
      <w:pPr>
        <w:pStyle w:val="6"/>
        <w:numPr>
          <w:ilvl w:val="0"/>
          <w:numId w:val="45"/>
        </w:num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乙方责任、义务和权利：</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（一）</w:t>
      </w:r>
      <w:r>
        <w:rPr>
          <w:rFonts w:hint="eastAsia" w:ascii="宋体" w:hAnsi="宋体"/>
          <w:color w:val="000000"/>
          <w:szCs w:val="21"/>
          <w:highlight w:val="none"/>
          <w:lang w:val="en-US" w:eastAsia="zh-CN"/>
        </w:rPr>
        <w:t>乙</w:t>
      </w:r>
      <w:r>
        <w:rPr>
          <w:rFonts w:hint="eastAsia" w:ascii="宋体" w:hAnsi="宋体"/>
          <w:color w:val="000000"/>
          <w:szCs w:val="21"/>
          <w:highlight w:val="none"/>
        </w:rPr>
        <w:t>方主要责任人基本要求</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乙</w:t>
      </w:r>
      <w:r>
        <w:rPr>
          <w:rFonts w:hint="eastAsia" w:ascii="宋体" w:hAnsi="宋体"/>
          <w:color w:val="000000"/>
          <w:szCs w:val="21"/>
          <w:highlight w:val="none"/>
        </w:rPr>
        <w:t>方须建立、健全本单位安全生产责任制。</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乙</w:t>
      </w:r>
      <w:r>
        <w:rPr>
          <w:rFonts w:hint="eastAsia" w:ascii="宋体" w:hAnsi="宋体"/>
          <w:color w:val="000000"/>
          <w:szCs w:val="21"/>
          <w:highlight w:val="none"/>
        </w:rPr>
        <w:t>方须组织制定本单位安全生产规章制度和操作规程。</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3.</w:t>
      </w:r>
      <w:r>
        <w:rPr>
          <w:rFonts w:hint="eastAsia" w:ascii="宋体" w:hAnsi="宋体"/>
          <w:color w:val="000000"/>
          <w:szCs w:val="21"/>
          <w:highlight w:val="none"/>
          <w:lang w:val="en-US" w:eastAsia="zh-CN"/>
        </w:rPr>
        <w:t>乙</w:t>
      </w:r>
      <w:r>
        <w:rPr>
          <w:rFonts w:hint="eastAsia" w:ascii="宋体" w:hAnsi="宋体"/>
          <w:color w:val="000000"/>
          <w:szCs w:val="21"/>
          <w:highlight w:val="none"/>
        </w:rPr>
        <w:t>方须保证本单位安全生产投入的有效实施</w:t>
      </w:r>
      <w:r>
        <w:rPr>
          <w:rFonts w:hint="eastAsia" w:ascii="宋体" w:hAnsi="宋体"/>
          <w:color w:val="000000"/>
          <w:szCs w:val="21"/>
          <w:highlight w:val="none"/>
          <w:lang w:eastAsia="zh-CN"/>
        </w:rPr>
        <w:t>，</w:t>
      </w:r>
      <w:r>
        <w:rPr>
          <w:rFonts w:hint="eastAsia" w:ascii="宋体" w:hAnsi="宋体"/>
          <w:color w:val="auto"/>
          <w:highlight w:val="none"/>
        </w:rPr>
        <w:t>同意按照国家规定的行业安全投入比例</w:t>
      </w:r>
      <w:r>
        <w:rPr>
          <w:rFonts w:hint="eastAsia" w:ascii="宋体" w:hAnsi="宋体" w:eastAsia="宋体" w:cs="Times New Roman"/>
          <w:color w:val="auto"/>
          <w:highlight w:val="none"/>
        </w:rPr>
        <w:t>（房屋建筑工程不低于2%）作为承包项目专项安全投</w:t>
      </w:r>
      <w:r>
        <w:rPr>
          <w:rFonts w:hint="eastAsia" w:ascii="宋体" w:hAnsi="宋体"/>
          <w:color w:val="auto"/>
          <w:highlight w:val="none"/>
        </w:rPr>
        <w:t>入资金，确保专款专用。做好人员个人防护，</w:t>
      </w:r>
      <w:r>
        <w:rPr>
          <w:rFonts w:hint="eastAsia" w:ascii="宋体" w:hAnsi="宋体"/>
          <w:color w:val="auto"/>
          <w:highlight w:val="none"/>
          <w:lang w:val="en-US" w:eastAsia="zh-CN"/>
        </w:rPr>
        <w:t>防暑</w:t>
      </w:r>
      <w:r>
        <w:rPr>
          <w:rFonts w:hint="eastAsia" w:ascii="宋体" w:hAnsi="宋体"/>
          <w:color w:val="auto"/>
          <w:highlight w:val="none"/>
        </w:rPr>
        <w:t>降温或保暖措施，设备安全维护、检验，现场安全规范（安全防护、隔离、警告标识等）管理，满足甲方明确的作业安全要求</w:t>
      </w:r>
      <w:r>
        <w:rPr>
          <w:rFonts w:hint="eastAsia" w:ascii="宋体" w:hAnsi="宋体"/>
          <w:color w:val="000000"/>
          <w:szCs w:val="21"/>
          <w:highlight w:val="none"/>
        </w:rPr>
        <w:t>。</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4.</w:t>
      </w:r>
      <w:r>
        <w:rPr>
          <w:rFonts w:hint="eastAsia" w:ascii="宋体" w:hAnsi="宋体"/>
          <w:color w:val="000000"/>
          <w:szCs w:val="21"/>
          <w:highlight w:val="none"/>
          <w:lang w:val="en-US" w:eastAsia="zh-CN"/>
        </w:rPr>
        <w:t>乙</w:t>
      </w:r>
      <w:r>
        <w:rPr>
          <w:rFonts w:hint="eastAsia" w:ascii="宋体" w:hAnsi="宋体"/>
          <w:color w:val="000000"/>
          <w:szCs w:val="21"/>
          <w:highlight w:val="none"/>
        </w:rPr>
        <w:t>方须督促、检查本单位的安全生产工作，及时消除生产安全事故隐患。</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5.</w:t>
      </w:r>
      <w:r>
        <w:rPr>
          <w:rFonts w:hint="eastAsia" w:ascii="宋体" w:hAnsi="宋体"/>
          <w:color w:val="000000"/>
          <w:szCs w:val="21"/>
          <w:highlight w:val="none"/>
          <w:lang w:val="en-US" w:eastAsia="zh-CN"/>
        </w:rPr>
        <w:t>乙</w:t>
      </w:r>
      <w:r>
        <w:rPr>
          <w:rFonts w:hint="eastAsia" w:ascii="宋体" w:hAnsi="宋体"/>
          <w:color w:val="000000"/>
          <w:szCs w:val="21"/>
          <w:highlight w:val="none"/>
        </w:rPr>
        <w:t>方须组织制定并实施本单位的生产安全事故应急救援预案。</w:t>
      </w:r>
    </w:p>
    <w:p>
      <w:pPr>
        <w:tabs>
          <w:tab w:val="left" w:pos="8280"/>
          <w:tab w:val="left" w:pos="9540"/>
        </w:tabs>
        <w:spacing w:line="360" w:lineRule="auto"/>
        <w:ind w:right="-103" w:rightChars="-43"/>
        <w:rPr>
          <w:rFonts w:hint="eastAsia"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lang w:val="en-US" w:eastAsia="zh-CN"/>
        </w:rPr>
        <w:t>乙</w:t>
      </w:r>
      <w:r>
        <w:rPr>
          <w:rFonts w:hint="eastAsia" w:ascii="宋体" w:hAnsi="宋体"/>
          <w:color w:val="000000"/>
          <w:szCs w:val="21"/>
          <w:highlight w:val="none"/>
        </w:rPr>
        <w:t>方须及时、如实报告生产安全事故。</w:t>
      </w:r>
    </w:p>
    <w:p>
      <w:pPr>
        <w:tabs>
          <w:tab w:val="left" w:pos="8280"/>
          <w:tab w:val="left" w:pos="9540"/>
        </w:tabs>
        <w:spacing w:line="360" w:lineRule="auto"/>
        <w:ind w:right="-103" w:rightChars="-43"/>
        <w:rPr>
          <w:rFonts w:hint="eastAsia" w:ascii="宋体" w:hAnsi="宋体" w:cs="宋体"/>
          <w:b w:val="0"/>
          <w:bCs w:val="0"/>
          <w:kern w:val="2"/>
          <w:sz w:val="21"/>
          <w:szCs w:val="21"/>
          <w:highlight w:val="none"/>
          <w:lang w:eastAsia="zh-CN"/>
        </w:rPr>
      </w:pPr>
      <w:r>
        <w:rPr>
          <w:rFonts w:hint="eastAsia" w:ascii="宋体" w:hAnsi="宋体"/>
          <w:color w:val="auto"/>
          <w:szCs w:val="21"/>
          <w:highlight w:val="none"/>
          <w:lang w:val="en-US" w:eastAsia="zh-CN"/>
        </w:rPr>
        <w:t>7.</w:t>
      </w:r>
      <w:r>
        <w:rPr>
          <w:rFonts w:hint="eastAsia" w:ascii="宋体" w:hAnsi="宋体" w:eastAsia="宋体" w:cs="宋体"/>
          <w:b w:val="0"/>
          <w:bCs w:val="0"/>
          <w:kern w:val="2"/>
          <w:sz w:val="21"/>
          <w:szCs w:val="21"/>
          <w:highlight w:val="none"/>
        </w:rPr>
        <w:t>乙方必须提供身体条件符合</w:t>
      </w:r>
      <w:r>
        <w:rPr>
          <w:rFonts w:hint="eastAsia" w:ascii="宋体" w:hAnsi="宋体" w:cs="宋体"/>
          <w:b w:val="0"/>
          <w:bCs w:val="0"/>
          <w:kern w:val="2"/>
          <w:sz w:val="21"/>
          <w:szCs w:val="21"/>
          <w:highlight w:val="none"/>
          <w:lang w:val="en-US" w:eastAsia="zh-CN"/>
        </w:rPr>
        <w:t>甲方要求</w:t>
      </w:r>
      <w:r>
        <w:rPr>
          <w:rFonts w:hint="eastAsia" w:ascii="宋体" w:hAnsi="宋体" w:eastAsia="宋体" w:cs="宋体"/>
          <w:b w:val="0"/>
          <w:bCs w:val="0"/>
          <w:kern w:val="2"/>
          <w:sz w:val="21"/>
          <w:szCs w:val="21"/>
          <w:highlight w:val="none"/>
        </w:rPr>
        <w:t>的人员为甲方提供服务</w:t>
      </w:r>
      <w:r>
        <w:rPr>
          <w:rFonts w:hint="eastAsia" w:ascii="宋体" w:hAnsi="宋体" w:cs="宋体"/>
          <w:b w:val="0"/>
          <w:bCs w:val="0"/>
          <w:kern w:val="2"/>
          <w:sz w:val="21"/>
          <w:szCs w:val="21"/>
          <w:highlight w:val="none"/>
          <w:lang w:eastAsia="zh-CN"/>
        </w:rPr>
        <w:t>。</w:t>
      </w:r>
    </w:p>
    <w:p>
      <w:pPr>
        <w:tabs>
          <w:tab w:val="left" w:pos="8280"/>
          <w:tab w:val="left" w:pos="9540"/>
        </w:tabs>
        <w:spacing w:line="360" w:lineRule="auto"/>
        <w:ind w:right="-103" w:rightChars="-43"/>
        <w:rPr>
          <w:rFonts w:hint="eastAsia" w:ascii="宋体" w:hAnsi="宋体" w:cs="宋体"/>
          <w:kern w:val="2"/>
          <w:sz w:val="21"/>
          <w:szCs w:val="21"/>
          <w:highlight w:val="none"/>
          <w:lang w:val="en-US" w:eastAsia="zh-CN" w:bidi="ar"/>
        </w:rPr>
      </w:pPr>
      <w:r>
        <w:rPr>
          <w:rFonts w:hint="eastAsia" w:ascii="宋体" w:hAnsi="宋体" w:cs="宋体"/>
          <w:b w:val="0"/>
          <w:bCs w:val="0"/>
          <w:kern w:val="2"/>
          <w:sz w:val="21"/>
          <w:szCs w:val="21"/>
          <w:highlight w:val="none"/>
          <w:lang w:val="en-US" w:eastAsia="zh-CN"/>
        </w:rPr>
        <w:t>8.乙方须</w:t>
      </w:r>
      <w:r>
        <w:rPr>
          <w:rFonts w:hint="eastAsia" w:ascii="宋体" w:hAnsi="宋体" w:eastAsia="宋体" w:cs="宋体"/>
          <w:kern w:val="2"/>
          <w:sz w:val="21"/>
          <w:szCs w:val="21"/>
          <w:highlight w:val="none"/>
          <w:lang w:val="en-US" w:eastAsia="zh-CN" w:bidi="ar"/>
        </w:rPr>
        <w:t>建立全员健康</w:t>
      </w:r>
      <w:r>
        <w:rPr>
          <w:rFonts w:hint="eastAsia" w:ascii="宋体" w:hAnsi="宋体" w:cs="宋体"/>
          <w:kern w:val="2"/>
          <w:sz w:val="21"/>
          <w:szCs w:val="21"/>
          <w:highlight w:val="none"/>
          <w:lang w:val="en-US" w:eastAsia="zh-CN" w:bidi="ar"/>
        </w:rPr>
        <w:t>体检</w:t>
      </w:r>
      <w:r>
        <w:rPr>
          <w:rFonts w:hint="eastAsia" w:ascii="宋体" w:hAnsi="宋体" w:eastAsia="宋体" w:cs="宋体"/>
          <w:kern w:val="2"/>
          <w:sz w:val="21"/>
          <w:szCs w:val="21"/>
          <w:highlight w:val="none"/>
          <w:lang w:val="en-US" w:eastAsia="zh-CN" w:bidi="ar"/>
        </w:rPr>
        <w:t>档案，并将</w:t>
      </w:r>
      <w:r>
        <w:rPr>
          <w:rFonts w:hint="eastAsia" w:ascii="宋体" w:hAnsi="宋体" w:cs="宋体"/>
          <w:kern w:val="2"/>
          <w:sz w:val="21"/>
          <w:szCs w:val="21"/>
          <w:highlight w:val="none"/>
          <w:lang w:val="en-US" w:eastAsia="zh-CN" w:bidi="ar"/>
        </w:rPr>
        <w:t>健康体检</w:t>
      </w:r>
      <w:r>
        <w:rPr>
          <w:rFonts w:hint="eastAsia" w:ascii="宋体" w:hAnsi="宋体" w:eastAsia="宋体" w:cs="宋体"/>
          <w:kern w:val="2"/>
          <w:sz w:val="21"/>
          <w:szCs w:val="21"/>
          <w:highlight w:val="none"/>
          <w:lang w:val="en-US" w:eastAsia="zh-CN" w:bidi="ar"/>
        </w:rPr>
        <w:t>档案总结由主要负责人签字、盖章后上报</w:t>
      </w:r>
      <w:r>
        <w:rPr>
          <w:rFonts w:hint="eastAsia" w:ascii="宋体" w:hAnsi="宋体" w:cs="宋体"/>
          <w:kern w:val="2"/>
          <w:sz w:val="21"/>
          <w:szCs w:val="21"/>
          <w:highlight w:val="none"/>
          <w:lang w:val="en-US" w:eastAsia="zh-CN" w:bidi="ar"/>
        </w:rPr>
        <w:t>至甲方</w:t>
      </w:r>
      <w:r>
        <w:rPr>
          <w:rFonts w:hint="eastAsia" w:ascii="宋体" w:hAnsi="宋体" w:eastAsia="宋体" w:cs="宋体"/>
          <w:kern w:val="2"/>
          <w:sz w:val="21"/>
          <w:szCs w:val="21"/>
          <w:highlight w:val="none"/>
          <w:lang w:val="en-US" w:eastAsia="zh-CN" w:bidi="ar"/>
        </w:rPr>
        <w:t>进行备案</w:t>
      </w:r>
      <w:r>
        <w:rPr>
          <w:rFonts w:hint="eastAsia" w:ascii="宋体" w:hAnsi="宋体" w:cs="宋体"/>
          <w:kern w:val="2"/>
          <w:sz w:val="21"/>
          <w:szCs w:val="21"/>
          <w:highlight w:val="none"/>
          <w:lang w:val="en-US" w:eastAsia="zh-CN" w:bidi="ar"/>
        </w:rPr>
        <w:t>。</w:t>
      </w:r>
    </w:p>
    <w:p>
      <w:pPr>
        <w:numPr>
          <w:ilvl w:val="0"/>
          <w:numId w:val="0"/>
        </w:numPr>
        <w:spacing w:line="360" w:lineRule="auto"/>
        <w:ind w:leftChars="0"/>
        <w:rPr>
          <w:rFonts w:hint="eastAsia"/>
          <w:highlight w:val="none"/>
          <w:lang w:val="en-US" w:eastAsia="zh-CN"/>
        </w:rPr>
      </w:pPr>
      <w:r>
        <w:rPr>
          <w:rFonts w:hint="eastAsia" w:ascii="宋体" w:hAnsi="宋体" w:eastAsia="宋体" w:cs="Times New Roman"/>
          <w:color w:val="auto"/>
          <w:highlight w:val="none"/>
          <w:lang w:val="en-US" w:eastAsia="zh-CN"/>
        </w:rPr>
        <w:t>9.</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应遵守有关的法律、法规、规范、规程、规定，有关的HSE标准；国家和地方政府的最新法律法规要求均自动成为本HSE合同的条款，承包商有义务遵守和执行。</w:t>
      </w:r>
    </w:p>
    <w:p>
      <w:pPr>
        <w:tabs>
          <w:tab w:val="left" w:pos="8280"/>
          <w:tab w:val="left" w:pos="9540"/>
        </w:tabs>
        <w:spacing w:line="360" w:lineRule="auto"/>
        <w:ind w:right="-103" w:rightChars="-43"/>
        <w:rPr>
          <w:rFonts w:hint="eastAsia" w:ascii="宋体" w:hAnsi="宋体" w:cs="宋体"/>
          <w:sz w:val="21"/>
          <w:szCs w:val="21"/>
          <w:highlight w:val="none"/>
        </w:rPr>
      </w:pPr>
      <w:r>
        <w:rPr>
          <w:rFonts w:hint="eastAsia" w:ascii="宋体" w:hAnsi="宋体" w:cs="宋体"/>
          <w:kern w:val="2"/>
          <w:sz w:val="21"/>
          <w:szCs w:val="21"/>
          <w:highlight w:val="none"/>
          <w:lang w:val="en-US" w:eastAsia="zh-CN" w:bidi="ar"/>
        </w:rPr>
        <w:t>9.</w:t>
      </w:r>
      <w:r>
        <w:rPr>
          <w:rFonts w:ascii="宋体" w:hAnsi="宋体" w:cs="宋体"/>
          <w:sz w:val="21"/>
          <w:szCs w:val="21"/>
          <w:highlight w:val="none"/>
        </w:rPr>
        <w:t xml:space="preserve"> </w:t>
      </w:r>
      <w:r>
        <w:rPr>
          <w:rFonts w:hint="eastAsia" w:ascii="宋体" w:hAnsi="宋体" w:cs="宋体"/>
          <w:sz w:val="21"/>
          <w:szCs w:val="21"/>
          <w:highlight w:val="none"/>
          <w:lang w:val="en-US" w:eastAsia="zh-CN"/>
        </w:rPr>
        <w:t>乙方</w:t>
      </w:r>
      <w:r>
        <w:rPr>
          <w:rFonts w:hint="eastAsia" w:ascii="宋体" w:hAnsi="宋体" w:cs="宋体"/>
          <w:sz w:val="21"/>
          <w:szCs w:val="21"/>
          <w:highlight w:val="none"/>
        </w:rPr>
        <w:t>在满足作业人员健康体检、职业健康体检、特种作业人员健康体检的基础上，应组织高风险作业岗位全员进行心脑血管病风险评估，规范建立高风险作业岗位人员健康档案，针对性实施动态的风险分层管理。</w:t>
      </w:r>
    </w:p>
    <w:p>
      <w:pPr>
        <w:tabs>
          <w:tab w:val="left" w:pos="8280"/>
          <w:tab w:val="left" w:pos="9540"/>
        </w:tabs>
        <w:spacing w:line="360" w:lineRule="auto"/>
        <w:ind w:right="-103" w:rightChars="-43"/>
        <w:rPr>
          <w:rFonts w:hint="eastAsia" w:ascii="宋体" w:hAnsi="宋体" w:cs="宋体"/>
          <w:sz w:val="21"/>
          <w:szCs w:val="21"/>
          <w:highlight w:val="none"/>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高风险作业岗位人员完成心脑血管病风险评估后，应将</w:t>
      </w:r>
      <w:r>
        <w:rPr>
          <w:rFonts w:hint="eastAsia" w:ascii="宋体" w:hAnsi="宋体" w:cs="宋体"/>
          <w:sz w:val="21"/>
          <w:szCs w:val="21"/>
          <w:highlight w:val="none"/>
          <w:lang w:val="en-US" w:eastAsia="zh-CN"/>
        </w:rPr>
        <w:t>评估</w:t>
      </w:r>
      <w:r>
        <w:rPr>
          <w:rFonts w:hint="eastAsia" w:ascii="宋体" w:hAnsi="宋体" w:cs="宋体"/>
          <w:sz w:val="21"/>
          <w:szCs w:val="21"/>
          <w:highlight w:val="none"/>
        </w:rPr>
        <w:t>健康管理</w:t>
      </w:r>
      <w:r>
        <w:rPr>
          <w:rFonts w:hint="eastAsia" w:ascii="宋体" w:hAnsi="宋体" w:cs="宋体"/>
          <w:sz w:val="21"/>
          <w:szCs w:val="21"/>
          <w:highlight w:val="none"/>
          <w:lang w:val="en-US" w:eastAsia="zh-CN"/>
        </w:rPr>
        <w:t>的</w:t>
      </w:r>
      <w:r>
        <w:rPr>
          <w:rFonts w:hint="eastAsia" w:ascii="宋体" w:hAnsi="宋体" w:cs="宋体"/>
          <w:sz w:val="21"/>
          <w:szCs w:val="21"/>
          <w:highlight w:val="none"/>
        </w:rPr>
        <w:t>人员</w:t>
      </w:r>
      <w:r>
        <w:rPr>
          <w:rFonts w:hint="eastAsia" w:ascii="宋体" w:hAnsi="宋体" w:cs="宋体"/>
          <w:sz w:val="21"/>
          <w:szCs w:val="21"/>
          <w:highlight w:val="none"/>
          <w:lang w:val="en-US" w:eastAsia="zh-CN"/>
        </w:rPr>
        <w:t>档案进行</w:t>
      </w:r>
      <w:r>
        <w:rPr>
          <w:rFonts w:hint="eastAsia" w:ascii="宋体" w:hAnsi="宋体" w:cs="宋体"/>
          <w:sz w:val="21"/>
          <w:szCs w:val="21"/>
          <w:highlight w:val="none"/>
        </w:rPr>
        <w:t>存档，</w:t>
      </w:r>
      <w:r>
        <w:rPr>
          <w:rFonts w:hint="eastAsia" w:ascii="宋体" w:hAnsi="宋体" w:cs="宋体"/>
          <w:sz w:val="21"/>
          <w:szCs w:val="21"/>
          <w:highlight w:val="none"/>
          <w:lang w:val="en-US" w:eastAsia="zh-CN"/>
        </w:rPr>
        <w:t>乙方</w:t>
      </w:r>
      <w:r>
        <w:rPr>
          <w:rFonts w:hint="eastAsia" w:ascii="宋体" w:hAnsi="宋体" w:cs="宋体"/>
          <w:sz w:val="21"/>
          <w:szCs w:val="21"/>
          <w:highlight w:val="none"/>
        </w:rPr>
        <w:t>通过对比以往的风险评估结果，动态调整健康干预或治疗措施。对于由低危发展到中高危和由中危发展到高危的人员，应给予重点关注和针对性干预。</w:t>
      </w:r>
    </w:p>
    <w:p>
      <w:pPr>
        <w:tabs>
          <w:tab w:val="left" w:pos="8280"/>
          <w:tab w:val="left" w:pos="9540"/>
        </w:tabs>
        <w:spacing w:line="360" w:lineRule="auto"/>
        <w:ind w:right="-103" w:rightChars="-43"/>
        <w:rPr>
          <w:rFonts w:hint="eastAsia" w:ascii="宋体" w:hAnsi="宋体" w:cs="宋体"/>
          <w:sz w:val="21"/>
          <w:szCs w:val="21"/>
          <w:highlight w:val="none"/>
        </w:rPr>
      </w:pPr>
      <w:r>
        <w:rPr>
          <w:rFonts w:hint="eastAsia" w:ascii="宋体" w:hAnsi="宋体" w:cs="宋体"/>
          <w:sz w:val="21"/>
          <w:szCs w:val="21"/>
          <w:highlight w:val="none"/>
          <w:lang w:val="en-US" w:eastAsia="zh-CN"/>
        </w:rPr>
        <w:t>11.</w:t>
      </w:r>
      <w:r>
        <w:rPr>
          <w:rFonts w:hint="eastAsia" w:ascii="宋体" w:hAnsi="宋体" w:cs="宋体"/>
          <w:sz w:val="21"/>
          <w:szCs w:val="21"/>
          <w:highlight w:val="none"/>
        </w:rPr>
        <w:t>高中危个体每年应至少进行</w:t>
      </w:r>
      <w:r>
        <w:rPr>
          <w:rFonts w:ascii="宋体" w:hAnsi="宋体" w:cs="宋体"/>
          <w:sz w:val="21"/>
          <w:szCs w:val="21"/>
          <w:highlight w:val="none"/>
        </w:rPr>
        <w:t>1</w:t>
      </w:r>
      <w:r>
        <w:rPr>
          <w:rFonts w:hint="eastAsia" w:ascii="宋体" w:hAnsi="宋体" w:cs="宋体"/>
          <w:sz w:val="21"/>
          <w:szCs w:val="21"/>
          <w:highlight w:val="none"/>
        </w:rPr>
        <w:t>次风险评估，低危个体每</w:t>
      </w:r>
      <w:r>
        <w:rPr>
          <w:rFonts w:ascii="宋体" w:hAnsi="宋体" w:cs="宋体"/>
          <w:sz w:val="21"/>
          <w:szCs w:val="21"/>
          <w:highlight w:val="none"/>
        </w:rPr>
        <w:t>2</w:t>
      </w:r>
      <w:r>
        <w:rPr>
          <w:rFonts w:hint="eastAsia" w:ascii="宋体" w:hAnsi="宋体" w:cs="宋体"/>
          <w:sz w:val="21"/>
          <w:szCs w:val="21"/>
          <w:highlight w:val="none"/>
        </w:rPr>
        <w:t>年至少进行</w:t>
      </w:r>
      <w:r>
        <w:rPr>
          <w:rFonts w:ascii="宋体" w:hAnsi="宋体" w:cs="宋体"/>
          <w:sz w:val="21"/>
          <w:szCs w:val="21"/>
          <w:highlight w:val="none"/>
        </w:rPr>
        <w:t>1</w:t>
      </w:r>
      <w:r>
        <w:rPr>
          <w:rFonts w:hint="eastAsia" w:ascii="宋体" w:hAnsi="宋体" w:cs="宋体"/>
          <w:sz w:val="21"/>
          <w:szCs w:val="21"/>
          <w:highlight w:val="none"/>
        </w:rPr>
        <w:t>次风险评估。</w:t>
      </w:r>
    </w:p>
    <w:p>
      <w:pPr>
        <w:numPr>
          <w:ilvl w:val="0"/>
          <w:numId w:val="0"/>
        </w:numPr>
        <w:spacing w:line="360" w:lineRule="auto"/>
        <w:ind w:leftChars="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12.</w:t>
      </w:r>
      <w:r>
        <w:rPr>
          <w:rFonts w:hint="eastAsia" w:ascii="宋体" w:hAnsi="宋体" w:eastAsia="宋体" w:cs="Times New Roman"/>
          <w:color w:val="auto"/>
          <w:highlight w:val="none"/>
        </w:rPr>
        <w:t>以自己的设备、技术、劳力等完成工作任务的</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，不仅对完成的工作成果负责，而且要独立承担工作中遭受的意外风险。</w:t>
      </w:r>
    </w:p>
    <w:p>
      <w:pPr>
        <w:numPr>
          <w:ilvl w:val="0"/>
          <w:numId w:val="0"/>
        </w:numPr>
        <w:spacing w:line="360" w:lineRule="auto"/>
        <w:ind w:leftChars="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13.</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有责任和义务免除、保护、防护、补偿</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，避免</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由于</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或</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的员工直接或间接未能贯彻、执行、遵循和遵守有关法律、法规和规定的原因受到任何损失、伤害、索赔或债务。在任何时候，承包商的这种责任都不应被认为可以改变、修正、减少或者重新界定</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按承包合同应尽的其他应补偿、免除、保险或担保等义务。</w:t>
      </w:r>
    </w:p>
    <w:p>
      <w:pPr>
        <w:numPr>
          <w:ilvl w:val="0"/>
          <w:numId w:val="0"/>
        </w:numPr>
        <w:spacing w:line="360" w:lineRule="auto"/>
        <w:ind w:leftChars="0"/>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14.</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有义务对为</w:t>
      </w:r>
      <w:r>
        <w:rPr>
          <w:rFonts w:hint="eastAsia" w:ascii="宋体" w:hAnsi="宋体" w:eastAsia="宋体" w:cs="Times New Roman"/>
          <w:color w:val="auto"/>
          <w:highlight w:val="none"/>
          <w:lang w:eastAsia="zh-CN"/>
        </w:rPr>
        <w:t>甲方</w:t>
      </w:r>
      <w:r>
        <w:rPr>
          <w:rFonts w:hint="eastAsia" w:ascii="宋体" w:hAnsi="宋体" w:eastAsia="宋体" w:cs="Times New Roman"/>
          <w:color w:val="auto"/>
          <w:highlight w:val="none"/>
        </w:rPr>
        <w:t>提供服务的设备、设施状况进行定期检查，做好相关的维护工作，保证其处于随时可用的状态。</w:t>
      </w:r>
    </w:p>
    <w:p>
      <w:pPr>
        <w:numPr>
          <w:ilvl w:val="0"/>
          <w:numId w:val="0"/>
        </w:numPr>
        <w:spacing w:line="360" w:lineRule="auto"/>
        <w:ind w:leftChars="0"/>
        <w:rPr>
          <w:rFonts w:hint="eastAsia"/>
          <w:highlight w:val="none"/>
        </w:rPr>
      </w:pPr>
      <w:r>
        <w:rPr>
          <w:rFonts w:hint="eastAsia" w:ascii="宋体" w:hAnsi="宋体" w:eastAsia="宋体" w:cs="Times New Roman"/>
          <w:color w:val="auto"/>
          <w:highlight w:val="none"/>
          <w:lang w:val="en-US" w:eastAsia="zh-CN"/>
        </w:rPr>
        <w:t>15.</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负责为其管理的所有人员的工伤保险、人员意外伤害保险等与HSE相关险种的投保工作，由于其员工未能投保而带来的一切损失由</w:t>
      </w:r>
      <w:r>
        <w:rPr>
          <w:rFonts w:hint="eastAsia" w:ascii="宋体" w:hAnsi="宋体" w:eastAsia="宋体" w:cs="Times New Roman"/>
          <w:color w:val="auto"/>
          <w:highlight w:val="none"/>
          <w:lang w:eastAsia="zh-CN"/>
        </w:rPr>
        <w:t>乙方</w:t>
      </w:r>
      <w:r>
        <w:rPr>
          <w:rFonts w:hint="eastAsia" w:ascii="宋体" w:hAnsi="宋体" w:eastAsia="宋体" w:cs="Times New Roman"/>
          <w:color w:val="auto"/>
          <w:highlight w:val="none"/>
        </w:rPr>
        <w:t>全权负责。</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（二）建立健全安全生产责任制</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1.按规定建立健全安全管理组织机构，配备现场安全管理人员</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特殊作业监护人员</w:t>
      </w:r>
      <w:r>
        <w:rPr>
          <w:rFonts w:hint="eastAsia" w:ascii="宋体" w:hAnsi="宋体"/>
          <w:color w:val="000000"/>
          <w:szCs w:val="21"/>
          <w:highlight w:val="none"/>
        </w:rPr>
        <w:t>，实施安全监督检查，并有安全记录。</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2.认真执行国家的安全法律、法规及</w:t>
      </w:r>
      <w:r>
        <w:rPr>
          <w:rFonts w:hint="eastAsia" w:ascii="宋体" w:hAnsi="宋体"/>
          <w:color w:val="000000"/>
          <w:szCs w:val="21"/>
          <w:highlight w:val="none"/>
          <w:lang w:val="en-US" w:eastAsia="zh-CN"/>
        </w:rPr>
        <w:t>甲</w:t>
      </w:r>
      <w:r>
        <w:rPr>
          <w:rFonts w:hint="eastAsia" w:ascii="宋体" w:hAnsi="宋体"/>
          <w:color w:val="000000"/>
          <w:szCs w:val="21"/>
          <w:highlight w:val="none"/>
        </w:rPr>
        <w:t>方的HSE体系和各种安全管理规定。</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3.建立实施体系或按照体系要求建立各种规章制度及操作规程。</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（三）资质及人员管理</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1.提供作业人员合法有效的各种资质、证件，特殊工种要持有效的证件，持证上岗。</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2.确保使用的特种设备经检测合格并处于良好状态，符合安全要求，提供检测报告及证书复印件。</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3.</w:t>
      </w:r>
      <w:r>
        <w:rPr>
          <w:rFonts w:hint="eastAsia" w:ascii="宋体" w:hAnsi="宋体"/>
          <w:color w:val="000000"/>
          <w:szCs w:val="21"/>
          <w:highlight w:val="none"/>
          <w:lang w:val="en-US" w:eastAsia="zh-CN"/>
        </w:rPr>
        <w:t>乙</w:t>
      </w:r>
      <w:r>
        <w:rPr>
          <w:rFonts w:hint="eastAsia" w:ascii="宋体" w:hAnsi="宋体"/>
          <w:color w:val="000000"/>
          <w:szCs w:val="21"/>
          <w:highlight w:val="none"/>
        </w:rPr>
        <w:t>方确保作业人员</w:t>
      </w:r>
      <w:r>
        <w:rPr>
          <w:rFonts w:hint="eastAsia" w:ascii="宋体" w:hAnsi="宋体"/>
          <w:color w:val="000000"/>
          <w:szCs w:val="21"/>
          <w:highlight w:val="none"/>
          <w:lang w:val="en-US" w:eastAsia="zh-CN"/>
        </w:rPr>
        <w:t>劳动保护用品</w:t>
      </w:r>
      <w:r>
        <w:rPr>
          <w:rFonts w:hint="eastAsia" w:ascii="宋体" w:hAnsi="宋体"/>
          <w:color w:val="000000"/>
          <w:szCs w:val="21"/>
          <w:highlight w:val="none"/>
        </w:rPr>
        <w:t>正确佩戴合格有效。</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乙</w:t>
      </w:r>
      <w:r>
        <w:rPr>
          <w:rFonts w:hint="eastAsia" w:ascii="宋体" w:hAnsi="宋体"/>
          <w:color w:val="auto"/>
          <w:szCs w:val="21"/>
          <w:highlight w:val="none"/>
        </w:rPr>
        <w:t>方应为其所有服务人员办理工伤保险，同时为从事危险作业的服务人员办理意外伤害保险，由于其员工未能投保而带来的一切损失由</w:t>
      </w:r>
      <w:r>
        <w:rPr>
          <w:rFonts w:hint="eastAsia" w:ascii="宋体" w:hAnsi="宋体"/>
          <w:color w:val="auto"/>
          <w:szCs w:val="21"/>
          <w:highlight w:val="none"/>
          <w:lang w:val="en-US" w:eastAsia="zh-CN"/>
        </w:rPr>
        <w:t>乙</w:t>
      </w:r>
      <w:r>
        <w:rPr>
          <w:rFonts w:hint="eastAsia" w:ascii="宋体" w:hAnsi="宋体"/>
          <w:color w:val="auto"/>
          <w:szCs w:val="21"/>
          <w:highlight w:val="none"/>
        </w:rPr>
        <w:t>方全权负责。</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5.</w:t>
      </w:r>
      <w:r>
        <w:rPr>
          <w:rFonts w:hint="eastAsia" w:ascii="宋体" w:hAnsi="宋体"/>
          <w:color w:val="000000"/>
          <w:szCs w:val="21"/>
          <w:highlight w:val="none"/>
          <w:lang w:val="en-US" w:eastAsia="zh-CN"/>
        </w:rPr>
        <w:t>乙</w:t>
      </w:r>
      <w:r>
        <w:rPr>
          <w:rFonts w:hint="eastAsia" w:ascii="宋体" w:hAnsi="宋体"/>
          <w:color w:val="000000"/>
          <w:szCs w:val="21"/>
          <w:highlight w:val="none"/>
        </w:rPr>
        <w:t>方不得因从业人员对其安全生产工作提出批评、检举、控告、或者拒绝违章指挥、拒绝强令冒险作业而降低其工资、福利等待遇或者解除与其订立的劳动合同。</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lang w:val="en-US" w:eastAsia="zh-CN"/>
        </w:rPr>
        <w:t>乙</w:t>
      </w:r>
      <w:r>
        <w:rPr>
          <w:rFonts w:hint="eastAsia" w:ascii="宋体" w:hAnsi="宋体"/>
          <w:color w:val="000000"/>
          <w:szCs w:val="21"/>
          <w:highlight w:val="none"/>
        </w:rPr>
        <w:t>方不得使用不符合国家规定的评价、认证和检验机构。</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（四）辨识及教育</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1.按照</w:t>
      </w:r>
      <w:r>
        <w:rPr>
          <w:rFonts w:hint="eastAsia" w:ascii="宋体" w:hAnsi="宋体"/>
          <w:color w:val="000000"/>
          <w:szCs w:val="21"/>
          <w:highlight w:val="none"/>
          <w:lang w:val="en-US" w:eastAsia="zh-CN"/>
        </w:rPr>
        <w:t>甲</w:t>
      </w:r>
      <w:r>
        <w:rPr>
          <w:rFonts w:hint="eastAsia" w:ascii="宋体" w:hAnsi="宋体"/>
          <w:color w:val="000000"/>
          <w:szCs w:val="21"/>
          <w:highlight w:val="none"/>
        </w:rPr>
        <w:t>方HSE管理体系的要求，进行特殊作业前的危害辨识、危险评价、危险控制措施（三危），报</w:t>
      </w:r>
      <w:r>
        <w:rPr>
          <w:rFonts w:hint="eastAsia" w:ascii="宋体" w:hAnsi="宋体"/>
          <w:color w:val="000000"/>
          <w:szCs w:val="21"/>
          <w:highlight w:val="none"/>
          <w:lang w:val="en-US" w:eastAsia="zh-CN"/>
        </w:rPr>
        <w:t>甲</w:t>
      </w:r>
      <w:r>
        <w:rPr>
          <w:rFonts w:hint="eastAsia" w:ascii="宋体" w:hAnsi="宋体"/>
          <w:color w:val="000000"/>
          <w:szCs w:val="21"/>
          <w:highlight w:val="none"/>
        </w:rPr>
        <w:t>方审核批准后方可实施。</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乙</w:t>
      </w:r>
      <w:r>
        <w:rPr>
          <w:rFonts w:hint="eastAsia" w:ascii="宋体" w:hAnsi="宋体"/>
          <w:color w:val="000000"/>
          <w:szCs w:val="21"/>
          <w:highlight w:val="none"/>
        </w:rPr>
        <w:t>方应组织相关单位对每位作业者进行相关的安全教育，使其充分了解潜在的危险及防范措施，应急救援和各自履行的职责，所有人员签字确认、备查。</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3.</w:t>
      </w:r>
      <w:r>
        <w:rPr>
          <w:rFonts w:hint="eastAsia" w:ascii="宋体" w:hAnsi="宋体"/>
          <w:color w:val="000000"/>
          <w:szCs w:val="21"/>
          <w:highlight w:val="none"/>
          <w:lang w:val="en-US" w:eastAsia="zh-CN"/>
        </w:rPr>
        <w:t>乙</w:t>
      </w:r>
      <w:r>
        <w:rPr>
          <w:rFonts w:hint="eastAsia" w:ascii="宋体" w:hAnsi="宋体"/>
          <w:color w:val="000000"/>
          <w:szCs w:val="21"/>
          <w:highlight w:val="none"/>
        </w:rPr>
        <w:t>方应为员工提供必要的培训，确保员工具有满足项目要求的技能及资质。</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4.</w:t>
      </w:r>
      <w:r>
        <w:rPr>
          <w:rFonts w:hint="eastAsia" w:ascii="宋体" w:hAnsi="宋体"/>
          <w:color w:val="000000"/>
          <w:szCs w:val="21"/>
          <w:highlight w:val="none"/>
          <w:lang w:val="en-US" w:eastAsia="zh-CN"/>
        </w:rPr>
        <w:t>乙</w:t>
      </w:r>
      <w:r>
        <w:rPr>
          <w:rFonts w:hint="eastAsia" w:ascii="宋体" w:hAnsi="宋体"/>
          <w:color w:val="000000"/>
          <w:szCs w:val="21"/>
          <w:highlight w:val="none"/>
        </w:rPr>
        <w:t>方必须接受</w:t>
      </w:r>
      <w:r>
        <w:rPr>
          <w:rFonts w:hint="eastAsia" w:ascii="宋体" w:hAnsi="宋体"/>
          <w:color w:val="000000"/>
          <w:szCs w:val="21"/>
          <w:highlight w:val="none"/>
          <w:lang w:val="en-US" w:eastAsia="zh-CN"/>
        </w:rPr>
        <w:t>甲</w:t>
      </w:r>
      <w:r>
        <w:rPr>
          <w:rFonts w:hint="eastAsia" w:ascii="宋体" w:hAnsi="宋体"/>
          <w:color w:val="000000"/>
          <w:szCs w:val="21"/>
          <w:highlight w:val="none"/>
        </w:rPr>
        <w:t>方组织的安全教育及培训。</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（五）</w:t>
      </w:r>
      <w:r>
        <w:rPr>
          <w:rFonts w:hint="eastAsia" w:ascii="宋体" w:hAnsi="宋体"/>
          <w:color w:val="000000"/>
          <w:szCs w:val="21"/>
          <w:highlight w:val="none"/>
          <w:lang w:val="en-US" w:eastAsia="zh-CN"/>
        </w:rPr>
        <w:t>HSE</w:t>
      </w:r>
      <w:r>
        <w:rPr>
          <w:rFonts w:hint="eastAsia" w:ascii="宋体" w:hAnsi="宋体"/>
          <w:color w:val="000000"/>
          <w:szCs w:val="21"/>
          <w:highlight w:val="none"/>
        </w:rPr>
        <w:t>检查</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乙</w:t>
      </w:r>
      <w:r>
        <w:rPr>
          <w:rFonts w:hint="eastAsia" w:ascii="宋体" w:hAnsi="宋体"/>
          <w:color w:val="000000"/>
          <w:szCs w:val="21"/>
          <w:highlight w:val="none"/>
        </w:rPr>
        <w:t>方须按计划定期进行现场HSE检查，及时发现隐患并进行消除，并做好记录。对于单方面无法消除的重大隐患，应及时通报</w:t>
      </w:r>
      <w:r>
        <w:rPr>
          <w:rFonts w:hint="eastAsia" w:ascii="宋体" w:hAnsi="宋体"/>
          <w:color w:val="000000"/>
          <w:szCs w:val="21"/>
          <w:highlight w:val="none"/>
          <w:lang w:val="en-US" w:eastAsia="zh-CN"/>
        </w:rPr>
        <w:t>甲</w:t>
      </w:r>
      <w:r>
        <w:rPr>
          <w:rFonts w:hint="eastAsia" w:ascii="宋体" w:hAnsi="宋体"/>
          <w:color w:val="000000"/>
          <w:szCs w:val="21"/>
          <w:highlight w:val="none"/>
        </w:rPr>
        <w:t>方。</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2.对检查所发现的问题，</w:t>
      </w:r>
      <w:r>
        <w:rPr>
          <w:rFonts w:hint="eastAsia" w:ascii="宋体" w:hAnsi="宋体"/>
          <w:color w:val="000000"/>
          <w:szCs w:val="21"/>
          <w:highlight w:val="none"/>
          <w:lang w:val="en-US" w:eastAsia="zh-CN"/>
        </w:rPr>
        <w:t>乙</w:t>
      </w:r>
      <w:r>
        <w:rPr>
          <w:rFonts w:hint="eastAsia" w:ascii="宋体" w:hAnsi="宋体"/>
          <w:color w:val="000000"/>
          <w:szCs w:val="21"/>
          <w:highlight w:val="none"/>
        </w:rPr>
        <w:t>方需要组织进行整改。</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（六）HSE沟通</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乙</w:t>
      </w:r>
      <w:r>
        <w:rPr>
          <w:rFonts w:hint="eastAsia" w:ascii="宋体" w:hAnsi="宋体"/>
          <w:color w:val="000000"/>
          <w:szCs w:val="21"/>
          <w:highlight w:val="none"/>
        </w:rPr>
        <w:t>方须参加</w:t>
      </w:r>
      <w:r>
        <w:rPr>
          <w:rFonts w:hint="eastAsia" w:ascii="宋体" w:hAnsi="宋体"/>
          <w:color w:val="000000"/>
          <w:szCs w:val="21"/>
          <w:highlight w:val="none"/>
          <w:lang w:val="en-US" w:eastAsia="zh-CN"/>
        </w:rPr>
        <w:t>甲</w:t>
      </w:r>
      <w:r>
        <w:rPr>
          <w:rFonts w:hint="eastAsia" w:ascii="宋体" w:hAnsi="宋体"/>
          <w:color w:val="000000"/>
          <w:szCs w:val="21"/>
          <w:highlight w:val="none"/>
        </w:rPr>
        <w:t>方组织召开的各类HSE会议，并将会议要求予以落实。</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乙</w:t>
      </w:r>
      <w:r>
        <w:rPr>
          <w:rFonts w:hint="eastAsia" w:ascii="宋体" w:hAnsi="宋体"/>
          <w:color w:val="000000"/>
          <w:szCs w:val="21"/>
          <w:highlight w:val="none"/>
        </w:rPr>
        <w:t>方须定期召开HSE会议，并向</w:t>
      </w:r>
      <w:r>
        <w:rPr>
          <w:rFonts w:hint="eastAsia" w:ascii="宋体" w:hAnsi="宋体"/>
          <w:color w:val="000000"/>
          <w:szCs w:val="21"/>
          <w:highlight w:val="none"/>
          <w:lang w:val="en-US" w:eastAsia="zh-CN"/>
        </w:rPr>
        <w:t>甲</w:t>
      </w:r>
      <w:r>
        <w:rPr>
          <w:rFonts w:hint="eastAsia" w:ascii="宋体" w:hAnsi="宋体"/>
          <w:color w:val="000000"/>
          <w:szCs w:val="21"/>
          <w:highlight w:val="none"/>
        </w:rPr>
        <w:t>方通报会议情况。</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（七）作业管理</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1.严格执行作业许可制度，对涉及十项高风险作业，必须申报作业许可经审批后，方可作业。</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2.特殊作业临时用水、电、暖、动火必须经甲方同意，特殊场所动火要</w:t>
      </w:r>
      <w:r>
        <w:rPr>
          <w:rFonts w:hint="eastAsia" w:ascii="宋体" w:hAnsi="宋体"/>
          <w:color w:val="000000"/>
          <w:szCs w:val="21"/>
          <w:highlight w:val="none"/>
          <w:lang w:val="en-US" w:eastAsia="zh-CN"/>
        </w:rPr>
        <w:t>开</w:t>
      </w:r>
      <w:r>
        <w:rPr>
          <w:rFonts w:hint="eastAsia" w:ascii="宋体" w:hAnsi="宋体"/>
          <w:color w:val="auto"/>
          <w:szCs w:val="21"/>
          <w:highlight w:val="none"/>
          <w:lang w:val="en-US" w:eastAsia="zh-CN"/>
        </w:rPr>
        <w:t>具动火作业票</w:t>
      </w:r>
      <w:r>
        <w:rPr>
          <w:rFonts w:hint="eastAsia" w:ascii="宋体" w:hAnsi="宋体"/>
          <w:color w:val="000000"/>
          <w:szCs w:val="21"/>
          <w:highlight w:val="none"/>
        </w:rPr>
        <w:t>，审批后方可动火。</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3.节假日期间</w:t>
      </w:r>
      <w:r>
        <w:rPr>
          <w:rFonts w:hint="eastAsia" w:ascii="宋体" w:hAnsi="宋体"/>
          <w:color w:val="000000"/>
          <w:szCs w:val="21"/>
          <w:highlight w:val="none"/>
          <w:lang w:val="en-US" w:eastAsia="zh-CN"/>
        </w:rPr>
        <w:t>等特殊时期</w:t>
      </w:r>
      <w:r>
        <w:rPr>
          <w:rFonts w:hint="eastAsia" w:ascii="宋体" w:hAnsi="宋体"/>
          <w:color w:val="000000"/>
          <w:szCs w:val="21"/>
          <w:highlight w:val="none"/>
        </w:rPr>
        <w:t>，</w:t>
      </w:r>
      <w:r>
        <w:rPr>
          <w:rFonts w:hint="eastAsia" w:ascii="宋体" w:hAnsi="宋体"/>
          <w:color w:val="000000"/>
          <w:szCs w:val="21"/>
          <w:highlight w:val="none"/>
          <w:lang w:val="en-US" w:eastAsia="zh-CN"/>
        </w:rPr>
        <w:t>乙</w:t>
      </w:r>
      <w:r>
        <w:rPr>
          <w:rFonts w:hint="eastAsia" w:ascii="宋体" w:hAnsi="宋体"/>
          <w:color w:val="000000"/>
          <w:szCs w:val="21"/>
          <w:highlight w:val="none"/>
        </w:rPr>
        <w:t>方应派人值</w:t>
      </w:r>
      <w:r>
        <w:rPr>
          <w:rFonts w:hint="eastAsia" w:ascii="宋体" w:hAnsi="宋体"/>
          <w:color w:val="auto"/>
          <w:szCs w:val="21"/>
          <w:highlight w:val="none"/>
        </w:rPr>
        <w:t>守现场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特殊作业应提级管理</w:t>
      </w:r>
      <w:r>
        <w:rPr>
          <w:rFonts w:hint="eastAsia" w:ascii="宋体" w:hAnsi="宋体"/>
          <w:color w:val="auto"/>
          <w:szCs w:val="21"/>
          <w:highlight w:val="none"/>
        </w:rPr>
        <w:t>，做</w:t>
      </w:r>
      <w:r>
        <w:rPr>
          <w:rFonts w:hint="eastAsia" w:ascii="宋体" w:hAnsi="宋体"/>
          <w:color w:val="000000"/>
          <w:szCs w:val="21"/>
          <w:highlight w:val="none"/>
        </w:rPr>
        <w:t>好日常的安全巡查，及治安保卫工作，确保设施设备完好，杜绝各类事故的发生。</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4.</w:t>
      </w:r>
      <w:r>
        <w:rPr>
          <w:rFonts w:hint="eastAsia" w:ascii="宋体" w:hAnsi="宋体"/>
          <w:color w:val="000000"/>
          <w:szCs w:val="21"/>
          <w:highlight w:val="none"/>
          <w:lang w:val="en-US" w:eastAsia="zh-CN"/>
        </w:rPr>
        <w:t>乙</w:t>
      </w:r>
      <w:r>
        <w:rPr>
          <w:rFonts w:hint="eastAsia" w:ascii="宋体" w:hAnsi="宋体"/>
          <w:color w:val="000000"/>
          <w:szCs w:val="21"/>
          <w:highlight w:val="none"/>
        </w:rPr>
        <w:t>方应定期组织安全检查，并做好记录。</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5.接受</w:t>
      </w:r>
      <w:r>
        <w:rPr>
          <w:rFonts w:hint="eastAsia" w:ascii="宋体" w:hAnsi="宋体"/>
          <w:color w:val="000000"/>
          <w:szCs w:val="21"/>
          <w:highlight w:val="none"/>
          <w:lang w:val="en-US" w:eastAsia="zh-CN"/>
        </w:rPr>
        <w:t>甲</w:t>
      </w:r>
      <w:r>
        <w:rPr>
          <w:rFonts w:hint="eastAsia" w:ascii="宋体" w:hAnsi="宋体"/>
          <w:color w:val="000000"/>
          <w:szCs w:val="21"/>
          <w:highlight w:val="none"/>
        </w:rPr>
        <w:t>方的安全监督检查，并按要求进行整改。</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lang w:val="en-US" w:eastAsia="zh-CN"/>
        </w:rPr>
        <w:t>乙</w:t>
      </w:r>
      <w:r>
        <w:rPr>
          <w:rFonts w:hint="eastAsia" w:ascii="宋体" w:hAnsi="宋体"/>
          <w:color w:val="000000"/>
          <w:szCs w:val="21"/>
          <w:highlight w:val="none"/>
        </w:rPr>
        <w:t>方运输货物的车辆必须符合国家相关法律法规要求，不得出现</w:t>
      </w:r>
      <w:r>
        <w:rPr>
          <w:rFonts w:hint="eastAsia" w:ascii="宋体" w:hAnsi="宋体"/>
          <w:color w:val="auto"/>
          <w:szCs w:val="21"/>
          <w:highlight w:val="none"/>
        </w:rPr>
        <w:t>超限超载</w:t>
      </w:r>
      <w:r>
        <w:rPr>
          <w:rFonts w:hint="eastAsia" w:ascii="宋体" w:hAnsi="宋体"/>
          <w:color w:val="auto"/>
          <w:szCs w:val="21"/>
          <w:highlight w:val="none"/>
          <w:lang w:val="en-US" w:eastAsia="zh-CN"/>
        </w:rPr>
        <w:t>超速等</w:t>
      </w:r>
      <w:r>
        <w:rPr>
          <w:rFonts w:hint="eastAsia" w:ascii="宋体" w:hAnsi="宋体"/>
          <w:color w:val="auto"/>
          <w:szCs w:val="21"/>
          <w:highlight w:val="none"/>
        </w:rPr>
        <w:t>现象。</w:t>
      </w:r>
    </w:p>
    <w:p>
      <w:pPr>
        <w:tabs>
          <w:tab w:val="left" w:pos="8280"/>
          <w:tab w:val="left" w:pos="9540"/>
        </w:tabs>
        <w:spacing w:line="360" w:lineRule="auto"/>
        <w:ind w:right="-103" w:rightChars="-43"/>
        <w:rPr>
          <w:rFonts w:hint="eastAsia" w:ascii="宋体" w:hAnsi="宋体"/>
          <w:color w:val="000000"/>
          <w:szCs w:val="21"/>
          <w:highlight w:val="none"/>
        </w:rPr>
      </w:pPr>
      <w:r>
        <w:rPr>
          <w:rFonts w:hint="eastAsia" w:ascii="宋体" w:hAnsi="宋体"/>
          <w:color w:val="000000"/>
          <w:szCs w:val="21"/>
          <w:highlight w:val="none"/>
        </w:rPr>
        <w:t>7.因</w:t>
      </w:r>
      <w:r>
        <w:rPr>
          <w:rFonts w:hint="eastAsia" w:ascii="宋体" w:hAnsi="宋体"/>
          <w:color w:val="000000"/>
          <w:szCs w:val="21"/>
          <w:highlight w:val="none"/>
          <w:lang w:val="en-US" w:eastAsia="zh-CN"/>
        </w:rPr>
        <w:t>乙</w:t>
      </w:r>
      <w:r>
        <w:rPr>
          <w:rFonts w:hint="eastAsia" w:ascii="宋体" w:hAnsi="宋体"/>
          <w:color w:val="000000"/>
          <w:szCs w:val="21"/>
          <w:highlight w:val="none"/>
        </w:rPr>
        <w:t>方设备设施（船、车）操作失误或超限等原因造成</w:t>
      </w:r>
      <w:r>
        <w:rPr>
          <w:rFonts w:hint="eastAsia" w:ascii="宋体" w:hAnsi="宋体"/>
          <w:color w:val="000000"/>
          <w:szCs w:val="21"/>
          <w:highlight w:val="none"/>
          <w:lang w:val="en-US" w:eastAsia="zh-CN"/>
        </w:rPr>
        <w:t>甲</w:t>
      </w:r>
      <w:r>
        <w:rPr>
          <w:rFonts w:hint="eastAsia" w:ascii="宋体" w:hAnsi="宋体"/>
          <w:color w:val="000000"/>
          <w:szCs w:val="21"/>
          <w:highlight w:val="none"/>
        </w:rPr>
        <w:t>方资产（码头）或设备（车辆）损坏的，由</w:t>
      </w:r>
      <w:r>
        <w:rPr>
          <w:rFonts w:hint="eastAsia" w:ascii="宋体" w:hAnsi="宋体"/>
          <w:color w:val="000000"/>
          <w:szCs w:val="21"/>
          <w:highlight w:val="none"/>
          <w:lang w:val="en-US" w:eastAsia="zh-CN"/>
        </w:rPr>
        <w:t>乙</w:t>
      </w:r>
      <w:r>
        <w:rPr>
          <w:rFonts w:hint="eastAsia" w:ascii="宋体" w:hAnsi="宋体"/>
          <w:color w:val="000000"/>
          <w:szCs w:val="21"/>
          <w:highlight w:val="none"/>
        </w:rPr>
        <w:t>方负责赔偿并修复完好。</w:t>
      </w:r>
    </w:p>
    <w:p>
      <w:pPr>
        <w:tabs>
          <w:tab w:val="left" w:pos="8280"/>
          <w:tab w:val="left" w:pos="9540"/>
        </w:tabs>
        <w:spacing w:line="360" w:lineRule="auto"/>
        <w:ind w:right="-103" w:rightChars="-43"/>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8.乙方应合理规划所辖场地内的功能区块，如施工区、材料堆放区、材料加工区、办公区、车辆停放区等，减少交叉作业情况，做好区域物理隔离。</w:t>
      </w:r>
    </w:p>
    <w:p>
      <w:pPr>
        <w:tabs>
          <w:tab w:val="left" w:pos="8280"/>
          <w:tab w:val="left" w:pos="9540"/>
        </w:tabs>
        <w:spacing w:line="360" w:lineRule="auto"/>
        <w:ind w:right="-103" w:rightChars="-43"/>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9.合理规划施工车辆和人员通行路线，对通行路线进行物理隔离，设置相应的安全警示标示。</w:t>
      </w:r>
    </w:p>
    <w:p>
      <w:pPr>
        <w:tabs>
          <w:tab w:val="left" w:pos="8280"/>
          <w:tab w:val="left" w:pos="9540"/>
        </w:tabs>
        <w:spacing w:line="360" w:lineRule="auto"/>
        <w:ind w:right="-103" w:rightChars="-43"/>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10.遵守中海石油（龙口）基地物流有限公司相关管理规定。</w:t>
      </w:r>
    </w:p>
    <w:p>
      <w:pPr>
        <w:tabs>
          <w:tab w:val="left" w:pos="8280"/>
          <w:tab w:val="left" w:pos="9540"/>
        </w:tabs>
        <w:spacing w:line="360" w:lineRule="auto"/>
        <w:ind w:right="-103" w:rightChars="-43"/>
        <w:rPr>
          <w:rFonts w:ascii="宋体" w:hAnsi="宋体"/>
          <w:color w:val="auto"/>
          <w:szCs w:val="21"/>
          <w:highlight w:val="none"/>
        </w:rPr>
      </w:pPr>
      <w:r>
        <w:rPr>
          <w:rFonts w:hint="eastAsia" w:ascii="宋体" w:hAnsi="宋体"/>
          <w:color w:val="auto"/>
          <w:szCs w:val="21"/>
          <w:highlight w:val="none"/>
        </w:rPr>
        <w:t>（八）消防管理</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乙</w:t>
      </w:r>
      <w:r>
        <w:rPr>
          <w:rFonts w:hint="eastAsia" w:ascii="宋体" w:hAnsi="宋体"/>
          <w:color w:val="000000"/>
          <w:szCs w:val="21"/>
          <w:highlight w:val="none"/>
        </w:rPr>
        <w:t>方须按照《消防法》要求配备各类消防器材。</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w:t>
      </w:r>
      <w:r>
        <w:rPr>
          <w:rFonts w:hint="eastAsia" w:ascii="宋体" w:hAnsi="宋体"/>
          <w:color w:val="000000"/>
          <w:szCs w:val="21"/>
          <w:highlight w:val="none"/>
          <w:lang w:val="en-US" w:eastAsia="zh-CN"/>
        </w:rPr>
        <w:t>乙</w:t>
      </w:r>
      <w:r>
        <w:rPr>
          <w:rFonts w:hint="eastAsia" w:ascii="宋体" w:hAnsi="宋体"/>
          <w:color w:val="000000"/>
          <w:szCs w:val="21"/>
          <w:highlight w:val="none"/>
        </w:rPr>
        <w:t>方须确保作业人员会使用操作各类消防器材、设施。</w:t>
      </w:r>
    </w:p>
    <w:p>
      <w:pPr>
        <w:tabs>
          <w:tab w:val="left" w:pos="8280"/>
          <w:tab w:val="left" w:pos="9540"/>
        </w:tabs>
        <w:spacing w:line="360" w:lineRule="auto"/>
        <w:ind w:right="-103" w:rightChars="-43"/>
        <w:rPr>
          <w:rFonts w:hint="eastAsia" w:ascii="宋体" w:hAnsi="宋体" w:eastAsia="宋体"/>
          <w:color w:val="000000"/>
          <w:szCs w:val="21"/>
          <w:highlight w:val="none"/>
          <w:lang w:val="en-US" w:eastAsia="zh-CN"/>
        </w:rPr>
      </w:pPr>
      <w:r>
        <w:rPr>
          <w:rFonts w:hint="eastAsia" w:ascii="宋体" w:hAnsi="宋体"/>
          <w:color w:val="000000"/>
          <w:szCs w:val="21"/>
          <w:highlight w:val="none"/>
        </w:rPr>
        <w:t>（九）环保</w:t>
      </w:r>
      <w:r>
        <w:rPr>
          <w:rFonts w:hint="eastAsia" w:ascii="宋体" w:hAnsi="宋体"/>
          <w:color w:val="000000"/>
          <w:szCs w:val="21"/>
          <w:highlight w:val="none"/>
          <w:lang w:eastAsia="zh-CN"/>
        </w:rPr>
        <w:t>、</w:t>
      </w:r>
      <w:r>
        <w:rPr>
          <w:rFonts w:hint="eastAsia" w:ascii="宋体" w:hAnsi="宋体"/>
          <w:color w:val="000000"/>
          <w:szCs w:val="21"/>
          <w:highlight w:val="none"/>
        </w:rPr>
        <w:t>职业健康</w:t>
      </w:r>
      <w:r>
        <w:rPr>
          <w:rFonts w:hint="eastAsia" w:ascii="宋体" w:hAnsi="宋体"/>
          <w:color w:val="000000"/>
          <w:szCs w:val="21"/>
          <w:highlight w:val="none"/>
          <w:lang w:eastAsia="zh-CN"/>
        </w:rPr>
        <w:t>、</w:t>
      </w:r>
      <w:r>
        <w:rPr>
          <w:rFonts w:hint="eastAsia" w:ascii="宋体" w:hAnsi="宋体"/>
          <w:color w:val="000000"/>
          <w:szCs w:val="21"/>
          <w:highlight w:val="none"/>
        </w:rPr>
        <w:t>管理</w:t>
      </w:r>
      <w:r>
        <w:rPr>
          <w:rFonts w:hint="eastAsia" w:ascii="宋体" w:hAnsi="宋体"/>
          <w:color w:val="000000"/>
          <w:szCs w:val="21"/>
          <w:highlight w:val="none"/>
          <w:lang w:val="en-US" w:eastAsia="zh-CN"/>
        </w:rPr>
        <w:t>规定</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乙</w:t>
      </w:r>
      <w:r>
        <w:rPr>
          <w:rFonts w:hint="eastAsia" w:ascii="宋体" w:hAnsi="宋体"/>
          <w:color w:val="000000"/>
          <w:szCs w:val="21"/>
          <w:highlight w:val="none"/>
        </w:rPr>
        <w:t>方对所使用</w:t>
      </w:r>
      <w:r>
        <w:rPr>
          <w:rFonts w:hint="eastAsia" w:ascii="宋体" w:hAnsi="宋体"/>
          <w:color w:val="000000"/>
          <w:szCs w:val="21"/>
          <w:highlight w:val="none"/>
          <w:lang w:val="en-US" w:eastAsia="zh-CN"/>
        </w:rPr>
        <w:t>的全部区域</w:t>
      </w:r>
      <w:r>
        <w:rPr>
          <w:rFonts w:hint="eastAsia" w:ascii="宋体" w:hAnsi="宋体"/>
          <w:color w:val="000000"/>
          <w:szCs w:val="21"/>
          <w:highlight w:val="none"/>
        </w:rPr>
        <w:t>的环保状况负责。</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2.按照《环境保护法》要求，对废水、废气、废渣、废油、危险化学品及生活、工业垃圾等，不允许随意乱处理排放，应送往指定地点及有资质回收处理单位，防止环境污染。</w:t>
      </w: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3.</w:t>
      </w:r>
      <w:r>
        <w:rPr>
          <w:rFonts w:hint="eastAsia" w:ascii="宋体" w:hAnsi="宋体"/>
          <w:color w:val="000000"/>
          <w:szCs w:val="21"/>
          <w:highlight w:val="none"/>
          <w:lang w:val="en-US" w:eastAsia="zh-CN"/>
        </w:rPr>
        <w:t>乙</w:t>
      </w:r>
      <w:r>
        <w:rPr>
          <w:rFonts w:hint="eastAsia" w:ascii="宋体" w:hAnsi="宋体"/>
          <w:color w:val="000000"/>
          <w:szCs w:val="21"/>
          <w:highlight w:val="none"/>
        </w:rPr>
        <w:t>方须按照《职业病防治法》要求，实施职业健康防护措施，定期对作业人员进行职业健康体检。</w:t>
      </w:r>
    </w:p>
    <w:p>
      <w:pPr>
        <w:tabs>
          <w:tab w:val="left" w:pos="8280"/>
          <w:tab w:val="left" w:pos="9540"/>
        </w:tabs>
        <w:spacing w:line="360" w:lineRule="auto"/>
        <w:ind w:right="-103" w:rightChars="-43"/>
        <w:rPr>
          <w:rFonts w:hint="eastAsia" w:ascii="宋体" w:hAnsi="宋体"/>
          <w:color w:val="auto"/>
          <w:szCs w:val="21"/>
          <w:highlight w:val="none"/>
        </w:rPr>
      </w:pPr>
      <w:r>
        <w:rPr>
          <w:rFonts w:hint="eastAsia" w:ascii="宋体" w:hAnsi="宋体"/>
          <w:color w:val="000000"/>
          <w:szCs w:val="21"/>
          <w:highlight w:val="none"/>
        </w:rPr>
        <w:t>4.若</w:t>
      </w:r>
      <w:r>
        <w:rPr>
          <w:rFonts w:hint="eastAsia" w:ascii="宋体" w:hAnsi="宋体"/>
          <w:color w:val="000000"/>
          <w:szCs w:val="21"/>
          <w:highlight w:val="none"/>
          <w:lang w:val="en-US" w:eastAsia="zh-CN"/>
        </w:rPr>
        <w:t>厂区内</w:t>
      </w:r>
      <w:r>
        <w:rPr>
          <w:rFonts w:hint="eastAsia" w:ascii="宋体" w:hAnsi="宋体"/>
          <w:color w:val="000000"/>
          <w:szCs w:val="21"/>
          <w:highlight w:val="none"/>
        </w:rPr>
        <w:t>因</w:t>
      </w:r>
      <w:r>
        <w:rPr>
          <w:rFonts w:hint="eastAsia" w:ascii="宋体" w:hAnsi="宋体"/>
          <w:color w:val="000000"/>
          <w:szCs w:val="21"/>
          <w:highlight w:val="none"/>
          <w:lang w:val="en-US" w:eastAsia="zh-CN"/>
        </w:rPr>
        <w:t>乙</w:t>
      </w:r>
      <w:r>
        <w:rPr>
          <w:rFonts w:hint="eastAsia" w:ascii="宋体" w:hAnsi="宋体"/>
          <w:color w:val="000000"/>
          <w:szCs w:val="21"/>
          <w:highlight w:val="none"/>
        </w:rPr>
        <w:t>方原因，发生液体溢洒、海域污染等安全环保事故，</w:t>
      </w:r>
      <w:r>
        <w:rPr>
          <w:rFonts w:hint="eastAsia" w:ascii="宋体" w:hAnsi="宋体"/>
          <w:color w:val="000000"/>
          <w:szCs w:val="21"/>
          <w:highlight w:val="none"/>
          <w:lang w:val="en-US" w:eastAsia="zh-CN"/>
        </w:rPr>
        <w:t>乙</w:t>
      </w:r>
      <w:r>
        <w:rPr>
          <w:rFonts w:hint="eastAsia" w:ascii="宋体" w:hAnsi="宋体"/>
          <w:color w:val="000000"/>
          <w:szCs w:val="21"/>
          <w:highlight w:val="none"/>
        </w:rPr>
        <w:t>方对事故及其造成的一</w:t>
      </w:r>
      <w:r>
        <w:rPr>
          <w:rFonts w:hint="eastAsia" w:ascii="宋体" w:hAnsi="宋体"/>
          <w:color w:val="auto"/>
          <w:szCs w:val="21"/>
          <w:highlight w:val="none"/>
        </w:rPr>
        <w:t>系列后果承担全部责任。</w:t>
      </w:r>
    </w:p>
    <w:p>
      <w:pPr>
        <w:tabs>
          <w:tab w:val="left" w:pos="8280"/>
          <w:tab w:val="left" w:pos="9540"/>
        </w:tabs>
        <w:spacing w:line="360" w:lineRule="auto"/>
        <w:ind w:right="-103" w:rightChars="-43"/>
        <w:rPr>
          <w:rFonts w:hint="eastAsia" w:ascii="宋体" w:hAnsi="宋体" w:eastAsia="宋体" w:cs="宋体"/>
          <w:color w:val="auto"/>
          <w:sz w:val="20"/>
          <w:szCs w:val="20"/>
          <w:highlight w:val="none"/>
          <w:lang w:val="en-US" w:eastAsia="zh-CN"/>
        </w:rPr>
      </w:pPr>
      <w:r>
        <w:rPr>
          <w:rFonts w:hint="eastAsia" w:ascii="宋体" w:hAnsi="宋体"/>
          <w:color w:val="auto"/>
          <w:szCs w:val="21"/>
          <w:highlight w:val="none"/>
          <w:lang w:val="en-US" w:eastAsia="zh-CN"/>
        </w:rPr>
        <w:t>5.乙</w:t>
      </w:r>
      <w:r>
        <w:rPr>
          <w:rFonts w:hint="eastAsia" w:ascii="宋体" w:hAnsi="宋体" w:eastAsia="宋体" w:cs="宋体"/>
          <w:color w:val="auto"/>
          <w:sz w:val="22"/>
          <w:szCs w:val="22"/>
          <w:highlight w:val="none"/>
          <w:lang w:val="en-US" w:eastAsia="zh-CN"/>
        </w:rPr>
        <w:t>方不准私自挪用、改装、拆卸租赁场所原有的设备设施，由于未执行本项规定造成人员伤亡或财产损失的，一切后果由</w:t>
      </w:r>
      <w:r>
        <w:rPr>
          <w:rFonts w:hint="eastAsia" w:ascii="宋体" w:hAnsi="宋体"/>
          <w:color w:val="auto"/>
          <w:szCs w:val="21"/>
          <w:highlight w:val="none"/>
          <w:lang w:val="en-US" w:eastAsia="zh-CN"/>
        </w:rPr>
        <w:t>乙</w:t>
      </w:r>
      <w:r>
        <w:rPr>
          <w:rFonts w:hint="eastAsia" w:ascii="宋体" w:hAnsi="宋体" w:eastAsia="宋体" w:cs="宋体"/>
          <w:color w:val="auto"/>
          <w:sz w:val="22"/>
          <w:szCs w:val="22"/>
          <w:highlight w:val="none"/>
          <w:lang w:val="en-US" w:eastAsia="zh-CN"/>
        </w:rPr>
        <w:t>方负责。</w:t>
      </w:r>
    </w:p>
    <w:p>
      <w:pPr>
        <w:tabs>
          <w:tab w:val="left" w:pos="8280"/>
          <w:tab w:val="left" w:pos="9540"/>
        </w:tabs>
        <w:spacing w:line="360" w:lineRule="auto"/>
        <w:ind w:right="-103" w:rightChars="-4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0"/>
          <w:szCs w:val="20"/>
          <w:highlight w:val="none"/>
          <w:lang w:val="en-US" w:eastAsia="zh-CN"/>
        </w:rPr>
        <w:t>6.</w:t>
      </w:r>
      <w:r>
        <w:rPr>
          <w:rFonts w:hint="eastAsia" w:ascii="宋体" w:hAnsi="宋体"/>
          <w:color w:val="auto"/>
          <w:szCs w:val="21"/>
          <w:highlight w:val="none"/>
          <w:lang w:val="en-US" w:eastAsia="zh-CN"/>
        </w:rPr>
        <w:t>乙</w:t>
      </w:r>
      <w:r>
        <w:rPr>
          <w:rFonts w:hint="eastAsia" w:ascii="宋体" w:hAnsi="宋体" w:eastAsia="宋体" w:cs="宋体"/>
          <w:color w:val="auto"/>
          <w:sz w:val="22"/>
          <w:szCs w:val="22"/>
          <w:highlight w:val="none"/>
          <w:lang w:val="en-US" w:eastAsia="zh-CN"/>
        </w:rPr>
        <w:t>方在</w:t>
      </w:r>
      <w:r>
        <w:rPr>
          <w:rFonts w:hint="eastAsia" w:ascii="宋体" w:hAnsi="宋体" w:cs="宋体"/>
          <w:color w:val="auto"/>
          <w:sz w:val="22"/>
          <w:szCs w:val="22"/>
          <w:highlight w:val="none"/>
          <w:lang w:val="en-US" w:eastAsia="zh-CN"/>
        </w:rPr>
        <w:t>施工</w:t>
      </w:r>
      <w:r>
        <w:rPr>
          <w:rFonts w:hint="eastAsia" w:ascii="宋体" w:hAnsi="宋体" w:eastAsia="宋体" w:cs="宋体"/>
          <w:color w:val="auto"/>
          <w:sz w:val="22"/>
          <w:szCs w:val="22"/>
          <w:highlight w:val="none"/>
          <w:lang w:val="en-US" w:eastAsia="zh-CN"/>
        </w:rPr>
        <w:t>期间，</w:t>
      </w:r>
      <w:r>
        <w:rPr>
          <w:rFonts w:hint="eastAsia" w:ascii="宋体" w:hAnsi="宋体" w:cs="宋体"/>
          <w:color w:val="auto"/>
          <w:sz w:val="22"/>
          <w:szCs w:val="22"/>
          <w:highlight w:val="none"/>
          <w:lang w:val="en-US" w:eastAsia="zh-CN"/>
        </w:rPr>
        <w:t>管理</w:t>
      </w:r>
      <w:r>
        <w:rPr>
          <w:rFonts w:hint="eastAsia" w:ascii="宋体" w:hAnsi="宋体" w:eastAsia="宋体" w:cs="宋体"/>
          <w:color w:val="auto"/>
          <w:sz w:val="22"/>
          <w:szCs w:val="22"/>
          <w:highlight w:val="none"/>
          <w:lang w:val="en-US" w:eastAsia="zh-CN"/>
        </w:rPr>
        <w:t>区域发生的一切隐患及事故，</w:t>
      </w:r>
      <w:r>
        <w:rPr>
          <w:rFonts w:hint="eastAsia" w:ascii="宋体" w:hAnsi="宋体"/>
          <w:color w:val="auto"/>
          <w:szCs w:val="21"/>
          <w:highlight w:val="none"/>
          <w:lang w:val="en-US" w:eastAsia="zh-CN"/>
        </w:rPr>
        <w:t>乙</w:t>
      </w:r>
      <w:r>
        <w:rPr>
          <w:rFonts w:hint="eastAsia" w:ascii="宋体" w:hAnsi="宋体" w:eastAsia="宋体" w:cs="宋体"/>
          <w:color w:val="auto"/>
          <w:sz w:val="22"/>
          <w:szCs w:val="22"/>
          <w:highlight w:val="none"/>
          <w:lang w:val="en-US" w:eastAsia="zh-CN"/>
        </w:rPr>
        <w:t>方依法自行处理和解决；一切法律后果和经济损失由</w:t>
      </w:r>
      <w:r>
        <w:rPr>
          <w:rFonts w:hint="eastAsia" w:ascii="宋体" w:hAnsi="宋体" w:cs="宋体"/>
          <w:color w:val="auto"/>
          <w:sz w:val="22"/>
          <w:szCs w:val="22"/>
          <w:highlight w:val="none"/>
          <w:lang w:val="en-US" w:eastAsia="zh-CN"/>
        </w:rPr>
        <w:t>乙</w:t>
      </w:r>
      <w:r>
        <w:rPr>
          <w:rFonts w:hint="eastAsia" w:ascii="宋体" w:hAnsi="宋体" w:eastAsia="宋体" w:cs="宋体"/>
          <w:color w:val="auto"/>
          <w:sz w:val="22"/>
          <w:szCs w:val="22"/>
          <w:highlight w:val="none"/>
          <w:lang w:val="en-US" w:eastAsia="zh-CN"/>
        </w:rPr>
        <w:t>方承担</w:t>
      </w:r>
      <w:r>
        <w:rPr>
          <w:rFonts w:hint="eastAsia" w:ascii="宋体" w:hAnsi="宋体" w:eastAsia="宋体" w:cs="宋体"/>
          <w:color w:val="auto"/>
          <w:sz w:val="24"/>
          <w:szCs w:val="24"/>
          <w:highlight w:val="none"/>
          <w:lang w:val="en-US" w:eastAsia="zh-CN"/>
        </w:rPr>
        <w:t>。</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严格落实住建部门和环保部门提出的施工现场“八个百分百”环保要求，即施工工地100%围挡、施工工地物料堆放100%覆盖、施工工地道路100%硬化、施工现场100%湿法作业、运输车辆100%密闭、工地出入车辆100%冲洗、监控安装联网100%，工地内非道路移动机械车辆100%达标，“八个百分之百”措施。</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auto"/>
          <w:szCs w:val="21"/>
          <w:highlight w:val="none"/>
        </w:rPr>
      </w:pPr>
      <w:r>
        <w:rPr>
          <w:rFonts w:hint="eastAsia" w:ascii="宋体" w:hAnsi="宋体"/>
          <w:color w:val="auto"/>
          <w:szCs w:val="21"/>
          <w:highlight w:val="none"/>
        </w:rPr>
        <w:t>（十）应急及事故管理</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乙</w:t>
      </w:r>
      <w:r>
        <w:rPr>
          <w:rFonts w:hint="eastAsia" w:ascii="宋体" w:hAnsi="宋体"/>
          <w:color w:val="auto"/>
          <w:szCs w:val="21"/>
          <w:highlight w:val="none"/>
        </w:rPr>
        <w:t>方必须建立《应急预案》并定期组织演练，配备必要的应急物资。</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auto"/>
          <w:szCs w:val="21"/>
          <w:highlight w:val="none"/>
        </w:rPr>
      </w:pPr>
      <w:r>
        <w:rPr>
          <w:rFonts w:hint="eastAsia" w:ascii="宋体" w:hAnsi="宋体"/>
          <w:color w:val="auto"/>
          <w:szCs w:val="21"/>
          <w:highlight w:val="none"/>
        </w:rPr>
        <w:t>2.作业期间，由于</w:t>
      </w:r>
      <w:r>
        <w:rPr>
          <w:rFonts w:hint="eastAsia" w:ascii="宋体" w:hAnsi="宋体"/>
          <w:color w:val="auto"/>
          <w:szCs w:val="21"/>
          <w:highlight w:val="none"/>
          <w:lang w:val="en-US" w:eastAsia="zh-CN"/>
        </w:rPr>
        <w:t>乙</w:t>
      </w:r>
      <w:r>
        <w:rPr>
          <w:rFonts w:hint="eastAsia" w:ascii="宋体" w:hAnsi="宋体"/>
          <w:color w:val="auto"/>
          <w:szCs w:val="21"/>
          <w:highlight w:val="none"/>
        </w:rPr>
        <w:t>方违章指挥、违规操作，自身安全、环保防范措施不利，而造成各类事故，全部责任由</w:t>
      </w:r>
      <w:r>
        <w:rPr>
          <w:rFonts w:hint="eastAsia" w:ascii="宋体" w:hAnsi="宋体"/>
          <w:color w:val="auto"/>
          <w:szCs w:val="21"/>
          <w:highlight w:val="none"/>
          <w:lang w:val="en-US" w:eastAsia="zh-CN"/>
        </w:rPr>
        <w:t>乙</w:t>
      </w:r>
      <w:r>
        <w:rPr>
          <w:rFonts w:hint="eastAsia" w:ascii="宋体" w:hAnsi="宋体"/>
          <w:color w:val="auto"/>
          <w:szCs w:val="21"/>
          <w:highlight w:val="none"/>
        </w:rPr>
        <w:t>方承担，并不牵连</w:t>
      </w:r>
      <w:r>
        <w:rPr>
          <w:rFonts w:hint="eastAsia" w:ascii="宋体" w:hAnsi="宋体"/>
          <w:color w:val="auto"/>
          <w:szCs w:val="21"/>
          <w:highlight w:val="none"/>
          <w:lang w:val="en-US" w:eastAsia="zh-CN"/>
        </w:rPr>
        <w:t>甲</w:t>
      </w:r>
      <w:r>
        <w:rPr>
          <w:rFonts w:hint="eastAsia" w:ascii="宋体" w:hAnsi="宋体"/>
          <w:color w:val="auto"/>
          <w:szCs w:val="21"/>
          <w:highlight w:val="none"/>
        </w:rPr>
        <w:t>方。同时按有关规定及时上报有关部门，并通知</w:t>
      </w:r>
      <w:r>
        <w:rPr>
          <w:rFonts w:hint="eastAsia" w:ascii="宋体" w:hAnsi="宋体"/>
          <w:color w:val="auto"/>
          <w:szCs w:val="21"/>
          <w:highlight w:val="none"/>
          <w:lang w:val="en-US" w:eastAsia="zh-CN"/>
        </w:rPr>
        <w:t>甲</w:t>
      </w:r>
      <w:r>
        <w:rPr>
          <w:rFonts w:hint="eastAsia" w:ascii="宋体" w:hAnsi="宋体"/>
          <w:color w:val="auto"/>
          <w:szCs w:val="21"/>
          <w:highlight w:val="none"/>
        </w:rPr>
        <w:t>方代表。</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乙</w:t>
      </w:r>
      <w:r>
        <w:rPr>
          <w:rFonts w:hint="eastAsia" w:ascii="宋体" w:hAnsi="宋体"/>
          <w:color w:val="auto"/>
          <w:szCs w:val="21"/>
          <w:highlight w:val="none"/>
        </w:rPr>
        <w:t>方须及时向</w:t>
      </w:r>
      <w:r>
        <w:rPr>
          <w:rFonts w:hint="eastAsia" w:ascii="宋体" w:hAnsi="宋体"/>
          <w:color w:val="auto"/>
          <w:szCs w:val="21"/>
          <w:highlight w:val="none"/>
          <w:lang w:val="en-US" w:eastAsia="zh-CN"/>
        </w:rPr>
        <w:t>甲</w:t>
      </w:r>
      <w:r>
        <w:rPr>
          <w:rFonts w:hint="eastAsia" w:ascii="宋体" w:hAnsi="宋体"/>
          <w:color w:val="auto"/>
          <w:szCs w:val="21"/>
          <w:highlight w:val="none"/>
        </w:rPr>
        <w:t>方报送事故统计数据和分析结果。</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乙</w:t>
      </w:r>
      <w:r>
        <w:rPr>
          <w:rFonts w:hint="eastAsia" w:ascii="宋体" w:hAnsi="宋体"/>
          <w:color w:val="auto"/>
          <w:szCs w:val="21"/>
          <w:highlight w:val="none"/>
        </w:rPr>
        <w:t>方应针对其作业可能导致的液体溢洒、海域污染等安全环保风险制定相应的预防措施及应急预案，并将预防措施及应急预案于</w:t>
      </w:r>
      <w:r>
        <w:rPr>
          <w:rFonts w:hint="eastAsia" w:ascii="宋体" w:hAnsi="宋体"/>
          <w:color w:val="auto"/>
          <w:szCs w:val="21"/>
          <w:highlight w:val="none"/>
          <w:lang w:val="en-US" w:eastAsia="zh-CN"/>
        </w:rPr>
        <w:t>甲</w:t>
      </w:r>
      <w:r>
        <w:rPr>
          <w:rFonts w:hint="eastAsia" w:ascii="宋体" w:hAnsi="宋体"/>
          <w:color w:val="auto"/>
          <w:szCs w:val="21"/>
          <w:highlight w:val="none"/>
        </w:rPr>
        <w:t>方处备份存档。</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hint="default" w:ascii="宋体" w:hAnsi="宋体" w:eastAsia="宋体"/>
          <w:color w:val="auto"/>
          <w:sz w:val="20"/>
          <w:szCs w:val="20"/>
          <w:highlight w:val="none"/>
          <w:lang w:val="en-US" w:eastAsia="zh-CN"/>
        </w:rPr>
      </w:pPr>
      <w:r>
        <w:rPr>
          <w:rFonts w:hint="eastAsia" w:ascii="宋体" w:hAnsi="宋体"/>
          <w:color w:val="auto"/>
          <w:szCs w:val="21"/>
          <w:highlight w:val="none"/>
          <w:lang w:val="en-US" w:eastAsia="zh-CN"/>
        </w:rPr>
        <w:t>5</w:t>
      </w:r>
      <w:r>
        <w:rPr>
          <w:rFonts w:hint="eastAsia" w:ascii="宋体" w:hAnsi="宋体"/>
          <w:color w:val="auto"/>
          <w:sz w:val="20"/>
          <w:szCs w:val="20"/>
          <w:highlight w:val="none"/>
          <w:lang w:val="en-US" w:eastAsia="zh-CN"/>
        </w:rPr>
        <w:t>.</w:t>
      </w:r>
      <w:r>
        <w:rPr>
          <w:rFonts w:hint="eastAsia"/>
          <w:color w:val="auto"/>
          <w:sz w:val="22"/>
          <w:szCs w:val="21"/>
          <w:highlight w:val="none"/>
        </w:rPr>
        <w:t>服从和配合</w:t>
      </w:r>
      <w:r>
        <w:rPr>
          <w:rFonts w:hint="eastAsia"/>
          <w:color w:val="auto"/>
          <w:kern w:val="0"/>
          <w:sz w:val="22"/>
          <w:szCs w:val="21"/>
          <w:highlight w:val="none"/>
          <w:lang w:val="en-US" w:eastAsia="zh-CN"/>
        </w:rPr>
        <w:t>甲</w:t>
      </w:r>
      <w:r>
        <w:rPr>
          <w:rFonts w:hint="eastAsia"/>
          <w:color w:val="auto"/>
          <w:sz w:val="22"/>
          <w:szCs w:val="21"/>
          <w:highlight w:val="none"/>
        </w:rPr>
        <w:t>方统一的应急协调管理。自行负责承包</w:t>
      </w:r>
      <w:r>
        <w:rPr>
          <w:rFonts w:hint="eastAsia"/>
          <w:color w:val="auto"/>
          <w:sz w:val="22"/>
          <w:szCs w:val="21"/>
          <w:highlight w:val="none"/>
          <w:lang w:eastAsia="zh-CN"/>
        </w:rPr>
        <w:t>区域</w:t>
      </w:r>
      <w:r>
        <w:rPr>
          <w:rFonts w:hint="eastAsia"/>
          <w:color w:val="auto"/>
          <w:sz w:val="22"/>
          <w:szCs w:val="21"/>
          <w:highlight w:val="none"/>
        </w:rPr>
        <w:t>工作内容、作业区域、作业时间等以外的事故应急救援。</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000000"/>
          <w:szCs w:val="21"/>
          <w:highlight w:val="none"/>
        </w:rPr>
      </w:pPr>
      <w:r>
        <w:rPr>
          <w:rFonts w:hint="eastAsia" w:ascii="宋体" w:hAnsi="宋体"/>
          <w:color w:val="000000"/>
          <w:szCs w:val="21"/>
          <w:highlight w:val="none"/>
        </w:rPr>
        <w:t>（十一）安全生产费用管理</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000000"/>
          <w:szCs w:val="21"/>
          <w:highlight w:val="none"/>
        </w:rPr>
      </w:pPr>
      <w:r>
        <w:rPr>
          <w:rFonts w:hint="eastAsia" w:ascii="宋体" w:hAnsi="宋体"/>
          <w:color w:val="000000"/>
          <w:szCs w:val="21"/>
          <w:highlight w:val="none"/>
        </w:rPr>
        <w:t>1.</w:t>
      </w:r>
      <w:r>
        <w:rPr>
          <w:rFonts w:hint="eastAsia" w:ascii="宋体" w:hAnsi="宋体"/>
          <w:color w:val="000000"/>
          <w:szCs w:val="21"/>
          <w:highlight w:val="none"/>
          <w:lang w:val="en-US" w:eastAsia="zh-CN"/>
        </w:rPr>
        <w:t>乙</w:t>
      </w:r>
      <w:r>
        <w:rPr>
          <w:rFonts w:hint="eastAsia" w:ascii="宋体" w:hAnsi="宋体"/>
          <w:color w:val="000000"/>
          <w:szCs w:val="21"/>
          <w:highlight w:val="none"/>
        </w:rPr>
        <w:t>方必须按照《企业安全生产费用提取和使用管理办法》要求，提取、使用安全生产费用。</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000000"/>
          <w:szCs w:val="21"/>
          <w:highlight w:val="none"/>
        </w:rPr>
      </w:pPr>
      <w:r>
        <w:rPr>
          <w:rFonts w:hint="eastAsia" w:ascii="宋体" w:hAnsi="宋体"/>
          <w:color w:val="000000"/>
          <w:szCs w:val="21"/>
          <w:highlight w:val="none"/>
        </w:rPr>
        <w:t>2.安全生产费用主要用于以下途径：完善、改造和维护安全防护、检测、探测设备、设施支出；配备必要的应急救援器材、设备和现场作业人员安全防护物品支出；安全生产检查与评价支出；重大危险源、重大事故隐患的评估、整改、监控支出；安全技能培训及进行应急救援演练支出；其他与安全生产直接相关的支出。</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ascii="宋体" w:hAnsi="宋体"/>
          <w:color w:val="000000"/>
          <w:szCs w:val="21"/>
          <w:highlight w:val="none"/>
        </w:rPr>
      </w:pPr>
      <w:r>
        <w:rPr>
          <w:rFonts w:hint="eastAsia" w:ascii="宋体" w:hAnsi="宋体"/>
          <w:color w:val="000000"/>
          <w:szCs w:val="21"/>
          <w:highlight w:val="none"/>
        </w:rPr>
        <w:t>3.安全生产费用必须专款专用，不得挪作他用。</w:t>
      </w:r>
    </w:p>
    <w:p>
      <w:pPr>
        <w:pStyle w:val="6"/>
        <w:numPr>
          <w:ilvl w:val="0"/>
          <w:numId w:val="45"/>
        </w:numP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处罚</w:t>
      </w:r>
    </w:p>
    <w:p>
      <w:pPr>
        <w:keepNext w:val="0"/>
        <w:keepLines w:val="0"/>
        <w:pageBreakBefore w:val="0"/>
        <w:widowControl w:val="0"/>
        <w:numPr>
          <w:ilvl w:val="0"/>
          <w:numId w:val="46"/>
        </w:numPr>
        <w:tabs>
          <w:tab w:val="left" w:pos="8280"/>
          <w:tab w:val="left" w:pos="9540"/>
        </w:tabs>
        <w:kinsoku/>
        <w:wordWrap/>
        <w:overflowPunct/>
        <w:topLinePunct w:val="0"/>
        <w:autoSpaceDE/>
        <w:autoSpaceDN/>
        <w:bidi w:val="0"/>
        <w:adjustRightInd/>
        <w:snapToGrid/>
        <w:spacing w:line="360" w:lineRule="auto"/>
        <w:ind w:right="-103" w:rightChars="-43"/>
        <w:textAlignment w:val="auto"/>
        <w:rPr>
          <w:rFonts w:hint="default"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由于乙方的违章指挥、违规操作、违反有关安全管理规定，发生各类隐患及事故等，而导致甲方受到地方政府部门的经济处罚，甲方有权要求乙方支付相等的经济处罚数额，并追究其相关责任。</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2.由于乙方原因导致甲方受到政府部门约谈的，甲方有权要求扣除乙方合同费用的</w:t>
      </w:r>
      <w:r>
        <w:rPr>
          <w:rFonts w:hint="default" w:ascii="宋体" w:hAnsi="宋体" w:eastAsia="宋体" w:cs="Times New Roman"/>
          <w:color w:val="000000"/>
          <w:szCs w:val="21"/>
          <w:highlight w:val="none"/>
          <w:lang w:val="en-US" w:eastAsia="zh-CN"/>
        </w:rPr>
        <w:t>【</w:t>
      </w:r>
      <w:r>
        <w:rPr>
          <w:rFonts w:hint="eastAsia" w:ascii="宋体" w:hAnsi="宋体" w:eastAsia="宋体" w:cs="Times New Roman"/>
          <w:color w:val="000000"/>
          <w:szCs w:val="21"/>
          <w:highlight w:val="none"/>
          <w:lang w:val="en-US" w:eastAsia="zh-CN"/>
        </w:rPr>
        <w:t>20</w:t>
      </w:r>
      <w:r>
        <w:rPr>
          <w:rFonts w:hint="default" w:ascii="宋体" w:hAnsi="宋体" w:eastAsia="宋体" w:cs="Times New Roman"/>
          <w:color w:val="000000"/>
          <w:szCs w:val="21"/>
          <w:highlight w:val="none"/>
          <w:lang w:val="en-US" w:eastAsia="zh-CN"/>
        </w:rPr>
        <w:t>%】的违约金</w:t>
      </w:r>
      <w:r>
        <w:rPr>
          <w:rFonts w:hint="eastAsia" w:ascii="宋体" w:hAnsi="宋体" w:eastAsia="宋体" w:cs="Times New Roman"/>
          <w:color w:val="000000"/>
          <w:szCs w:val="21"/>
          <w:highlight w:val="none"/>
          <w:lang w:val="en-US" w:eastAsia="zh-CN"/>
        </w:rPr>
        <w:t>。</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3.由于乙方原因导致甲方收到政府部门整改处罚，且影响到甲方信誉等问题（如相关处罚在信用中国网站上被记录），甲方除要求乙</w:t>
      </w:r>
      <w:r>
        <w:rPr>
          <w:rFonts w:hint="eastAsia" w:ascii="宋体" w:hAnsi="宋体" w:eastAsia="宋体" w:cs="Times New Roman"/>
          <w:color w:val="000000"/>
          <w:szCs w:val="21"/>
          <w:highlight w:val="none"/>
        </w:rPr>
        <w:t>方支付相等的经济处罚数额</w:t>
      </w:r>
      <w:r>
        <w:rPr>
          <w:rFonts w:hint="eastAsia" w:ascii="宋体" w:hAnsi="宋体" w:eastAsia="宋体" w:cs="Times New Roman"/>
          <w:color w:val="000000"/>
          <w:szCs w:val="21"/>
          <w:highlight w:val="none"/>
          <w:lang w:val="en-US" w:eastAsia="zh-CN"/>
        </w:rPr>
        <w:t>外，甲方有权要求扣除乙方合同费用的</w:t>
      </w:r>
      <w:r>
        <w:rPr>
          <w:rFonts w:hint="default" w:ascii="宋体" w:hAnsi="宋体" w:eastAsia="宋体" w:cs="Times New Roman"/>
          <w:color w:val="000000"/>
          <w:szCs w:val="21"/>
          <w:highlight w:val="none"/>
          <w:lang w:val="en-US" w:eastAsia="zh-CN"/>
        </w:rPr>
        <w:t>【</w:t>
      </w:r>
      <w:r>
        <w:rPr>
          <w:rFonts w:hint="eastAsia" w:ascii="宋体" w:hAnsi="宋体" w:eastAsia="宋体" w:cs="Times New Roman"/>
          <w:color w:val="000000"/>
          <w:szCs w:val="21"/>
          <w:highlight w:val="none"/>
          <w:lang w:val="en-US" w:eastAsia="zh-CN"/>
        </w:rPr>
        <w:t>80</w:t>
      </w:r>
      <w:r>
        <w:rPr>
          <w:rFonts w:hint="default" w:ascii="宋体" w:hAnsi="宋体" w:eastAsia="宋体" w:cs="Times New Roman"/>
          <w:color w:val="000000"/>
          <w:szCs w:val="21"/>
          <w:highlight w:val="none"/>
          <w:lang w:val="en-US" w:eastAsia="zh-CN"/>
        </w:rPr>
        <w:t>%】的违约金</w:t>
      </w:r>
      <w:r>
        <w:rPr>
          <w:rFonts w:hint="eastAsia" w:ascii="宋体" w:hAnsi="宋体" w:eastAsia="宋体" w:cs="Times New Roman"/>
          <w:color w:val="000000"/>
          <w:szCs w:val="21"/>
          <w:highlight w:val="none"/>
          <w:lang w:val="en-US" w:eastAsia="zh-CN"/>
        </w:rPr>
        <w:t>。</w:t>
      </w:r>
    </w:p>
    <w:p>
      <w:pPr>
        <w:keepNext w:val="0"/>
        <w:keepLines w:val="0"/>
        <w:pageBreakBefore w:val="0"/>
        <w:widowControl w:val="0"/>
        <w:tabs>
          <w:tab w:val="left" w:pos="8280"/>
          <w:tab w:val="left" w:pos="9540"/>
        </w:tabs>
        <w:kinsoku/>
        <w:wordWrap/>
        <w:overflowPunct/>
        <w:topLinePunct w:val="0"/>
        <w:autoSpaceDE/>
        <w:autoSpaceDN/>
        <w:bidi w:val="0"/>
        <w:adjustRightInd/>
        <w:snapToGrid/>
        <w:spacing w:line="360" w:lineRule="auto"/>
        <w:ind w:right="-103" w:rightChars="-43"/>
        <w:textAlignment w:val="auto"/>
        <w:rPr>
          <w:rFonts w:hint="default"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4.其他违法、违规行为按照合同条款进行处罚。</w:t>
      </w:r>
    </w:p>
    <w:p>
      <w:pPr>
        <w:pStyle w:val="2"/>
        <w:jc w:val="both"/>
        <w:rPr>
          <w:rFonts w:hint="default"/>
          <w:highlight w:val="none"/>
          <w:lang w:val="en-US" w:eastAsia="zh-CN"/>
        </w:rPr>
      </w:pPr>
    </w:p>
    <w:p>
      <w:pPr>
        <w:pStyle w:val="2"/>
        <w:jc w:val="both"/>
        <w:rPr>
          <w:highlight w:val="none"/>
        </w:rPr>
      </w:pP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本协议作为合同附件，一式二份，甲乙双方各执一份，双方签字盖章生效至合同终止为止。</w:t>
      </w:r>
    </w:p>
    <w:p>
      <w:pPr>
        <w:tabs>
          <w:tab w:val="left" w:pos="8280"/>
          <w:tab w:val="left" w:pos="9540"/>
        </w:tabs>
        <w:spacing w:line="360" w:lineRule="auto"/>
        <w:ind w:right="-103" w:rightChars="-43"/>
        <w:rPr>
          <w:rFonts w:ascii="宋体" w:hAnsi="宋体"/>
          <w:color w:val="000000"/>
          <w:szCs w:val="21"/>
          <w:highlight w:val="none"/>
        </w:rPr>
      </w:pP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甲方单位盖章：                                乙方单位盖章：</w:t>
      </w:r>
    </w:p>
    <w:p>
      <w:pPr>
        <w:tabs>
          <w:tab w:val="left" w:pos="8280"/>
          <w:tab w:val="left" w:pos="9540"/>
        </w:tabs>
        <w:spacing w:line="360" w:lineRule="auto"/>
        <w:ind w:right="-103" w:rightChars="-43"/>
        <w:rPr>
          <w:rFonts w:ascii="宋体" w:hAnsi="宋体"/>
          <w:color w:val="000000"/>
          <w:szCs w:val="21"/>
          <w:highlight w:val="none"/>
        </w:rPr>
      </w:pPr>
    </w:p>
    <w:p>
      <w:pPr>
        <w:tabs>
          <w:tab w:val="left" w:pos="8280"/>
          <w:tab w:val="left" w:pos="9540"/>
        </w:tabs>
        <w:spacing w:line="360" w:lineRule="auto"/>
        <w:ind w:right="-103" w:rightChars="-43"/>
        <w:rPr>
          <w:rFonts w:ascii="宋体" w:hAnsi="宋体"/>
          <w:color w:val="000000"/>
          <w:szCs w:val="21"/>
          <w:highlight w:val="none"/>
        </w:rPr>
      </w:pPr>
      <w:r>
        <w:rPr>
          <w:rFonts w:hint="eastAsia" w:ascii="宋体" w:hAnsi="宋体"/>
          <w:color w:val="000000"/>
          <w:szCs w:val="21"/>
          <w:highlight w:val="none"/>
        </w:rPr>
        <w:t>甲方单位</w:t>
      </w:r>
      <w:r>
        <w:rPr>
          <w:rFonts w:hint="eastAsia" w:ascii="宋体" w:hAnsi="宋体"/>
          <w:color w:val="000000"/>
          <w:szCs w:val="21"/>
          <w:highlight w:val="none"/>
          <w:lang w:val="en-US" w:eastAsia="zh-CN"/>
        </w:rPr>
        <w:t>法定</w:t>
      </w:r>
      <w:r>
        <w:rPr>
          <w:rFonts w:hint="eastAsia" w:ascii="宋体" w:hAnsi="宋体"/>
          <w:color w:val="000000"/>
          <w:szCs w:val="21"/>
          <w:highlight w:val="none"/>
        </w:rPr>
        <w:t>代表</w:t>
      </w:r>
      <w:r>
        <w:rPr>
          <w:rFonts w:hint="eastAsia" w:ascii="宋体" w:hAnsi="宋体"/>
          <w:color w:val="000000"/>
          <w:szCs w:val="21"/>
          <w:highlight w:val="none"/>
          <w:lang w:val="en-US" w:eastAsia="zh-CN"/>
        </w:rPr>
        <w:t>人</w:t>
      </w:r>
      <w:r>
        <w:rPr>
          <w:rFonts w:hint="eastAsia" w:ascii="宋体" w:hAnsi="宋体"/>
          <w:color w:val="000000"/>
          <w:szCs w:val="21"/>
          <w:highlight w:val="none"/>
        </w:rPr>
        <w:t>签字：                      乙方单位</w:t>
      </w:r>
      <w:r>
        <w:rPr>
          <w:rFonts w:hint="eastAsia" w:ascii="宋体" w:hAnsi="宋体"/>
          <w:color w:val="000000"/>
          <w:szCs w:val="21"/>
          <w:highlight w:val="none"/>
          <w:lang w:val="en-US" w:eastAsia="zh-CN"/>
        </w:rPr>
        <w:t>法定</w:t>
      </w:r>
      <w:r>
        <w:rPr>
          <w:rFonts w:hint="eastAsia" w:ascii="宋体" w:hAnsi="宋体"/>
          <w:color w:val="000000"/>
          <w:szCs w:val="21"/>
          <w:highlight w:val="none"/>
        </w:rPr>
        <w:t>代表</w:t>
      </w:r>
      <w:r>
        <w:rPr>
          <w:rFonts w:hint="eastAsia" w:ascii="宋体" w:hAnsi="宋体"/>
          <w:color w:val="000000"/>
          <w:szCs w:val="21"/>
          <w:highlight w:val="none"/>
          <w:lang w:val="en-US" w:eastAsia="zh-CN"/>
        </w:rPr>
        <w:t>人</w:t>
      </w:r>
      <w:r>
        <w:rPr>
          <w:rFonts w:hint="eastAsia" w:ascii="宋体" w:hAnsi="宋体"/>
          <w:color w:val="000000"/>
          <w:szCs w:val="21"/>
          <w:highlight w:val="none"/>
        </w:rPr>
        <w:t>签字：</w:t>
      </w:r>
    </w:p>
    <w:p>
      <w:pPr>
        <w:tabs>
          <w:tab w:val="left" w:pos="8280"/>
          <w:tab w:val="left" w:pos="9540"/>
        </w:tabs>
        <w:spacing w:line="360" w:lineRule="auto"/>
        <w:ind w:right="-103" w:rightChars="-43"/>
        <w:rPr>
          <w:rFonts w:ascii="宋体" w:hAnsi="宋体"/>
          <w:color w:val="000000"/>
          <w:szCs w:val="21"/>
          <w:highlight w:val="none"/>
        </w:rPr>
      </w:pPr>
    </w:p>
    <w:p>
      <w:pPr>
        <w:tabs>
          <w:tab w:val="left" w:pos="8280"/>
          <w:tab w:val="left" w:pos="9540"/>
        </w:tabs>
        <w:spacing w:line="360" w:lineRule="auto"/>
        <w:ind w:right="-103" w:rightChars="-43"/>
        <w:rPr>
          <w:rFonts w:ascii="宋体" w:hAnsi="宋体"/>
          <w:szCs w:val="21"/>
          <w:highlight w:val="none"/>
        </w:rPr>
      </w:pPr>
      <w:r>
        <w:rPr>
          <w:rFonts w:hint="eastAsia" w:ascii="宋体" w:hAnsi="宋体"/>
          <w:color w:val="000000"/>
          <w:szCs w:val="21"/>
          <w:highlight w:val="none"/>
        </w:rPr>
        <w:t>签订时间：    年    月   日                  签订时间：    年    月    日</w:t>
      </w:r>
    </w:p>
    <w:p>
      <w:pPr>
        <w:spacing w:before="156" w:beforeLines="50" w:line="420" w:lineRule="exact"/>
        <w:rPr>
          <w:rFonts w:hint="eastAsia" w:ascii="黑体" w:hAnsi="宋体" w:eastAsia="黑体"/>
          <w:sz w:val="24"/>
          <w:highlight w:val="none"/>
        </w:rPr>
      </w:pPr>
    </w:p>
    <w:p>
      <w:pPr>
        <w:rPr>
          <w:highlight w:val="none"/>
        </w:rPr>
      </w:pPr>
    </w:p>
    <w:p>
      <w:pPr>
        <w:pStyle w:val="35"/>
        <w:spacing w:before="0" w:beforeLines="0" w:after="0" w:afterLines="0" w:line="360" w:lineRule="auto"/>
        <w:ind w:firstLine="0" w:firstLineChars="0"/>
        <w:outlineLvl w:val="9"/>
        <w:rPr>
          <w:rFonts w:hint="eastAsia" w:ascii="宋体" w:hAnsi="宋体"/>
          <w:color w:val="auto"/>
          <w:sz w:val="18"/>
          <w:szCs w:val="18"/>
          <w:highlight w:val="none"/>
          <w:lang w:val="en-US" w:eastAsia="zh-CN"/>
        </w:rPr>
      </w:pPr>
    </w:p>
    <w:sectPr>
      <w:footerReference r:id="rId7" w:type="default"/>
      <w:pgSz w:w="11906" w:h="16838"/>
      <w:pgMar w:top="1701" w:right="1418" w:bottom="1418" w:left="1701" w:header="936" w:footer="1219"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Univers">
    <w:altName w:val="Arial"/>
    <w:panose1 w:val="00000000000000000000"/>
    <w:charset w:val="00"/>
    <w:family w:val="swiss"/>
    <w:pitch w:val="default"/>
    <w:sig w:usb0="00000000" w:usb1="00000000" w:usb2="00000000" w:usb3="00000000" w:csb0="0000000F" w:csb1="00000000"/>
  </w:font>
  <w:font w:name="方正黑体简体">
    <w:altName w:val="微软雅黑"/>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t xml:space="preserve">第 </w:t>
                          </w:r>
                          <w:r>
                            <w:fldChar w:fldCharType="begin"/>
                          </w:r>
                          <w:r>
                            <w:instrText xml:space="preserve"> PAGE  \* MERGEFORMAT </w:instrText>
                          </w:r>
                          <w:r>
                            <w:fldChar w:fldCharType="separate"/>
                          </w:r>
                          <w:r>
                            <w:t>109</w:t>
                          </w:r>
                          <w:r>
                            <w:fldChar w:fldCharType="end"/>
                          </w:r>
                          <w:r>
                            <w:t xml:space="preserve"> 页 共</w:t>
                          </w:r>
                          <w:r>
                            <w:rPr>
                              <w:rFonts w:hint="eastAsia"/>
                              <w:lang w:val="en-US" w:eastAsia="zh-CN"/>
                            </w:rPr>
                            <w:t>61</w:t>
                          </w:r>
                          <w:r>
                            <w:t>页</w:t>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g5Uc8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ODlRzyQEAAJoDAAAOAAAAAAAAAAEAIAAAAB4BAABkcnMvZTJvRG9j&#10;LnhtbFBLBQYAAAAABgAGAFkBAABZBQAAAAA=&#10;">
              <v:fill on="f" focussize="0,0"/>
              <v:stroke on="f"/>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109</w:t>
                    </w:r>
                    <w:r>
                      <w:fldChar w:fldCharType="end"/>
                    </w:r>
                    <w:r>
                      <w:t xml:space="preserve"> 页 共</w:t>
                    </w:r>
                    <w:r>
                      <w:rPr>
                        <w:rFonts w:hint="eastAsia"/>
                        <w:lang w:val="en-US" w:eastAsia="zh-CN"/>
                      </w:rPr>
                      <w:t>61</w:t>
                    </w:r>
                    <w: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7"/>
      <w:tblW w:w="0" w:type="auto"/>
      <w:tblInd w:w="108"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shd w:val="clear" w:color="000000" w:fill="auto"/>
      <w:tblLayout w:type="autofit"/>
      <w:tblCellMar>
        <w:top w:w="0" w:type="dxa"/>
        <w:left w:w="108" w:type="dxa"/>
        <w:bottom w:w="0" w:type="dxa"/>
        <w:right w:w="108" w:type="dxa"/>
      </w:tblCellMar>
    </w:tblPr>
    <w:tblGrid>
      <w:gridCol w:w="5760"/>
      <w:gridCol w:w="3060"/>
    </w:tblGrid>
    <w:tr>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shd w:val="clear" w:color="000000" w:fill="auto"/>
        <w:tblCellMar>
          <w:top w:w="0" w:type="dxa"/>
          <w:left w:w="108" w:type="dxa"/>
          <w:bottom w:w="0" w:type="dxa"/>
          <w:right w:w="108" w:type="dxa"/>
        </w:tblCellMar>
      </w:tblPrEx>
      <w:tc>
        <w:tcPr>
          <w:tcW w:w="5760" w:type="dxa"/>
          <w:shd w:val="clear" w:color="000000" w:fill="auto"/>
          <w:noWrap w:val="0"/>
          <w:vAlign w:val="center"/>
        </w:tcPr>
        <w:p>
          <w:pPr>
            <w:spacing w:after="48" w:afterLines="20"/>
            <w:rPr>
              <w:rFonts w:ascii="Arial" w:cs="Arial"/>
              <w:sz w:val="18"/>
              <w:szCs w:val="18"/>
            </w:rPr>
          </w:pPr>
        </w:p>
      </w:tc>
      <w:tc>
        <w:tcPr>
          <w:tcW w:w="3060" w:type="dxa"/>
          <w:shd w:val="clear" w:color="000000" w:fill="auto"/>
          <w:noWrap w:val="0"/>
          <w:vAlign w:val="center"/>
        </w:tcPr>
        <w:p>
          <w:pPr>
            <w:spacing w:after="48" w:afterLines="20"/>
            <w:rPr>
              <w:rFonts w:hint="eastAsia" w:ascii="Arial" w:hAnsi="Arial" w:eastAsia="宋体" w:cs="Arial"/>
              <w:sz w:val="18"/>
              <w:szCs w:val="18"/>
              <w:lang w:val="en-US" w:eastAsia="zh-CN"/>
            </w:rPr>
          </w:pPr>
        </w:p>
      </w:tc>
    </w:tr>
  </w:tbl>
  <w:p>
    <w:pPr>
      <w:spacing w:before="0" w:after="0" w:line="20" w:lineRule="exact"/>
      <w:ind w:right="-382" w:rightChars="-159"/>
      <w:jc w:val="left"/>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B5395"/>
    <w:multiLevelType w:val="singleLevel"/>
    <w:tmpl w:val="81DB5395"/>
    <w:lvl w:ilvl="0" w:tentative="0">
      <w:start w:val="1"/>
      <w:numFmt w:val="decimal"/>
      <w:lvlText w:val="(%1)"/>
      <w:lvlJc w:val="left"/>
      <w:pPr>
        <w:ind w:left="425" w:hanging="425"/>
      </w:pPr>
      <w:rPr>
        <w:rFonts w:hint="default"/>
      </w:rPr>
    </w:lvl>
  </w:abstractNum>
  <w:abstractNum w:abstractNumId="1">
    <w:nsid w:val="81DC0B82"/>
    <w:multiLevelType w:val="singleLevel"/>
    <w:tmpl w:val="81DC0B82"/>
    <w:lvl w:ilvl="0" w:tentative="0">
      <w:start w:val="1"/>
      <w:numFmt w:val="decimal"/>
      <w:lvlText w:val="(%1)"/>
      <w:lvlJc w:val="left"/>
      <w:pPr>
        <w:ind w:left="425" w:hanging="425"/>
      </w:pPr>
      <w:rPr>
        <w:rFonts w:hint="default"/>
      </w:rPr>
    </w:lvl>
  </w:abstractNum>
  <w:abstractNum w:abstractNumId="2">
    <w:nsid w:val="8B5B6923"/>
    <w:multiLevelType w:val="singleLevel"/>
    <w:tmpl w:val="8B5B6923"/>
    <w:lvl w:ilvl="0" w:tentative="0">
      <w:start w:val="1"/>
      <w:numFmt w:val="decimal"/>
      <w:lvlText w:val="%1)"/>
      <w:lvlJc w:val="left"/>
      <w:pPr>
        <w:ind w:left="425" w:hanging="425"/>
      </w:pPr>
      <w:rPr>
        <w:rFonts w:hint="default"/>
      </w:rPr>
    </w:lvl>
  </w:abstractNum>
  <w:abstractNum w:abstractNumId="3">
    <w:nsid w:val="8C9B5466"/>
    <w:multiLevelType w:val="singleLevel"/>
    <w:tmpl w:val="8C9B5466"/>
    <w:lvl w:ilvl="0" w:tentative="0">
      <w:start w:val="1"/>
      <w:numFmt w:val="decimal"/>
      <w:lvlText w:val="(%1)"/>
      <w:lvlJc w:val="left"/>
      <w:pPr>
        <w:ind w:left="425" w:hanging="425"/>
      </w:pPr>
      <w:rPr>
        <w:rFonts w:hint="default"/>
      </w:rPr>
    </w:lvl>
  </w:abstractNum>
  <w:abstractNum w:abstractNumId="4">
    <w:nsid w:val="90E0ACA1"/>
    <w:multiLevelType w:val="singleLevel"/>
    <w:tmpl w:val="90E0ACA1"/>
    <w:lvl w:ilvl="0" w:tentative="0">
      <w:start w:val="1"/>
      <w:numFmt w:val="decimal"/>
      <w:lvlText w:val="(%1)"/>
      <w:lvlJc w:val="left"/>
      <w:pPr>
        <w:ind w:left="425" w:hanging="425"/>
      </w:pPr>
      <w:rPr>
        <w:rFonts w:hint="default"/>
      </w:rPr>
    </w:lvl>
  </w:abstractNum>
  <w:abstractNum w:abstractNumId="5">
    <w:nsid w:val="988CCCB2"/>
    <w:multiLevelType w:val="singleLevel"/>
    <w:tmpl w:val="988CCCB2"/>
    <w:lvl w:ilvl="0" w:tentative="0">
      <w:start w:val="1"/>
      <w:numFmt w:val="decimal"/>
      <w:lvlText w:val="(%1)"/>
      <w:lvlJc w:val="left"/>
      <w:pPr>
        <w:ind w:left="425" w:hanging="425"/>
      </w:pPr>
      <w:rPr>
        <w:rFonts w:hint="default"/>
      </w:rPr>
    </w:lvl>
  </w:abstractNum>
  <w:abstractNum w:abstractNumId="6">
    <w:nsid w:val="A05FDF07"/>
    <w:multiLevelType w:val="singleLevel"/>
    <w:tmpl w:val="A05FDF07"/>
    <w:lvl w:ilvl="0" w:tentative="0">
      <w:start w:val="1"/>
      <w:numFmt w:val="decimal"/>
      <w:lvlText w:val="%1)"/>
      <w:lvlJc w:val="left"/>
      <w:pPr>
        <w:ind w:left="425" w:hanging="425"/>
      </w:pPr>
      <w:rPr>
        <w:rFonts w:hint="default"/>
      </w:rPr>
    </w:lvl>
  </w:abstractNum>
  <w:abstractNum w:abstractNumId="7">
    <w:nsid w:val="A0A054DF"/>
    <w:multiLevelType w:val="singleLevel"/>
    <w:tmpl w:val="A0A054DF"/>
    <w:lvl w:ilvl="0" w:tentative="0">
      <w:start w:val="1"/>
      <w:numFmt w:val="decimal"/>
      <w:lvlText w:val="(%1)"/>
      <w:lvlJc w:val="left"/>
      <w:pPr>
        <w:ind w:left="425" w:hanging="425"/>
      </w:pPr>
      <w:rPr>
        <w:rFonts w:hint="default"/>
      </w:rPr>
    </w:lvl>
  </w:abstractNum>
  <w:abstractNum w:abstractNumId="8">
    <w:nsid w:val="A3264425"/>
    <w:multiLevelType w:val="singleLevel"/>
    <w:tmpl w:val="A3264425"/>
    <w:lvl w:ilvl="0" w:tentative="0">
      <w:start w:val="1"/>
      <w:numFmt w:val="decimal"/>
      <w:lvlText w:val="(%1)"/>
      <w:lvlJc w:val="left"/>
      <w:pPr>
        <w:ind w:left="425" w:hanging="425"/>
      </w:pPr>
      <w:rPr>
        <w:rFonts w:hint="default"/>
      </w:rPr>
    </w:lvl>
  </w:abstractNum>
  <w:abstractNum w:abstractNumId="9">
    <w:nsid w:val="B6EE22E6"/>
    <w:multiLevelType w:val="singleLevel"/>
    <w:tmpl w:val="B6EE22E6"/>
    <w:lvl w:ilvl="0" w:tentative="0">
      <w:start w:val="1"/>
      <w:numFmt w:val="decimal"/>
      <w:lvlText w:val="(%1)"/>
      <w:lvlJc w:val="left"/>
      <w:pPr>
        <w:ind w:left="425" w:hanging="425"/>
      </w:pPr>
      <w:rPr>
        <w:rFonts w:hint="default"/>
      </w:rPr>
    </w:lvl>
  </w:abstractNum>
  <w:abstractNum w:abstractNumId="10">
    <w:nsid w:val="BA229E26"/>
    <w:multiLevelType w:val="singleLevel"/>
    <w:tmpl w:val="BA229E26"/>
    <w:lvl w:ilvl="0" w:tentative="0">
      <w:start w:val="1"/>
      <w:numFmt w:val="decimal"/>
      <w:lvlText w:val="(%1)"/>
      <w:lvlJc w:val="left"/>
      <w:pPr>
        <w:ind w:left="425" w:hanging="425"/>
      </w:pPr>
      <w:rPr>
        <w:rFonts w:hint="default"/>
      </w:rPr>
    </w:lvl>
  </w:abstractNum>
  <w:abstractNum w:abstractNumId="11">
    <w:nsid w:val="C8EA45A0"/>
    <w:multiLevelType w:val="singleLevel"/>
    <w:tmpl w:val="C8EA45A0"/>
    <w:lvl w:ilvl="0" w:tentative="0">
      <w:start w:val="1"/>
      <w:numFmt w:val="bullet"/>
      <w:lvlText w:val=""/>
      <w:lvlJc w:val="left"/>
      <w:pPr>
        <w:ind w:left="420" w:hanging="420"/>
      </w:pPr>
      <w:rPr>
        <w:rFonts w:hint="default" w:ascii="Wingdings" w:hAnsi="Wingdings"/>
      </w:rPr>
    </w:lvl>
  </w:abstractNum>
  <w:abstractNum w:abstractNumId="12">
    <w:nsid w:val="C98ADE6C"/>
    <w:multiLevelType w:val="singleLevel"/>
    <w:tmpl w:val="C98ADE6C"/>
    <w:lvl w:ilvl="0" w:tentative="0">
      <w:start w:val="1"/>
      <w:numFmt w:val="decimal"/>
      <w:lvlText w:val="(%1)"/>
      <w:lvlJc w:val="left"/>
      <w:pPr>
        <w:ind w:left="425" w:hanging="425"/>
      </w:pPr>
      <w:rPr>
        <w:rFonts w:hint="default"/>
      </w:rPr>
    </w:lvl>
  </w:abstractNum>
  <w:abstractNum w:abstractNumId="13">
    <w:nsid w:val="CE03CD30"/>
    <w:multiLevelType w:val="singleLevel"/>
    <w:tmpl w:val="CE03CD30"/>
    <w:lvl w:ilvl="0" w:tentative="0">
      <w:start w:val="2"/>
      <w:numFmt w:val="chineseCounting"/>
      <w:suff w:val="nothing"/>
      <w:lvlText w:val="%1、"/>
      <w:lvlJc w:val="left"/>
      <w:rPr>
        <w:rFonts w:hint="eastAsia"/>
      </w:rPr>
    </w:lvl>
  </w:abstractNum>
  <w:abstractNum w:abstractNumId="14">
    <w:nsid w:val="CEB693BC"/>
    <w:multiLevelType w:val="singleLevel"/>
    <w:tmpl w:val="CEB693BC"/>
    <w:lvl w:ilvl="0" w:tentative="0">
      <w:start w:val="1"/>
      <w:numFmt w:val="decimal"/>
      <w:suff w:val="space"/>
      <w:lvlText w:val="%1."/>
      <w:lvlJc w:val="left"/>
    </w:lvl>
  </w:abstractNum>
  <w:abstractNum w:abstractNumId="15">
    <w:nsid w:val="E266968D"/>
    <w:multiLevelType w:val="singleLevel"/>
    <w:tmpl w:val="E266968D"/>
    <w:lvl w:ilvl="0" w:tentative="0">
      <w:start w:val="1"/>
      <w:numFmt w:val="decimal"/>
      <w:lvlText w:val="(%1)"/>
      <w:lvlJc w:val="left"/>
      <w:pPr>
        <w:ind w:left="425" w:hanging="425"/>
      </w:pPr>
      <w:rPr>
        <w:rFonts w:hint="default"/>
      </w:rPr>
    </w:lvl>
  </w:abstractNum>
  <w:abstractNum w:abstractNumId="16">
    <w:nsid w:val="E29C93AD"/>
    <w:multiLevelType w:val="singleLevel"/>
    <w:tmpl w:val="E29C93AD"/>
    <w:lvl w:ilvl="0" w:tentative="0">
      <w:start w:val="1"/>
      <w:numFmt w:val="decimal"/>
      <w:lvlText w:val="(%1)"/>
      <w:lvlJc w:val="left"/>
      <w:pPr>
        <w:ind w:left="425" w:hanging="425"/>
      </w:pPr>
      <w:rPr>
        <w:rFonts w:hint="default"/>
      </w:rPr>
    </w:lvl>
  </w:abstractNum>
  <w:abstractNum w:abstractNumId="17">
    <w:nsid w:val="E328FABB"/>
    <w:multiLevelType w:val="singleLevel"/>
    <w:tmpl w:val="E328FABB"/>
    <w:lvl w:ilvl="0" w:tentative="0">
      <w:start w:val="1"/>
      <w:numFmt w:val="bullet"/>
      <w:lvlText w:val=""/>
      <w:lvlJc w:val="left"/>
      <w:pPr>
        <w:ind w:left="420" w:hanging="420"/>
      </w:pPr>
      <w:rPr>
        <w:rFonts w:hint="default" w:ascii="Wingdings" w:hAnsi="Wingdings"/>
      </w:rPr>
    </w:lvl>
  </w:abstractNum>
  <w:abstractNum w:abstractNumId="18">
    <w:nsid w:val="EAE35644"/>
    <w:multiLevelType w:val="singleLevel"/>
    <w:tmpl w:val="EAE35644"/>
    <w:lvl w:ilvl="0" w:tentative="0">
      <w:start w:val="1"/>
      <w:numFmt w:val="decimal"/>
      <w:lvlText w:val="(%1)"/>
      <w:lvlJc w:val="left"/>
      <w:pPr>
        <w:ind w:left="425" w:hanging="425"/>
      </w:pPr>
      <w:rPr>
        <w:rFonts w:hint="default"/>
      </w:rPr>
    </w:lvl>
  </w:abstractNum>
  <w:abstractNum w:abstractNumId="19">
    <w:nsid w:val="EB0D8682"/>
    <w:multiLevelType w:val="singleLevel"/>
    <w:tmpl w:val="EB0D8682"/>
    <w:lvl w:ilvl="0" w:tentative="0">
      <w:start w:val="1"/>
      <w:numFmt w:val="decimal"/>
      <w:lvlText w:val="(%1)"/>
      <w:lvlJc w:val="left"/>
      <w:pPr>
        <w:ind w:left="425" w:hanging="425"/>
      </w:pPr>
      <w:rPr>
        <w:rFonts w:hint="default"/>
      </w:rPr>
    </w:lvl>
  </w:abstractNum>
  <w:abstractNum w:abstractNumId="20">
    <w:nsid w:val="F17ED1EE"/>
    <w:multiLevelType w:val="singleLevel"/>
    <w:tmpl w:val="F17ED1EE"/>
    <w:lvl w:ilvl="0" w:tentative="0">
      <w:start w:val="1"/>
      <w:numFmt w:val="decimal"/>
      <w:lvlText w:val="(%1)"/>
      <w:lvlJc w:val="left"/>
      <w:pPr>
        <w:ind w:left="425" w:hanging="425"/>
      </w:pPr>
      <w:rPr>
        <w:rFonts w:hint="default"/>
      </w:rPr>
    </w:lvl>
  </w:abstractNum>
  <w:abstractNum w:abstractNumId="21">
    <w:nsid w:val="F475DD65"/>
    <w:multiLevelType w:val="singleLevel"/>
    <w:tmpl w:val="F475DD65"/>
    <w:lvl w:ilvl="0" w:tentative="0">
      <w:start w:val="1"/>
      <w:numFmt w:val="decimal"/>
      <w:lvlText w:val="(%1)"/>
      <w:lvlJc w:val="left"/>
      <w:pPr>
        <w:ind w:left="425" w:hanging="425"/>
      </w:pPr>
      <w:rPr>
        <w:rFonts w:hint="default"/>
      </w:rPr>
    </w:lvl>
  </w:abstractNum>
  <w:abstractNum w:abstractNumId="22">
    <w:nsid w:val="F66D481E"/>
    <w:multiLevelType w:val="singleLevel"/>
    <w:tmpl w:val="F66D481E"/>
    <w:lvl w:ilvl="0" w:tentative="0">
      <w:start w:val="1"/>
      <w:numFmt w:val="decimal"/>
      <w:lvlText w:val="(%1)"/>
      <w:lvlJc w:val="left"/>
      <w:pPr>
        <w:ind w:left="425" w:hanging="425"/>
      </w:pPr>
      <w:rPr>
        <w:rFonts w:hint="default"/>
      </w:rPr>
    </w:lvl>
  </w:abstractNum>
  <w:abstractNum w:abstractNumId="23">
    <w:nsid w:val="F7455CD8"/>
    <w:multiLevelType w:val="singleLevel"/>
    <w:tmpl w:val="F7455CD8"/>
    <w:lvl w:ilvl="0" w:tentative="0">
      <w:start w:val="1"/>
      <w:numFmt w:val="decimal"/>
      <w:lvlText w:val="(%1)"/>
      <w:lvlJc w:val="left"/>
      <w:pPr>
        <w:ind w:left="425" w:hanging="425"/>
      </w:pPr>
      <w:rPr>
        <w:rFonts w:hint="default"/>
      </w:rPr>
    </w:lvl>
  </w:abstractNum>
  <w:abstractNum w:abstractNumId="24">
    <w:nsid w:val="F8D9FB74"/>
    <w:multiLevelType w:val="singleLevel"/>
    <w:tmpl w:val="F8D9FB74"/>
    <w:lvl w:ilvl="0" w:tentative="0">
      <w:start w:val="1"/>
      <w:numFmt w:val="decimal"/>
      <w:lvlText w:val="(%1)"/>
      <w:lvlJc w:val="left"/>
      <w:pPr>
        <w:ind w:left="425" w:hanging="425"/>
      </w:pPr>
      <w:rPr>
        <w:rFonts w:hint="default"/>
      </w:rPr>
    </w:lvl>
  </w:abstractNum>
  <w:abstractNum w:abstractNumId="25">
    <w:nsid w:val="FBE31A21"/>
    <w:multiLevelType w:val="singleLevel"/>
    <w:tmpl w:val="FBE31A21"/>
    <w:lvl w:ilvl="0" w:tentative="0">
      <w:start w:val="1"/>
      <w:numFmt w:val="decimal"/>
      <w:lvlText w:val="(%1)"/>
      <w:lvlJc w:val="left"/>
      <w:pPr>
        <w:ind w:left="425" w:hanging="425"/>
      </w:pPr>
      <w:rPr>
        <w:rFonts w:hint="default"/>
      </w:rPr>
    </w:lvl>
  </w:abstractNum>
  <w:abstractNum w:abstractNumId="26">
    <w:nsid w:val="00B6C28E"/>
    <w:multiLevelType w:val="singleLevel"/>
    <w:tmpl w:val="00B6C28E"/>
    <w:lvl w:ilvl="0" w:tentative="0">
      <w:start w:val="1"/>
      <w:numFmt w:val="bullet"/>
      <w:lvlText w:val=""/>
      <w:lvlJc w:val="left"/>
      <w:pPr>
        <w:ind w:left="420" w:hanging="420"/>
      </w:pPr>
      <w:rPr>
        <w:rFonts w:hint="default" w:ascii="Wingdings" w:hAnsi="Wingdings"/>
      </w:rPr>
    </w:lvl>
  </w:abstractNum>
  <w:abstractNum w:abstractNumId="27">
    <w:nsid w:val="05E2D60D"/>
    <w:multiLevelType w:val="singleLevel"/>
    <w:tmpl w:val="05E2D60D"/>
    <w:lvl w:ilvl="0" w:tentative="0">
      <w:start w:val="1"/>
      <w:numFmt w:val="decimal"/>
      <w:lvlText w:val="%1)"/>
      <w:lvlJc w:val="left"/>
      <w:pPr>
        <w:ind w:left="425" w:hanging="425"/>
      </w:pPr>
      <w:rPr>
        <w:rFonts w:hint="default"/>
      </w:rPr>
    </w:lvl>
  </w:abstractNum>
  <w:abstractNum w:abstractNumId="28">
    <w:nsid w:val="0C10F49F"/>
    <w:multiLevelType w:val="singleLevel"/>
    <w:tmpl w:val="0C10F49F"/>
    <w:lvl w:ilvl="0" w:tentative="0">
      <w:start w:val="1"/>
      <w:numFmt w:val="decimal"/>
      <w:lvlText w:val="(%1)"/>
      <w:lvlJc w:val="left"/>
      <w:pPr>
        <w:ind w:left="425" w:hanging="425"/>
      </w:pPr>
      <w:rPr>
        <w:rFonts w:hint="default"/>
      </w:rPr>
    </w:lvl>
  </w:abstractNum>
  <w:abstractNum w:abstractNumId="29">
    <w:nsid w:val="101126D2"/>
    <w:multiLevelType w:val="singleLevel"/>
    <w:tmpl w:val="101126D2"/>
    <w:lvl w:ilvl="0" w:tentative="0">
      <w:start w:val="1"/>
      <w:numFmt w:val="decimal"/>
      <w:lvlText w:val="(%1)"/>
      <w:lvlJc w:val="left"/>
      <w:pPr>
        <w:ind w:left="425" w:hanging="425"/>
      </w:pPr>
      <w:rPr>
        <w:rFonts w:hint="default"/>
      </w:rPr>
    </w:lvl>
  </w:abstractNum>
  <w:abstractNum w:abstractNumId="30">
    <w:nsid w:val="17D62391"/>
    <w:multiLevelType w:val="singleLevel"/>
    <w:tmpl w:val="17D62391"/>
    <w:lvl w:ilvl="0" w:tentative="0">
      <w:start w:val="1"/>
      <w:numFmt w:val="decimal"/>
      <w:lvlText w:val="(%1)"/>
      <w:lvlJc w:val="left"/>
      <w:pPr>
        <w:ind w:left="425" w:hanging="425"/>
      </w:pPr>
      <w:rPr>
        <w:rFonts w:hint="default"/>
      </w:rPr>
    </w:lvl>
  </w:abstractNum>
  <w:abstractNum w:abstractNumId="31">
    <w:nsid w:val="187CBF99"/>
    <w:multiLevelType w:val="singleLevel"/>
    <w:tmpl w:val="187CBF99"/>
    <w:lvl w:ilvl="0" w:tentative="0">
      <w:start w:val="1"/>
      <w:numFmt w:val="decimal"/>
      <w:lvlText w:val="(%1)"/>
      <w:lvlJc w:val="left"/>
      <w:pPr>
        <w:ind w:left="425" w:hanging="425"/>
      </w:pPr>
      <w:rPr>
        <w:rFonts w:hint="default"/>
      </w:rPr>
    </w:lvl>
  </w:abstractNum>
  <w:abstractNum w:abstractNumId="32">
    <w:nsid w:val="1A5BD4B1"/>
    <w:multiLevelType w:val="singleLevel"/>
    <w:tmpl w:val="1A5BD4B1"/>
    <w:lvl w:ilvl="0" w:tentative="0">
      <w:start w:val="1"/>
      <w:numFmt w:val="decimal"/>
      <w:lvlText w:val="(%1)"/>
      <w:lvlJc w:val="left"/>
      <w:pPr>
        <w:ind w:left="425" w:hanging="425"/>
      </w:pPr>
      <w:rPr>
        <w:rFonts w:hint="default"/>
      </w:rPr>
    </w:lvl>
  </w:abstractNum>
  <w:abstractNum w:abstractNumId="33">
    <w:nsid w:val="390146B2"/>
    <w:multiLevelType w:val="singleLevel"/>
    <w:tmpl w:val="390146B2"/>
    <w:lvl w:ilvl="0" w:tentative="0">
      <w:start w:val="1"/>
      <w:numFmt w:val="decimal"/>
      <w:lvlText w:val="%1)"/>
      <w:lvlJc w:val="left"/>
      <w:pPr>
        <w:ind w:left="425" w:hanging="425"/>
      </w:pPr>
      <w:rPr>
        <w:rFonts w:hint="default"/>
      </w:rPr>
    </w:lvl>
  </w:abstractNum>
  <w:abstractNum w:abstractNumId="34">
    <w:nsid w:val="5A575A2A"/>
    <w:multiLevelType w:val="singleLevel"/>
    <w:tmpl w:val="5A575A2A"/>
    <w:lvl w:ilvl="0" w:tentative="0">
      <w:start w:val="1"/>
      <w:numFmt w:val="decimal"/>
      <w:lvlText w:val="(%1)"/>
      <w:lvlJc w:val="left"/>
      <w:pPr>
        <w:ind w:left="425" w:hanging="425"/>
      </w:pPr>
      <w:rPr>
        <w:rFonts w:hint="default"/>
      </w:rPr>
    </w:lvl>
  </w:abstractNum>
  <w:abstractNum w:abstractNumId="35">
    <w:nsid w:val="5AB65D9D"/>
    <w:multiLevelType w:val="singleLevel"/>
    <w:tmpl w:val="5AB65D9D"/>
    <w:lvl w:ilvl="0" w:tentative="0">
      <w:start w:val="1"/>
      <w:numFmt w:val="decimal"/>
      <w:lvlText w:val="(%1)"/>
      <w:lvlJc w:val="left"/>
      <w:pPr>
        <w:ind w:left="425" w:hanging="425"/>
      </w:pPr>
      <w:rPr>
        <w:rFonts w:hint="default"/>
      </w:rPr>
    </w:lvl>
  </w:abstractNum>
  <w:abstractNum w:abstractNumId="36">
    <w:nsid w:val="600F6933"/>
    <w:multiLevelType w:val="multilevel"/>
    <w:tmpl w:val="600F6933"/>
    <w:lvl w:ilvl="0" w:tentative="0">
      <w:start w:val="1"/>
      <w:numFmt w:val="decimal"/>
      <w:pStyle w:val="3"/>
      <w:lvlText w:val="%1"/>
      <w:lvlJc w:val="left"/>
      <w:pPr>
        <w:tabs>
          <w:tab w:val="left" w:pos="454"/>
        </w:tabs>
        <w:ind w:left="694" w:hanging="454"/>
      </w:pPr>
      <w:rPr>
        <w:rFonts w:hint="eastAsia" w:ascii="黑体" w:hAnsi="Times New Roman" w:eastAsia="黑体" w:cs="Times New Roman"/>
        <w:b/>
        <w:bCs w:val="0"/>
        <w:i w:val="0"/>
        <w:iCs w:val="0"/>
        <w:caps w:val="0"/>
        <w:smallCaps w:val="0"/>
        <w:strike w:val="0"/>
        <w:dstrike w:val="0"/>
        <w:outline w:val="0"/>
        <w:shadow w:val="0"/>
        <w:emboss w:val="0"/>
        <w:imprint w:val="0"/>
        <w:spacing w:val="0"/>
        <w:kern w:val="0"/>
        <w:position w:val="0"/>
        <w:u w:val="none"/>
      </w:rPr>
    </w:lvl>
    <w:lvl w:ilvl="1" w:tentative="0">
      <w:start w:val="1"/>
      <w:numFmt w:val="decimal"/>
      <w:pStyle w:val="4"/>
      <w:lvlText w:val="%1.%2"/>
      <w:lvlJc w:val="left"/>
      <w:pPr>
        <w:tabs>
          <w:tab w:val="left" w:pos="578"/>
        </w:tabs>
        <w:ind w:left="237" w:hanging="396"/>
      </w:pPr>
    </w:lvl>
    <w:lvl w:ilvl="2" w:tentative="0">
      <w:start w:val="1"/>
      <w:numFmt w:val="decimal"/>
      <w:pStyle w:val="6"/>
      <w:lvlText w:val="%1.%2.%3"/>
      <w:lvlJc w:val="left"/>
      <w:pPr>
        <w:tabs>
          <w:tab w:val="left" w:pos="322"/>
        </w:tabs>
        <w:ind w:left="322" w:hanging="340"/>
      </w:pPr>
    </w:lvl>
    <w:lvl w:ilvl="3" w:tentative="0">
      <w:start w:val="1"/>
      <w:numFmt w:val="decimal"/>
      <w:pStyle w:val="7"/>
      <w:lvlText w:val="%1.%2.%3.%4"/>
      <w:lvlJc w:val="left"/>
      <w:pPr>
        <w:tabs>
          <w:tab w:val="left" w:pos="776"/>
        </w:tabs>
        <w:ind w:left="776" w:hanging="510"/>
      </w:pPr>
      <w:rPr>
        <w:rFonts w:hint="eastAsia" w:cs="Times New Roman"/>
        <w:b w:val="0"/>
        <w:bCs w:val="0"/>
        <w:i w:val="0"/>
        <w:iCs w:val="0"/>
        <w:caps w:val="0"/>
        <w:smallCaps w:val="0"/>
        <w:strike w:val="0"/>
        <w:dstrike w:val="0"/>
        <w:outline w:val="0"/>
        <w:shadow w:val="0"/>
        <w:emboss w:val="0"/>
        <w:imprint w:val="0"/>
        <w:spacing w:val="0"/>
        <w:kern w:val="0"/>
        <w:position w:val="0"/>
        <w:u w:val="none"/>
      </w:rPr>
    </w:lvl>
    <w:lvl w:ilvl="4" w:tentative="0">
      <w:start w:val="1"/>
      <w:numFmt w:val="decimal"/>
      <w:pStyle w:val="33"/>
      <w:lvlText w:val="%1.%2.%3.%4.%5"/>
      <w:lvlJc w:val="left"/>
      <w:pPr>
        <w:tabs>
          <w:tab w:val="left" w:pos="776"/>
        </w:tabs>
        <w:ind w:left="1059" w:hanging="510"/>
      </w:pPr>
      <w:rPr>
        <w:rFonts w:hint="eastAsia" w:cs="Times New Roman"/>
        <w:b w:val="0"/>
        <w:bCs w:val="0"/>
        <w:i w:val="0"/>
        <w:iCs w:val="0"/>
        <w:caps w:val="0"/>
        <w:smallCaps w:val="0"/>
        <w:strike w:val="0"/>
        <w:dstrike w:val="0"/>
        <w:outline w:val="0"/>
        <w:shadow w:val="0"/>
        <w:emboss w:val="0"/>
        <w:imprint w:val="0"/>
        <w:spacing w:val="0"/>
        <w:kern w:val="0"/>
        <w:position w:val="0"/>
        <w:u w:val="none"/>
      </w:rPr>
    </w:lvl>
    <w:lvl w:ilvl="5" w:tentative="0">
      <w:start w:val="1"/>
      <w:numFmt w:val="decimal"/>
      <w:lvlText w:val="%1.%2.%3.%4.%5.%6"/>
      <w:lvlJc w:val="left"/>
      <w:pPr>
        <w:tabs>
          <w:tab w:val="left" w:pos="1059"/>
        </w:tabs>
        <w:ind w:left="1059" w:hanging="397"/>
      </w:pPr>
      <w:rPr>
        <w:rFonts w:hint="eastAsia"/>
      </w:rPr>
    </w:lvl>
    <w:lvl w:ilvl="6" w:tentative="0">
      <w:start w:val="1"/>
      <w:numFmt w:val="lowerLetter"/>
      <w:lvlText w:val="%7."/>
      <w:lvlJc w:val="left"/>
      <w:pPr>
        <w:tabs>
          <w:tab w:val="left" w:pos="776"/>
        </w:tabs>
        <w:ind w:left="1003" w:hanging="284"/>
      </w:pPr>
      <w:rPr>
        <w:rFonts w:hint="eastAsia"/>
      </w:rPr>
    </w:lvl>
    <w:lvl w:ilvl="7" w:tentative="0">
      <w:start w:val="1"/>
      <w:numFmt w:val="bullet"/>
      <w:lvlText w:val=""/>
      <w:lvlJc w:val="left"/>
      <w:pPr>
        <w:tabs>
          <w:tab w:val="left" w:pos="436"/>
        </w:tabs>
        <w:ind w:left="1116" w:hanging="340"/>
      </w:pPr>
      <w:rPr>
        <w:rFonts w:hint="eastAsia"/>
      </w:rPr>
    </w:lvl>
    <w:lvl w:ilvl="8" w:tentative="0">
      <w:start w:val="1"/>
      <w:numFmt w:val="upperLetter"/>
      <w:lvlText w:val="APPENDIX  %9:"/>
      <w:lvlJc w:val="center"/>
      <w:pPr>
        <w:tabs>
          <w:tab w:val="left" w:pos="549"/>
        </w:tabs>
        <w:ind w:left="1116" w:hanging="1701"/>
      </w:pPr>
      <w:rPr>
        <w:rFonts w:hint="eastAsia"/>
      </w:rPr>
    </w:lvl>
  </w:abstractNum>
  <w:abstractNum w:abstractNumId="37">
    <w:nsid w:val="60EE98FF"/>
    <w:multiLevelType w:val="singleLevel"/>
    <w:tmpl w:val="60EE98FF"/>
    <w:lvl w:ilvl="0" w:tentative="0">
      <w:start w:val="1"/>
      <w:numFmt w:val="decimal"/>
      <w:lvlText w:val="(%1)"/>
      <w:lvlJc w:val="left"/>
      <w:pPr>
        <w:ind w:left="425" w:hanging="425"/>
      </w:pPr>
      <w:rPr>
        <w:rFonts w:hint="default"/>
      </w:rPr>
    </w:lvl>
  </w:abstractNum>
  <w:abstractNum w:abstractNumId="38">
    <w:nsid w:val="6317B7BA"/>
    <w:multiLevelType w:val="singleLevel"/>
    <w:tmpl w:val="6317B7BA"/>
    <w:lvl w:ilvl="0" w:tentative="0">
      <w:start w:val="1"/>
      <w:numFmt w:val="decimal"/>
      <w:lvlText w:val="(%1)"/>
      <w:lvlJc w:val="left"/>
      <w:pPr>
        <w:ind w:left="425" w:hanging="425"/>
      </w:pPr>
      <w:rPr>
        <w:rFonts w:hint="default"/>
      </w:rPr>
    </w:lvl>
  </w:abstractNum>
  <w:abstractNum w:abstractNumId="39">
    <w:nsid w:val="65A895B1"/>
    <w:multiLevelType w:val="singleLevel"/>
    <w:tmpl w:val="65A895B1"/>
    <w:lvl w:ilvl="0" w:tentative="0">
      <w:start w:val="1"/>
      <w:numFmt w:val="decimal"/>
      <w:lvlText w:val="(%1)"/>
      <w:lvlJc w:val="left"/>
      <w:pPr>
        <w:ind w:left="425" w:hanging="425"/>
      </w:pPr>
      <w:rPr>
        <w:rFonts w:hint="default"/>
      </w:rPr>
    </w:lvl>
  </w:abstractNum>
  <w:abstractNum w:abstractNumId="40">
    <w:nsid w:val="68FA9413"/>
    <w:multiLevelType w:val="singleLevel"/>
    <w:tmpl w:val="68FA9413"/>
    <w:lvl w:ilvl="0" w:tentative="0">
      <w:start w:val="1"/>
      <w:numFmt w:val="decimal"/>
      <w:lvlText w:val="(%1)"/>
      <w:lvlJc w:val="left"/>
      <w:pPr>
        <w:ind w:left="425" w:hanging="425"/>
      </w:pPr>
      <w:rPr>
        <w:rFonts w:hint="default"/>
      </w:rPr>
    </w:lvl>
  </w:abstractNum>
  <w:abstractNum w:abstractNumId="41">
    <w:nsid w:val="6BF45BEB"/>
    <w:multiLevelType w:val="singleLevel"/>
    <w:tmpl w:val="6BF45BEB"/>
    <w:lvl w:ilvl="0" w:tentative="0">
      <w:start w:val="1"/>
      <w:numFmt w:val="decimal"/>
      <w:lvlText w:val="(%1)"/>
      <w:lvlJc w:val="left"/>
      <w:pPr>
        <w:ind w:left="425" w:hanging="425"/>
      </w:pPr>
      <w:rPr>
        <w:rFonts w:hint="default"/>
      </w:rPr>
    </w:lvl>
  </w:abstractNum>
  <w:abstractNum w:abstractNumId="42">
    <w:nsid w:val="6C85B858"/>
    <w:multiLevelType w:val="singleLevel"/>
    <w:tmpl w:val="6C85B858"/>
    <w:lvl w:ilvl="0" w:tentative="0">
      <w:start w:val="1"/>
      <w:numFmt w:val="decimal"/>
      <w:lvlText w:val="(%1)"/>
      <w:lvlJc w:val="left"/>
      <w:pPr>
        <w:ind w:left="425" w:hanging="425"/>
      </w:pPr>
      <w:rPr>
        <w:rFonts w:hint="default"/>
      </w:rPr>
    </w:lvl>
  </w:abstractNum>
  <w:abstractNum w:abstractNumId="43">
    <w:nsid w:val="6CB8D6AB"/>
    <w:multiLevelType w:val="singleLevel"/>
    <w:tmpl w:val="6CB8D6AB"/>
    <w:lvl w:ilvl="0" w:tentative="0">
      <w:start w:val="1"/>
      <w:numFmt w:val="bullet"/>
      <w:lvlText w:val=""/>
      <w:lvlJc w:val="left"/>
      <w:pPr>
        <w:ind w:left="420" w:hanging="420"/>
      </w:pPr>
      <w:rPr>
        <w:rFonts w:hint="default" w:ascii="Wingdings" w:hAnsi="Wingdings"/>
      </w:rPr>
    </w:lvl>
  </w:abstractNum>
  <w:abstractNum w:abstractNumId="44">
    <w:nsid w:val="6E5248A0"/>
    <w:multiLevelType w:val="singleLevel"/>
    <w:tmpl w:val="6E5248A0"/>
    <w:lvl w:ilvl="0" w:tentative="0">
      <w:start w:val="1"/>
      <w:numFmt w:val="decimal"/>
      <w:lvlText w:val="(%1)"/>
      <w:lvlJc w:val="left"/>
      <w:pPr>
        <w:ind w:left="425" w:hanging="425"/>
      </w:pPr>
      <w:rPr>
        <w:rFonts w:hint="default"/>
      </w:rPr>
    </w:lvl>
  </w:abstractNum>
  <w:num w:numId="1">
    <w:abstractNumId w:val="36"/>
  </w:num>
  <w:num w:numId="2">
    <w:abstractNumId w:val="6"/>
  </w:num>
  <w:num w:numId="3">
    <w:abstractNumId w:val="34"/>
  </w:num>
  <w:num w:numId="4">
    <w:abstractNumId w:val="2"/>
  </w:num>
  <w:num w:numId="5">
    <w:abstractNumId w:val="17"/>
  </w:num>
  <w:num w:numId="6">
    <w:abstractNumId w:val="43"/>
  </w:num>
  <w:num w:numId="7">
    <w:abstractNumId w:val="11"/>
  </w:num>
  <w:num w:numId="8">
    <w:abstractNumId w:val="26"/>
  </w:num>
  <w:num w:numId="9">
    <w:abstractNumId w:val="44"/>
  </w:num>
  <w:num w:numId="10">
    <w:abstractNumId w:val="35"/>
  </w:num>
  <w:num w:numId="11">
    <w:abstractNumId w:val="19"/>
  </w:num>
  <w:num w:numId="12">
    <w:abstractNumId w:val="28"/>
  </w:num>
  <w:num w:numId="13">
    <w:abstractNumId w:val="33"/>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7"/>
  </w:num>
  <w:num w:numId="17">
    <w:abstractNumId w:val="0"/>
  </w:num>
  <w:num w:numId="18">
    <w:abstractNumId w:val="25"/>
  </w:num>
  <w:num w:numId="19">
    <w:abstractNumId w:val="9"/>
  </w:num>
  <w:num w:numId="20">
    <w:abstractNumId w:val="22"/>
  </w:num>
  <w:num w:numId="21">
    <w:abstractNumId w:val="23"/>
  </w:num>
  <w:num w:numId="22">
    <w:abstractNumId w:val="7"/>
  </w:num>
  <w:num w:numId="23">
    <w:abstractNumId w:val="39"/>
  </w:num>
  <w:num w:numId="24">
    <w:abstractNumId w:val="24"/>
  </w:num>
  <w:num w:numId="25">
    <w:abstractNumId w:val="12"/>
  </w:num>
  <w:num w:numId="26">
    <w:abstractNumId w:val="27"/>
  </w:num>
  <w:num w:numId="27">
    <w:abstractNumId w:val="1"/>
  </w:num>
  <w:num w:numId="28">
    <w:abstractNumId w:val="42"/>
  </w:num>
  <w:num w:numId="29">
    <w:abstractNumId w:val="31"/>
  </w:num>
  <w:num w:numId="30">
    <w:abstractNumId w:val="4"/>
  </w:num>
  <w:num w:numId="31">
    <w:abstractNumId w:val="40"/>
  </w:num>
  <w:num w:numId="32">
    <w:abstractNumId w:val="15"/>
  </w:num>
  <w:num w:numId="33">
    <w:abstractNumId w:val="18"/>
  </w:num>
  <w:num w:numId="34">
    <w:abstractNumId w:val="5"/>
  </w:num>
  <w:num w:numId="35">
    <w:abstractNumId w:val="38"/>
  </w:num>
  <w:num w:numId="36">
    <w:abstractNumId w:val="30"/>
  </w:num>
  <w:num w:numId="37">
    <w:abstractNumId w:val="21"/>
  </w:num>
  <w:num w:numId="38">
    <w:abstractNumId w:val="16"/>
  </w:num>
  <w:num w:numId="39">
    <w:abstractNumId w:val="8"/>
  </w:num>
  <w:num w:numId="40">
    <w:abstractNumId w:val="41"/>
  </w:num>
  <w:num w:numId="41">
    <w:abstractNumId w:val="20"/>
  </w:num>
  <w:num w:numId="42">
    <w:abstractNumId w:val="29"/>
  </w:num>
  <w:num w:numId="43">
    <w:abstractNumId w:val="32"/>
  </w:num>
  <w:num w:numId="44">
    <w:abstractNumId w:val="10"/>
  </w:num>
  <w:num w:numId="45">
    <w:abstractNumId w:val="1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CD2"/>
    <w:rsid w:val="00004C82"/>
    <w:rsid w:val="00032D63"/>
    <w:rsid w:val="00036D4F"/>
    <w:rsid w:val="0005048A"/>
    <w:rsid w:val="00052F5B"/>
    <w:rsid w:val="00056DA1"/>
    <w:rsid w:val="00076859"/>
    <w:rsid w:val="00080462"/>
    <w:rsid w:val="000930A4"/>
    <w:rsid w:val="000934E4"/>
    <w:rsid w:val="00093EB8"/>
    <w:rsid w:val="000B26CB"/>
    <w:rsid w:val="000C25EC"/>
    <w:rsid w:val="000C4C7C"/>
    <w:rsid w:val="000D103C"/>
    <w:rsid w:val="000D15E2"/>
    <w:rsid w:val="000E6151"/>
    <w:rsid w:val="000F0A90"/>
    <w:rsid w:val="000F6B00"/>
    <w:rsid w:val="000F7B74"/>
    <w:rsid w:val="00105F3B"/>
    <w:rsid w:val="00107A78"/>
    <w:rsid w:val="00127151"/>
    <w:rsid w:val="00146C86"/>
    <w:rsid w:val="001561E9"/>
    <w:rsid w:val="00167FD0"/>
    <w:rsid w:val="00175984"/>
    <w:rsid w:val="00184CA3"/>
    <w:rsid w:val="00193E04"/>
    <w:rsid w:val="0019535C"/>
    <w:rsid w:val="00196D22"/>
    <w:rsid w:val="0019795B"/>
    <w:rsid w:val="001A3821"/>
    <w:rsid w:val="001B0E4C"/>
    <w:rsid w:val="001D08E5"/>
    <w:rsid w:val="001F43D9"/>
    <w:rsid w:val="002001BC"/>
    <w:rsid w:val="00201000"/>
    <w:rsid w:val="0020391E"/>
    <w:rsid w:val="00231E97"/>
    <w:rsid w:val="00244EBB"/>
    <w:rsid w:val="00253BE9"/>
    <w:rsid w:val="00262F26"/>
    <w:rsid w:val="0027118B"/>
    <w:rsid w:val="002768D1"/>
    <w:rsid w:val="00276BBC"/>
    <w:rsid w:val="00280F23"/>
    <w:rsid w:val="0028590B"/>
    <w:rsid w:val="002C03AB"/>
    <w:rsid w:val="002C0D14"/>
    <w:rsid w:val="002D1026"/>
    <w:rsid w:val="002D774B"/>
    <w:rsid w:val="002E39AF"/>
    <w:rsid w:val="002E49FA"/>
    <w:rsid w:val="002E70E9"/>
    <w:rsid w:val="00300919"/>
    <w:rsid w:val="00301599"/>
    <w:rsid w:val="00302D27"/>
    <w:rsid w:val="003034C9"/>
    <w:rsid w:val="00307E1B"/>
    <w:rsid w:val="0032326D"/>
    <w:rsid w:val="00324FA0"/>
    <w:rsid w:val="00327001"/>
    <w:rsid w:val="00327BC8"/>
    <w:rsid w:val="00335490"/>
    <w:rsid w:val="00340598"/>
    <w:rsid w:val="00346E82"/>
    <w:rsid w:val="00347AC1"/>
    <w:rsid w:val="00347CA9"/>
    <w:rsid w:val="00347D17"/>
    <w:rsid w:val="0035420F"/>
    <w:rsid w:val="0036062A"/>
    <w:rsid w:val="00365B61"/>
    <w:rsid w:val="00366FC8"/>
    <w:rsid w:val="00370AB9"/>
    <w:rsid w:val="00371251"/>
    <w:rsid w:val="003720A8"/>
    <w:rsid w:val="003810EE"/>
    <w:rsid w:val="003873EC"/>
    <w:rsid w:val="003935C3"/>
    <w:rsid w:val="00395DE4"/>
    <w:rsid w:val="0039628B"/>
    <w:rsid w:val="003A14FC"/>
    <w:rsid w:val="003A1B35"/>
    <w:rsid w:val="003A29D3"/>
    <w:rsid w:val="003A2C31"/>
    <w:rsid w:val="003A32AD"/>
    <w:rsid w:val="003A4DE2"/>
    <w:rsid w:val="003A507F"/>
    <w:rsid w:val="003B6B7E"/>
    <w:rsid w:val="003C039C"/>
    <w:rsid w:val="003C6536"/>
    <w:rsid w:val="003C7F97"/>
    <w:rsid w:val="003D0C7E"/>
    <w:rsid w:val="003E0E60"/>
    <w:rsid w:val="003F0E0C"/>
    <w:rsid w:val="003F1497"/>
    <w:rsid w:val="003F50AB"/>
    <w:rsid w:val="003F58E3"/>
    <w:rsid w:val="004001BA"/>
    <w:rsid w:val="00401862"/>
    <w:rsid w:val="00403C19"/>
    <w:rsid w:val="00407C01"/>
    <w:rsid w:val="00411DB5"/>
    <w:rsid w:val="004140DF"/>
    <w:rsid w:val="00426625"/>
    <w:rsid w:val="0043228E"/>
    <w:rsid w:val="004379A2"/>
    <w:rsid w:val="00437D42"/>
    <w:rsid w:val="00437FCD"/>
    <w:rsid w:val="00453D28"/>
    <w:rsid w:val="00463E81"/>
    <w:rsid w:val="00497258"/>
    <w:rsid w:val="004A3BE0"/>
    <w:rsid w:val="004A65ED"/>
    <w:rsid w:val="004B3366"/>
    <w:rsid w:val="004D00DB"/>
    <w:rsid w:val="004D0CD6"/>
    <w:rsid w:val="004D4B8C"/>
    <w:rsid w:val="004D4F80"/>
    <w:rsid w:val="004D7183"/>
    <w:rsid w:val="004E4983"/>
    <w:rsid w:val="004F0F1E"/>
    <w:rsid w:val="004F65FA"/>
    <w:rsid w:val="0050604C"/>
    <w:rsid w:val="00514A7F"/>
    <w:rsid w:val="00523525"/>
    <w:rsid w:val="005314DB"/>
    <w:rsid w:val="005317D8"/>
    <w:rsid w:val="00545C21"/>
    <w:rsid w:val="0057075B"/>
    <w:rsid w:val="0057479C"/>
    <w:rsid w:val="00576B18"/>
    <w:rsid w:val="0058546D"/>
    <w:rsid w:val="00586754"/>
    <w:rsid w:val="00586872"/>
    <w:rsid w:val="00592C09"/>
    <w:rsid w:val="00595647"/>
    <w:rsid w:val="0059637B"/>
    <w:rsid w:val="005964D6"/>
    <w:rsid w:val="005A5F0E"/>
    <w:rsid w:val="005C26D2"/>
    <w:rsid w:val="005C3A65"/>
    <w:rsid w:val="005C52EF"/>
    <w:rsid w:val="005C5AC3"/>
    <w:rsid w:val="005D02E4"/>
    <w:rsid w:val="005D5D20"/>
    <w:rsid w:val="005D7EDD"/>
    <w:rsid w:val="006025F0"/>
    <w:rsid w:val="00604DBA"/>
    <w:rsid w:val="006167B6"/>
    <w:rsid w:val="0062334C"/>
    <w:rsid w:val="00623C2C"/>
    <w:rsid w:val="00623E10"/>
    <w:rsid w:val="00626382"/>
    <w:rsid w:val="006263C4"/>
    <w:rsid w:val="0062756D"/>
    <w:rsid w:val="00641494"/>
    <w:rsid w:val="00643DCD"/>
    <w:rsid w:val="00647E84"/>
    <w:rsid w:val="00655ED8"/>
    <w:rsid w:val="00657D3E"/>
    <w:rsid w:val="00657DD3"/>
    <w:rsid w:val="0066252A"/>
    <w:rsid w:val="006628DB"/>
    <w:rsid w:val="006660AA"/>
    <w:rsid w:val="00676096"/>
    <w:rsid w:val="00682247"/>
    <w:rsid w:val="00683CE1"/>
    <w:rsid w:val="006844AD"/>
    <w:rsid w:val="00684FF9"/>
    <w:rsid w:val="006864F8"/>
    <w:rsid w:val="006922CF"/>
    <w:rsid w:val="006A0112"/>
    <w:rsid w:val="006A13C9"/>
    <w:rsid w:val="006A70B9"/>
    <w:rsid w:val="006B0067"/>
    <w:rsid w:val="006B0A29"/>
    <w:rsid w:val="006B43C3"/>
    <w:rsid w:val="006D36B4"/>
    <w:rsid w:val="006D5D27"/>
    <w:rsid w:val="006D7737"/>
    <w:rsid w:val="006E32E7"/>
    <w:rsid w:val="006E5D3F"/>
    <w:rsid w:val="006F1DBB"/>
    <w:rsid w:val="006F5962"/>
    <w:rsid w:val="00701D7C"/>
    <w:rsid w:val="00703063"/>
    <w:rsid w:val="00721B13"/>
    <w:rsid w:val="00741895"/>
    <w:rsid w:val="007421C1"/>
    <w:rsid w:val="00743A35"/>
    <w:rsid w:val="007516AC"/>
    <w:rsid w:val="00756B4F"/>
    <w:rsid w:val="00757B6D"/>
    <w:rsid w:val="0076004E"/>
    <w:rsid w:val="007643F4"/>
    <w:rsid w:val="0076634D"/>
    <w:rsid w:val="0078587F"/>
    <w:rsid w:val="00793CB3"/>
    <w:rsid w:val="007B1A34"/>
    <w:rsid w:val="007C1438"/>
    <w:rsid w:val="007C340F"/>
    <w:rsid w:val="007C7507"/>
    <w:rsid w:val="007D2CB0"/>
    <w:rsid w:val="007D4D52"/>
    <w:rsid w:val="007D63A7"/>
    <w:rsid w:val="007E2EFB"/>
    <w:rsid w:val="007E7D4F"/>
    <w:rsid w:val="00803053"/>
    <w:rsid w:val="00803416"/>
    <w:rsid w:val="0081445D"/>
    <w:rsid w:val="00814E72"/>
    <w:rsid w:val="00816053"/>
    <w:rsid w:val="00822A5F"/>
    <w:rsid w:val="00825D6E"/>
    <w:rsid w:val="00825E62"/>
    <w:rsid w:val="00831036"/>
    <w:rsid w:val="008312D5"/>
    <w:rsid w:val="00831E5E"/>
    <w:rsid w:val="00833167"/>
    <w:rsid w:val="00833D7C"/>
    <w:rsid w:val="008377AC"/>
    <w:rsid w:val="00843928"/>
    <w:rsid w:val="0086411A"/>
    <w:rsid w:val="00864FF9"/>
    <w:rsid w:val="008737CC"/>
    <w:rsid w:val="00877998"/>
    <w:rsid w:val="00882C3F"/>
    <w:rsid w:val="008831B4"/>
    <w:rsid w:val="00887550"/>
    <w:rsid w:val="008913C0"/>
    <w:rsid w:val="00893FA5"/>
    <w:rsid w:val="008B0049"/>
    <w:rsid w:val="008C5DB7"/>
    <w:rsid w:val="008C5F41"/>
    <w:rsid w:val="008D25EA"/>
    <w:rsid w:val="008D2D6B"/>
    <w:rsid w:val="008D550B"/>
    <w:rsid w:val="008E6F22"/>
    <w:rsid w:val="008F413C"/>
    <w:rsid w:val="008F5513"/>
    <w:rsid w:val="00903668"/>
    <w:rsid w:val="00923ACF"/>
    <w:rsid w:val="00924A5E"/>
    <w:rsid w:val="00926C13"/>
    <w:rsid w:val="0093323F"/>
    <w:rsid w:val="00944014"/>
    <w:rsid w:val="00957483"/>
    <w:rsid w:val="0096061E"/>
    <w:rsid w:val="00963199"/>
    <w:rsid w:val="00964DBB"/>
    <w:rsid w:val="009677B4"/>
    <w:rsid w:val="00974BD3"/>
    <w:rsid w:val="00975669"/>
    <w:rsid w:val="0098420C"/>
    <w:rsid w:val="009B2A3C"/>
    <w:rsid w:val="009B6850"/>
    <w:rsid w:val="009C4EE8"/>
    <w:rsid w:val="009C5690"/>
    <w:rsid w:val="009C71ED"/>
    <w:rsid w:val="009D2686"/>
    <w:rsid w:val="009D7583"/>
    <w:rsid w:val="009E0C6F"/>
    <w:rsid w:val="009E3F30"/>
    <w:rsid w:val="009E4E0D"/>
    <w:rsid w:val="009E775C"/>
    <w:rsid w:val="00A001B1"/>
    <w:rsid w:val="00A03583"/>
    <w:rsid w:val="00A21E8B"/>
    <w:rsid w:val="00A30350"/>
    <w:rsid w:val="00A33492"/>
    <w:rsid w:val="00A40978"/>
    <w:rsid w:val="00A415F6"/>
    <w:rsid w:val="00A4454D"/>
    <w:rsid w:val="00A44F01"/>
    <w:rsid w:val="00A524D4"/>
    <w:rsid w:val="00A565E0"/>
    <w:rsid w:val="00A61D40"/>
    <w:rsid w:val="00A64227"/>
    <w:rsid w:val="00A65F05"/>
    <w:rsid w:val="00A76ECD"/>
    <w:rsid w:val="00A84B2F"/>
    <w:rsid w:val="00A86863"/>
    <w:rsid w:val="00A95B41"/>
    <w:rsid w:val="00AA2341"/>
    <w:rsid w:val="00AA41CB"/>
    <w:rsid w:val="00AA60EA"/>
    <w:rsid w:val="00AB052C"/>
    <w:rsid w:val="00AB0CD0"/>
    <w:rsid w:val="00AB3DB6"/>
    <w:rsid w:val="00AB4A43"/>
    <w:rsid w:val="00AC58DF"/>
    <w:rsid w:val="00AD1D51"/>
    <w:rsid w:val="00AD620F"/>
    <w:rsid w:val="00AE2761"/>
    <w:rsid w:val="00AE5ACD"/>
    <w:rsid w:val="00B04AE0"/>
    <w:rsid w:val="00B124B0"/>
    <w:rsid w:val="00B325A4"/>
    <w:rsid w:val="00B33893"/>
    <w:rsid w:val="00B341EE"/>
    <w:rsid w:val="00B41700"/>
    <w:rsid w:val="00B41BB5"/>
    <w:rsid w:val="00B427FE"/>
    <w:rsid w:val="00B42B47"/>
    <w:rsid w:val="00B42C5A"/>
    <w:rsid w:val="00B5060F"/>
    <w:rsid w:val="00B54AD1"/>
    <w:rsid w:val="00B558C4"/>
    <w:rsid w:val="00B63FF1"/>
    <w:rsid w:val="00B64EE7"/>
    <w:rsid w:val="00B65169"/>
    <w:rsid w:val="00B6570D"/>
    <w:rsid w:val="00B67474"/>
    <w:rsid w:val="00B7206E"/>
    <w:rsid w:val="00B72467"/>
    <w:rsid w:val="00B7499F"/>
    <w:rsid w:val="00B805B6"/>
    <w:rsid w:val="00B901CF"/>
    <w:rsid w:val="00B9227F"/>
    <w:rsid w:val="00B9233E"/>
    <w:rsid w:val="00B9655B"/>
    <w:rsid w:val="00B96A51"/>
    <w:rsid w:val="00B96C47"/>
    <w:rsid w:val="00BA274F"/>
    <w:rsid w:val="00BA4298"/>
    <w:rsid w:val="00BA5E73"/>
    <w:rsid w:val="00BB09E0"/>
    <w:rsid w:val="00BB4450"/>
    <w:rsid w:val="00BB49B7"/>
    <w:rsid w:val="00BC05FB"/>
    <w:rsid w:val="00BC2E53"/>
    <w:rsid w:val="00BC3C8A"/>
    <w:rsid w:val="00BD40B0"/>
    <w:rsid w:val="00BD73AA"/>
    <w:rsid w:val="00BE67EB"/>
    <w:rsid w:val="00BF1089"/>
    <w:rsid w:val="00C0039B"/>
    <w:rsid w:val="00C23102"/>
    <w:rsid w:val="00C23369"/>
    <w:rsid w:val="00C23561"/>
    <w:rsid w:val="00C24685"/>
    <w:rsid w:val="00C35171"/>
    <w:rsid w:val="00C45CB9"/>
    <w:rsid w:val="00C51F34"/>
    <w:rsid w:val="00C52069"/>
    <w:rsid w:val="00C724D9"/>
    <w:rsid w:val="00C77CD2"/>
    <w:rsid w:val="00C81572"/>
    <w:rsid w:val="00C82EE3"/>
    <w:rsid w:val="00C8614E"/>
    <w:rsid w:val="00C906A4"/>
    <w:rsid w:val="00C95C29"/>
    <w:rsid w:val="00CA30A6"/>
    <w:rsid w:val="00CA5801"/>
    <w:rsid w:val="00CB448D"/>
    <w:rsid w:val="00CB752A"/>
    <w:rsid w:val="00CC0B1C"/>
    <w:rsid w:val="00CC0C89"/>
    <w:rsid w:val="00CC23AD"/>
    <w:rsid w:val="00CC2955"/>
    <w:rsid w:val="00CC3146"/>
    <w:rsid w:val="00CC5BF5"/>
    <w:rsid w:val="00CD2955"/>
    <w:rsid w:val="00CD71C1"/>
    <w:rsid w:val="00CE01B3"/>
    <w:rsid w:val="00CE159A"/>
    <w:rsid w:val="00CE1B22"/>
    <w:rsid w:val="00CF3B29"/>
    <w:rsid w:val="00CF7572"/>
    <w:rsid w:val="00CF79DB"/>
    <w:rsid w:val="00D0050B"/>
    <w:rsid w:val="00D03C4F"/>
    <w:rsid w:val="00D04135"/>
    <w:rsid w:val="00D107B9"/>
    <w:rsid w:val="00D135E9"/>
    <w:rsid w:val="00D15CD2"/>
    <w:rsid w:val="00D2197F"/>
    <w:rsid w:val="00D2666C"/>
    <w:rsid w:val="00D26DED"/>
    <w:rsid w:val="00D3034C"/>
    <w:rsid w:val="00D3280C"/>
    <w:rsid w:val="00D34750"/>
    <w:rsid w:val="00D36A24"/>
    <w:rsid w:val="00D37064"/>
    <w:rsid w:val="00D468B5"/>
    <w:rsid w:val="00D52103"/>
    <w:rsid w:val="00D522BF"/>
    <w:rsid w:val="00D52B73"/>
    <w:rsid w:val="00D614F6"/>
    <w:rsid w:val="00D65199"/>
    <w:rsid w:val="00D6559A"/>
    <w:rsid w:val="00D71CDC"/>
    <w:rsid w:val="00D727B0"/>
    <w:rsid w:val="00D74713"/>
    <w:rsid w:val="00D747C8"/>
    <w:rsid w:val="00D76089"/>
    <w:rsid w:val="00D7695E"/>
    <w:rsid w:val="00D81D32"/>
    <w:rsid w:val="00D85D8C"/>
    <w:rsid w:val="00D87538"/>
    <w:rsid w:val="00D90349"/>
    <w:rsid w:val="00D90A43"/>
    <w:rsid w:val="00D91C97"/>
    <w:rsid w:val="00D91E9C"/>
    <w:rsid w:val="00D925FC"/>
    <w:rsid w:val="00DA7CC3"/>
    <w:rsid w:val="00DB13E4"/>
    <w:rsid w:val="00DB277E"/>
    <w:rsid w:val="00DB7AFB"/>
    <w:rsid w:val="00DC04C6"/>
    <w:rsid w:val="00DC18F6"/>
    <w:rsid w:val="00DE217E"/>
    <w:rsid w:val="00DF0169"/>
    <w:rsid w:val="00DF031A"/>
    <w:rsid w:val="00E11038"/>
    <w:rsid w:val="00E12EAF"/>
    <w:rsid w:val="00E12F4E"/>
    <w:rsid w:val="00E16036"/>
    <w:rsid w:val="00E33DE5"/>
    <w:rsid w:val="00E3582E"/>
    <w:rsid w:val="00E36461"/>
    <w:rsid w:val="00E43F5A"/>
    <w:rsid w:val="00E44FAA"/>
    <w:rsid w:val="00E62034"/>
    <w:rsid w:val="00E62469"/>
    <w:rsid w:val="00E62EC9"/>
    <w:rsid w:val="00E64E34"/>
    <w:rsid w:val="00E755AE"/>
    <w:rsid w:val="00E778BB"/>
    <w:rsid w:val="00E934FC"/>
    <w:rsid w:val="00EA1946"/>
    <w:rsid w:val="00EA6B08"/>
    <w:rsid w:val="00EB04E3"/>
    <w:rsid w:val="00EC45EC"/>
    <w:rsid w:val="00ED15A9"/>
    <w:rsid w:val="00ED24EB"/>
    <w:rsid w:val="00EE3439"/>
    <w:rsid w:val="00EE5708"/>
    <w:rsid w:val="00F008EC"/>
    <w:rsid w:val="00F029E2"/>
    <w:rsid w:val="00F273D1"/>
    <w:rsid w:val="00F35516"/>
    <w:rsid w:val="00F448C3"/>
    <w:rsid w:val="00F45CDB"/>
    <w:rsid w:val="00F56D50"/>
    <w:rsid w:val="00F57458"/>
    <w:rsid w:val="00F65D28"/>
    <w:rsid w:val="00F84AAD"/>
    <w:rsid w:val="00F859E7"/>
    <w:rsid w:val="00F96C68"/>
    <w:rsid w:val="00F97B66"/>
    <w:rsid w:val="00F97BEE"/>
    <w:rsid w:val="00FA0B51"/>
    <w:rsid w:val="00FA13E4"/>
    <w:rsid w:val="00FA32D0"/>
    <w:rsid w:val="00FA3344"/>
    <w:rsid w:val="00FB1514"/>
    <w:rsid w:val="00FB3E47"/>
    <w:rsid w:val="00FC4177"/>
    <w:rsid w:val="00FC5D88"/>
    <w:rsid w:val="00FD39BE"/>
    <w:rsid w:val="00FD3BC7"/>
    <w:rsid w:val="00FE3232"/>
    <w:rsid w:val="00FF4118"/>
    <w:rsid w:val="010E1771"/>
    <w:rsid w:val="01154961"/>
    <w:rsid w:val="0117517C"/>
    <w:rsid w:val="011F3B65"/>
    <w:rsid w:val="014E450F"/>
    <w:rsid w:val="01587E58"/>
    <w:rsid w:val="01784093"/>
    <w:rsid w:val="01BE7986"/>
    <w:rsid w:val="01C908AC"/>
    <w:rsid w:val="01EA6AA9"/>
    <w:rsid w:val="02275EBE"/>
    <w:rsid w:val="022A6BDC"/>
    <w:rsid w:val="025B2CEE"/>
    <w:rsid w:val="02685EE1"/>
    <w:rsid w:val="026A7D55"/>
    <w:rsid w:val="02892773"/>
    <w:rsid w:val="02F64F95"/>
    <w:rsid w:val="030A4D2E"/>
    <w:rsid w:val="03213456"/>
    <w:rsid w:val="03265AC9"/>
    <w:rsid w:val="03271EC5"/>
    <w:rsid w:val="03312C0B"/>
    <w:rsid w:val="03640411"/>
    <w:rsid w:val="036D2C24"/>
    <w:rsid w:val="038B11A4"/>
    <w:rsid w:val="0390319C"/>
    <w:rsid w:val="03B45D63"/>
    <w:rsid w:val="03F10260"/>
    <w:rsid w:val="04191A44"/>
    <w:rsid w:val="042D3F37"/>
    <w:rsid w:val="0446104E"/>
    <w:rsid w:val="0450135C"/>
    <w:rsid w:val="04572AC5"/>
    <w:rsid w:val="045B6758"/>
    <w:rsid w:val="046879F0"/>
    <w:rsid w:val="04AA1DD5"/>
    <w:rsid w:val="04B029E0"/>
    <w:rsid w:val="04C25703"/>
    <w:rsid w:val="04CF3BD1"/>
    <w:rsid w:val="04E12C25"/>
    <w:rsid w:val="04F95927"/>
    <w:rsid w:val="050F377F"/>
    <w:rsid w:val="0529320F"/>
    <w:rsid w:val="053006E9"/>
    <w:rsid w:val="053B557E"/>
    <w:rsid w:val="054519DD"/>
    <w:rsid w:val="054B0DDB"/>
    <w:rsid w:val="055533DE"/>
    <w:rsid w:val="05575154"/>
    <w:rsid w:val="05667DC2"/>
    <w:rsid w:val="057F31B0"/>
    <w:rsid w:val="058834BA"/>
    <w:rsid w:val="058F71B6"/>
    <w:rsid w:val="05C435BE"/>
    <w:rsid w:val="05FC5F60"/>
    <w:rsid w:val="05FC64D6"/>
    <w:rsid w:val="066221B8"/>
    <w:rsid w:val="06622B01"/>
    <w:rsid w:val="066D19B0"/>
    <w:rsid w:val="06861F0A"/>
    <w:rsid w:val="068F462F"/>
    <w:rsid w:val="06962F81"/>
    <w:rsid w:val="06C124E3"/>
    <w:rsid w:val="06E073DA"/>
    <w:rsid w:val="06EB6EC4"/>
    <w:rsid w:val="06FC7BF1"/>
    <w:rsid w:val="07070BD6"/>
    <w:rsid w:val="075E5722"/>
    <w:rsid w:val="078051EB"/>
    <w:rsid w:val="07974FE3"/>
    <w:rsid w:val="07F77291"/>
    <w:rsid w:val="0822796B"/>
    <w:rsid w:val="083E3F9B"/>
    <w:rsid w:val="086C6D28"/>
    <w:rsid w:val="08704EA4"/>
    <w:rsid w:val="0872606D"/>
    <w:rsid w:val="08932DEE"/>
    <w:rsid w:val="08AD696C"/>
    <w:rsid w:val="08B61904"/>
    <w:rsid w:val="08BB4B57"/>
    <w:rsid w:val="08F74F60"/>
    <w:rsid w:val="09180337"/>
    <w:rsid w:val="093F0821"/>
    <w:rsid w:val="095A04BB"/>
    <w:rsid w:val="096F5ECB"/>
    <w:rsid w:val="09777A4D"/>
    <w:rsid w:val="099B3B56"/>
    <w:rsid w:val="099F4CE6"/>
    <w:rsid w:val="09C16B5C"/>
    <w:rsid w:val="09CC529D"/>
    <w:rsid w:val="09FD37A0"/>
    <w:rsid w:val="09FF08F6"/>
    <w:rsid w:val="0A150669"/>
    <w:rsid w:val="0A206480"/>
    <w:rsid w:val="0A3A631E"/>
    <w:rsid w:val="0A4C1E2A"/>
    <w:rsid w:val="0A7722AA"/>
    <w:rsid w:val="0A8459C2"/>
    <w:rsid w:val="0A851A1D"/>
    <w:rsid w:val="0ABD5862"/>
    <w:rsid w:val="0AF47F7F"/>
    <w:rsid w:val="0B331EDD"/>
    <w:rsid w:val="0B37189F"/>
    <w:rsid w:val="0B5E4061"/>
    <w:rsid w:val="0B602302"/>
    <w:rsid w:val="0B6E00FD"/>
    <w:rsid w:val="0BDC286A"/>
    <w:rsid w:val="0BDE6300"/>
    <w:rsid w:val="0C010BEB"/>
    <w:rsid w:val="0C021816"/>
    <w:rsid w:val="0C04371D"/>
    <w:rsid w:val="0C1117F5"/>
    <w:rsid w:val="0C1472ED"/>
    <w:rsid w:val="0C314471"/>
    <w:rsid w:val="0C593160"/>
    <w:rsid w:val="0C6C14AC"/>
    <w:rsid w:val="0C6E0BBA"/>
    <w:rsid w:val="0C7E09E6"/>
    <w:rsid w:val="0C926B62"/>
    <w:rsid w:val="0C95389D"/>
    <w:rsid w:val="0C9630CE"/>
    <w:rsid w:val="0CA7771C"/>
    <w:rsid w:val="0CE06A65"/>
    <w:rsid w:val="0CFA01A4"/>
    <w:rsid w:val="0D020DE6"/>
    <w:rsid w:val="0D04348D"/>
    <w:rsid w:val="0D292D48"/>
    <w:rsid w:val="0D30768F"/>
    <w:rsid w:val="0D530A0F"/>
    <w:rsid w:val="0D597C7B"/>
    <w:rsid w:val="0D6224C4"/>
    <w:rsid w:val="0D7258AF"/>
    <w:rsid w:val="0D895AD8"/>
    <w:rsid w:val="0DC40227"/>
    <w:rsid w:val="0E016899"/>
    <w:rsid w:val="0E0E6558"/>
    <w:rsid w:val="0E3004F2"/>
    <w:rsid w:val="0E343382"/>
    <w:rsid w:val="0E3B01E4"/>
    <w:rsid w:val="0E601568"/>
    <w:rsid w:val="0E7E2E47"/>
    <w:rsid w:val="0E973CC2"/>
    <w:rsid w:val="0EB54214"/>
    <w:rsid w:val="0EEA49DC"/>
    <w:rsid w:val="0EEB1125"/>
    <w:rsid w:val="0EF93B2E"/>
    <w:rsid w:val="0EFB440F"/>
    <w:rsid w:val="0F2177E4"/>
    <w:rsid w:val="0F2F0C7B"/>
    <w:rsid w:val="0F397A09"/>
    <w:rsid w:val="0F565253"/>
    <w:rsid w:val="0F5C6868"/>
    <w:rsid w:val="0F8C0B32"/>
    <w:rsid w:val="0FBC6890"/>
    <w:rsid w:val="0FCA013A"/>
    <w:rsid w:val="0FE8061A"/>
    <w:rsid w:val="1002491D"/>
    <w:rsid w:val="102772F7"/>
    <w:rsid w:val="10362221"/>
    <w:rsid w:val="103A111F"/>
    <w:rsid w:val="106F74C4"/>
    <w:rsid w:val="107B059E"/>
    <w:rsid w:val="10851402"/>
    <w:rsid w:val="10CD5A4B"/>
    <w:rsid w:val="10CF2A8C"/>
    <w:rsid w:val="10D573B5"/>
    <w:rsid w:val="10F9774B"/>
    <w:rsid w:val="110058BB"/>
    <w:rsid w:val="113002B6"/>
    <w:rsid w:val="11367915"/>
    <w:rsid w:val="11536D45"/>
    <w:rsid w:val="11545954"/>
    <w:rsid w:val="11676675"/>
    <w:rsid w:val="11713B77"/>
    <w:rsid w:val="117D63C1"/>
    <w:rsid w:val="1214370F"/>
    <w:rsid w:val="12186520"/>
    <w:rsid w:val="12206DA8"/>
    <w:rsid w:val="123F3317"/>
    <w:rsid w:val="1254371D"/>
    <w:rsid w:val="126958B7"/>
    <w:rsid w:val="129C3AD0"/>
    <w:rsid w:val="12A8329A"/>
    <w:rsid w:val="12B923C8"/>
    <w:rsid w:val="130B1E18"/>
    <w:rsid w:val="130C2BBA"/>
    <w:rsid w:val="1341344A"/>
    <w:rsid w:val="13625CCE"/>
    <w:rsid w:val="138624E4"/>
    <w:rsid w:val="139F7F72"/>
    <w:rsid w:val="14101EC3"/>
    <w:rsid w:val="1445212D"/>
    <w:rsid w:val="146A508B"/>
    <w:rsid w:val="148052D4"/>
    <w:rsid w:val="14904246"/>
    <w:rsid w:val="14BD2EE0"/>
    <w:rsid w:val="14C24279"/>
    <w:rsid w:val="14E25B09"/>
    <w:rsid w:val="150E5E2F"/>
    <w:rsid w:val="15160A01"/>
    <w:rsid w:val="151A5B36"/>
    <w:rsid w:val="155F7008"/>
    <w:rsid w:val="157D7800"/>
    <w:rsid w:val="158510C1"/>
    <w:rsid w:val="15863869"/>
    <w:rsid w:val="159D3E18"/>
    <w:rsid w:val="15A41106"/>
    <w:rsid w:val="15BE0306"/>
    <w:rsid w:val="15CA1D1B"/>
    <w:rsid w:val="15CB0199"/>
    <w:rsid w:val="15DF3107"/>
    <w:rsid w:val="1610274E"/>
    <w:rsid w:val="16227673"/>
    <w:rsid w:val="16290E68"/>
    <w:rsid w:val="163F418E"/>
    <w:rsid w:val="16601C8B"/>
    <w:rsid w:val="16740020"/>
    <w:rsid w:val="168F3153"/>
    <w:rsid w:val="169D57A7"/>
    <w:rsid w:val="16B559FA"/>
    <w:rsid w:val="16C13027"/>
    <w:rsid w:val="16D83636"/>
    <w:rsid w:val="16E149FB"/>
    <w:rsid w:val="172304CB"/>
    <w:rsid w:val="172A3261"/>
    <w:rsid w:val="173B3CD4"/>
    <w:rsid w:val="17464882"/>
    <w:rsid w:val="174834DB"/>
    <w:rsid w:val="174A0227"/>
    <w:rsid w:val="174C6444"/>
    <w:rsid w:val="17585279"/>
    <w:rsid w:val="175C4CBE"/>
    <w:rsid w:val="176C541E"/>
    <w:rsid w:val="17AA725F"/>
    <w:rsid w:val="17AB4295"/>
    <w:rsid w:val="17C52FAC"/>
    <w:rsid w:val="17F06C2B"/>
    <w:rsid w:val="17F63E76"/>
    <w:rsid w:val="181060A2"/>
    <w:rsid w:val="181063B7"/>
    <w:rsid w:val="18313896"/>
    <w:rsid w:val="18530F92"/>
    <w:rsid w:val="186F5C58"/>
    <w:rsid w:val="187B16B9"/>
    <w:rsid w:val="187C1B4F"/>
    <w:rsid w:val="188512B1"/>
    <w:rsid w:val="18962AD6"/>
    <w:rsid w:val="189A2583"/>
    <w:rsid w:val="189E19B6"/>
    <w:rsid w:val="18AA04B9"/>
    <w:rsid w:val="18C96EBE"/>
    <w:rsid w:val="18D230AF"/>
    <w:rsid w:val="18F91AAE"/>
    <w:rsid w:val="19366B3F"/>
    <w:rsid w:val="195D5EA5"/>
    <w:rsid w:val="199B60DC"/>
    <w:rsid w:val="19D055ED"/>
    <w:rsid w:val="19D426E6"/>
    <w:rsid w:val="19D9598F"/>
    <w:rsid w:val="1A03310E"/>
    <w:rsid w:val="1A074C1F"/>
    <w:rsid w:val="1A1B374E"/>
    <w:rsid w:val="1A42000E"/>
    <w:rsid w:val="1A5F72F9"/>
    <w:rsid w:val="1A76479D"/>
    <w:rsid w:val="1AA720E3"/>
    <w:rsid w:val="1AB93043"/>
    <w:rsid w:val="1ACB027C"/>
    <w:rsid w:val="1AD54DD2"/>
    <w:rsid w:val="1AD9634D"/>
    <w:rsid w:val="1B3972C0"/>
    <w:rsid w:val="1B45703C"/>
    <w:rsid w:val="1B7D62D3"/>
    <w:rsid w:val="1BCD2AFA"/>
    <w:rsid w:val="1BE00105"/>
    <w:rsid w:val="1BF24B49"/>
    <w:rsid w:val="1BFB03F5"/>
    <w:rsid w:val="1C685151"/>
    <w:rsid w:val="1C6B2C49"/>
    <w:rsid w:val="1C8172BD"/>
    <w:rsid w:val="1CA13996"/>
    <w:rsid w:val="1CBB6697"/>
    <w:rsid w:val="1CBE0AB3"/>
    <w:rsid w:val="1CC27449"/>
    <w:rsid w:val="1CF859BF"/>
    <w:rsid w:val="1D3E379C"/>
    <w:rsid w:val="1D444F2F"/>
    <w:rsid w:val="1D624C86"/>
    <w:rsid w:val="1D6C5C64"/>
    <w:rsid w:val="1D7201B5"/>
    <w:rsid w:val="1D8146A5"/>
    <w:rsid w:val="1D8B5944"/>
    <w:rsid w:val="1D8C140B"/>
    <w:rsid w:val="1DB65B3C"/>
    <w:rsid w:val="1DBA2D88"/>
    <w:rsid w:val="1DE31B62"/>
    <w:rsid w:val="1DE86497"/>
    <w:rsid w:val="1E0B5083"/>
    <w:rsid w:val="1E1E621F"/>
    <w:rsid w:val="1E2613F7"/>
    <w:rsid w:val="1E2D590B"/>
    <w:rsid w:val="1E3218AC"/>
    <w:rsid w:val="1E332B6C"/>
    <w:rsid w:val="1E420BF2"/>
    <w:rsid w:val="1E471EC0"/>
    <w:rsid w:val="1E5417FF"/>
    <w:rsid w:val="1E7A5F3C"/>
    <w:rsid w:val="1ED70A8C"/>
    <w:rsid w:val="1ED93F88"/>
    <w:rsid w:val="1EE62436"/>
    <w:rsid w:val="1EE64CE5"/>
    <w:rsid w:val="1F2F6CF6"/>
    <w:rsid w:val="1F4B3682"/>
    <w:rsid w:val="1F6F24A3"/>
    <w:rsid w:val="1F7F34FB"/>
    <w:rsid w:val="1F91665C"/>
    <w:rsid w:val="1F917ADE"/>
    <w:rsid w:val="1F9474FE"/>
    <w:rsid w:val="1F996119"/>
    <w:rsid w:val="1FA9299F"/>
    <w:rsid w:val="1FBB1938"/>
    <w:rsid w:val="1FC41090"/>
    <w:rsid w:val="1FC96B6A"/>
    <w:rsid w:val="1FD82AEA"/>
    <w:rsid w:val="1FF00832"/>
    <w:rsid w:val="20041151"/>
    <w:rsid w:val="200D4392"/>
    <w:rsid w:val="205E658C"/>
    <w:rsid w:val="207814C6"/>
    <w:rsid w:val="209132BA"/>
    <w:rsid w:val="20974046"/>
    <w:rsid w:val="20A15E4D"/>
    <w:rsid w:val="20CE2750"/>
    <w:rsid w:val="20D009BB"/>
    <w:rsid w:val="20F56A95"/>
    <w:rsid w:val="2104789A"/>
    <w:rsid w:val="2107103D"/>
    <w:rsid w:val="21104FDC"/>
    <w:rsid w:val="215F33CD"/>
    <w:rsid w:val="21695AAD"/>
    <w:rsid w:val="21717FDB"/>
    <w:rsid w:val="218002A8"/>
    <w:rsid w:val="21952ADC"/>
    <w:rsid w:val="21A91ECB"/>
    <w:rsid w:val="21AE00BD"/>
    <w:rsid w:val="21B94904"/>
    <w:rsid w:val="21CC234D"/>
    <w:rsid w:val="21D54EDD"/>
    <w:rsid w:val="21DC586B"/>
    <w:rsid w:val="225D7BFE"/>
    <w:rsid w:val="227A03D3"/>
    <w:rsid w:val="227A18F2"/>
    <w:rsid w:val="228E27B1"/>
    <w:rsid w:val="22B27D32"/>
    <w:rsid w:val="22C01E74"/>
    <w:rsid w:val="22C2244E"/>
    <w:rsid w:val="22C5624C"/>
    <w:rsid w:val="22C65AEC"/>
    <w:rsid w:val="22D26A4E"/>
    <w:rsid w:val="22E57A6E"/>
    <w:rsid w:val="23080E41"/>
    <w:rsid w:val="232365E9"/>
    <w:rsid w:val="232E22EE"/>
    <w:rsid w:val="23420EDC"/>
    <w:rsid w:val="23514918"/>
    <w:rsid w:val="235225D2"/>
    <w:rsid w:val="23657409"/>
    <w:rsid w:val="238D32DB"/>
    <w:rsid w:val="23C049A9"/>
    <w:rsid w:val="23C709B6"/>
    <w:rsid w:val="23F87A21"/>
    <w:rsid w:val="24265FF3"/>
    <w:rsid w:val="245E2DD0"/>
    <w:rsid w:val="247B048F"/>
    <w:rsid w:val="24C04709"/>
    <w:rsid w:val="24D90611"/>
    <w:rsid w:val="250632DC"/>
    <w:rsid w:val="250A024D"/>
    <w:rsid w:val="250E5C08"/>
    <w:rsid w:val="252D57BE"/>
    <w:rsid w:val="253F4BEC"/>
    <w:rsid w:val="25570314"/>
    <w:rsid w:val="256648CE"/>
    <w:rsid w:val="256A175A"/>
    <w:rsid w:val="257640BB"/>
    <w:rsid w:val="25A42109"/>
    <w:rsid w:val="25D73933"/>
    <w:rsid w:val="25FE3D01"/>
    <w:rsid w:val="26001CF9"/>
    <w:rsid w:val="260F4559"/>
    <w:rsid w:val="261512FD"/>
    <w:rsid w:val="261B5924"/>
    <w:rsid w:val="26E7356F"/>
    <w:rsid w:val="270E665E"/>
    <w:rsid w:val="271962A9"/>
    <w:rsid w:val="27217FA6"/>
    <w:rsid w:val="27426BEB"/>
    <w:rsid w:val="2780680B"/>
    <w:rsid w:val="27864247"/>
    <w:rsid w:val="27887DA4"/>
    <w:rsid w:val="27967D24"/>
    <w:rsid w:val="27A845DB"/>
    <w:rsid w:val="27C60CD4"/>
    <w:rsid w:val="27E20385"/>
    <w:rsid w:val="28013F44"/>
    <w:rsid w:val="28205BF0"/>
    <w:rsid w:val="283706EE"/>
    <w:rsid w:val="28375055"/>
    <w:rsid w:val="28755C30"/>
    <w:rsid w:val="288C52CB"/>
    <w:rsid w:val="28987964"/>
    <w:rsid w:val="28BB1A1F"/>
    <w:rsid w:val="28C34064"/>
    <w:rsid w:val="28D65621"/>
    <w:rsid w:val="28DA10F2"/>
    <w:rsid w:val="28E04120"/>
    <w:rsid w:val="28E152E8"/>
    <w:rsid w:val="28F77D7B"/>
    <w:rsid w:val="29080182"/>
    <w:rsid w:val="295A3F04"/>
    <w:rsid w:val="29657EC1"/>
    <w:rsid w:val="29824E3B"/>
    <w:rsid w:val="2998539D"/>
    <w:rsid w:val="29BD54C8"/>
    <w:rsid w:val="2A0D2026"/>
    <w:rsid w:val="2A121640"/>
    <w:rsid w:val="2A1A66DA"/>
    <w:rsid w:val="2A2A5BC3"/>
    <w:rsid w:val="2A330016"/>
    <w:rsid w:val="2A3C3585"/>
    <w:rsid w:val="2A4E3824"/>
    <w:rsid w:val="2A541103"/>
    <w:rsid w:val="2A5B26EF"/>
    <w:rsid w:val="2A666831"/>
    <w:rsid w:val="2A784C53"/>
    <w:rsid w:val="2AB16905"/>
    <w:rsid w:val="2AE912AF"/>
    <w:rsid w:val="2AF138F8"/>
    <w:rsid w:val="2AFD01C6"/>
    <w:rsid w:val="2B1D61CF"/>
    <w:rsid w:val="2B2D3738"/>
    <w:rsid w:val="2B540339"/>
    <w:rsid w:val="2B7340E5"/>
    <w:rsid w:val="2B870B58"/>
    <w:rsid w:val="2B9F0947"/>
    <w:rsid w:val="2BBA5705"/>
    <w:rsid w:val="2BBF0A44"/>
    <w:rsid w:val="2BC13506"/>
    <w:rsid w:val="2BDB5BD6"/>
    <w:rsid w:val="2C165420"/>
    <w:rsid w:val="2C2B5205"/>
    <w:rsid w:val="2C2C66F2"/>
    <w:rsid w:val="2C2F4A75"/>
    <w:rsid w:val="2C6F6804"/>
    <w:rsid w:val="2C7F0C2B"/>
    <w:rsid w:val="2C834037"/>
    <w:rsid w:val="2CA11208"/>
    <w:rsid w:val="2CC14590"/>
    <w:rsid w:val="2D4A78A4"/>
    <w:rsid w:val="2D58028F"/>
    <w:rsid w:val="2D594D8B"/>
    <w:rsid w:val="2D673932"/>
    <w:rsid w:val="2D7E27BB"/>
    <w:rsid w:val="2D874EDD"/>
    <w:rsid w:val="2DAF107A"/>
    <w:rsid w:val="2E001EDF"/>
    <w:rsid w:val="2E184ACF"/>
    <w:rsid w:val="2E3914F7"/>
    <w:rsid w:val="2E4D77A9"/>
    <w:rsid w:val="2E8C7A40"/>
    <w:rsid w:val="2EA664E1"/>
    <w:rsid w:val="2EB53139"/>
    <w:rsid w:val="2EC648CD"/>
    <w:rsid w:val="2ED2109E"/>
    <w:rsid w:val="2ED23895"/>
    <w:rsid w:val="2ED80015"/>
    <w:rsid w:val="2EE15A55"/>
    <w:rsid w:val="2F644EA8"/>
    <w:rsid w:val="2F7C628B"/>
    <w:rsid w:val="2F7F7E2F"/>
    <w:rsid w:val="2F860FE6"/>
    <w:rsid w:val="2FA222D1"/>
    <w:rsid w:val="2FD06610"/>
    <w:rsid w:val="2FDF0CF3"/>
    <w:rsid w:val="2FEA6D04"/>
    <w:rsid w:val="3003356C"/>
    <w:rsid w:val="30107525"/>
    <w:rsid w:val="30161902"/>
    <w:rsid w:val="301A2005"/>
    <w:rsid w:val="303D7DB0"/>
    <w:rsid w:val="30592BBE"/>
    <w:rsid w:val="307B16D9"/>
    <w:rsid w:val="30881483"/>
    <w:rsid w:val="30A912D5"/>
    <w:rsid w:val="30AE5148"/>
    <w:rsid w:val="30B3777F"/>
    <w:rsid w:val="30D725C6"/>
    <w:rsid w:val="31326D97"/>
    <w:rsid w:val="314254E6"/>
    <w:rsid w:val="31515F8C"/>
    <w:rsid w:val="31723290"/>
    <w:rsid w:val="31780054"/>
    <w:rsid w:val="317B795F"/>
    <w:rsid w:val="3194596C"/>
    <w:rsid w:val="31A8672C"/>
    <w:rsid w:val="31AE3868"/>
    <w:rsid w:val="31B108E7"/>
    <w:rsid w:val="31D24567"/>
    <w:rsid w:val="31E11495"/>
    <w:rsid w:val="31E46926"/>
    <w:rsid w:val="31E91C3C"/>
    <w:rsid w:val="31EC73A5"/>
    <w:rsid w:val="321F1D30"/>
    <w:rsid w:val="32566B1E"/>
    <w:rsid w:val="32743144"/>
    <w:rsid w:val="329E0EB4"/>
    <w:rsid w:val="32D26E61"/>
    <w:rsid w:val="32D61D10"/>
    <w:rsid w:val="32F36E11"/>
    <w:rsid w:val="33086B9A"/>
    <w:rsid w:val="335A0C2E"/>
    <w:rsid w:val="335F22CC"/>
    <w:rsid w:val="33606A9C"/>
    <w:rsid w:val="33667433"/>
    <w:rsid w:val="33A22586"/>
    <w:rsid w:val="33A657D6"/>
    <w:rsid w:val="33BD1DD3"/>
    <w:rsid w:val="33C409E9"/>
    <w:rsid w:val="34431468"/>
    <w:rsid w:val="34703AA9"/>
    <w:rsid w:val="34957BB0"/>
    <w:rsid w:val="34A46312"/>
    <w:rsid w:val="34BF6CDD"/>
    <w:rsid w:val="34EF3559"/>
    <w:rsid w:val="350118DB"/>
    <w:rsid w:val="35213452"/>
    <w:rsid w:val="352341C9"/>
    <w:rsid w:val="35283B52"/>
    <w:rsid w:val="35690498"/>
    <w:rsid w:val="35706CB7"/>
    <w:rsid w:val="35854D6A"/>
    <w:rsid w:val="35A97575"/>
    <w:rsid w:val="35C1573E"/>
    <w:rsid w:val="35C77F97"/>
    <w:rsid w:val="361A4A65"/>
    <w:rsid w:val="365E2341"/>
    <w:rsid w:val="367C514F"/>
    <w:rsid w:val="36C2623A"/>
    <w:rsid w:val="36D34A05"/>
    <w:rsid w:val="36E07914"/>
    <w:rsid w:val="3738642E"/>
    <w:rsid w:val="373C1251"/>
    <w:rsid w:val="3772755C"/>
    <w:rsid w:val="378523FE"/>
    <w:rsid w:val="37941247"/>
    <w:rsid w:val="3799699E"/>
    <w:rsid w:val="37AE4462"/>
    <w:rsid w:val="37B04BD6"/>
    <w:rsid w:val="37FB305C"/>
    <w:rsid w:val="37FB4EC0"/>
    <w:rsid w:val="38087152"/>
    <w:rsid w:val="382311D5"/>
    <w:rsid w:val="38433B6F"/>
    <w:rsid w:val="3892191B"/>
    <w:rsid w:val="38946C7D"/>
    <w:rsid w:val="389A2EE4"/>
    <w:rsid w:val="38A61757"/>
    <w:rsid w:val="38BF0290"/>
    <w:rsid w:val="38CC4477"/>
    <w:rsid w:val="38CE4AEE"/>
    <w:rsid w:val="38CF7776"/>
    <w:rsid w:val="38DA238F"/>
    <w:rsid w:val="38E70D4A"/>
    <w:rsid w:val="38ED1415"/>
    <w:rsid w:val="38F92A2D"/>
    <w:rsid w:val="38FF4062"/>
    <w:rsid w:val="390256FA"/>
    <w:rsid w:val="390F2D2C"/>
    <w:rsid w:val="391E1CF3"/>
    <w:rsid w:val="39317E48"/>
    <w:rsid w:val="39394BE1"/>
    <w:rsid w:val="394F4EB6"/>
    <w:rsid w:val="39711445"/>
    <w:rsid w:val="39910A50"/>
    <w:rsid w:val="399A380D"/>
    <w:rsid w:val="39C05A72"/>
    <w:rsid w:val="39CA7C7B"/>
    <w:rsid w:val="39D1554E"/>
    <w:rsid w:val="39D543E9"/>
    <w:rsid w:val="39DC489C"/>
    <w:rsid w:val="39EC7249"/>
    <w:rsid w:val="39F23D93"/>
    <w:rsid w:val="39FB0931"/>
    <w:rsid w:val="3A125BB3"/>
    <w:rsid w:val="3A1A31B2"/>
    <w:rsid w:val="3A4F10A9"/>
    <w:rsid w:val="3A693EE8"/>
    <w:rsid w:val="3A7321C7"/>
    <w:rsid w:val="3ADE2A6C"/>
    <w:rsid w:val="3AE2705C"/>
    <w:rsid w:val="3AFE2EFB"/>
    <w:rsid w:val="3B1B6682"/>
    <w:rsid w:val="3B1C64AC"/>
    <w:rsid w:val="3B442786"/>
    <w:rsid w:val="3B451BF2"/>
    <w:rsid w:val="3B4C233E"/>
    <w:rsid w:val="3B4D658C"/>
    <w:rsid w:val="3B63348C"/>
    <w:rsid w:val="3B680372"/>
    <w:rsid w:val="3B7F61B6"/>
    <w:rsid w:val="3BB16C6B"/>
    <w:rsid w:val="3BB54AC6"/>
    <w:rsid w:val="3BD44EF4"/>
    <w:rsid w:val="3BD7518C"/>
    <w:rsid w:val="3BE74C8B"/>
    <w:rsid w:val="3BFA5127"/>
    <w:rsid w:val="3C047B34"/>
    <w:rsid w:val="3C0B2551"/>
    <w:rsid w:val="3C140628"/>
    <w:rsid w:val="3C16171D"/>
    <w:rsid w:val="3C181DF4"/>
    <w:rsid w:val="3C3420DF"/>
    <w:rsid w:val="3C4D3FE5"/>
    <w:rsid w:val="3C5A2470"/>
    <w:rsid w:val="3C5F1C8E"/>
    <w:rsid w:val="3C6316A9"/>
    <w:rsid w:val="3C632639"/>
    <w:rsid w:val="3CB04C17"/>
    <w:rsid w:val="3CB152F9"/>
    <w:rsid w:val="3CC20601"/>
    <w:rsid w:val="3CFB7B4A"/>
    <w:rsid w:val="3D0D530E"/>
    <w:rsid w:val="3D4E17C9"/>
    <w:rsid w:val="3D77603C"/>
    <w:rsid w:val="3DAA4A2B"/>
    <w:rsid w:val="3DD877AA"/>
    <w:rsid w:val="3DFE5390"/>
    <w:rsid w:val="3E0E7D66"/>
    <w:rsid w:val="3E4D1C07"/>
    <w:rsid w:val="3E625C97"/>
    <w:rsid w:val="3E9140D6"/>
    <w:rsid w:val="3ED519E2"/>
    <w:rsid w:val="3EF61522"/>
    <w:rsid w:val="3EFC33B7"/>
    <w:rsid w:val="3F203989"/>
    <w:rsid w:val="3F2D7B8B"/>
    <w:rsid w:val="3F601D8B"/>
    <w:rsid w:val="3F620E8B"/>
    <w:rsid w:val="3F7F2539"/>
    <w:rsid w:val="3F86460E"/>
    <w:rsid w:val="3F8A7BC7"/>
    <w:rsid w:val="3F981E8A"/>
    <w:rsid w:val="3FD1285A"/>
    <w:rsid w:val="3FD73EB5"/>
    <w:rsid w:val="3FF44198"/>
    <w:rsid w:val="400D2A2C"/>
    <w:rsid w:val="402E5BBA"/>
    <w:rsid w:val="403052D8"/>
    <w:rsid w:val="405D79D0"/>
    <w:rsid w:val="40621AFA"/>
    <w:rsid w:val="4070563A"/>
    <w:rsid w:val="407B43FD"/>
    <w:rsid w:val="407E1A31"/>
    <w:rsid w:val="40802A06"/>
    <w:rsid w:val="40892E03"/>
    <w:rsid w:val="40ED524E"/>
    <w:rsid w:val="40F67E25"/>
    <w:rsid w:val="40F71DA0"/>
    <w:rsid w:val="4127044A"/>
    <w:rsid w:val="41386508"/>
    <w:rsid w:val="41A34D57"/>
    <w:rsid w:val="41B91295"/>
    <w:rsid w:val="41C30653"/>
    <w:rsid w:val="41D9053E"/>
    <w:rsid w:val="41E83E6F"/>
    <w:rsid w:val="41EE76FF"/>
    <w:rsid w:val="4206482C"/>
    <w:rsid w:val="42181674"/>
    <w:rsid w:val="42332595"/>
    <w:rsid w:val="424F14CB"/>
    <w:rsid w:val="425401C6"/>
    <w:rsid w:val="42542927"/>
    <w:rsid w:val="425617C1"/>
    <w:rsid w:val="42561AB1"/>
    <w:rsid w:val="42646C1F"/>
    <w:rsid w:val="426A6DD5"/>
    <w:rsid w:val="428553F6"/>
    <w:rsid w:val="42A708E9"/>
    <w:rsid w:val="42AF52BE"/>
    <w:rsid w:val="42B15051"/>
    <w:rsid w:val="42DC713F"/>
    <w:rsid w:val="42E2796F"/>
    <w:rsid w:val="42F33270"/>
    <w:rsid w:val="42FC16D0"/>
    <w:rsid w:val="42FC7732"/>
    <w:rsid w:val="430525B1"/>
    <w:rsid w:val="430E4C80"/>
    <w:rsid w:val="43187158"/>
    <w:rsid w:val="433C1EA6"/>
    <w:rsid w:val="434170F8"/>
    <w:rsid w:val="435541BA"/>
    <w:rsid w:val="435E08E5"/>
    <w:rsid w:val="43761DE3"/>
    <w:rsid w:val="439D6C59"/>
    <w:rsid w:val="43C02B24"/>
    <w:rsid w:val="43C71A9E"/>
    <w:rsid w:val="43CB053B"/>
    <w:rsid w:val="43FD66C2"/>
    <w:rsid w:val="442A2351"/>
    <w:rsid w:val="444D0CFA"/>
    <w:rsid w:val="44543083"/>
    <w:rsid w:val="4463641E"/>
    <w:rsid w:val="44A02279"/>
    <w:rsid w:val="44CC6046"/>
    <w:rsid w:val="44DE4BE2"/>
    <w:rsid w:val="44F62863"/>
    <w:rsid w:val="45310DA0"/>
    <w:rsid w:val="454D7C3A"/>
    <w:rsid w:val="457D2056"/>
    <w:rsid w:val="45965AB8"/>
    <w:rsid w:val="45A53A02"/>
    <w:rsid w:val="45BE287C"/>
    <w:rsid w:val="45D74D50"/>
    <w:rsid w:val="45EC6306"/>
    <w:rsid w:val="46311315"/>
    <w:rsid w:val="464176E6"/>
    <w:rsid w:val="468F5324"/>
    <w:rsid w:val="46E42F74"/>
    <w:rsid w:val="47135FF4"/>
    <w:rsid w:val="47437112"/>
    <w:rsid w:val="475A28D2"/>
    <w:rsid w:val="479B79EB"/>
    <w:rsid w:val="47B907FD"/>
    <w:rsid w:val="47B916D7"/>
    <w:rsid w:val="47F76E89"/>
    <w:rsid w:val="47FC1545"/>
    <w:rsid w:val="48390022"/>
    <w:rsid w:val="48400D87"/>
    <w:rsid w:val="485E12AB"/>
    <w:rsid w:val="488432AB"/>
    <w:rsid w:val="48A50F21"/>
    <w:rsid w:val="48D83696"/>
    <w:rsid w:val="48E66657"/>
    <w:rsid w:val="4930321A"/>
    <w:rsid w:val="49846EFD"/>
    <w:rsid w:val="49A01CFE"/>
    <w:rsid w:val="49A572F7"/>
    <w:rsid w:val="49A70D28"/>
    <w:rsid w:val="49BA7600"/>
    <w:rsid w:val="49C357A0"/>
    <w:rsid w:val="49CE16DC"/>
    <w:rsid w:val="49D65D58"/>
    <w:rsid w:val="49DC05C5"/>
    <w:rsid w:val="49DE430D"/>
    <w:rsid w:val="49E27018"/>
    <w:rsid w:val="49E46424"/>
    <w:rsid w:val="49E62C54"/>
    <w:rsid w:val="49E87D1C"/>
    <w:rsid w:val="49F74711"/>
    <w:rsid w:val="49FE2EFF"/>
    <w:rsid w:val="4A166F02"/>
    <w:rsid w:val="4A1F0010"/>
    <w:rsid w:val="4A616004"/>
    <w:rsid w:val="4A6C2277"/>
    <w:rsid w:val="4B061901"/>
    <w:rsid w:val="4B073169"/>
    <w:rsid w:val="4B141785"/>
    <w:rsid w:val="4B1907EC"/>
    <w:rsid w:val="4B2A4747"/>
    <w:rsid w:val="4B625D47"/>
    <w:rsid w:val="4B762D63"/>
    <w:rsid w:val="4B793D99"/>
    <w:rsid w:val="4B89185E"/>
    <w:rsid w:val="4B8E1311"/>
    <w:rsid w:val="4B9F7795"/>
    <w:rsid w:val="4BCA01EF"/>
    <w:rsid w:val="4BF34FA1"/>
    <w:rsid w:val="4BF64B24"/>
    <w:rsid w:val="4C483225"/>
    <w:rsid w:val="4C527FEE"/>
    <w:rsid w:val="4C594760"/>
    <w:rsid w:val="4C792367"/>
    <w:rsid w:val="4C8B4149"/>
    <w:rsid w:val="4C8F7CB2"/>
    <w:rsid w:val="4D0D75C2"/>
    <w:rsid w:val="4D356E40"/>
    <w:rsid w:val="4D44653B"/>
    <w:rsid w:val="4D5D6E86"/>
    <w:rsid w:val="4D684160"/>
    <w:rsid w:val="4D8F2E2D"/>
    <w:rsid w:val="4D924285"/>
    <w:rsid w:val="4D973AD0"/>
    <w:rsid w:val="4D983C1E"/>
    <w:rsid w:val="4D9A6191"/>
    <w:rsid w:val="4D9C00F2"/>
    <w:rsid w:val="4DDC3603"/>
    <w:rsid w:val="4DF33036"/>
    <w:rsid w:val="4DFE41B6"/>
    <w:rsid w:val="4E261EE2"/>
    <w:rsid w:val="4E4A22FB"/>
    <w:rsid w:val="4E4A466C"/>
    <w:rsid w:val="4E4B5E95"/>
    <w:rsid w:val="4E4B7D91"/>
    <w:rsid w:val="4E5533C6"/>
    <w:rsid w:val="4E5E0185"/>
    <w:rsid w:val="4E5E782E"/>
    <w:rsid w:val="4E646EC1"/>
    <w:rsid w:val="4E673C90"/>
    <w:rsid w:val="4E753956"/>
    <w:rsid w:val="4E7A0C3D"/>
    <w:rsid w:val="4E7A642A"/>
    <w:rsid w:val="4E8743D6"/>
    <w:rsid w:val="4E9D5C3E"/>
    <w:rsid w:val="4ECE4800"/>
    <w:rsid w:val="4ECE4878"/>
    <w:rsid w:val="4ED868D5"/>
    <w:rsid w:val="4ED97CC8"/>
    <w:rsid w:val="4EE43685"/>
    <w:rsid w:val="4EE76455"/>
    <w:rsid w:val="4EF85F33"/>
    <w:rsid w:val="4F0443F6"/>
    <w:rsid w:val="4F1B3793"/>
    <w:rsid w:val="4F2E4D42"/>
    <w:rsid w:val="4F356765"/>
    <w:rsid w:val="4F7046B2"/>
    <w:rsid w:val="4F7917ED"/>
    <w:rsid w:val="4FB336FB"/>
    <w:rsid w:val="4FBB6B56"/>
    <w:rsid w:val="4FBB754C"/>
    <w:rsid w:val="50253618"/>
    <w:rsid w:val="5041406A"/>
    <w:rsid w:val="50632CD0"/>
    <w:rsid w:val="50795984"/>
    <w:rsid w:val="508448A1"/>
    <w:rsid w:val="50862B29"/>
    <w:rsid w:val="50973E00"/>
    <w:rsid w:val="509E2A32"/>
    <w:rsid w:val="50CC53F6"/>
    <w:rsid w:val="51155C27"/>
    <w:rsid w:val="512602A6"/>
    <w:rsid w:val="51440651"/>
    <w:rsid w:val="51441A3A"/>
    <w:rsid w:val="51500548"/>
    <w:rsid w:val="515540A4"/>
    <w:rsid w:val="515E6BD9"/>
    <w:rsid w:val="517B0DE6"/>
    <w:rsid w:val="5193227C"/>
    <w:rsid w:val="51951184"/>
    <w:rsid w:val="51B705B2"/>
    <w:rsid w:val="51C53939"/>
    <w:rsid w:val="51D92328"/>
    <w:rsid w:val="51F93599"/>
    <w:rsid w:val="526F1486"/>
    <w:rsid w:val="527E0212"/>
    <w:rsid w:val="528C4CAF"/>
    <w:rsid w:val="529D6425"/>
    <w:rsid w:val="52B407BB"/>
    <w:rsid w:val="52E85934"/>
    <w:rsid w:val="52FA156C"/>
    <w:rsid w:val="52FA2591"/>
    <w:rsid w:val="52FF7C00"/>
    <w:rsid w:val="53105F50"/>
    <w:rsid w:val="53244F63"/>
    <w:rsid w:val="538739B4"/>
    <w:rsid w:val="53961BBF"/>
    <w:rsid w:val="539C3FA3"/>
    <w:rsid w:val="53BC1984"/>
    <w:rsid w:val="53DD7C71"/>
    <w:rsid w:val="53E85D1A"/>
    <w:rsid w:val="54062592"/>
    <w:rsid w:val="5429082E"/>
    <w:rsid w:val="54324532"/>
    <w:rsid w:val="54370F73"/>
    <w:rsid w:val="543F12CB"/>
    <w:rsid w:val="5469768B"/>
    <w:rsid w:val="547B7057"/>
    <w:rsid w:val="548F4899"/>
    <w:rsid w:val="54BB5990"/>
    <w:rsid w:val="54CD1B36"/>
    <w:rsid w:val="54D10644"/>
    <w:rsid w:val="54E13403"/>
    <w:rsid w:val="550117EF"/>
    <w:rsid w:val="55156203"/>
    <w:rsid w:val="55301146"/>
    <w:rsid w:val="553B5C57"/>
    <w:rsid w:val="553C58C4"/>
    <w:rsid w:val="55534870"/>
    <w:rsid w:val="55D27F52"/>
    <w:rsid w:val="56185BE0"/>
    <w:rsid w:val="561933EE"/>
    <w:rsid w:val="56226F05"/>
    <w:rsid w:val="563E73DB"/>
    <w:rsid w:val="56423A7B"/>
    <w:rsid w:val="564643E7"/>
    <w:rsid w:val="565E4AE9"/>
    <w:rsid w:val="566E5940"/>
    <w:rsid w:val="56713631"/>
    <w:rsid w:val="567248AA"/>
    <w:rsid w:val="56B5379B"/>
    <w:rsid w:val="56B654F7"/>
    <w:rsid w:val="56DE14DE"/>
    <w:rsid w:val="56E7648F"/>
    <w:rsid w:val="56EF34A3"/>
    <w:rsid w:val="57062B01"/>
    <w:rsid w:val="57066AE2"/>
    <w:rsid w:val="57103052"/>
    <w:rsid w:val="57175A69"/>
    <w:rsid w:val="571A5ACA"/>
    <w:rsid w:val="57332FD9"/>
    <w:rsid w:val="57373B82"/>
    <w:rsid w:val="57551A88"/>
    <w:rsid w:val="57617ECD"/>
    <w:rsid w:val="577509BA"/>
    <w:rsid w:val="57790F5C"/>
    <w:rsid w:val="577E7E7E"/>
    <w:rsid w:val="57801669"/>
    <w:rsid w:val="578176F0"/>
    <w:rsid w:val="57B72172"/>
    <w:rsid w:val="57C454E0"/>
    <w:rsid w:val="57CA5404"/>
    <w:rsid w:val="58371803"/>
    <w:rsid w:val="58750E91"/>
    <w:rsid w:val="58862C67"/>
    <w:rsid w:val="588E0E23"/>
    <w:rsid w:val="58B97D29"/>
    <w:rsid w:val="58C04854"/>
    <w:rsid w:val="58C9394D"/>
    <w:rsid w:val="58D63E51"/>
    <w:rsid w:val="5913562F"/>
    <w:rsid w:val="59480D2F"/>
    <w:rsid w:val="59535F26"/>
    <w:rsid w:val="59681937"/>
    <w:rsid w:val="596F33A6"/>
    <w:rsid w:val="597335A9"/>
    <w:rsid w:val="598A15DC"/>
    <w:rsid w:val="59A96201"/>
    <w:rsid w:val="59AA6694"/>
    <w:rsid w:val="59AB19CA"/>
    <w:rsid w:val="59B325F1"/>
    <w:rsid w:val="59ED56B2"/>
    <w:rsid w:val="59FC59B5"/>
    <w:rsid w:val="5A0039BC"/>
    <w:rsid w:val="5A2A35B5"/>
    <w:rsid w:val="5A383B93"/>
    <w:rsid w:val="5A3D77D3"/>
    <w:rsid w:val="5A5E6FF4"/>
    <w:rsid w:val="5A7750EF"/>
    <w:rsid w:val="5A884FB2"/>
    <w:rsid w:val="5AB017F9"/>
    <w:rsid w:val="5AB54756"/>
    <w:rsid w:val="5AB74AE5"/>
    <w:rsid w:val="5AC33F84"/>
    <w:rsid w:val="5AC9655E"/>
    <w:rsid w:val="5AD92283"/>
    <w:rsid w:val="5ADC48D1"/>
    <w:rsid w:val="5B0755C5"/>
    <w:rsid w:val="5B2D4558"/>
    <w:rsid w:val="5B3F1DB5"/>
    <w:rsid w:val="5B566580"/>
    <w:rsid w:val="5B63546D"/>
    <w:rsid w:val="5B6C0BEA"/>
    <w:rsid w:val="5B715762"/>
    <w:rsid w:val="5B7E140B"/>
    <w:rsid w:val="5B8C6CF3"/>
    <w:rsid w:val="5B927744"/>
    <w:rsid w:val="5B956ADB"/>
    <w:rsid w:val="5BAB3B14"/>
    <w:rsid w:val="5BD85726"/>
    <w:rsid w:val="5BDC1966"/>
    <w:rsid w:val="5BEE0AF0"/>
    <w:rsid w:val="5C014D12"/>
    <w:rsid w:val="5C5801BE"/>
    <w:rsid w:val="5C5C2670"/>
    <w:rsid w:val="5C5D0507"/>
    <w:rsid w:val="5C6A6974"/>
    <w:rsid w:val="5C9F007D"/>
    <w:rsid w:val="5CA7528B"/>
    <w:rsid w:val="5CC66B59"/>
    <w:rsid w:val="5CD90785"/>
    <w:rsid w:val="5D165D98"/>
    <w:rsid w:val="5D2039A2"/>
    <w:rsid w:val="5D2574B1"/>
    <w:rsid w:val="5D38088B"/>
    <w:rsid w:val="5D4D11E9"/>
    <w:rsid w:val="5D561546"/>
    <w:rsid w:val="5D592560"/>
    <w:rsid w:val="5D762130"/>
    <w:rsid w:val="5D77309A"/>
    <w:rsid w:val="5D935EDC"/>
    <w:rsid w:val="5DAF0D74"/>
    <w:rsid w:val="5DB85010"/>
    <w:rsid w:val="5DD22403"/>
    <w:rsid w:val="5DD67FD6"/>
    <w:rsid w:val="5DEC2D9B"/>
    <w:rsid w:val="5DF63E61"/>
    <w:rsid w:val="5DFC4617"/>
    <w:rsid w:val="5E1022D4"/>
    <w:rsid w:val="5E223685"/>
    <w:rsid w:val="5E262266"/>
    <w:rsid w:val="5E303ACE"/>
    <w:rsid w:val="5E6272A6"/>
    <w:rsid w:val="5E8550A4"/>
    <w:rsid w:val="5E935E98"/>
    <w:rsid w:val="5EE3553D"/>
    <w:rsid w:val="5EEE11F3"/>
    <w:rsid w:val="5F094174"/>
    <w:rsid w:val="5F156B10"/>
    <w:rsid w:val="5F35475D"/>
    <w:rsid w:val="5F3A056F"/>
    <w:rsid w:val="5F3B3CA0"/>
    <w:rsid w:val="5F6835CC"/>
    <w:rsid w:val="5F6A3129"/>
    <w:rsid w:val="5F755608"/>
    <w:rsid w:val="5F7D6590"/>
    <w:rsid w:val="5F8C3E13"/>
    <w:rsid w:val="5FC80F9D"/>
    <w:rsid w:val="5FE26CB0"/>
    <w:rsid w:val="600937F2"/>
    <w:rsid w:val="605301BD"/>
    <w:rsid w:val="607C70E1"/>
    <w:rsid w:val="60AA2617"/>
    <w:rsid w:val="60AF3A17"/>
    <w:rsid w:val="60B7290A"/>
    <w:rsid w:val="60B8781E"/>
    <w:rsid w:val="60E90E52"/>
    <w:rsid w:val="61564731"/>
    <w:rsid w:val="616B3AC2"/>
    <w:rsid w:val="61733D02"/>
    <w:rsid w:val="61736EFA"/>
    <w:rsid w:val="617907AE"/>
    <w:rsid w:val="618804F4"/>
    <w:rsid w:val="61923AC2"/>
    <w:rsid w:val="61A628E1"/>
    <w:rsid w:val="61BB6E86"/>
    <w:rsid w:val="61EB0690"/>
    <w:rsid w:val="620569B9"/>
    <w:rsid w:val="620C2179"/>
    <w:rsid w:val="622A7294"/>
    <w:rsid w:val="625B1056"/>
    <w:rsid w:val="626126AB"/>
    <w:rsid w:val="62715EB0"/>
    <w:rsid w:val="62734F57"/>
    <w:rsid w:val="627823A2"/>
    <w:rsid w:val="62786196"/>
    <w:rsid w:val="62797F9D"/>
    <w:rsid w:val="62961D4F"/>
    <w:rsid w:val="62991CDC"/>
    <w:rsid w:val="62DB5925"/>
    <w:rsid w:val="6345105A"/>
    <w:rsid w:val="636F3A0E"/>
    <w:rsid w:val="637717D9"/>
    <w:rsid w:val="637E2F84"/>
    <w:rsid w:val="63F43B3C"/>
    <w:rsid w:val="63F77C58"/>
    <w:rsid w:val="6401765F"/>
    <w:rsid w:val="642228C3"/>
    <w:rsid w:val="64235343"/>
    <w:rsid w:val="643B5760"/>
    <w:rsid w:val="6453366A"/>
    <w:rsid w:val="645B0FE4"/>
    <w:rsid w:val="6474240C"/>
    <w:rsid w:val="649E1424"/>
    <w:rsid w:val="64A36202"/>
    <w:rsid w:val="64A36561"/>
    <w:rsid w:val="64D349D7"/>
    <w:rsid w:val="64D64AEB"/>
    <w:rsid w:val="650555CC"/>
    <w:rsid w:val="6511556E"/>
    <w:rsid w:val="65381851"/>
    <w:rsid w:val="656219EF"/>
    <w:rsid w:val="65765427"/>
    <w:rsid w:val="6591357E"/>
    <w:rsid w:val="65986F88"/>
    <w:rsid w:val="65A254C5"/>
    <w:rsid w:val="65D121C4"/>
    <w:rsid w:val="65DB379E"/>
    <w:rsid w:val="65E41055"/>
    <w:rsid w:val="660B72E3"/>
    <w:rsid w:val="660F31B7"/>
    <w:rsid w:val="661658CC"/>
    <w:rsid w:val="66182E5A"/>
    <w:rsid w:val="66263A87"/>
    <w:rsid w:val="664A0DCD"/>
    <w:rsid w:val="665106F0"/>
    <w:rsid w:val="666938A1"/>
    <w:rsid w:val="66764F1D"/>
    <w:rsid w:val="66A72628"/>
    <w:rsid w:val="66A8151F"/>
    <w:rsid w:val="66CC4214"/>
    <w:rsid w:val="66DA3169"/>
    <w:rsid w:val="66E0306F"/>
    <w:rsid w:val="66E0555A"/>
    <w:rsid w:val="6705793E"/>
    <w:rsid w:val="6725420B"/>
    <w:rsid w:val="67373510"/>
    <w:rsid w:val="67491A72"/>
    <w:rsid w:val="674F52F9"/>
    <w:rsid w:val="6768585A"/>
    <w:rsid w:val="677262C9"/>
    <w:rsid w:val="677878DB"/>
    <w:rsid w:val="678356CE"/>
    <w:rsid w:val="6791560B"/>
    <w:rsid w:val="67B00139"/>
    <w:rsid w:val="67BA73AA"/>
    <w:rsid w:val="67F6479C"/>
    <w:rsid w:val="67F812EF"/>
    <w:rsid w:val="68092DC3"/>
    <w:rsid w:val="68116A46"/>
    <w:rsid w:val="681A07D2"/>
    <w:rsid w:val="684375C8"/>
    <w:rsid w:val="688B34E4"/>
    <w:rsid w:val="688E47CD"/>
    <w:rsid w:val="68A95226"/>
    <w:rsid w:val="68C10214"/>
    <w:rsid w:val="68C87151"/>
    <w:rsid w:val="68D87499"/>
    <w:rsid w:val="68F020F3"/>
    <w:rsid w:val="69024BE7"/>
    <w:rsid w:val="69063CAB"/>
    <w:rsid w:val="69373583"/>
    <w:rsid w:val="695116DD"/>
    <w:rsid w:val="696B094A"/>
    <w:rsid w:val="69955B88"/>
    <w:rsid w:val="69CC7005"/>
    <w:rsid w:val="69E06ADB"/>
    <w:rsid w:val="6A1261EA"/>
    <w:rsid w:val="6A1579B4"/>
    <w:rsid w:val="6A190B7F"/>
    <w:rsid w:val="6A33609D"/>
    <w:rsid w:val="6A4532A1"/>
    <w:rsid w:val="6A4E6B3A"/>
    <w:rsid w:val="6A6278A8"/>
    <w:rsid w:val="6A735E62"/>
    <w:rsid w:val="6A736DB0"/>
    <w:rsid w:val="6A8A1408"/>
    <w:rsid w:val="6ABB4710"/>
    <w:rsid w:val="6ABD0AD2"/>
    <w:rsid w:val="6B037404"/>
    <w:rsid w:val="6B0C5315"/>
    <w:rsid w:val="6B1A14AA"/>
    <w:rsid w:val="6B421D41"/>
    <w:rsid w:val="6B461DDF"/>
    <w:rsid w:val="6B4B1E93"/>
    <w:rsid w:val="6B607950"/>
    <w:rsid w:val="6B8B63CB"/>
    <w:rsid w:val="6B91724B"/>
    <w:rsid w:val="6B9B1BB8"/>
    <w:rsid w:val="6BA02939"/>
    <w:rsid w:val="6BC403C7"/>
    <w:rsid w:val="6BD012A0"/>
    <w:rsid w:val="6BDA6715"/>
    <w:rsid w:val="6BF5752C"/>
    <w:rsid w:val="6C084393"/>
    <w:rsid w:val="6C4C3A93"/>
    <w:rsid w:val="6C6D5DF2"/>
    <w:rsid w:val="6C7B7ED6"/>
    <w:rsid w:val="6C80724E"/>
    <w:rsid w:val="6CA33A48"/>
    <w:rsid w:val="6CB66A45"/>
    <w:rsid w:val="6CBD342B"/>
    <w:rsid w:val="6CEB7D1B"/>
    <w:rsid w:val="6CF96641"/>
    <w:rsid w:val="6D0764CF"/>
    <w:rsid w:val="6D1C6AF5"/>
    <w:rsid w:val="6D69194B"/>
    <w:rsid w:val="6D7033EC"/>
    <w:rsid w:val="6D90335B"/>
    <w:rsid w:val="6DAA35E1"/>
    <w:rsid w:val="6DEB38BE"/>
    <w:rsid w:val="6E1A74A7"/>
    <w:rsid w:val="6E38125F"/>
    <w:rsid w:val="6E510340"/>
    <w:rsid w:val="6E547A97"/>
    <w:rsid w:val="6E5A1388"/>
    <w:rsid w:val="6E702E78"/>
    <w:rsid w:val="6E733D1B"/>
    <w:rsid w:val="6E7B051E"/>
    <w:rsid w:val="6EA82153"/>
    <w:rsid w:val="6EE95624"/>
    <w:rsid w:val="6EEF186B"/>
    <w:rsid w:val="6EFA5318"/>
    <w:rsid w:val="6F0653CD"/>
    <w:rsid w:val="6F0E4DB2"/>
    <w:rsid w:val="6F135C6B"/>
    <w:rsid w:val="6F7676F9"/>
    <w:rsid w:val="6F88450D"/>
    <w:rsid w:val="6F952127"/>
    <w:rsid w:val="6F993116"/>
    <w:rsid w:val="6FAC1435"/>
    <w:rsid w:val="6FC008AD"/>
    <w:rsid w:val="6FC25554"/>
    <w:rsid w:val="6FE726B5"/>
    <w:rsid w:val="70000347"/>
    <w:rsid w:val="700F4288"/>
    <w:rsid w:val="70187E05"/>
    <w:rsid w:val="701B2332"/>
    <w:rsid w:val="703F2BB6"/>
    <w:rsid w:val="704B62AD"/>
    <w:rsid w:val="70533CAA"/>
    <w:rsid w:val="70655092"/>
    <w:rsid w:val="708713FE"/>
    <w:rsid w:val="708E730A"/>
    <w:rsid w:val="709F32DB"/>
    <w:rsid w:val="70B91186"/>
    <w:rsid w:val="70C20BD3"/>
    <w:rsid w:val="70DA6A36"/>
    <w:rsid w:val="70E42345"/>
    <w:rsid w:val="71041A2B"/>
    <w:rsid w:val="71470CF9"/>
    <w:rsid w:val="714C0F97"/>
    <w:rsid w:val="71645496"/>
    <w:rsid w:val="717D4BEF"/>
    <w:rsid w:val="7187082B"/>
    <w:rsid w:val="71A128D6"/>
    <w:rsid w:val="71D808B9"/>
    <w:rsid w:val="71DB1292"/>
    <w:rsid w:val="72741939"/>
    <w:rsid w:val="72C26B71"/>
    <w:rsid w:val="72EA398A"/>
    <w:rsid w:val="73164EEC"/>
    <w:rsid w:val="732B2E4D"/>
    <w:rsid w:val="732D7BB0"/>
    <w:rsid w:val="733F2FD4"/>
    <w:rsid w:val="734C013F"/>
    <w:rsid w:val="736624E2"/>
    <w:rsid w:val="73907659"/>
    <w:rsid w:val="73B06179"/>
    <w:rsid w:val="73CA7103"/>
    <w:rsid w:val="742B6154"/>
    <w:rsid w:val="743B64B7"/>
    <w:rsid w:val="744D1D78"/>
    <w:rsid w:val="745448A0"/>
    <w:rsid w:val="74A06F64"/>
    <w:rsid w:val="74AE3B7A"/>
    <w:rsid w:val="74D424AE"/>
    <w:rsid w:val="74E72EEA"/>
    <w:rsid w:val="74E8308A"/>
    <w:rsid w:val="75354218"/>
    <w:rsid w:val="75655C57"/>
    <w:rsid w:val="758D1C08"/>
    <w:rsid w:val="75941D8E"/>
    <w:rsid w:val="75950EC4"/>
    <w:rsid w:val="75AB76C4"/>
    <w:rsid w:val="75FA316A"/>
    <w:rsid w:val="763F7549"/>
    <w:rsid w:val="764B5E53"/>
    <w:rsid w:val="768D20FB"/>
    <w:rsid w:val="76B20F7C"/>
    <w:rsid w:val="76CB3DE0"/>
    <w:rsid w:val="76EF0CC9"/>
    <w:rsid w:val="76F91D90"/>
    <w:rsid w:val="76F91F8E"/>
    <w:rsid w:val="770C1B82"/>
    <w:rsid w:val="770E321B"/>
    <w:rsid w:val="771C30B5"/>
    <w:rsid w:val="776F6142"/>
    <w:rsid w:val="777307D8"/>
    <w:rsid w:val="7774689D"/>
    <w:rsid w:val="777C4E15"/>
    <w:rsid w:val="778E1EB5"/>
    <w:rsid w:val="77993696"/>
    <w:rsid w:val="7807148C"/>
    <w:rsid w:val="782E4EF5"/>
    <w:rsid w:val="78553580"/>
    <w:rsid w:val="78AA0621"/>
    <w:rsid w:val="78BE1189"/>
    <w:rsid w:val="78DB325B"/>
    <w:rsid w:val="79205A93"/>
    <w:rsid w:val="79253104"/>
    <w:rsid w:val="792F4CF3"/>
    <w:rsid w:val="794B5D98"/>
    <w:rsid w:val="795E4F11"/>
    <w:rsid w:val="79602C03"/>
    <w:rsid w:val="79606310"/>
    <w:rsid w:val="797C583D"/>
    <w:rsid w:val="799209EC"/>
    <w:rsid w:val="79AF343B"/>
    <w:rsid w:val="79BA0CE1"/>
    <w:rsid w:val="79F2204D"/>
    <w:rsid w:val="7A2643A6"/>
    <w:rsid w:val="7A474073"/>
    <w:rsid w:val="7A710F9A"/>
    <w:rsid w:val="7A7B5A30"/>
    <w:rsid w:val="7A7F2B72"/>
    <w:rsid w:val="7AD766D7"/>
    <w:rsid w:val="7ADE52CC"/>
    <w:rsid w:val="7B021B9F"/>
    <w:rsid w:val="7B1D085C"/>
    <w:rsid w:val="7B45276F"/>
    <w:rsid w:val="7B615643"/>
    <w:rsid w:val="7B701080"/>
    <w:rsid w:val="7B70350F"/>
    <w:rsid w:val="7B9076E8"/>
    <w:rsid w:val="7BB47207"/>
    <w:rsid w:val="7BC517F6"/>
    <w:rsid w:val="7C042981"/>
    <w:rsid w:val="7C1F4C79"/>
    <w:rsid w:val="7C714CC0"/>
    <w:rsid w:val="7C7548A7"/>
    <w:rsid w:val="7C7B07B9"/>
    <w:rsid w:val="7CC17DC1"/>
    <w:rsid w:val="7CE4542B"/>
    <w:rsid w:val="7CEE6EA1"/>
    <w:rsid w:val="7CFA6BC0"/>
    <w:rsid w:val="7D0A70B7"/>
    <w:rsid w:val="7D1314D8"/>
    <w:rsid w:val="7D141F38"/>
    <w:rsid w:val="7D6C073D"/>
    <w:rsid w:val="7DA733CF"/>
    <w:rsid w:val="7DBE5C99"/>
    <w:rsid w:val="7E1541BC"/>
    <w:rsid w:val="7E2B0E79"/>
    <w:rsid w:val="7E396047"/>
    <w:rsid w:val="7E4A5AF5"/>
    <w:rsid w:val="7E5A1262"/>
    <w:rsid w:val="7E945D67"/>
    <w:rsid w:val="7EB55BAB"/>
    <w:rsid w:val="7EC108BE"/>
    <w:rsid w:val="7ECA3AC9"/>
    <w:rsid w:val="7ECF5D49"/>
    <w:rsid w:val="7F074998"/>
    <w:rsid w:val="7F2D6644"/>
    <w:rsid w:val="7F4B0FE2"/>
    <w:rsid w:val="7F99642C"/>
    <w:rsid w:val="7FA7567E"/>
    <w:rsid w:val="7FBC34F3"/>
    <w:rsid w:val="7FC578EE"/>
    <w:rsid w:val="7FC83355"/>
    <w:rsid w:val="7FCB0141"/>
    <w:rsid w:val="7FF9302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before="80" w:after="80" w:line="288" w:lineRule="auto"/>
      <w:jc w:val="both"/>
    </w:pPr>
    <w:rPr>
      <w:rFonts w:ascii="Univers" w:hAnsi="Univers" w:eastAsia="宋体" w:cs="Times New Roman"/>
      <w:sz w:val="24"/>
      <w:szCs w:val="24"/>
      <w:lang w:val="en-US" w:eastAsia="zh-CN" w:bidi="ar-SA"/>
    </w:rPr>
  </w:style>
  <w:style w:type="paragraph" w:styleId="3">
    <w:name w:val="heading 1"/>
    <w:next w:val="1"/>
    <w:qFormat/>
    <w:uiPriority w:val="0"/>
    <w:pPr>
      <w:keepNext/>
      <w:numPr>
        <w:ilvl w:val="0"/>
        <w:numId w:val="1"/>
      </w:numPr>
      <w:suppressAutoHyphens/>
      <w:adjustRightInd w:val="0"/>
      <w:snapToGrid w:val="0"/>
      <w:spacing w:before="93" w:beforeLines="30" w:after="93" w:afterLines="30" w:line="288" w:lineRule="auto"/>
      <w:jc w:val="both"/>
      <w:outlineLvl w:val="0"/>
    </w:pPr>
    <w:rPr>
      <w:rFonts w:ascii="Univers" w:hAnsi="Univers" w:eastAsia="黑体" w:cs="宋体"/>
      <w:caps/>
      <w:sz w:val="28"/>
      <w:lang w:val="en-US" w:eastAsia="zh-CN" w:bidi="ar-SA"/>
    </w:rPr>
  </w:style>
  <w:style w:type="paragraph" w:styleId="4">
    <w:name w:val="heading 2"/>
    <w:basedOn w:val="1"/>
    <w:next w:val="5"/>
    <w:link w:val="34"/>
    <w:qFormat/>
    <w:uiPriority w:val="0"/>
    <w:pPr>
      <w:widowControl w:val="0"/>
      <w:numPr>
        <w:ilvl w:val="1"/>
        <w:numId w:val="1"/>
      </w:numPr>
      <w:adjustRightInd w:val="0"/>
      <w:snapToGrid w:val="0"/>
      <w:spacing w:before="62" w:beforeLines="20" w:after="62" w:afterLines="20" w:line="264" w:lineRule="auto"/>
      <w:jc w:val="both"/>
      <w:outlineLvl w:val="1"/>
    </w:pPr>
    <w:rPr>
      <w:rFonts w:ascii="Univers" w:hAnsi="Univers" w:eastAsia="宋体" w:cs="宋体"/>
      <w:sz w:val="24"/>
      <w:lang w:val="en-US" w:eastAsia="zh-CN" w:bidi="ar-SA"/>
    </w:rPr>
  </w:style>
  <w:style w:type="paragraph" w:styleId="6">
    <w:name w:val="heading 3"/>
    <w:basedOn w:val="1"/>
    <w:next w:val="1"/>
    <w:qFormat/>
    <w:uiPriority w:val="0"/>
    <w:pPr>
      <w:numPr>
        <w:ilvl w:val="2"/>
        <w:numId w:val="1"/>
      </w:numPr>
      <w:spacing w:before="62" w:beforeLines="20" w:after="62" w:afterLines="20"/>
      <w:outlineLvl w:val="2"/>
    </w:pPr>
    <w:rPr>
      <w:rFonts w:ascii="Arial" w:hAnsi="Arial"/>
    </w:rPr>
  </w:style>
  <w:style w:type="paragraph" w:styleId="7">
    <w:name w:val="heading 4"/>
    <w:basedOn w:val="1"/>
    <w:next w:val="1"/>
    <w:qFormat/>
    <w:uiPriority w:val="0"/>
    <w:pPr>
      <w:keepNext/>
      <w:keepLines/>
      <w:numPr>
        <w:ilvl w:val="3"/>
        <w:numId w:val="1"/>
      </w:numPr>
      <w:tabs>
        <w:tab w:val="left" w:pos="322"/>
      </w:tabs>
      <w:spacing w:before="20" w:after="20"/>
      <w:outlineLvl w:val="3"/>
    </w:pPr>
    <w:rPr>
      <w:rFonts w:ascii="Arial" w:hAnsi="Arial"/>
      <w:bCs/>
      <w:szCs w:val="28"/>
    </w:rPr>
  </w:style>
  <w:style w:type="paragraph" w:styleId="8">
    <w:name w:val="heading 5"/>
    <w:basedOn w:val="7"/>
    <w:next w:val="1"/>
    <w:qFormat/>
    <w:uiPriority w:val="0"/>
    <w:pPr>
      <w:spacing w:before="280" w:after="290"/>
      <w:outlineLvl w:val="4"/>
    </w:pPr>
    <w:rPr>
      <w:bCs w:val="0"/>
      <w:sz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5">
    <w:name w:val="Normal Indent"/>
    <w:basedOn w:val="1"/>
    <w:next w:val="1"/>
    <w:qFormat/>
    <w:uiPriority w:val="0"/>
    <w:pPr>
      <w:ind w:firstLine="420" w:firstLineChars="200"/>
    </w:pPr>
  </w:style>
  <w:style w:type="paragraph" w:styleId="9">
    <w:name w:val="toc 7"/>
    <w:basedOn w:val="1"/>
    <w:next w:val="1"/>
    <w:semiHidden/>
    <w:qFormat/>
    <w:uiPriority w:val="0"/>
    <w:pPr>
      <w:spacing w:before="0" w:after="0"/>
      <w:ind w:left="1440"/>
      <w:jc w:val="left"/>
    </w:pPr>
    <w:rPr>
      <w:rFonts w:ascii="Times New Roman" w:hAnsi="Times New Roman"/>
      <w:sz w:val="18"/>
      <w:szCs w:val="18"/>
    </w:rPr>
  </w:style>
  <w:style w:type="paragraph" w:styleId="10">
    <w:name w:val="Document Map"/>
    <w:basedOn w:val="1"/>
    <w:semiHidden/>
    <w:qFormat/>
    <w:uiPriority w:val="0"/>
    <w:pPr>
      <w:shd w:val="clear" w:color="auto" w:fill="000080"/>
    </w:pPr>
  </w:style>
  <w:style w:type="paragraph" w:styleId="11">
    <w:name w:val="annotation text"/>
    <w:basedOn w:val="1"/>
    <w:qFormat/>
    <w:uiPriority w:val="0"/>
    <w:pPr>
      <w:jc w:val="left"/>
    </w:pPr>
  </w:style>
  <w:style w:type="paragraph" w:styleId="12">
    <w:name w:val="Body Text Indent"/>
    <w:unhideWhenUsed/>
    <w:qFormat/>
    <w:uiPriority w:val="99"/>
    <w:pPr>
      <w:widowControl w:val="0"/>
      <w:adjustRightInd w:val="0"/>
      <w:snapToGrid w:val="0"/>
      <w:spacing w:before="80" w:after="120" w:line="288" w:lineRule="auto"/>
      <w:ind w:left="420" w:leftChars="200"/>
      <w:jc w:val="both"/>
    </w:pPr>
    <w:rPr>
      <w:rFonts w:ascii="Univers" w:hAnsi="Univers" w:eastAsia="宋体" w:cs="Times New Roman"/>
      <w:szCs w:val="24"/>
      <w:lang w:val="en-US" w:eastAsia="zh-CN" w:bidi="ar-SA"/>
    </w:rPr>
  </w:style>
  <w:style w:type="paragraph" w:styleId="13">
    <w:name w:val="toc 5"/>
    <w:basedOn w:val="1"/>
    <w:next w:val="1"/>
    <w:semiHidden/>
    <w:qFormat/>
    <w:uiPriority w:val="0"/>
    <w:pPr>
      <w:spacing w:before="0" w:after="0"/>
      <w:ind w:left="960"/>
      <w:jc w:val="left"/>
    </w:pPr>
    <w:rPr>
      <w:rFonts w:ascii="Times New Roman" w:hAnsi="Times New Roman"/>
      <w:sz w:val="18"/>
      <w:szCs w:val="18"/>
    </w:rPr>
  </w:style>
  <w:style w:type="paragraph" w:styleId="14">
    <w:name w:val="toc 3"/>
    <w:basedOn w:val="1"/>
    <w:next w:val="1"/>
    <w:semiHidden/>
    <w:qFormat/>
    <w:uiPriority w:val="0"/>
    <w:pPr>
      <w:spacing w:before="0" w:after="0"/>
      <w:ind w:left="480"/>
      <w:jc w:val="left"/>
    </w:pPr>
    <w:rPr>
      <w:rFonts w:ascii="Times New Roman" w:hAnsi="Times New Roman"/>
      <w:i/>
      <w:iCs/>
      <w:sz w:val="20"/>
      <w:szCs w:val="20"/>
    </w:rPr>
  </w:style>
  <w:style w:type="paragraph" w:styleId="15">
    <w:name w:val="Plain Text"/>
    <w:basedOn w:val="1"/>
    <w:link w:val="39"/>
    <w:qFormat/>
    <w:uiPriority w:val="0"/>
    <w:pPr>
      <w:adjustRightInd/>
      <w:snapToGrid/>
      <w:spacing w:before="0" w:after="0" w:line="240" w:lineRule="auto"/>
    </w:pPr>
    <w:rPr>
      <w:rFonts w:ascii="宋体" w:hAnsi="Courier New" w:cs="Courier New"/>
      <w:kern w:val="2"/>
      <w:sz w:val="21"/>
      <w:szCs w:val="21"/>
    </w:rPr>
  </w:style>
  <w:style w:type="paragraph" w:styleId="16">
    <w:name w:val="toc 8"/>
    <w:basedOn w:val="1"/>
    <w:next w:val="1"/>
    <w:semiHidden/>
    <w:qFormat/>
    <w:uiPriority w:val="0"/>
    <w:pPr>
      <w:spacing w:before="0" w:after="0"/>
      <w:ind w:left="1680"/>
      <w:jc w:val="left"/>
    </w:pPr>
    <w:rPr>
      <w:rFonts w:ascii="Times New Roman" w:hAnsi="Times New Roman"/>
      <w:sz w:val="18"/>
      <w:szCs w:val="18"/>
    </w:rPr>
  </w:style>
  <w:style w:type="paragraph" w:styleId="17">
    <w:name w:val="Date"/>
    <w:basedOn w:val="1"/>
    <w:next w:val="1"/>
    <w:qFormat/>
    <w:uiPriority w:val="0"/>
    <w:pPr>
      <w:ind w:left="100" w:leftChars="2500"/>
    </w:pPr>
    <w:rPr>
      <w:sz w:val="28"/>
    </w:rPr>
  </w:style>
  <w:style w:type="paragraph" w:styleId="18">
    <w:name w:val="footer"/>
    <w:basedOn w:val="1"/>
    <w:qFormat/>
    <w:uiPriority w:val="0"/>
    <w:pPr>
      <w:tabs>
        <w:tab w:val="center" w:pos="4153"/>
        <w:tab w:val="right" w:pos="8306"/>
      </w:tabs>
      <w:spacing w:line="240" w:lineRule="auto"/>
      <w:jc w:val="left"/>
    </w:pPr>
    <w:rPr>
      <w:sz w:val="18"/>
      <w:szCs w:val="18"/>
    </w:rPr>
  </w:style>
  <w:style w:type="paragraph" w:styleId="19">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qFormat/>
    <w:uiPriority w:val="39"/>
    <w:pPr>
      <w:spacing w:before="120" w:after="120"/>
      <w:jc w:val="left"/>
    </w:pPr>
    <w:rPr>
      <w:rFonts w:ascii="Times New Roman" w:hAnsi="Times New Roman"/>
      <w:b/>
      <w:bCs/>
      <w:caps/>
      <w:sz w:val="20"/>
      <w:szCs w:val="20"/>
    </w:rPr>
  </w:style>
  <w:style w:type="paragraph" w:styleId="21">
    <w:name w:val="toc 4"/>
    <w:basedOn w:val="1"/>
    <w:next w:val="1"/>
    <w:semiHidden/>
    <w:qFormat/>
    <w:uiPriority w:val="0"/>
    <w:pPr>
      <w:spacing w:before="0" w:after="0"/>
      <w:ind w:left="720"/>
      <w:jc w:val="left"/>
    </w:pPr>
    <w:rPr>
      <w:rFonts w:ascii="Times New Roman" w:hAnsi="Times New Roman"/>
      <w:sz w:val="18"/>
      <w:szCs w:val="18"/>
    </w:rPr>
  </w:style>
  <w:style w:type="paragraph" w:styleId="22">
    <w:name w:val="toc 6"/>
    <w:basedOn w:val="1"/>
    <w:next w:val="1"/>
    <w:semiHidden/>
    <w:qFormat/>
    <w:uiPriority w:val="0"/>
    <w:pPr>
      <w:spacing w:before="0" w:after="0"/>
      <w:ind w:left="1200"/>
      <w:jc w:val="left"/>
    </w:pPr>
    <w:rPr>
      <w:rFonts w:ascii="Times New Roman" w:hAnsi="Times New Roman"/>
      <w:sz w:val="18"/>
      <w:szCs w:val="18"/>
    </w:rPr>
  </w:style>
  <w:style w:type="paragraph" w:styleId="23">
    <w:name w:val="toc 2"/>
    <w:basedOn w:val="1"/>
    <w:next w:val="1"/>
    <w:qFormat/>
    <w:uiPriority w:val="39"/>
    <w:pPr>
      <w:spacing w:before="0" w:after="0"/>
      <w:ind w:left="240"/>
      <w:jc w:val="left"/>
    </w:pPr>
    <w:rPr>
      <w:rFonts w:ascii="Times New Roman" w:hAnsi="Times New Roman"/>
      <w:smallCaps/>
      <w:sz w:val="20"/>
      <w:szCs w:val="20"/>
    </w:rPr>
  </w:style>
  <w:style w:type="paragraph" w:styleId="24">
    <w:name w:val="toc 9"/>
    <w:basedOn w:val="1"/>
    <w:next w:val="1"/>
    <w:semiHidden/>
    <w:qFormat/>
    <w:uiPriority w:val="0"/>
    <w:pPr>
      <w:spacing w:before="0" w:after="0"/>
      <w:ind w:left="1920"/>
      <w:jc w:val="left"/>
    </w:pPr>
    <w:rPr>
      <w:rFonts w:ascii="Times New Roman" w:hAnsi="Times New Roman"/>
      <w:sz w:val="18"/>
      <w:szCs w:val="18"/>
    </w:rPr>
  </w:style>
  <w:style w:type="paragraph" w:styleId="25">
    <w:name w:val="Normal (Web)"/>
    <w:basedOn w:val="1"/>
    <w:qFormat/>
    <w:uiPriority w:val="0"/>
    <w:pPr>
      <w:widowControl/>
      <w:adjustRightInd/>
      <w:snapToGrid/>
      <w:spacing w:before="100" w:beforeAutospacing="1" w:after="100" w:afterAutospacing="1" w:line="240" w:lineRule="auto"/>
      <w:jc w:val="left"/>
    </w:pPr>
    <w:rPr>
      <w:rFonts w:ascii="宋体" w:hAnsi="宋体" w:cs="宋体"/>
    </w:rPr>
  </w:style>
  <w:style w:type="paragraph" w:styleId="26">
    <w:name w:val="Body Text First Indent 2"/>
    <w:basedOn w:val="12"/>
    <w:unhideWhenUsed/>
    <w:qFormat/>
    <w:uiPriority w:val="99"/>
    <w:pPr>
      <w:adjustRightInd/>
      <w:snapToGrid/>
      <w:spacing w:before="0" w:line="240" w:lineRule="auto"/>
      <w:ind w:firstLine="420" w:firstLineChars="200"/>
      <w:jc w:val="left"/>
    </w:pPr>
    <w:rPr>
      <w:rFonts w:ascii="Calibri" w:hAnsi="Calibri" w:cs="宋体"/>
      <w:sz w:val="22"/>
      <w:szCs w:val="22"/>
      <w:lang w:eastAsia="en-US"/>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bCs/>
    </w:rPr>
  </w:style>
  <w:style w:type="character" w:styleId="31">
    <w:name w:val="page number"/>
    <w:basedOn w:val="29"/>
    <w:qFormat/>
    <w:uiPriority w:val="0"/>
  </w:style>
  <w:style w:type="character" w:styleId="32">
    <w:name w:val="Hyperlink"/>
    <w:qFormat/>
    <w:uiPriority w:val="99"/>
    <w:rPr>
      <w:color w:val="0000FF"/>
      <w:u w:val="single"/>
    </w:rPr>
  </w:style>
  <w:style w:type="paragraph" w:customStyle="1" w:styleId="33">
    <w:name w:val="标题5"/>
    <w:basedOn w:val="8"/>
    <w:qFormat/>
    <w:uiPriority w:val="0"/>
    <w:pPr>
      <w:numPr>
        <w:ilvl w:val="4"/>
        <w:numId w:val="1"/>
      </w:numPr>
      <w:spacing w:before="62" w:after="62" w:line="264" w:lineRule="auto"/>
    </w:pPr>
    <w:rPr>
      <w:sz w:val="24"/>
      <w:szCs w:val="24"/>
    </w:rPr>
  </w:style>
  <w:style w:type="character" w:customStyle="1" w:styleId="34">
    <w:name w:val="标题 2 Char"/>
    <w:link w:val="4"/>
    <w:qFormat/>
    <w:uiPriority w:val="0"/>
    <w:rPr>
      <w:rFonts w:ascii="Univers" w:hAnsi="Univers" w:cs="宋体"/>
      <w:sz w:val="24"/>
    </w:rPr>
  </w:style>
  <w:style w:type="paragraph" w:customStyle="1" w:styleId="35">
    <w:name w:val="样式 样式 一级正文 + 首行缩进:  2 字符 段前: 0.2 行 段后: 0.2 行 + 首行缩进:  2 字符 段前: ..."/>
    <w:basedOn w:val="36"/>
    <w:qFormat/>
    <w:uiPriority w:val="0"/>
    <w:pPr>
      <w:spacing w:before="20" w:after="20"/>
      <w:ind w:firstLine="200"/>
      <w:outlineLvl w:val="2"/>
    </w:pPr>
    <w:rPr>
      <w:rFonts w:eastAsia="宋体"/>
    </w:rPr>
  </w:style>
  <w:style w:type="paragraph" w:customStyle="1" w:styleId="36">
    <w:name w:val="样式 一级正文 + 首行缩进:  2 字符 段前: 0.2 行 段后: 0.2 行"/>
    <w:basedOn w:val="37"/>
    <w:qFormat/>
    <w:uiPriority w:val="0"/>
    <w:pPr>
      <w:spacing w:before="62" w:after="62" w:line="288" w:lineRule="auto"/>
      <w:ind w:firstLine="480"/>
    </w:pPr>
    <w:rPr>
      <w:rFonts w:cs="宋体"/>
      <w:szCs w:val="20"/>
    </w:rPr>
  </w:style>
  <w:style w:type="paragraph" w:customStyle="1" w:styleId="37">
    <w:name w:val="一级正文"/>
    <w:basedOn w:val="1"/>
    <w:qFormat/>
    <w:uiPriority w:val="0"/>
    <w:pPr>
      <w:spacing w:before="20" w:beforeLines="20" w:after="20" w:afterLines="20" w:line="300" w:lineRule="auto"/>
      <w:ind w:firstLine="200" w:firstLineChars="200"/>
    </w:pPr>
  </w:style>
  <w:style w:type="paragraph" w:styleId="38">
    <w:name w:val="List Paragraph"/>
    <w:basedOn w:val="1"/>
    <w:qFormat/>
    <w:uiPriority w:val="34"/>
    <w:pPr>
      <w:ind w:firstLine="420" w:firstLineChars="200"/>
    </w:pPr>
  </w:style>
  <w:style w:type="character" w:customStyle="1" w:styleId="39">
    <w:name w:val="纯文本 Char"/>
    <w:link w:val="15"/>
    <w:qFormat/>
    <w:uiPriority w:val="0"/>
    <w:rPr>
      <w:rFonts w:ascii="宋体" w:hAnsi="Courier New" w:eastAsia="宋体" w:cs="Courier New"/>
      <w:kern w:val="2"/>
      <w:sz w:val="21"/>
      <w:szCs w:val="21"/>
      <w:lang w:val="en-US" w:eastAsia="zh-CN" w:bidi="ar-SA"/>
    </w:rPr>
  </w:style>
  <w:style w:type="character" w:customStyle="1" w:styleId="40">
    <w:name w:val="样式 标题 2 + 宋体 Char"/>
    <w:basedOn w:val="34"/>
    <w:link w:val="41"/>
    <w:qFormat/>
    <w:uiPriority w:val="0"/>
  </w:style>
  <w:style w:type="paragraph" w:customStyle="1" w:styleId="41">
    <w:name w:val="样式 标题 2 + 宋体"/>
    <w:basedOn w:val="4"/>
    <w:link w:val="40"/>
    <w:qFormat/>
    <w:uiPriority w:val="0"/>
  </w:style>
  <w:style w:type="paragraph" w:customStyle="1" w:styleId="42">
    <w:name w:val="样式 标题4 + 段前: 0.2 行 段后: 0.2 行"/>
    <w:basedOn w:val="43"/>
    <w:qFormat/>
    <w:uiPriority w:val="0"/>
    <w:pPr>
      <w:tabs>
        <w:tab w:val="left" w:pos="322"/>
        <w:tab w:val="left" w:pos="900"/>
      </w:tabs>
      <w:ind w:left="266" w:firstLine="0"/>
    </w:pPr>
    <w:rPr>
      <w:bCs w:val="0"/>
    </w:rPr>
  </w:style>
  <w:style w:type="paragraph" w:customStyle="1" w:styleId="43">
    <w:name w:val="标题4"/>
    <w:basedOn w:val="7"/>
    <w:qFormat/>
    <w:uiPriority w:val="0"/>
    <w:pPr>
      <w:tabs>
        <w:tab w:val="left" w:pos="900"/>
        <w:tab w:val="clear" w:pos="776"/>
      </w:tabs>
      <w:spacing w:line="276" w:lineRule="auto"/>
      <w:ind w:left="900" w:hanging="634"/>
    </w:pPr>
    <w:rPr>
      <w:szCs w:val="20"/>
    </w:rPr>
  </w:style>
  <w:style w:type="paragraph" w:customStyle="1" w:styleId="44">
    <w:name w:val="样式 标题 2 + 段前: 0.5 行 段后: 0.5 行"/>
    <w:basedOn w:val="4"/>
    <w:qFormat/>
    <w:uiPriority w:val="0"/>
    <w:pPr>
      <w:numPr>
        <w:ilvl w:val="0"/>
        <w:numId w:val="0"/>
      </w:numPr>
      <w:spacing w:before="62" w:after="62"/>
      <w:ind w:left="540" w:leftChars="225" w:firstLine="22" w:firstLineChars="9"/>
    </w:pPr>
  </w:style>
  <w:style w:type="paragraph" w:customStyle="1" w:styleId="45">
    <w:name w:val="二级正文"/>
    <w:basedOn w:val="44"/>
    <w:qFormat/>
    <w:uiPriority w:val="0"/>
    <w:pPr>
      <w:ind w:firstLine="502" w:firstLineChars="209"/>
    </w:pPr>
  </w:style>
  <w:style w:type="paragraph" w:customStyle="1" w:styleId="46">
    <w:name w:val="标题2"/>
    <w:basedOn w:val="4"/>
    <w:qFormat/>
    <w:uiPriority w:val="0"/>
    <w:pPr>
      <w:spacing w:before="156" w:after="156"/>
    </w:pPr>
  </w:style>
  <w:style w:type="paragraph" w:customStyle="1" w:styleId="47">
    <w:name w:val="四级正文"/>
    <w:basedOn w:val="48"/>
    <w:qFormat/>
    <w:uiPriority w:val="0"/>
    <w:pPr>
      <w:ind w:leftChars="500" w:firstLine="480" w:firstLineChars="200"/>
    </w:pPr>
  </w:style>
  <w:style w:type="paragraph" w:customStyle="1" w:styleId="48">
    <w:name w:val="三级正文"/>
    <w:basedOn w:val="1"/>
    <w:qFormat/>
    <w:uiPriority w:val="0"/>
    <w:pPr>
      <w:spacing w:before="62" w:beforeLines="20" w:after="62" w:afterLines="20"/>
      <w:ind w:left="360" w:leftChars="150" w:firstLine="540" w:firstLineChars="225"/>
    </w:pPr>
  </w:style>
  <w:style w:type="paragraph" w:customStyle="1" w:styleId="49">
    <w:name w:val="标题3"/>
    <w:basedOn w:val="6"/>
    <w:qFormat/>
    <w:uiPriority w:val="0"/>
    <w:pPr>
      <w:tabs>
        <w:tab w:val="left" w:pos="784"/>
      </w:tabs>
      <w:spacing w:before="156" w:after="156"/>
      <w:ind w:left="784" w:hanging="784"/>
    </w:pPr>
    <w:rPr>
      <w:szCs w:val="20"/>
    </w:rPr>
  </w:style>
  <w:style w:type="paragraph" w:customStyle="1" w:styleId="50">
    <w:name w:val="默认段落字体 Para Char"/>
    <w:basedOn w:val="51"/>
    <w:qFormat/>
    <w:uiPriority w:val="0"/>
    <w:pPr>
      <w:spacing w:line="360" w:lineRule="auto"/>
      <w:ind w:firstLine="720" w:firstLineChars="200"/>
      <w:jc w:val="left"/>
    </w:pPr>
    <w:rPr>
      <w:rFonts w:eastAsia="仿宋"/>
      <w:kern w:val="10"/>
      <w:sz w:val="24"/>
      <w:szCs w:val="28"/>
    </w:rPr>
  </w:style>
  <w:style w:type="paragraph" w:customStyle="1" w:styleId="51">
    <w:name w:val="正文_1"/>
    <w:next w:val="5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列出段落1"/>
    <w:basedOn w:val="1"/>
    <w:qFormat/>
    <w:uiPriority w:val="0"/>
    <w:pPr>
      <w:ind w:firstLine="420" w:firstLineChars="200"/>
    </w:pPr>
  </w:style>
  <w:style w:type="paragraph" w:customStyle="1" w:styleId="53">
    <w:name w:val="Table Text"/>
    <w:basedOn w:val="1"/>
    <w:semiHidden/>
    <w:qFormat/>
    <w:uiPriority w:val="0"/>
    <w:rPr>
      <w:rFonts w:ascii="宋体" w:hAnsi="宋体" w:eastAsia="宋体" w:cs="宋体"/>
      <w:sz w:val="24"/>
      <w:szCs w:val="24"/>
      <w:lang w:val="en-US" w:eastAsia="en-US" w:bidi="ar-SA"/>
    </w:rPr>
  </w:style>
  <w:style w:type="table" w:customStyle="1" w:styleId="54">
    <w:name w:val="Table Normal"/>
    <w:semiHidden/>
    <w:unhideWhenUsed/>
    <w:qFormat/>
    <w:uiPriority w:val="0"/>
    <w:tblPr>
      <w:tblCellMar>
        <w:top w:w="0" w:type="dxa"/>
        <w:left w:w="0" w:type="dxa"/>
        <w:bottom w:w="0" w:type="dxa"/>
        <w:right w:w="0" w:type="dxa"/>
      </w:tblCellMar>
    </w:tblPr>
  </w:style>
  <w:style w:type="paragraph" w:customStyle="1" w:styleId="55">
    <w:name w:val="工可正文"/>
    <w:basedOn w:val="1"/>
    <w:qFormat/>
    <w:uiPriority w:val="0"/>
    <w:pPr>
      <w:spacing w:line="312" w:lineRule="auto"/>
      <w:ind w:firstLine="200" w:firstLineChars="200"/>
    </w:pPr>
    <w:rPr>
      <w:sz w:val="28"/>
    </w:rPr>
  </w:style>
  <w:style w:type="paragraph" w:customStyle="1" w:styleId="56">
    <w:name w:val="正文2"/>
    <w:basedOn w:val="1"/>
    <w:qFormat/>
    <w:uiPriority w:val="0"/>
    <w:pPr>
      <w:spacing w:line="360" w:lineRule="auto"/>
      <w:ind w:firstLine="200" w:firstLineChars="200"/>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65</Pages>
  <Words>7136</Words>
  <Characters>8023</Characters>
  <Lines>49</Lines>
  <Paragraphs>13</Paragraphs>
  <TotalTime>80</TotalTime>
  <ScaleCrop>false</ScaleCrop>
  <LinksUpToDate>false</LinksUpToDate>
  <CharactersWithSpaces>8312</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2018-03-09T17:04:00Z</dcterms:created>
  <dc:creator>ZhuSir918@163.com</dc:creator>
  <cp:lastModifiedBy>张立彬</cp:lastModifiedBy>
  <cp:lastPrinted>2024-03-26T02:58:00Z</cp:lastPrinted>
  <dcterms:modified xsi:type="dcterms:W3CDTF">2025-11-13T08:56:49Z</dcterms:modified>
  <dc:title>过程名称： 技术质量</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99BF0957620B402CADE947E86F770945</vt:lpwstr>
  </property>
</Properties>
</file>