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37EAE">
      <w:pPr>
        <w:kinsoku/>
        <w:wordWrap/>
        <w:overflowPunct/>
        <w:topLinePunct w:val="0"/>
        <w:autoSpaceDE w:val="0"/>
        <w:autoSpaceDN w:val="0"/>
        <w:bidi w:val="0"/>
        <w:spacing w:before="120" w:after="120" w:line="360" w:lineRule="auto"/>
        <w:ind w:right="-20"/>
        <w:jc w:val="center"/>
        <w:rPr>
          <w:rFonts w:hint="eastAsia" w:asciiTheme="minorEastAsia" w:hAnsiTheme="minorEastAsia" w:eastAsiaTheme="minorEastAsia" w:cstheme="minorEastAsia"/>
          <w:b/>
          <w:spacing w:val="2"/>
          <w:w w:val="99"/>
          <w:kern w:val="0"/>
          <w:sz w:val="24"/>
          <w:szCs w:val="24"/>
        </w:rPr>
      </w:pPr>
    </w:p>
    <w:p w14:paraId="4525B37E">
      <w:pPr>
        <w:kinsoku/>
        <w:wordWrap/>
        <w:overflowPunct/>
        <w:topLinePunct w:val="0"/>
        <w:autoSpaceDE w:val="0"/>
        <w:autoSpaceDN w:val="0"/>
        <w:bidi w:val="0"/>
        <w:spacing w:before="120" w:after="120" w:line="360" w:lineRule="auto"/>
        <w:ind w:right="-20"/>
        <w:jc w:val="center"/>
        <w:rPr>
          <w:rFonts w:hint="eastAsia" w:asciiTheme="minorEastAsia" w:hAnsiTheme="minorEastAsia" w:eastAsiaTheme="minorEastAsia" w:cstheme="minorEastAsia"/>
          <w:b/>
          <w:spacing w:val="2"/>
          <w:w w:val="99"/>
          <w:kern w:val="0"/>
          <w:sz w:val="24"/>
          <w:szCs w:val="24"/>
        </w:rPr>
      </w:pPr>
    </w:p>
    <w:p w14:paraId="0F6A1198">
      <w:pPr>
        <w:pStyle w:val="6"/>
        <w:rPr>
          <w:rFonts w:hint="eastAsia" w:asciiTheme="minorEastAsia" w:hAnsiTheme="minorEastAsia" w:eastAsiaTheme="minorEastAsia" w:cstheme="minorEastAsia"/>
          <w:b/>
          <w:spacing w:val="2"/>
          <w:w w:val="99"/>
          <w:kern w:val="0"/>
          <w:sz w:val="24"/>
          <w:szCs w:val="24"/>
        </w:rPr>
      </w:pPr>
    </w:p>
    <w:p w14:paraId="57C96EBF">
      <w:pPr>
        <w:pStyle w:val="6"/>
        <w:rPr>
          <w:rFonts w:hint="eastAsia" w:asciiTheme="minorEastAsia" w:hAnsiTheme="minorEastAsia" w:eastAsiaTheme="minorEastAsia" w:cstheme="minorEastAsia"/>
          <w:b/>
          <w:spacing w:val="2"/>
          <w:w w:val="99"/>
          <w:kern w:val="0"/>
          <w:sz w:val="24"/>
          <w:szCs w:val="24"/>
        </w:rPr>
      </w:pPr>
    </w:p>
    <w:p w14:paraId="683C7C5D">
      <w:pPr>
        <w:kinsoku/>
        <w:wordWrap/>
        <w:overflowPunct/>
        <w:topLinePunct w:val="0"/>
        <w:autoSpaceDE w:val="0"/>
        <w:autoSpaceDN w:val="0"/>
        <w:bidi w:val="0"/>
        <w:spacing w:before="120" w:after="120" w:line="360" w:lineRule="auto"/>
        <w:ind w:right="-20"/>
        <w:jc w:val="center"/>
        <w:rPr>
          <w:rFonts w:cs="Arial Unicode MS" w:asciiTheme="minorEastAsia" w:hAnsiTheme="minorEastAsia"/>
          <w:b/>
          <w:spacing w:val="2"/>
          <w:w w:val="99"/>
          <w:sz w:val="52"/>
          <w:szCs w:val="52"/>
          <w:lang w:eastAsia="zh-CN"/>
        </w:rPr>
      </w:pPr>
      <w:r>
        <w:rPr>
          <w:rFonts w:cs="Arial Unicode MS" w:asciiTheme="minorEastAsia" w:hAnsiTheme="minorEastAsia"/>
          <w:b/>
          <w:spacing w:val="2"/>
          <w:w w:val="99"/>
          <w:sz w:val="52"/>
          <w:szCs w:val="52"/>
          <w:lang w:eastAsia="zh-CN"/>
        </w:rPr>
        <w:drawing>
          <wp:inline distT="0" distB="0" distL="0" distR="0">
            <wp:extent cx="1799590" cy="1619885"/>
            <wp:effectExtent l="0" t="0" r="10160" b="1841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1620000"/>
                    </a:xfrm>
                    <a:prstGeom prst="rect">
                      <a:avLst/>
                    </a:prstGeom>
                  </pic:spPr>
                </pic:pic>
              </a:graphicData>
            </a:graphic>
          </wp:inline>
        </w:drawing>
      </w:r>
    </w:p>
    <w:p w14:paraId="22A91283">
      <w:pPr>
        <w:pStyle w:val="6"/>
        <w:rPr>
          <w:rFonts w:cs="Arial Unicode MS" w:asciiTheme="minorEastAsia" w:hAnsiTheme="minorEastAsia"/>
          <w:b/>
          <w:spacing w:val="2"/>
          <w:w w:val="99"/>
          <w:sz w:val="52"/>
          <w:szCs w:val="52"/>
          <w:lang w:eastAsia="zh-CN"/>
        </w:rPr>
      </w:pPr>
    </w:p>
    <w:p w14:paraId="0CD51301">
      <w:pPr>
        <w:pStyle w:val="6"/>
        <w:rPr>
          <w:rFonts w:hint="eastAsia" w:cs="Arial Unicode MS" w:asciiTheme="minorEastAsia" w:hAnsiTheme="minorEastAsia"/>
          <w:b/>
          <w:spacing w:val="2"/>
          <w:w w:val="99"/>
          <w:sz w:val="52"/>
          <w:szCs w:val="52"/>
          <w:lang w:eastAsia="zh-CN"/>
        </w:rPr>
      </w:pPr>
    </w:p>
    <w:p w14:paraId="4C9E9ADB">
      <w:pPr>
        <w:kinsoku/>
        <w:wordWrap/>
        <w:overflowPunct/>
        <w:topLinePunct w:val="0"/>
        <w:autoSpaceDE w:val="0"/>
        <w:autoSpaceDN w:val="0"/>
        <w:bidi w:val="0"/>
        <w:spacing w:before="120" w:after="120" w:line="360" w:lineRule="auto"/>
        <w:ind w:right="-20"/>
        <w:rPr>
          <w:rFonts w:hint="eastAsia" w:asciiTheme="minorEastAsia" w:hAnsiTheme="minorEastAsia" w:eastAsiaTheme="minorEastAsia" w:cstheme="minorEastAsia"/>
          <w:b/>
          <w:spacing w:val="2"/>
          <w:w w:val="99"/>
          <w:kern w:val="0"/>
          <w:sz w:val="24"/>
          <w:szCs w:val="24"/>
        </w:rPr>
      </w:pPr>
    </w:p>
    <w:p w14:paraId="267511EF">
      <w:pPr>
        <w:jc w:val="center"/>
        <w:rPr>
          <w:rFonts w:hint="eastAsia" w:ascii="微软雅黑" w:hAnsi="微软雅黑" w:eastAsia="微软雅黑" w:cs="Arial Unicode MS"/>
          <w:b/>
          <w:color w:val="000000"/>
          <w:spacing w:val="2"/>
          <w:w w:val="99"/>
          <w:kern w:val="0"/>
          <w:sz w:val="52"/>
          <w:szCs w:val="52"/>
          <w:lang w:eastAsia="zh-CN"/>
        </w:rPr>
      </w:pPr>
      <w:r>
        <w:rPr>
          <w:rFonts w:hint="eastAsia" w:ascii="微软雅黑" w:hAnsi="微软雅黑" w:eastAsia="微软雅黑" w:cs="Arial Unicode MS"/>
          <w:b/>
          <w:color w:val="000000"/>
          <w:spacing w:val="2"/>
          <w:w w:val="99"/>
          <w:kern w:val="0"/>
          <w:sz w:val="52"/>
          <w:szCs w:val="52"/>
          <w:lang w:eastAsia="zh-CN"/>
        </w:rPr>
        <w:t>中海油能源发展股份有限公司</w:t>
      </w:r>
    </w:p>
    <w:p w14:paraId="4BDEC762">
      <w:pPr>
        <w:pStyle w:val="6"/>
        <w:jc w:val="center"/>
        <w:rPr>
          <w:rFonts w:hint="default" w:ascii="微软雅黑" w:hAnsi="微软雅黑" w:eastAsia="微软雅黑" w:cs="Arial Unicode MS"/>
          <w:b/>
          <w:color w:val="000000"/>
          <w:spacing w:val="2"/>
          <w:w w:val="99"/>
          <w:kern w:val="0"/>
          <w:sz w:val="52"/>
          <w:szCs w:val="52"/>
          <w:lang w:val="en-US" w:eastAsia="zh-CN" w:bidi="ar-SA"/>
        </w:rPr>
      </w:pPr>
      <w:r>
        <w:rPr>
          <w:rFonts w:hint="eastAsia" w:ascii="微软雅黑" w:hAnsi="微软雅黑" w:eastAsia="微软雅黑" w:cs="Arial Unicode MS"/>
          <w:b/>
          <w:color w:val="000000"/>
          <w:spacing w:val="2"/>
          <w:w w:val="99"/>
          <w:kern w:val="0"/>
          <w:sz w:val="52"/>
          <w:szCs w:val="52"/>
          <w:lang w:val="en-US" w:eastAsia="zh-CN"/>
        </w:rPr>
        <w:t>采购商务建议书</w:t>
      </w:r>
    </w:p>
    <w:p w14:paraId="7C66B0CB">
      <w:pPr>
        <w:pStyle w:val="6"/>
        <w:jc w:val="center"/>
        <w:rPr>
          <w:rFonts w:hint="eastAsia" w:ascii="微软雅黑" w:hAnsi="微软雅黑" w:eastAsia="微软雅黑" w:cs="Arial Unicode MS"/>
          <w:b/>
          <w:color w:val="000000"/>
          <w:spacing w:val="2"/>
          <w:w w:val="99"/>
          <w:kern w:val="0"/>
          <w:sz w:val="52"/>
          <w:szCs w:val="52"/>
          <w:lang w:val="en-US" w:eastAsia="zh-CN" w:bidi="ar-SA"/>
        </w:rPr>
      </w:pPr>
    </w:p>
    <w:p w14:paraId="7F2EF236">
      <w:pPr>
        <w:pStyle w:val="6"/>
        <w:jc w:val="center"/>
        <w:rPr>
          <w:rFonts w:hint="eastAsia" w:ascii="微软雅黑" w:hAnsi="微软雅黑" w:eastAsia="微软雅黑" w:cs="Arial Unicode MS"/>
          <w:b/>
          <w:color w:val="000000"/>
          <w:spacing w:val="2"/>
          <w:w w:val="99"/>
          <w:kern w:val="0"/>
          <w:sz w:val="52"/>
          <w:szCs w:val="52"/>
          <w:lang w:val="en-US" w:eastAsia="zh-CN" w:bidi="ar-SA"/>
        </w:rPr>
      </w:pPr>
    </w:p>
    <w:p w14:paraId="6460986C">
      <w:pPr>
        <w:pStyle w:val="6"/>
        <w:jc w:val="center"/>
        <w:rPr>
          <w:rFonts w:hint="eastAsia" w:ascii="微软雅黑" w:hAnsi="微软雅黑" w:eastAsia="微软雅黑" w:cs="Arial Unicode MS"/>
          <w:b/>
          <w:color w:val="000000"/>
          <w:spacing w:val="2"/>
          <w:w w:val="99"/>
          <w:kern w:val="0"/>
          <w:sz w:val="52"/>
          <w:szCs w:val="52"/>
          <w:lang w:val="en-US" w:eastAsia="zh-CN" w:bidi="ar-SA"/>
        </w:rPr>
      </w:pPr>
    </w:p>
    <w:p w14:paraId="368452C2">
      <w:pPr>
        <w:pStyle w:val="6"/>
        <w:jc w:val="center"/>
        <w:rPr>
          <w:rFonts w:hint="eastAsia" w:ascii="微软雅黑" w:hAnsi="微软雅黑" w:eastAsia="微软雅黑" w:cs="Arial Unicode MS"/>
          <w:b/>
          <w:color w:val="000000"/>
          <w:spacing w:val="2"/>
          <w:w w:val="99"/>
          <w:kern w:val="0"/>
          <w:sz w:val="52"/>
          <w:szCs w:val="52"/>
          <w:lang w:val="en-US" w:eastAsia="zh-CN" w:bidi="ar-SA"/>
        </w:rPr>
      </w:pPr>
    </w:p>
    <w:p w14:paraId="590E10C2">
      <w:pPr>
        <w:pStyle w:val="6"/>
        <w:jc w:val="left"/>
        <w:rPr>
          <w:rFonts w:hint="eastAsia" w:ascii="宋体" w:hAnsi="宋体" w:eastAsia="宋体" w:cs="宋体"/>
          <w:b w:val="0"/>
          <w:bCs/>
          <w:color w:val="000000"/>
          <w:spacing w:val="2"/>
          <w:w w:val="99"/>
          <w:kern w:val="0"/>
          <w:sz w:val="21"/>
          <w:szCs w:val="21"/>
          <w:lang w:val="en-US" w:eastAsia="zh-CN" w:bidi="ar-SA"/>
        </w:rPr>
      </w:pPr>
    </w:p>
    <w:p w14:paraId="3B48DFE5">
      <w:pPr>
        <w:pStyle w:val="6"/>
        <w:jc w:val="left"/>
        <w:rPr>
          <w:rFonts w:hint="eastAsia" w:ascii="宋体" w:hAnsi="宋体" w:eastAsia="宋体" w:cs="宋体"/>
          <w:b w:val="0"/>
          <w:bCs/>
          <w:color w:val="000000"/>
          <w:spacing w:val="2"/>
          <w:w w:val="99"/>
          <w:kern w:val="0"/>
          <w:sz w:val="21"/>
          <w:szCs w:val="21"/>
          <w:lang w:val="en-US" w:eastAsia="zh-CN" w:bidi="ar-SA"/>
        </w:rPr>
      </w:pPr>
    </w:p>
    <w:p w14:paraId="2784272B">
      <w:pPr>
        <w:pStyle w:val="6"/>
        <w:jc w:val="center"/>
        <w:rPr>
          <w:rFonts w:hint="eastAsia" w:ascii="黑体" w:hAnsi="黑体" w:eastAsia="黑体" w:cstheme="majorBidi"/>
          <w:color w:val="auto"/>
          <w:kern w:val="0"/>
          <w:sz w:val="32"/>
          <w:szCs w:val="32"/>
          <w:highlight w:val="none"/>
          <w:lang w:val="zh-CN" w:eastAsia="zh-CN" w:bidi="ar-SA"/>
        </w:rPr>
      </w:pPr>
    </w:p>
    <w:p w14:paraId="10027B4A">
      <w:pPr>
        <w:pStyle w:val="6"/>
        <w:jc w:val="center"/>
        <w:rPr>
          <w:rFonts w:hint="eastAsia" w:ascii="黑体" w:hAnsi="黑体" w:eastAsia="黑体" w:cstheme="majorBidi"/>
          <w:color w:val="auto"/>
          <w:kern w:val="0"/>
          <w:sz w:val="32"/>
          <w:szCs w:val="32"/>
          <w:highlight w:val="none"/>
          <w:lang w:val="zh-CN" w:eastAsia="zh-CN" w:bidi="ar-SA"/>
        </w:rPr>
      </w:pPr>
    </w:p>
    <w:p w14:paraId="73D915C5">
      <w:pPr>
        <w:keepNext w:val="0"/>
        <w:keepLines w:val="0"/>
        <w:pageBreakBefore w:val="0"/>
        <w:widowControl w:val="0"/>
        <w:numPr>
          <w:ilvl w:val="0"/>
          <w:numId w:val="1"/>
        </w:numPr>
        <w:kinsoku/>
        <w:overflowPunct/>
        <w:topLinePunct w:val="0"/>
        <w:autoSpaceDE/>
        <w:autoSpaceDN/>
        <w:bidi w:val="0"/>
        <w:adjustRightInd/>
        <w:spacing w:line="240" w:lineRule="auto"/>
        <w:jc w:val="both"/>
        <w:textAlignment w:val="auto"/>
        <w:outlineLvl w:val="0"/>
        <w:rPr>
          <w:rFonts w:hint="eastAsia" w:ascii="宋体" w:hAnsi="宋体" w:eastAsia="宋体" w:cs="宋体"/>
          <w:b w:val="0"/>
          <w:bCs w:val="0"/>
          <w:color w:val="auto"/>
          <w:kern w:val="44"/>
          <w:sz w:val="24"/>
          <w:szCs w:val="24"/>
          <w:highlight w:val="none"/>
          <w:lang w:val="en-US" w:eastAsia="zh-CN"/>
        </w:rPr>
      </w:pPr>
      <w:r>
        <w:rPr>
          <w:rFonts w:hint="eastAsia" w:ascii="宋体" w:hAnsi="宋体" w:eastAsia="宋体" w:cs="宋体"/>
          <w:b w:val="0"/>
          <w:bCs w:val="0"/>
          <w:color w:val="auto"/>
          <w:kern w:val="44"/>
          <w:sz w:val="24"/>
          <w:szCs w:val="24"/>
          <w:highlight w:val="none"/>
          <w:lang w:val="en-US" w:eastAsia="zh-CN"/>
        </w:rPr>
        <w:t>引用已建设商务标准</w:t>
      </w:r>
    </w:p>
    <w:p w14:paraId="262DA874">
      <w:pPr>
        <w:pStyle w:val="6"/>
        <w:rPr>
          <w:rFonts w:hint="eastAsia"/>
          <w:lang w:val="en-US" w:eastAsia="zh-CN"/>
        </w:rPr>
      </w:pPr>
    </w:p>
    <w:p w14:paraId="1FAC090D">
      <w:pPr>
        <w:pStyle w:val="6"/>
        <w:keepNext w:val="0"/>
        <w:keepLines w:val="0"/>
        <w:pageBreakBefore w:val="0"/>
        <w:widowControl w:val="0"/>
        <w:numPr>
          <w:ilvl w:val="0"/>
          <w:numId w:val="0"/>
        </w:numPr>
        <w:kinsoku/>
        <w:overflowPunct/>
        <w:topLinePunct w:val="0"/>
        <w:autoSpaceDE/>
        <w:autoSpaceDN/>
        <w:bidi w:val="0"/>
        <w:adjustRightInd/>
        <w:spacing w:line="360" w:lineRule="auto"/>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无。</w:t>
      </w:r>
    </w:p>
    <w:p w14:paraId="42A7E1D0">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eastAsia" w:ascii="宋体" w:hAnsi="宋体" w:eastAsia="宋体" w:cs="宋体"/>
          <w:b w:val="0"/>
          <w:bCs w:val="0"/>
          <w:color w:val="auto"/>
          <w:kern w:val="44"/>
          <w:sz w:val="24"/>
          <w:szCs w:val="24"/>
          <w:highlight w:val="none"/>
          <w:lang w:val="en-US" w:eastAsia="zh-CN"/>
        </w:rPr>
      </w:pPr>
      <w:r>
        <w:rPr>
          <w:rFonts w:hint="eastAsia" w:ascii="宋体" w:hAnsi="宋体" w:eastAsia="宋体" w:cs="宋体"/>
          <w:b w:val="0"/>
          <w:bCs w:val="0"/>
          <w:color w:val="auto"/>
          <w:kern w:val="44"/>
          <w:sz w:val="24"/>
          <w:szCs w:val="24"/>
          <w:highlight w:val="none"/>
          <w:lang w:val="en-US" w:eastAsia="zh-CN"/>
        </w:rPr>
        <w:t>如未建设商务标准或已发布的标准不可用时，商务要求建议如下：</w:t>
      </w:r>
    </w:p>
    <w:p w14:paraId="45EF1A99">
      <w:pPr>
        <w:pStyle w:val="6"/>
        <w:rPr>
          <w:rFonts w:hint="default"/>
          <w:lang w:val="en-US" w:eastAsia="zh-CN"/>
        </w:rPr>
      </w:pPr>
    </w:p>
    <w:tbl>
      <w:tblPr>
        <w:tblStyle w:val="9"/>
        <w:tblW w:w="95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2"/>
        <w:gridCol w:w="2337"/>
        <w:gridCol w:w="6032"/>
      </w:tblGrid>
      <w:tr w14:paraId="0B0E5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5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2F014C4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评审因素</w:t>
            </w:r>
          </w:p>
        </w:tc>
        <w:tc>
          <w:tcPr>
            <w:tcW w:w="6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49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评审标准</w:t>
            </w:r>
          </w:p>
        </w:tc>
      </w:tr>
      <w:tr w14:paraId="3BF5B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2" w:type="dxa"/>
            <w:vMerge w:val="restart"/>
            <w:tcBorders>
              <w:top w:val="single" w:color="auto" w:sz="4" w:space="0"/>
              <w:left w:val="single" w:color="auto" w:sz="4" w:space="0"/>
              <w:right w:val="single" w:color="000000" w:sz="4" w:space="0"/>
            </w:tcBorders>
            <w:shd w:val="clear" w:color="auto" w:fill="FFFFFF"/>
            <w:vAlign w:val="center"/>
          </w:tcPr>
          <w:p w14:paraId="7E3B49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商务</w:t>
            </w:r>
          </w:p>
          <w:p w14:paraId="3C611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评审项</w:t>
            </w:r>
          </w:p>
        </w:tc>
        <w:tc>
          <w:tcPr>
            <w:tcW w:w="2337" w:type="dxa"/>
            <w:tcBorders>
              <w:top w:val="single" w:color="auto" w:sz="4" w:space="0"/>
              <w:left w:val="single" w:color="000000" w:sz="4" w:space="0"/>
              <w:bottom w:val="single" w:color="000000" w:sz="4" w:space="0"/>
              <w:right w:val="single" w:color="auto" w:sz="4" w:space="0"/>
            </w:tcBorders>
            <w:shd w:val="clear" w:color="auto" w:fill="FFFFFF"/>
            <w:vAlign w:val="center"/>
          </w:tcPr>
          <w:p w14:paraId="6421FD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资质要求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14:paraId="59ADAB10">
            <w:pPr>
              <w:pStyle w:val="6"/>
              <w:numPr>
                <w:ilvl w:val="0"/>
                <w:numId w:val="0"/>
              </w:numPr>
              <w:spacing w:line="360" w:lineRule="auto"/>
              <w:rPr>
                <w:rFonts w:hint="eastAsia" w:ascii="宋体" w:hAnsi="宋体" w:cs="宋体" w:eastAsiaTheme="minorEastAsia"/>
                <w:color w:val="000000"/>
                <w:kern w:val="0"/>
                <w:sz w:val="22"/>
                <w:szCs w:val="21"/>
                <w:lang w:val="en-US" w:eastAsia="zh-CN" w:bidi="ar"/>
              </w:rPr>
            </w:pPr>
            <w:r>
              <w:rPr>
                <w:rFonts w:hint="eastAsia" w:ascii="宋体" w:hAnsi="宋体" w:cs="宋体" w:eastAsiaTheme="minorEastAsia"/>
                <w:color w:val="000000"/>
                <w:kern w:val="0"/>
                <w:sz w:val="22"/>
                <w:szCs w:val="21"/>
                <w:lang w:val="en-US" w:eastAsia="zh-CN" w:bidi="ar"/>
              </w:rPr>
              <w:t>★（1）营业执照：</w:t>
            </w:r>
          </w:p>
          <w:p w14:paraId="7F15E83C">
            <w:pPr>
              <w:pStyle w:val="6"/>
              <w:numPr>
                <w:ilvl w:val="0"/>
                <w:numId w:val="0"/>
              </w:numPr>
              <w:spacing w:line="240" w:lineRule="auto"/>
              <w:rPr>
                <w:rFonts w:hint="eastAsia" w:ascii="宋体" w:hAnsi="宋体" w:cs="宋体" w:eastAsiaTheme="minorEastAsia"/>
                <w:color w:val="000000"/>
                <w:kern w:val="0"/>
                <w:sz w:val="22"/>
                <w:szCs w:val="21"/>
                <w:lang w:val="en-US" w:eastAsia="zh-CN" w:bidi="ar"/>
              </w:rPr>
            </w:pPr>
            <w:r>
              <w:rPr>
                <w:rFonts w:hint="eastAsia" w:ascii="宋体" w:hAnsi="宋体" w:cs="宋体" w:eastAsiaTheme="minorEastAsia"/>
                <w:color w:val="000000"/>
                <w:kern w:val="0"/>
                <w:sz w:val="22"/>
                <w:szCs w:val="21"/>
                <w:lang w:val="en-US" w:eastAsia="zh-CN" w:bidi="ar"/>
              </w:rPr>
              <w:t>1)投标方须是中华人民共和国境内具有独立承担民事责任能力的法人，或具备国家认可经营资格的其他组织。</w:t>
            </w:r>
          </w:p>
          <w:p w14:paraId="38AF7516">
            <w:pPr>
              <w:pStyle w:val="6"/>
              <w:numPr>
                <w:ilvl w:val="0"/>
                <w:numId w:val="0"/>
              </w:numPr>
              <w:spacing w:line="240" w:lineRule="auto"/>
              <w:rPr>
                <w:rFonts w:hint="eastAsia" w:ascii="宋体" w:hAnsi="宋体" w:cs="宋体" w:eastAsiaTheme="minorEastAsia"/>
                <w:color w:val="000000"/>
                <w:kern w:val="0"/>
                <w:sz w:val="22"/>
                <w:szCs w:val="21"/>
                <w:lang w:val="en-US" w:eastAsia="zh-CN" w:bidi="ar"/>
              </w:rPr>
            </w:pPr>
            <w:r>
              <w:rPr>
                <w:rFonts w:hint="eastAsia" w:ascii="宋体" w:hAnsi="宋体" w:cs="宋体" w:eastAsiaTheme="minorEastAsia"/>
                <w:color w:val="000000"/>
                <w:kern w:val="0"/>
                <w:sz w:val="22"/>
                <w:szCs w:val="21"/>
                <w:lang w:val="en-US" w:eastAsia="zh-CN" w:bidi="ar"/>
              </w:rPr>
              <w:t>2)投标方为企业的，应具有合法有效的企业法人营业执照、税务登记证及组织机构代码证或证照合一的营业执照；</w:t>
            </w:r>
          </w:p>
          <w:p w14:paraId="40ED4693">
            <w:pPr>
              <w:rPr>
                <w:rFonts w:hint="eastAsia" w:ascii="宋体" w:hAnsi="宋体" w:cs="宋体" w:eastAsiaTheme="minorEastAsia"/>
                <w:color w:val="000000"/>
                <w:kern w:val="0"/>
                <w:sz w:val="22"/>
                <w:szCs w:val="21"/>
                <w:lang w:val="en-US" w:eastAsia="zh-CN" w:bidi="ar"/>
              </w:rPr>
            </w:pPr>
            <w:r>
              <w:rPr>
                <w:rFonts w:hint="eastAsia" w:ascii="宋体" w:hAnsi="宋体" w:cs="宋体" w:eastAsiaTheme="minorEastAsia"/>
                <w:color w:val="000000"/>
                <w:kern w:val="0"/>
                <w:sz w:val="22"/>
                <w:szCs w:val="21"/>
                <w:lang w:val="en-US" w:eastAsia="zh-CN" w:bidi="ar"/>
              </w:rPr>
              <w:t>3)投标方为分公司的，应具有合法有效的营业执照、税务登记证及组织机构代码证或证照合一的营业执照和母公司合法授权书。总公司与分支机构只可一家参与投标，同时参与投标视为投标无效。</w:t>
            </w:r>
          </w:p>
          <w:p w14:paraId="26D976D4">
            <w:pPr>
              <w:pStyle w:val="6"/>
              <w:rPr>
                <w:rFonts w:hint="eastAsia" w:ascii="宋体" w:hAnsi="宋体" w:cs="宋体" w:eastAsiaTheme="minorEastAsia"/>
                <w:color w:val="000000"/>
                <w:kern w:val="0"/>
                <w:sz w:val="22"/>
                <w:szCs w:val="21"/>
                <w:lang w:val="en-US" w:eastAsia="zh-CN" w:bidi="ar"/>
              </w:rPr>
            </w:pPr>
            <w:r>
              <w:rPr>
                <w:rFonts w:hint="eastAsia" w:ascii="宋体" w:hAnsi="宋体" w:cs="宋体" w:eastAsiaTheme="minorEastAsia"/>
                <w:color w:val="000000"/>
                <w:kern w:val="0"/>
                <w:sz w:val="22"/>
                <w:szCs w:val="21"/>
                <w:lang w:val="en-US" w:eastAsia="zh-CN" w:bidi="ar"/>
              </w:rPr>
              <w:t>★（2）资质证书：</w:t>
            </w:r>
          </w:p>
          <w:p w14:paraId="1E7BA082">
            <w:pPr>
              <w:pStyle w:val="6"/>
              <w:numPr>
                <w:ilvl w:val="0"/>
                <w:numId w:val="0"/>
              </w:numPr>
              <w:rPr>
                <w:rFonts w:hint="default" w:ascii="微软雅黑" w:hAnsi="微软雅黑" w:eastAsia="微软雅黑" w:cs="微软雅黑"/>
                <w:kern w:val="0"/>
                <w:sz w:val="21"/>
                <w:szCs w:val="21"/>
                <w:highlight w:val="none"/>
                <w:lang w:val="en-US" w:eastAsia="zh-CN" w:bidi="ar-SA"/>
              </w:rPr>
            </w:pPr>
            <w:r>
              <w:rPr>
                <w:rFonts w:hint="eastAsia" w:ascii="宋体" w:hAnsi="宋体" w:cs="宋体"/>
                <w:color w:val="000000"/>
                <w:kern w:val="0"/>
                <w:sz w:val="22"/>
                <w:szCs w:val="21"/>
                <w:lang w:val="en-US" w:eastAsia="zh-CN" w:bidi="ar"/>
              </w:rPr>
              <w:t>1）</w:t>
            </w:r>
            <w:r>
              <w:rPr>
                <w:rFonts w:hint="eastAsia" w:ascii="宋体" w:hAnsi="宋体" w:cs="宋体" w:eastAsiaTheme="minorEastAsia"/>
                <w:color w:val="000000"/>
                <w:kern w:val="0"/>
                <w:sz w:val="22"/>
                <w:szCs w:val="21"/>
                <w:lang w:val="en-US" w:eastAsia="zh-CN" w:bidi="ar"/>
              </w:rPr>
              <w:t>投标人具备省级住房和城乡住建部门颁发的有效的《安全生产许可证》（许可范围：建筑施工），并可通过全国工程质量安全监管信息平台公共服务门户 （https://zlaq.mohurd.gov.cn/fwmh/bjxcjgl/fwmh/pages/construction_safety/qyaqscxkz/qyaqscxkz.html）或行政主管部门网站核实。投标时需提供原件扫描件（原件备查）。</w:t>
            </w:r>
          </w:p>
          <w:p w14:paraId="5DAB9B15">
            <w:pPr>
              <w:pStyle w:val="6"/>
              <w:numPr>
                <w:ilvl w:val="0"/>
                <w:numId w:val="0"/>
              </w:numPr>
              <w:rPr>
                <w:rFonts w:hint="eastAsia" w:ascii="宋体" w:hAnsi="宋体" w:cs="宋体" w:eastAsiaTheme="minorEastAsia"/>
                <w:color w:val="000000"/>
                <w:kern w:val="0"/>
                <w:sz w:val="22"/>
                <w:szCs w:val="21"/>
                <w:lang w:val="en-US" w:eastAsia="zh-CN" w:bidi="ar"/>
              </w:rPr>
            </w:pPr>
            <w:r>
              <w:rPr>
                <w:rFonts w:hint="eastAsia" w:ascii="宋体" w:hAnsi="宋体" w:cs="宋体"/>
                <w:color w:val="000000"/>
                <w:kern w:val="0"/>
                <w:sz w:val="22"/>
                <w:szCs w:val="21"/>
                <w:lang w:val="en-US" w:eastAsia="zh-CN" w:bidi="ar"/>
              </w:rPr>
              <w:t>2）</w:t>
            </w:r>
            <w:r>
              <w:rPr>
                <w:rFonts w:hint="eastAsia" w:ascii="宋体" w:hAnsi="宋体" w:cs="宋体" w:eastAsiaTheme="minorEastAsia"/>
                <w:color w:val="000000"/>
                <w:kern w:val="0"/>
                <w:sz w:val="22"/>
                <w:szCs w:val="21"/>
                <w:lang w:val="en-US" w:eastAsia="zh-CN" w:bidi="ar"/>
              </w:rPr>
              <w:t>投标人应具备中华人民共和国住房和城乡建设部颁发的有效的①钢结构工程专业承包资质三级或以上资质或②建筑机电安装工程专业承包三级或以上资质或③海洋石油工程专业承包资质二级或以上资质，应可在中华人民共和国住房和城乡建设部网站（https://jzsc.mohurd.gov.cn/）或国家其他官方网站核实。投标时需提供原件扫描件（原件备查）。</w:t>
            </w:r>
          </w:p>
          <w:p w14:paraId="5A4A8C83">
            <w:pPr>
              <w:pStyle w:val="6"/>
              <w:numPr>
                <w:ilvl w:val="0"/>
                <w:numId w:val="0"/>
              </w:numPr>
              <w:rPr>
                <w:rFonts w:hint="default" w:ascii="宋体" w:hAnsi="宋体" w:cs="宋体"/>
                <w:color w:val="FF0000"/>
                <w:kern w:val="0"/>
                <w:sz w:val="22"/>
                <w:szCs w:val="21"/>
                <w:lang w:val="en-US" w:eastAsia="zh-CN" w:bidi="ar"/>
              </w:rPr>
            </w:pPr>
            <w:r>
              <w:rPr>
                <w:rFonts w:hint="eastAsia" w:ascii="宋体" w:hAnsi="宋体" w:cs="宋体"/>
                <w:color w:val="000000"/>
                <w:kern w:val="0"/>
                <w:sz w:val="22"/>
                <w:szCs w:val="21"/>
                <w:lang w:val="en-US" w:eastAsia="zh-CN" w:bidi="ar"/>
              </w:rPr>
              <w:t>3）</w:t>
            </w:r>
            <w:r>
              <w:rPr>
                <w:rFonts w:hint="eastAsia" w:ascii="宋体" w:hAnsi="宋体" w:cs="宋体" w:eastAsiaTheme="minorEastAsia"/>
                <w:color w:val="000000"/>
                <w:kern w:val="0"/>
                <w:sz w:val="22"/>
                <w:szCs w:val="21"/>
                <w:lang w:val="en-US" w:eastAsia="zh-CN" w:bidi="ar"/>
              </w:rPr>
              <w:t>效期内的施工劳务(备案事项)不分等级资质证书。应可在在广东省建设行业数据开放平台（https://skypt.gdcic.net）网站核实或在全国建筑市场监管公共服务平台(https://jzsc.mohurd.gov.cn/home) 网站核实。</w:t>
            </w:r>
          </w:p>
        </w:tc>
      </w:tr>
      <w:tr w14:paraId="69519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14:paraId="7C492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CAC4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资格条件</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14:paraId="3FAED243">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eastAsia" w:ascii="宋体" w:hAnsi="宋体" w:eastAsia="宋体" w:cs="宋体"/>
                <w:i w:val="0"/>
                <w:iCs w:val="0"/>
                <w:color w:val="000000"/>
                <w:sz w:val="18"/>
                <w:szCs w:val="18"/>
                <w:u w:val="none"/>
              </w:rPr>
            </w:pPr>
            <w:r>
              <w:rPr>
                <w:rFonts w:hint="eastAsia" w:ascii="宋体" w:hAnsi="宋体" w:cs="宋体"/>
                <w:color w:val="000000"/>
                <w:szCs w:val="21"/>
                <w:lang w:val="en-US" w:eastAsia="zh-CN" w:bidi="ar"/>
              </w:rPr>
              <w:t>★体系认证要求：投标人须提供有效期内的质量管理体系认证（GB/T19001-2016 idt ISO9001:2015）、环境管理体系认证（GB/T 24001-2016 idt ISO14001:2015）、职业健康安全管理体系认证（ GB/T45001-2020 idt ISO45001:2018）并可在（http://www.cnca.gov.cn）网站核实。如果有国家相关部门发布的最新体系标准，以最新体系标准为准。</w:t>
            </w:r>
          </w:p>
        </w:tc>
      </w:tr>
      <w:tr w14:paraId="56FF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02" w:type="dxa"/>
            <w:vMerge w:val="continue"/>
            <w:tcBorders>
              <w:left w:val="single" w:color="auto" w:sz="4" w:space="0"/>
              <w:right w:val="single" w:color="000000" w:sz="4" w:space="0"/>
            </w:tcBorders>
            <w:shd w:val="clear" w:color="auto" w:fill="FFFFFF"/>
            <w:vAlign w:val="center"/>
          </w:tcPr>
          <w:p w14:paraId="4E8D5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337"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6E93F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业绩要求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bottom"/>
          </w:tcPr>
          <w:p w14:paraId="1BEFB5DD">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default" w:ascii="宋体" w:hAnsi="宋体" w:cs="宋体"/>
                <w:color w:val="000000"/>
                <w:szCs w:val="21"/>
                <w:lang w:val="en-US" w:eastAsia="zh-CN" w:bidi="ar"/>
              </w:rPr>
            </w:pPr>
            <w:r>
              <w:rPr>
                <w:rFonts w:hint="default" w:ascii="宋体" w:hAnsi="宋体" w:cs="宋体"/>
                <w:color w:val="000000"/>
                <w:szCs w:val="21"/>
                <w:lang w:val="en-US" w:eastAsia="zh-CN" w:bidi="ar"/>
              </w:rPr>
              <w:t>（1）202</w:t>
            </w:r>
            <w:r>
              <w:rPr>
                <w:rFonts w:hint="eastAsia" w:ascii="宋体" w:hAnsi="宋体" w:cs="宋体"/>
                <w:color w:val="000000"/>
                <w:szCs w:val="21"/>
                <w:lang w:val="en-US" w:eastAsia="zh-CN" w:bidi="ar"/>
              </w:rPr>
              <w:t>3</w:t>
            </w:r>
            <w:r>
              <w:rPr>
                <w:rFonts w:hint="default" w:ascii="宋体" w:hAnsi="宋体" w:cs="宋体"/>
                <w:color w:val="000000"/>
                <w:szCs w:val="21"/>
                <w:lang w:val="en-US" w:eastAsia="zh-CN" w:bidi="ar"/>
              </w:rPr>
              <w:t>年1月1日至投标截止日（以合同签署时间为准），投标人应具有</w:t>
            </w:r>
            <w:r>
              <w:rPr>
                <w:rFonts w:hint="eastAsia" w:ascii="宋体" w:hAnsi="宋体" w:cs="宋体"/>
                <w:color w:val="000000"/>
                <w:szCs w:val="21"/>
                <w:lang w:val="en-US" w:eastAsia="zh-CN" w:bidi="ar"/>
              </w:rPr>
              <w:t>1</w:t>
            </w:r>
            <w:r>
              <w:rPr>
                <w:rFonts w:hint="default" w:ascii="宋体" w:hAnsi="宋体" w:cs="宋体"/>
                <w:color w:val="000000"/>
                <w:szCs w:val="21"/>
                <w:lang w:val="en-US" w:eastAsia="zh-CN" w:bidi="ar"/>
              </w:rPr>
              <w:t>个合同的防腐</w:t>
            </w:r>
            <w:r>
              <w:rPr>
                <w:rFonts w:hint="eastAsia" w:ascii="宋体" w:hAnsi="宋体" w:cs="宋体"/>
                <w:color w:val="000000"/>
                <w:szCs w:val="21"/>
                <w:lang w:val="en-US" w:eastAsia="zh-CN" w:bidi="ar"/>
              </w:rPr>
              <w:t>作业</w:t>
            </w:r>
            <w:r>
              <w:rPr>
                <w:rFonts w:hint="default" w:ascii="宋体" w:hAnsi="宋体" w:cs="宋体"/>
                <w:color w:val="000000"/>
                <w:szCs w:val="21"/>
                <w:lang w:val="en-US" w:eastAsia="zh-CN" w:bidi="ar"/>
              </w:rPr>
              <w:t>服务业绩，并提供相应业绩证明文件。</w:t>
            </w:r>
          </w:p>
          <w:p w14:paraId="7779156F">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eastAsia" w:ascii="宋体" w:hAnsi="宋体" w:cs="宋体"/>
                <w:color w:val="000000"/>
                <w:szCs w:val="21"/>
                <w:lang w:val="en-US" w:eastAsia="zh-CN" w:bidi="ar"/>
              </w:rPr>
            </w:pPr>
            <w:r>
              <w:rPr>
                <w:rFonts w:hint="eastAsia" w:ascii="宋体" w:hAnsi="宋体" w:cs="宋体"/>
                <w:color w:val="000000"/>
                <w:szCs w:val="21"/>
                <w:lang w:val="en-US" w:eastAsia="zh-CN" w:bidi="ar"/>
              </w:rPr>
              <w:t>（2）投标人提供的业绩证明文件应包括：1）合同 和 2）服务验收证明材料（可体现为1)甲方盖章或签署的验收合格证明或2)甲方盖章或签署的结算清单或结算书 或3)发票），投标人所提交的业绩证明文件必须至少体现以下内容：合同首页、合同签署页（具有签字或盖章）、合同签署时间、服务内容及服务验收证明材料。 
</w:t>
            </w:r>
          </w:p>
          <w:p w14:paraId="1E909038">
            <w:pPr>
              <w:keepNext w:val="0"/>
              <w:keepLines w:val="0"/>
              <w:pageBreakBefore w:val="0"/>
              <w:widowControl w:val="0"/>
              <w:kinsoku/>
              <w:overflowPunct/>
              <w:topLinePunct w:val="0"/>
              <w:autoSpaceDE/>
              <w:autoSpaceDN/>
              <w:bidi w:val="0"/>
              <w:adjustRightInd/>
              <w:spacing w:line="240" w:lineRule="auto"/>
              <w:jc w:val="both"/>
              <w:textAlignment w:val="auto"/>
              <w:outlineLvl w:val="0"/>
            </w:pPr>
            <w:r>
              <w:rPr>
                <w:rFonts w:hint="eastAsia" w:ascii="宋体" w:hAnsi="宋体" w:cs="宋体"/>
                <w:color w:val="000000"/>
                <w:szCs w:val="21"/>
                <w:lang w:val="en-US" w:eastAsia="zh-CN" w:bidi="ar"/>
              </w:rPr>
              <w:t>（3）若业绩合同为年度协议/框架协议/费率合同，除提供年度协议/框架协议/费率合同外，还应至少提供1个已完成服务的订单，订单内容或编号应与年度协议/框架协议/费率合同相关联。同一个年度协议/框架协议/费率合同下提供1个订单及与订单对应的服务验收证明材料均算为1个有效业绩。</w:t>
            </w:r>
            <w:r>
              <w:t>（4）未提供业绩证明文件或提供的业绩证明文件无法认定上述业绩要求的，视为无效业绩。</w:t>
            </w:r>
          </w:p>
          <w:p w14:paraId="0F29BAE7">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eastAsia" w:asciiTheme="minorHAnsi" w:hAnsiTheme="minorHAnsi" w:eastAsiaTheme="minorEastAsia" w:cstheme="minorBidi"/>
                <w:kern w:val="0"/>
                <w:sz w:val="22"/>
                <w:szCs w:val="22"/>
                <w:lang w:val="en-US" w:eastAsia="en-US" w:bidi="ar-SA"/>
              </w:rPr>
            </w:pPr>
            <w:r>
              <w:t>（5）业绩原件备查。</w:t>
            </w:r>
          </w:p>
        </w:tc>
      </w:tr>
      <w:tr w14:paraId="5E810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02" w:type="dxa"/>
            <w:vMerge w:val="continue"/>
            <w:tcBorders>
              <w:left w:val="single" w:color="auto" w:sz="4" w:space="0"/>
              <w:bottom w:val="single" w:color="auto" w:sz="4" w:space="0"/>
              <w:right w:val="single" w:color="000000" w:sz="4" w:space="0"/>
            </w:tcBorders>
            <w:shd w:val="clear" w:color="auto" w:fill="FFFFFF"/>
            <w:vAlign w:val="center"/>
          </w:tcPr>
          <w:p w14:paraId="0B72FB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337" w:type="dxa"/>
            <w:tcBorders>
              <w:top w:val="single" w:color="000000" w:sz="4" w:space="0"/>
              <w:left w:val="single" w:color="000000" w:sz="4" w:space="0"/>
              <w:bottom w:val="single" w:color="auto" w:sz="4" w:space="0"/>
              <w:right w:val="single" w:color="auto" w:sz="4" w:space="0"/>
            </w:tcBorders>
            <w:shd w:val="clear" w:color="auto" w:fill="FFFFFF"/>
            <w:vAlign w:val="center"/>
          </w:tcPr>
          <w:p w14:paraId="70992EC6">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财务要求</w:t>
            </w:r>
          </w:p>
        </w:tc>
        <w:tc>
          <w:tcPr>
            <w:tcW w:w="6032" w:type="dxa"/>
            <w:tcBorders>
              <w:top w:val="single" w:color="000000" w:sz="4" w:space="0"/>
              <w:left w:val="single" w:color="auto" w:sz="4" w:space="0"/>
              <w:bottom w:val="single" w:color="000000" w:sz="4" w:space="0"/>
              <w:right w:val="single" w:color="000000" w:sz="4" w:space="0"/>
            </w:tcBorders>
            <w:shd w:val="clear" w:color="auto" w:fill="auto"/>
            <w:vAlign w:val="center"/>
          </w:tcPr>
          <w:p w14:paraId="7356A223">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无</w:t>
            </w:r>
          </w:p>
        </w:tc>
      </w:tr>
    </w:tbl>
    <w:p w14:paraId="791C223A">
      <w:pPr>
        <w:keepNext w:val="0"/>
        <w:keepLines w:val="0"/>
        <w:pageBreakBefore w:val="0"/>
        <w:widowControl w:val="0"/>
        <w:kinsoku/>
        <w:overflowPunct/>
        <w:topLinePunct w:val="0"/>
        <w:autoSpaceDE/>
        <w:autoSpaceDN/>
        <w:bidi w:val="0"/>
        <w:adjustRightInd/>
        <w:spacing w:line="240" w:lineRule="auto"/>
        <w:jc w:val="both"/>
        <w:textAlignment w:val="auto"/>
        <w:outlineLvl w:val="0"/>
        <w:rPr>
          <w:rFonts w:hint="eastAsia" w:ascii="宋体" w:hAnsi="宋体" w:eastAsia="宋体" w:cs="宋体"/>
          <w:b w:val="0"/>
          <w:bCs w:val="0"/>
          <w:color w:val="auto"/>
          <w:kern w:val="44"/>
          <w:sz w:val="24"/>
          <w:szCs w:val="24"/>
          <w:highlight w:val="none"/>
          <w:lang w:val="en-US" w:eastAsia="zh-CN"/>
        </w:rPr>
      </w:pPr>
    </w:p>
    <w:p w14:paraId="77CE0CE5">
      <w:pPr>
        <w:pStyle w:val="6"/>
        <w:keepNext w:val="0"/>
        <w:keepLines w:val="0"/>
        <w:pageBreakBefore w:val="0"/>
        <w:widowControl w:val="0"/>
        <w:numPr>
          <w:ilvl w:val="0"/>
          <w:numId w:val="0"/>
        </w:numPr>
        <w:kinsoku/>
        <w:overflowPunct/>
        <w:topLinePunct w:val="0"/>
        <w:autoSpaceDE/>
        <w:autoSpaceDN/>
        <w:bidi w:val="0"/>
        <w:adjustRightInd/>
        <w:snapToGrid w:val="0"/>
        <w:textAlignment w:val="auto"/>
        <w:rPr>
          <w:rFonts w:hint="eastAsia"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2、其他</w:t>
      </w:r>
    </w:p>
    <w:p w14:paraId="4F482583">
      <w:pPr>
        <w:keepNext w:val="0"/>
        <w:keepLines w:val="0"/>
        <w:suppressLineNumbers w:val="0"/>
        <w:autoSpaceDE w:val="0"/>
        <w:autoSpaceDN/>
        <w:adjustRightInd w:val="0"/>
        <w:snapToGrid w:val="0"/>
        <w:spacing w:before="72" w:beforeLines="30" w:beforeAutospacing="0" w:after="72" w:afterLines="30" w:afterAutospacing="0" w:line="440" w:lineRule="exact"/>
        <w:ind w:left="220" w:leftChars="100" w:right="0" w:firstLine="436" w:firstLineChars="182"/>
        <w:rPr>
          <w:rFonts w:hint="default" w:eastAsiaTheme="minorEastAsia"/>
          <w:lang w:val="en-US" w:eastAsia="zh-CN"/>
        </w:rPr>
      </w:pPr>
      <w:r>
        <w:rPr>
          <w:rFonts w:hint="default" w:ascii="宋体" w:hAnsi="宋体" w:eastAsia="宋体" w:cs="宋体"/>
          <w:b w:val="0"/>
          <w:bCs w:val="0"/>
          <w:color w:val="auto"/>
          <w:kern w:val="44"/>
          <w:sz w:val="24"/>
          <w:szCs w:val="24"/>
          <w:highlight w:val="none"/>
          <w:lang w:val="en-US" w:eastAsia="zh-CN"/>
        </w:rPr>
        <w:t>付款方式：</w:t>
      </w:r>
      <w:r>
        <w:rPr>
          <w:rFonts w:hint="eastAsia" w:ascii="宋体" w:hAnsi="宋体" w:cs="宋体"/>
          <w:color w:val="000000"/>
          <w:szCs w:val="21"/>
          <w:lang w:bidi="ar"/>
        </w:rPr>
        <w:t>乙方完成本协议项下《服务</w:t>
      </w:r>
      <w:r>
        <w:rPr>
          <w:rFonts w:hint="eastAsia" w:ascii="宋体" w:hAnsi="宋体" w:cs="宋体"/>
          <w:color w:val="000000"/>
          <w:szCs w:val="21"/>
          <w:lang w:val="en-US" w:eastAsia="zh-CN" w:bidi="ar"/>
        </w:rPr>
        <w:t>通知单</w:t>
      </w:r>
      <w:bookmarkStart w:id="0" w:name="_GoBack"/>
      <w:bookmarkEnd w:id="0"/>
      <w:r>
        <w:rPr>
          <w:rFonts w:hint="eastAsia" w:ascii="宋体" w:hAnsi="宋体" w:cs="宋体"/>
          <w:color w:val="000000"/>
          <w:szCs w:val="21"/>
          <w:lang w:bidi="ar"/>
        </w:rPr>
        <w:t>》（订单）的具体工作、提交工作成果，且经甲方验收合格后，乙方向甲方提供有效增值税专用发票及相关支持文件（具体见甲方下达的《服务</w:t>
      </w:r>
      <w:r>
        <w:rPr>
          <w:rFonts w:hint="eastAsia" w:ascii="宋体" w:hAnsi="宋体" w:cs="宋体"/>
          <w:color w:val="000000"/>
          <w:szCs w:val="21"/>
          <w:lang w:val="en-US" w:eastAsia="zh-CN" w:bidi="ar"/>
        </w:rPr>
        <w:t>通知单</w:t>
      </w:r>
      <w:r>
        <w:rPr>
          <w:rFonts w:hint="eastAsia" w:ascii="宋体" w:hAnsi="宋体" w:cs="宋体"/>
          <w:color w:val="000000"/>
          <w:szCs w:val="21"/>
          <w:lang w:bidi="ar"/>
        </w:rPr>
        <w:t>（订单）》中约定的要求），甲方在收到有效增值税专用发票及相关支持文件并审核无误后【45】日内按结算价格标准向乙方支付当次服务全部费用。</w:t>
      </w:r>
    </w:p>
    <w:p w14:paraId="3FE9D1CF">
      <w:pPr>
        <w:pStyle w:val="6"/>
        <w:keepNext w:val="0"/>
        <w:keepLines w:val="0"/>
        <w:pageBreakBefore w:val="0"/>
        <w:widowControl w:val="0"/>
        <w:kinsoku/>
        <w:overflowPunct/>
        <w:topLinePunct w:val="0"/>
        <w:autoSpaceDE/>
        <w:autoSpaceDN/>
        <w:bidi w:val="0"/>
        <w:adjustRightInd/>
        <w:ind w:firstLine="660" w:firstLineChars="300"/>
        <w:jc w:val="left"/>
        <w:textAlignment w:val="auto"/>
        <w:rPr>
          <w:rFonts w:hint="default" w:ascii="宋体" w:hAnsi="宋体" w:cs="宋体" w:eastAsiaTheme="minorEastAsia"/>
          <w:color w:val="000000"/>
          <w:kern w:val="0"/>
          <w:sz w:val="22"/>
          <w:szCs w:val="21"/>
          <w:lang w:val="en-US" w:eastAsia="zh-CN" w:bidi="ar"/>
        </w:rPr>
      </w:pPr>
      <w:r>
        <w:rPr>
          <w:rFonts w:hint="default" w:ascii="宋体" w:hAnsi="宋体" w:cs="宋体" w:eastAsiaTheme="minorEastAsia"/>
          <w:color w:val="000000"/>
          <w:kern w:val="0"/>
          <w:sz w:val="22"/>
          <w:szCs w:val="21"/>
          <w:lang w:val="en-US" w:eastAsia="zh-CN" w:bidi="ar"/>
        </w:rPr>
        <w:t>合同签订策略</w:t>
      </w:r>
      <w:r>
        <w:rPr>
          <w:rFonts w:hint="eastAsia" w:ascii="宋体" w:hAnsi="宋体" w:cs="宋体" w:eastAsiaTheme="minorEastAsia"/>
          <w:color w:val="000000"/>
          <w:kern w:val="0"/>
          <w:sz w:val="22"/>
          <w:szCs w:val="21"/>
          <w:lang w:val="en-US" w:eastAsia="zh-CN" w:bidi="ar"/>
        </w:rPr>
        <w:t>为单</w:t>
      </w:r>
      <w:r>
        <w:rPr>
          <w:rFonts w:hint="eastAsia" w:ascii="宋体" w:hAnsi="宋体" w:cs="宋体"/>
          <w:color w:val="000000"/>
          <w:kern w:val="0"/>
          <w:sz w:val="22"/>
          <w:szCs w:val="21"/>
          <w:lang w:val="en-US" w:eastAsia="zh-CN" w:bidi="ar"/>
        </w:rPr>
        <w:t>个</w:t>
      </w:r>
      <w:r>
        <w:rPr>
          <w:rFonts w:hint="eastAsia" w:ascii="宋体" w:hAnsi="宋体" w:cs="宋体" w:eastAsiaTheme="minorEastAsia"/>
          <w:color w:val="000000"/>
          <w:kern w:val="0"/>
          <w:sz w:val="22"/>
          <w:szCs w:val="21"/>
          <w:lang w:val="en-US" w:eastAsia="zh-CN" w:bidi="ar"/>
        </w:rPr>
        <w:t>合同</w:t>
      </w:r>
      <w:r>
        <w:rPr>
          <w:rFonts w:hint="eastAsia" w:ascii="宋体" w:hAnsi="宋体" w:cs="宋体"/>
          <w:color w:val="000000"/>
          <w:kern w:val="0"/>
          <w:sz w:val="22"/>
          <w:szCs w:val="21"/>
          <w:lang w:val="en-US" w:eastAsia="zh-CN" w:bidi="ar"/>
        </w:rPr>
        <w:t>。</w:t>
      </w:r>
    </w:p>
    <w:p w14:paraId="528BB986">
      <w:pPr>
        <w:pStyle w:val="6"/>
        <w:keepNext w:val="0"/>
        <w:keepLines w:val="0"/>
        <w:pageBreakBefore w:val="0"/>
        <w:widowControl w:val="0"/>
        <w:kinsoku/>
        <w:overflowPunct/>
        <w:topLinePunct w:val="0"/>
        <w:autoSpaceDE/>
        <w:autoSpaceDN/>
        <w:bidi w:val="0"/>
        <w:adjustRightInd/>
        <w:ind w:firstLine="480" w:firstLineChars="200"/>
        <w:jc w:val="left"/>
        <w:textAlignment w:val="auto"/>
        <w:rPr>
          <w:rFonts w:hint="default" w:ascii="宋体" w:hAnsi="宋体" w:eastAsia="宋体" w:cs="宋体"/>
          <w:b w:val="0"/>
          <w:bCs w:val="0"/>
          <w:color w:val="auto"/>
          <w:kern w:val="44"/>
          <w:sz w:val="24"/>
          <w:szCs w:val="24"/>
          <w:highlight w:val="none"/>
          <w:lang w:val="en-US" w:eastAsia="zh-CN"/>
        </w:rPr>
      </w:pPr>
    </w:p>
    <w:p w14:paraId="520BA6D7">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480" w:lineRule="auto"/>
        <w:jc w:val="right"/>
        <w:textAlignment w:val="auto"/>
        <w:rPr>
          <w:rFonts w:hint="default"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 xml:space="preserve">编制人：（签字）                    </w:t>
      </w:r>
    </w:p>
    <w:p w14:paraId="316D335E">
      <w:pPr>
        <w:pStyle w:val="6"/>
        <w:keepNext w:val="0"/>
        <w:keepLines w:val="0"/>
        <w:pageBreakBefore w:val="0"/>
        <w:widowControl w:val="0"/>
        <w:numPr>
          <w:ilvl w:val="0"/>
          <w:numId w:val="0"/>
        </w:numPr>
        <w:kinsoku/>
        <w:wordWrap w:val="0"/>
        <w:overflowPunct/>
        <w:topLinePunct w:val="0"/>
        <w:autoSpaceDE/>
        <w:autoSpaceDN/>
        <w:bidi w:val="0"/>
        <w:adjustRightInd/>
        <w:snapToGrid w:val="0"/>
        <w:spacing w:line="480" w:lineRule="auto"/>
        <w:jc w:val="right"/>
        <w:textAlignment w:val="auto"/>
        <w:rPr>
          <w:rFonts w:hint="default" w:ascii="宋体" w:hAnsi="宋体" w:eastAsia="宋体" w:cs="宋体"/>
          <w:b w:val="0"/>
          <w:bCs w:val="0"/>
          <w:color w:val="auto"/>
          <w:kern w:val="44"/>
          <w:sz w:val="24"/>
          <w:szCs w:val="24"/>
          <w:highlight w:val="none"/>
          <w:lang w:val="en-US" w:eastAsia="zh-CN" w:bidi="ar-SA"/>
        </w:rPr>
      </w:pPr>
      <w:r>
        <w:rPr>
          <w:rFonts w:hint="eastAsia" w:ascii="宋体" w:hAnsi="宋体" w:eastAsia="宋体" w:cs="宋体"/>
          <w:b w:val="0"/>
          <w:bCs w:val="0"/>
          <w:color w:val="auto"/>
          <w:kern w:val="44"/>
          <w:sz w:val="24"/>
          <w:szCs w:val="24"/>
          <w:highlight w:val="none"/>
          <w:lang w:val="en-US" w:eastAsia="zh-CN" w:bidi="ar-SA"/>
        </w:rPr>
        <w:t xml:space="preserve">审核人：（签字）                    </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64F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81F92">
                          <w:pPr>
                            <w:pStyle w:val="6"/>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3</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F81F92">
                    <w:pPr>
                      <w:pStyle w:val="6"/>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3</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A12A2">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8F0DF"/>
    <w:multiLevelType w:val="singleLevel"/>
    <w:tmpl w:val="B008F0D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NGRjZWY2NzA3MzgyYzZmMjBhNzI3ZTYzNDI5NTMifQ=="/>
  </w:docVars>
  <w:rsids>
    <w:rsidRoot w:val="391A2985"/>
    <w:rsid w:val="02BA64F9"/>
    <w:rsid w:val="02D51EB9"/>
    <w:rsid w:val="0616478A"/>
    <w:rsid w:val="08AE69CD"/>
    <w:rsid w:val="09C71FDB"/>
    <w:rsid w:val="09DB6168"/>
    <w:rsid w:val="0CC84F02"/>
    <w:rsid w:val="149B0D5F"/>
    <w:rsid w:val="15262A88"/>
    <w:rsid w:val="17115DEE"/>
    <w:rsid w:val="1AD169C9"/>
    <w:rsid w:val="1C733CA9"/>
    <w:rsid w:val="1D3D7DFD"/>
    <w:rsid w:val="1DED42E2"/>
    <w:rsid w:val="224B228A"/>
    <w:rsid w:val="22546FB9"/>
    <w:rsid w:val="231D0753"/>
    <w:rsid w:val="233D1965"/>
    <w:rsid w:val="24E707BB"/>
    <w:rsid w:val="27F90F7F"/>
    <w:rsid w:val="29087430"/>
    <w:rsid w:val="2D531483"/>
    <w:rsid w:val="2E70466C"/>
    <w:rsid w:val="31182667"/>
    <w:rsid w:val="33B3216E"/>
    <w:rsid w:val="391A2985"/>
    <w:rsid w:val="399A7479"/>
    <w:rsid w:val="3F6C2198"/>
    <w:rsid w:val="424B5CC2"/>
    <w:rsid w:val="49591728"/>
    <w:rsid w:val="4B3C3F80"/>
    <w:rsid w:val="50B30689"/>
    <w:rsid w:val="539F1261"/>
    <w:rsid w:val="564A69D7"/>
    <w:rsid w:val="57911C2D"/>
    <w:rsid w:val="5A817A70"/>
    <w:rsid w:val="5B78387C"/>
    <w:rsid w:val="5B995C03"/>
    <w:rsid w:val="5D1742B2"/>
    <w:rsid w:val="608A69F1"/>
    <w:rsid w:val="63E62E8E"/>
    <w:rsid w:val="645601F9"/>
    <w:rsid w:val="673821B7"/>
    <w:rsid w:val="67D02881"/>
    <w:rsid w:val="6827036C"/>
    <w:rsid w:val="6A5A1768"/>
    <w:rsid w:val="6FA31ECE"/>
    <w:rsid w:val="7409326A"/>
    <w:rsid w:val="77BE454C"/>
    <w:rsid w:val="783E7800"/>
    <w:rsid w:val="7AC93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kern w:val="0"/>
      <w:sz w:val="22"/>
      <w:szCs w:val="22"/>
      <w:lang w:val="en-US" w:eastAsia="en-US"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qFormat/>
    <w:uiPriority w:val="1"/>
    <w:pPr>
      <w:ind w:firstLine="200" w:firstLineChars="200"/>
      <w:jc w:val="both"/>
    </w:pPr>
    <w:rPr>
      <w:rFonts w:ascii="Microsoft YaHei UI" w:hAnsi="Microsoft YaHei UI" w:eastAsia="Microsoft YaHei UI"/>
      <w:sz w:val="21"/>
      <w:szCs w:val="21"/>
    </w:rPr>
  </w:style>
  <w:style w:type="paragraph" w:styleId="4">
    <w:name w:val="Body Text Indent"/>
    <w:basedOn w:val="1"/>
    <w:next w:val="5"/>
    <w:unhideWhenUsed/>
    <w:qFormat/>
    <w:uiPriority w:val="0"/>
    <w:pPr>
      <w:spacing w:after="120"/>
      <w:ind w:left="420" w:leftChars="200"/>
    </w:pPr>
  </w:style>
  <w:style w:type="paragraph" w:styleId="5">
    <w:name w:val="envelope return"/>
    <w:basedOn w:val="1"/>
    <w:qFormat/>
    <w:uiPriority w:val="0"/>
    <w:pPr>
      <w:snapToGrid w:val="0"/>
    </w:pPr>
    <w:rPr>
      <w:rFonts w:ascii="Arial" w:hAnsi="Arial" w:eastAsia="等线" w:cs="等线"/>
    </w:r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4"/>
    <w:qFormat/>
    <w:uiPriority w:val="0"/>
    <w:pPr>
      <w:widowControl w:val="0"/>
      <w:spacing w:after="120"/>
      <w:ind w:left="420" w:leftChars="200" w:firstLine="420" w:firstLineChars="200"/>
      <w:jc w:val="both"/>
    </w:pPr>
    <w:rPr>
      <w:rFonts w:ascii="Times New Roman" w:hAnsi="Times New Roman" w:eastAsia="宋体" w:cs="Times New Roman"/>
      <w:kern w:val="2"/>
      <w:sz w:val="21"/>
      <w:szCs w:val="21"/>
      <w:lang w:val="en-US" w:eastAsia="zh-CN" w:bidi="ar-SA"/>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2">
    <w:name w:val="Strong"/>
    <w:basedOn w:val="11"/>
    <w:qFormat/>
    <w:uiPriority w:val="0"/>
    <w:rPr>
      <w:b/>
    </w:rPr>
  </w:style>
  <w:style w:type="paragraph" w:customStyle="1" w:styleId="13">
    <w:name w:val="WPSOffice手动目录 1"/>
    <w:qFormat/>
    <w:uiPriority w:val="0"/>
    <w:rPr>
      <w:rFonts w:asciiTheme="minorHAnsi" w:hAnsiTheme="minorHAnsi" w:eastAsiaTheme="minorEastAsia" w:cstheme="minorBidi"/>
      <w:lang w:val="en-US" w:eastAsia="zh-CN" w:bidi="ar-SA"/>
    </w:rPr>
  </w:style>
  <w:style w:type="paragraph" w:customStyle="1" w:styleId="14">
    <w:name w:val="前言、引言标题"/>
    <w:next w:val="1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1288</Words>
  <Characters>1572</Characters>
  <Lines>0</Lines>
  <Paragraphs>0</Paragraphs>
  <TotalTime>0</TotalTime>
  <ScaleCrop>false</ScaleCrop>
  <LinksUpToDate>false</LinksUpToDate>
  <CharactersWithSpaces>1626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2024-04-23T01:38:00Z</dcterms:created>
  <dc:creator>辛俊</dc:creator>
  <cp:lastModifiedBy>黄埔岚°</cp:lastModifiedBy>
  <cp:lastPrinted>2026-03-30T12:21:08Z</cp:lastPrinted>
  <dcterms:modified xsi:type="dcterms:W3CDTF">2026-03-30T12:21:16Z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91C67236DB1E408B866EA979F27304DB_13</vt:lpwstr>
  </property>
  <property fmtid="{D5CDD505-2E9C-101B-9397-08002B2CF9AE}" pid="4" name="KSOTemplateDocerSaveRecord">
    <vt:lpwstr>eyJoZGlkIjoiNWRiN2EzOTIwNTFkMWRjYjlhM2M2MjEwMTAzOTAyMTAiLCJ1c2VySWQiOiI4NDY5MTgxMzkifQ==</vt:lpwstr>
  </property>
</Properties>
</file>