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bookmarkStart w:id="0" w:name="_Toc13248927"/>
      <w:bookmarkStart w:id="1" w:name="_Toc13249324"/>
      <w:r>
        <w:rPr>
          <w:rFonts w:ascii="微软雅黑" w:hAnsi="微软雅黑" w:eastAsia="微软雅黑" w:cs="Times New Roman"/>
          <w:bCs/>
          <w:color w:val="auto"/>
          <w:sz w:val="32"/>
          <w:szCs w:val="32"/>
          <w:highlight w:val="none"/>
        </w:rPr>
        <w:t>项目概况及总体要求</w:t>
      </w:r>
      <w:bookmarkEnd w:id="0"/>
      <w:bookmarkEnd w:id="1"/>
    </w:p>
    <w:p>
      <w:pPr>
        <w:shd w:val="clear"/>
        <w:spacing w:before="2" w:line="100" w:lineRule="exact"/>
        <w:rPr>
          <w:rFonts w:ascii="微软雅黑" w:hAnsi="微软雅黑" w:eastAsia="微软雅黑"/>
          <w:color w:val="auto"/>
          <w:sz w:val="10"/>
          <w:szCs w:val="10"/>
          <w:highlight w:val="none"/>
          <w:lang w:eastAsia="zh-CN"/>
        </w:rPr>
      </w:pPr>
    </w:p>
    <w:p>
      <w:pPr>
        <w:pStyle w:val="49"/>
        <w:shd w:val="clear"/>
        <w:spacing w:before="120" w:after="120"/>
        <w:ind w:firstLine="420" w:firstLineChars="200"/>
        <w:jc w:val="left"/>
        <w:outlineLvl w:val="0"/>
        <w:rPr>
          <w:rFonts w:hint="eastAsia" w:ascii="微软雅黑" w:hAnsi="微软雅黑" w:eastAsia="微软雅黑" w:cs="Times New Roman"/>
          <w:bCs/>
          <w:color w:val="auto"/>
          <w:sz w:val="21"/>
          <w:szCs w:val="21"/>
          <w:highlight w:val="none"/>
          <w:lang w:val="en-US" w:eastAsia="zh-CN"/>
        </w:rPr>
      </w:pPr>
      <w:bookmarkStart w:id="2" w:name="_Toc13248928"/>
      <w:bookmarkStart w:id="3" w:name="_Toc13249325"/>
      <w:bookmarkStart w:id="4" w:name="OLE_LINK1"/>
      <w:r>
        <w:rPr>
          <w:rFonts w:hint="eastAsia" w:ascii="微软雅黑" w:hAnsi="微软雅黑" w:eastAsia="微软雅黑" w:cs="Times New Roman"/>
          <w:bCs/>
          <w:color w:val="auto"/>
          <w:sz w:val="21"/>
          <w:szCs w:val="21"/>
          <w:highlight w:val="none"/>
          <w:lang w:val="en-US" w:eastAsia="zh-CN"/>
        </w:rPr>
        <w:t>平台秤是化工企业生产流程中物料计量管控的核心关键设备。为进一步提升生产过程称重计量精度，强化物料数据实时管控效能与全流程溯源管理能力，拟在破乳剂车间配置 7 台平台秤，具体方案如下：在 R1001A、B、C，R1002A、B、R2001 及加碱区新增6台平台秤；对 R2003 釜原有 1 台平台秤进行更换，该原有设备量程为 1.5 吨，现已无法满足现场实际生产使用要求。</w:t>
      </w:r>
    </w:p>
    <w:p>
      <w:pPr>
        <w:pStyle w:val="49"/>
        <w:shd w:val="clear"/>
        <w:spacing w:before="120" w:after="120"/>
        <w:ind w:firstLine="420" w:firstLineChars="200"/>
        <w:jc w:val="left"/>
        <w:outlineLvl w:val="0"/>
        <w:rPr>
          <w:rFonts w:hint="eastAsia" w:ascii="微软雅黑" w:hAnsi="微软雅黑" w:eastAsia="微软雅黑" w:cs="Times New Roman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Times New Roman"/>
          <w:bCs/>
          <w:color w:val="auto"/>
          <w:sz w:val="21"/>
          <w:szCs w:val="21"/>
          <w:highlight w:val="none"/>
          <w:lang w:val="en-US" w:eastAsia="zh-CN"/>
        </w:rPr>
        <w:t>本次新增及更换的平台秤，需具备接入 DCS 系统的条件，确保中控岗位人员可实时监控物料重量数据，实现生产数据全链条完整追溯，有效降低人工操作带来的计量误差，保障生产工况平稳安全运行，全面提升车间物料管控精细化水平与生产自动化程度。基于上述生产实际需求，现提出南港化工厂平台秤购置及安装项目申请。</w:t>
      </w:r>
    </w:p>
    <w:p>
      <w:pPr>
        <w:pStyle w:val="49"/>
        <w:shd w:val="clear"/>
        <w:spacing w:before="120" w:after="120"/>
        <w:ind w:firstLine="420" w:firstLineChars="200"/>
        <w:jc w:val="left"/>
        <w:outlineLvl w:val="0"/>
        <w:rPr>
          <w:rFonts w:hint="eastAsia" w:ascii="微软雅黑" w:hAnsi="微软雅黑" w:eastAsia="微软雅黑" w:cs="Times New Roman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Times New Roman"/>
          <w:bCs/>
          <w:color w:val="auto"/>
          <w:sz w:val="21"/>
          <w:szCs w:val="21"/>
          <w:highlight w:val="none"/>
          <w:lang w:val="en-US" w:eastAsia="zh-CN"/>
        </w:rPr>
        <w:t>标准应用情况概述：引用GB/T 7724—2023《电子称重仪表》5.1.6 置零和除皮准确度：置零或除皮后,置零装置和除皮装置对称量结果的影响应小于±0.25eind,对于多分度仪表应为±0.25eind1。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ascii="微软雅黑" w:hAnsi="微软雅黑" w:eastAsia="微软雅黑" w:cs="Times New Roman"/>
          <w:bCs/>
          <w:color w:val="auto"/>
          <w:sz w:val="32"/>
          <w:szCs w:val="32"/>
          <w:highlight w:val="none"/>
        </w:rPr>
        <w:t>需求一览表</w:t>
      </w:r>
      <w:bookmarkEnd w:id="2"/>
      <w:bookmarkEnd w:id="3"/>
    </w:p>
    <w:p>
      <w:pPr>
        <w:pStyle w:val="11"/>
        <w:numPr>
          <w:ilvl w:val="0"/>
          <w:numId w:val="3"/>
        </w:numPr>
        <w:shd w:val="clear"/>
        <w:spacing w:line="257" w:lineRule="auto"/>
        <w:ind w:left="845" w:leftChars="0" w:right="122" w:hanging="425" w:firstLineChars="0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需求一览表</w:t>
      </w:r>
    </w:p>
    <w:tbl>
      <w:tblPr>
        <w:tblStyle w:val="28"/>
        <w:tblW w:w="7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656"/>
        <w:gridCol w:w="1613"/>
        <w:gridCol w:w="1613"/>
        <w:gridCol w:w="113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941" w:type="dxa"/>
            <w:shd w:val="clear" w:color="auto" w:fill="auto"/>
            <w:vAlign w:val="center"/>
          </w:tcPr>
          <w:p>
            <w:pPr>
              <w:pStyle w:val="5"/>
              <w:shd w:val="clear"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pStyle w:val="5"/>
              <w:shd w:val="clear"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  <w:t>物资名称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pStyle w:val="5"/>
              <w:shd w:val="clear"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  <w:lang w:val="en-US" w:eastAsia="zh-CN"/>
              </w:rPr>
              <w:t>类别编码/物资编码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pStyle w:val="5"/>
              <w:shd w:val="clear"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  <w:t>规格</w:t>
            </w: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  <w:lang w:val="en-US" w:eastAsia="zh-CN"/>
              </w:rPr>
              <w:t>参数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pStyle w:val="5"/>
              <w:shd w:val="clear"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  <w:t>数量</w:t>
            </w:r>
          </w:p>
        </w:tc>
        <w:tc>
          <w:tcPr>
            <w:tcW w:w="1036" w:type="dxa"/>
            <w:shd w:val="clear" w:color="auto" w:fill="auto"/>
            <w:vAlign w:val="center"/>
          </w:tcPr>
          <w:p>
            <w:pPr>
              <w:pStyle w:val="5"/>
              <w:shd w:val="clear"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41" w:type="dxa"/>
            <w:shd w:val="clear" w:color="auto" w:fill="auto"/>
            <w:vAlign w:val="center"/>
          </w:tcPr>
          <w:p>
            <w:pPr>
              <w:pStyle w:val="5"/>
              <w:shd w:val="clear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kern w:val="2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pStyle w:val="5"/>
              <w:shd w:val="clear"/>
              <w:tabs>
                <w:tab w:val="left" w:pos="540"/>
              </w:tabs>
              <w:ind w:left="0" w:leftChars="0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2吨防爆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智能数显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平台秤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pStyle w:val="5"/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  <w:lang w:val="en-US" w:eastAsia="zh-CN"/>
              </w:rPr>
              <w:t>A402835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240" w:lineRule="auto"/>
              <w:ind w:left="0" w:left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详见技术文件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pStyle w:val="5"/>
              <w:shd w:val="clear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036" w:type="dxa"/>
            <w:shd w:val="clear" w:color="auto" w:fill="auto"/>
            <w:vAlign w:val="center"/>
          </w:tcPr>
          <w:p>
            <w:pPr>
              <w:pStyle w:val="5"/>
              <w:shd w:val="clear"/>
              <w:jc w:val="center"/>
              <w:rPr>
                <w:rFonts w:hint="eastAsia" w:ascii="微软雅黑" w:hAnsi="微软雅黑" w:eastAsia="微软雅黑" w:cs="微软雅黑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41" w:type="dxa"/>
            <w:shd w:val="clear" w:color="auto" w:fill="auto"/>
            <w:vAlign w:val="center"/>
          </w:tcPr>
          <w:p>
            <w:pPr>
              <w:pStyle w:val="5"/>
              <w:shd w:val="clear"/>
              <w:tabs>
                <w:tab w:val="left" w:pos="540"/>
              </w:tabs>
              <w:ind w:left="0" w:left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shd w:val="clear"/>
              <w:tabs>
                <w:tab w:val="left" w:pos="540"/>
              </w:tabs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3吨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防爆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智能数显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平台秤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pStyle w:val="5"/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  <w:lang w:val="en-US" w:eastAsia="zh-CN"/>
              </w:rPr>
              <w:t>A402835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widowControl/>
              <w:shd w:val="clear"/>
              <w:spacing w:line="24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详见技术文件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pStyle w:val="5"/>
              <w:shd w:val="clear"/>
              <w:tabs>
                <w:tab w:val="left" w:pos="540"/>
              </w:tabs>
              <w:ind w:left="0" w:left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036" w:type="dxa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941" w:type="dxa"/>
            <w:shd w:val="clear" w:color="auto" w:fill="auto"/>
            <w:vAlign w:val="center"/>
          </w:tcPr>
          <w:p>
            <w:pPr>
              <w:pStyle w:val="5"/>
              <w:shd w:val="clear"/>
              <w:tabs>
                <w:tab w:val="left" w:pos="540"/>
              </w:tabs>
              <w:ind w:left="0" w:left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56" w:type="dxa"/>
            <w:shd w:val="clear" w:color="auto" w:fill="auto"/>
            <w:vAlign w:val="center"/>
          </w:tcPr>
          <w:p>
            <w:pPr>
              <w:pStyle w:val="5"/>
              <w:shd w:val="clear"/>
              <w:tabs>
                <w:tab w:val="left" w:pos="540"/>
              </w:tabs>
              <w:ind w:left="0" w:left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30KG防爆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智能数显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平台秤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</w:rPr>
              <w:t>秤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pStyle w:val="5"/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0"/>
                <w:sz w:val="18"/>
                <w:szCs w:val="18"/>
                <w:highlight w:val="none"/>
                <w:lang w:val="en-US" w:eastAsia="zh-CN"/>
              </w:rPr>
              <w:t>A402835</w:t>
            </w:r>
          </w:p>
        </w:tc>
        <w:tc>
          <w:tcPr>
            <w:tcW w:w="1613" w:type="dxa"/>
            <w:shd w:val="clear" w:color="auto" w:fill="auto"/>
            <w:vAlign w:val="center"/>
          </w:tcPr>
          <w:p>
            <w:pPr>
              <w:widowControl/>
              <w:shd w:val="clear"/>
              <w:spacing w:line="24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详见技术文件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pStyle w:val="5"/>
              <w:shd w:val="clear"/>
              <w:tabs>
                <w:tab w:val="left" w:pos="540"/>
              </w:tabs>
              <w:ind w:left="0" w:leftChars="0"/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036" w:type="dxa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套</w:t>
            </w:r>
          </w:p>
        </w:tc>
      </w:tr>
    </w:tbl>
    <w:p>
      <w:pPr>
        <w:pStyle w:val="11"/>
        <w:numPr>
          <w:ilvl w:val="0"/>
          <w:numId w:val="3"/>
        </w:numPr>
        <w:shd w:val="clear"/>
        <w:spacing w:line="257" w:lineRule="auto"/>
        <w:ind w:left="845" w:leftChars="0" w:right="122" w:hanging="425" w:firstLineChars="0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bookmarkStart w:id="5" w:name="_Toc13248929"/>
      <w:bookmarkStart w:id="6" w:name="_Toc13249326"/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交货期限：合同签订后，3个月内完成供货及安装调试工作</w:t>
      </w:r>
    </w:p>
    <w:p>
      <w:pPr>
        <w:pStyle w:val="11"/>
        <w:numPr>
          <w:ilvl w:val="0"/>
          <w:numId w:val="3"/>
        </w:numPr>
        <w:shd w:val="clear"/>
        <w:spacing w:line="257" w:lineRule="auto"/>
        <w:ind w:left="845" w:leftChars="0" w:right="122" w:hanging="425" w:firstLineChars="0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交货地点：中海油（天津）油田化工有限公司南港化工厂（</w:t>
      </w:r>
      <w:r>
        <w:rPr>
          <w:rFonts w:hint="eastAsia" w:ascii="微软雅黑" w:hAnsi="微软雅黑" w:eastAsia="微软雅黑"/>
          <w:color w:val="auto"/>
          <w:highlight w:val="none"/>
          <w:lang w:eastAsia="zh-CN"/>
        </w:rPr>
        <w:t>天津经济技术开发区南港工业区泰汇</w:t>
      </w:r>
      <w:bookmarkStart w:id="9" w:name="_GoBack"/>
      <w:bookmarkEnd w:id="9"/>
      <w:r>
        <w:rPr>
          <w:rFonts w:hint="eastAsia" w:ascii="微软雅黑" w:hAnsi="微软雅黑" w:eastAsia="微软雅黑"/>
          <w:color w:val="auto"/>
          <w:highlight w:val="none"/>
          <w:lang w:eastAsia="zh-CN"/>
        </w:rPr>
        <w:t>道6号</w:t>
      </w: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）</w:t>
      </w:r>
    </w:p>
    <w:p>
      <w:pPr>
        <w:pStyle w:val="11"/>
        <w:numPr>
          <w:ilvl w:val="0"/>
          <w:numId w:val="3"/>
        </w:numPr>
        <w:shd w:val="clear"/>
        <w:spacing w:line="257" w:lineRule="auto"/>
        <w:ind w:left="845" w:leftChars="0" w:right="122" w:hanging="425" w:firstLineChars="0"/>
        <w:rPr>
          <w:rFonts w:hint="eastAsia" w:ascii="微软雅黑" w:hAnsi="微软雅黑" w:eastAsia="微软雅黑"/>
          <w:color w:val="auto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highlight w:val="yellow"/>
          <w:lang w:val="en-US" w:eastAsia="zh-CN" w:bidi="ar-SA"/>
        </w:rPr>
        <w:t>应答时承诺本次销售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yellow"/>
        </w:rPr>
        <w:t>防爆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yellow"/>
          <w:lang w:val="en-US" w:eastAsia="zh-CN"/>
        </w:rPr>
        <w:t>智能数显</w:t>
      </w:r>
      <w:r>
        <w:rPr>
          <w:rFonts w:hint="eastAsia" w:ascii="微软雅黑" w:hAnsi="微软雅黑" w:eastAsia="微软雅黑" w:cs="Times New Roman"/>
          <w:b w:val="0"/>
          <w:bCs w:val="0"/>
          <w:color w:val="auto"/>
          <w:sz w:val="21"/>
          <w:szCs w:val="21"/>
          <w:highlight w:val="yellow"/>
          <w:lang w:val="en-US" w:eastAsia="zh-CN"/>
        </w:rPr>
        <w:t>平台秤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highlight w:val="yellow"/>
          <w:lang w:val="en-US" w:eastAsia="zh-CN" w:bidi="ar-SA"/>
        </w:rPr>
        <w:t>为原厂制造全新的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yellow"/>
        </w:rPr>
        <w:t>防爆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yellow"/>
          <w:lang w:val="en-US" w:eastAsia="zh-CN"/>
        </w:rPr>
        <w:t>智能数显</w:t>
      </w:r>
      <w:r>
        <w:rPr>
          <w:rFonts w:hint="eastAsia" w:ascii="微软雅黑" w:hAnsi="微软雅黑" w:eastAsia="微软雅黑" w:cs="Times New Roman"/>
          <w:b w:val="0"/>
          <w:bCs w:val="0"/>
          <w:color w:val="auto"/>
          <w:sz w:val="21"/>
          <w:szCs w:val="21"/>
          <w:highlight w:val="yellow"/>
          <w:lang w:val="en-US" w:eastAsia="zh-CN"/>
        </w:rPr>
        <w:t>平台秤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highlight w:val="yellow"/>
          <w:lang w:val="en-US" w:eastAsia="zh-CN" w:bidi="ar-SA"/>
        </w:rPr>
        <w:t>，非拼装设备。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执行标准/规范</w:t>
      </w:r>
    </w:p>
    <w:p>
      <w:pPr>
        <w:pStyle w:val="5"/>
        <w:keepNext/>
        <w:keepLines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GB/T 7724-2023 电子称重仪表(部分引用)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技术要求</w:t>
      </w:r>
    </w:p>
    <w:p>
      <w:pPr>
        <w:pStyle w:val="11"/>
        <w:numPr>
          <w:ilvl w:val="0"/>
          <w:numId w:val="4"/>
        </w:numPr>
        <w:shd w:val="clear"/>
        <w:spacing w:line="257" w:lineRule="auto"/>
        <w:ind w:left="845" w:leftChars="0" w:right="122" w:hanging="425" w:firstLineChars="0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产品技术参数</w:t>
      </w:r>
    </w:p>
    <w:p>
      <w:pPr>
        <w:widowControl/>
        <w:numPr>
          <w:ilvl w:val="0"/>
          <w:numId w:val="5"/>
        </w:numPr>
        <w:shd w:val="clear"/>
        <w:tabs>
          <w:tab w:val="left" w:pos="540"/>
        </w:tabs>
        <w:spacing w:line="240" w:lineRule="auto"/>
        <w:ind w:left="0" w:leftChars="0" w:firstLine="420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</w:rPr>
        <w:t>2吨防爆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智能数显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</w:rPr>
        <w:t>平台秤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精度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  <w:t>0.2kg，最大称量2000kg，采用数字式称重传感器，传感器内部处理器实现A/D信号转换，无接线盒设计，能实时监测整秤和每个传感器的零点漂移、环境温度、过载频次和偏载峰值，实现故障预诊断。能够一键导入原厂标定数据。秤体具有自调整的不倒翁摇柱结构，框架式安装。平台秤尺寸1.5*1.5m，信号电缆长度10m，秤体材质304不锈钢材质，传感器：304不锈钢材质，防护等级不低于IP68，防爆等级不低于：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highlight w:val="none"/>
        </w:rPr>
        <w:t>Ex ec ⅡC T6 Gc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highlight w:val="none"/>
          <w:lang w:eastAsia="zh-CN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highlight w:val="none"/>
          <w:lang w:val="en-US" w:eastAsia="zh-CN"/>
        </w:rPr>
        <w:t>采用准确度为C10传感器，并提供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  <w:t>数字式称重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highlight w:val="none"/>
          <w:lang w:val="en-US" w:eastAsia="zh-CN"/>
        </w:rPr>
        <w:t>传感器相关计量器具型式批准证书，佐证传感器准确度为C10。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  <w:t>防爆称重显示仪表：防爆等级不低于：Ex db ec ia IIB T4 Gc;防护等级不低于：IP68；要求仪表和隔爆箱具备整体隔爆认证。具备清零、清皮、去皮等称重功能，可以从按键，DIO 或PLC 接口触发。;内部部件包含：薄膜键盘、安全栅、液晶背板、键盘转接板、称重仪表等；提供G1/2”防爆进线口。满足交流输入电源：额定电气参数：100-240 Va.c.，50Hz，0,2A ，Um=240V a.c.；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  <w:t>具备4-20MA 模拟量输出及RS485（ModbusRTU协议）通讯功能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  <w:t>与DCS（浙大中控）系统连接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实现数据传输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  <w:t>；配有平台秤安装支架。</w:t>
      </w:r>
    </w:p>
    <w:p>
      <w:pPr>
        <w:widowControl/>
        <w:numPr>
          <w:ilvl w:val="0"/>
          <w:numId w:val="5"/>
        </w:numPr>
        <w:shd w:val="clear"/>
        <w:tabs>
          <w:tab w:val="left" w:pos="540"/>
        </w:tabs>
        <w:spacing w:line="240" w:lineRule="auto"/>
        <w:ind w:left="0" w:leftChars="0" w:firstLine="420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</w:rPr>
        <w:t>吨防爆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智能数显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</w:rPr>
        <w:t>平台秤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精度0.5kg，最大称量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000kg，采用数字式称重传感器，传感器内部处理器实现A/D信号转换，无接线盒设计，能实时监测整秤和每个传感器的零点漂移、环境温度、过载频次和偏载峰值，实现故障预诊断。能够一键导入原厂标定数据。秤体具有自调整的不倒翁摇柱结构，框架式安装。平台秤尺寸1.5*1.5m，信号电缆长度10m，秤体材质304不锈钢材质，传感器：304不锈钢材质，防护等级不低于IP68，防爆等级不低于：Ex ec ⅡC T6 Gc，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highlight w:val="none"/>
          <w:lang w:val="en-US" w:eastAsia="zh-CN"/>
        </w:rPr>
        <w:t>采用准确度为C6传感器，并提供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</w:rPr>
        <w:t>数字式称重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highlight w:val="none"/>
          <w:lang w:val="en-US" w:eastAsia="zh-CN"/>
        </w:rPr>
        <w:t>传感器相关计量器具型式批准证书，佐证传感器准确度为C6。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防爆称重显示仪表：防爆等级不低于：Ex db ec ia IIB T4 Gc; 防护等级不低于：IP68；要求仪表和隔爆箱具备整体隔爆认证。具备清零、清皮、去皮等称重功能，可以从按键，DIO 或PLC 接口触发。;内部部件包含：薄膜键盘、安全栅、液晶背板、键盘转接板、称重仪表等；提供G1/2”防爆进线口。满足交流输入电源：额定电气参数：100-240 Va.c.，50Hz，0,2A ，Um=240V a.c.；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具备4-20MA 模拟量输出及RS485（ModbusRTU协议），通讯功能，与DCS（浙大中控）系统连接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实现数据传输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；配有平台秤安装支架。</w:t>
      </w:r>
    </w:p>
    <w:p>
      <w:pPr>
        <w:widowControl/>
        <w:numPr>
          <w:ilvl w:val="0"/>
          <w:numId w:val="5"/>
        </w:numPr>
        <w:shd w:val="clear"/>
        <w:tabs>
          <w:tab w:val="left" w:pos="540"/>
        </w:tabs>
        <w:spacing w:line="240" w:lineRule="auto"/>
        <w:ind w:left="0" w:leftChars="0" w:firstLine="420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30KG防爆智能数显平台秤秤：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精度0.01kg，量程30kg，台面尺寸400*500mm，线缆长度5m，秤台要求有卫生设计结构，过载限位保护，防爆等级不低于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Ex ec ⅡC T6 Gc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,秤体材质304不锈钢，传感器材质，304不锈钢，防护等级不低于IP67。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防爆称重显示仪表：防爆等级不低于：Ex db ec ia IIB T4 Gc;防护等级不低于：IP68；要求仪表和隔爆箱具备整体隔爆认证。具备清零、清皮、去皮等称重功能，可以从按键，DIO 或PLC 接口触发。;内部部件包含：薄膜键盘、安全栅、液晶背板、键盘转接板、称重仪表等；提供G1/2”防爆进线口。满足交流输入电源：额定电气参数：100-240 Va.c.，50Hz，0,2A ，Um=240V a.c.；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具备4-20MA 模拟量输出及RS485（ModbusRTU协议），通讯功能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与DCS（浙大中控）系统连接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实现数据传输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  <w:t>；配有平台秤安装支架。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防爆智能数显平台秤安装调试工作（包括不限于以下工作内容，配置不低于以下参数要求）</w:t>
      </w:r>
    </w:p>
    <w:tbl>
      <w:tblPr>
        <w:tblStyle w:val="27"/>
        <w:tblW w:w="9939" w:type="dxa"/>
        <w:tblInd w:w="-69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684"/>
        <w:gridCol w:w="3071"/>
        <w:gridCol w:w="850"/>
        <w:gridCol w:w="790"/>
        <w:gridCol w:w="28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平台秤秤体安装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6套秤体1.5*1.5m，1台秤体400*500mm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hd w:val="clear"/>
              <w:spacing w:line="36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（具体位置由买方现场确认）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平台秤底部框架定制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及安装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适配1.5×1.5m平台秤（2吨、3吨）：材质304不锈钢，框架式结构，与秤体不倒翁摇柱结构匹配，含调平地脚；适配400×500mm台秤（30KG）：材质304不锈钢，带防滑、防位移设计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限位保护；平台秤底部框架安装完成后固定于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混凝土基础表层，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确保底框与基础固定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牢固无松动；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5台2T，1台3T，1台30kg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（具体位置由买方现场确认）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秤面与显示仪表连接支架</w:t>
            </w:r>
          </w:p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材质304不锈钢，可调节角度，适配各型号防爆显示仪表安装，带防护遮挡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（具体位置由买方现场确认）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功能调试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  <w:t>卖方负责新增7 台平台秤的功能调试，保证计量精准。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项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pacing w:val="2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30Kg平台秤定制防雨罩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适配于30Kg平台秤显示仪表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个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360" w:lineRule="auto"/>
              <w:ind w:left="0" w:leftChars="0" w:firstLine="0" w:firstLineChars="0"/>
              <w:jc w:val="center"/>
              <w:textAlignment w:val="center"/>
              <w:rPr>
                <w:rStyle w:val="40"/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line="36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原平台秤拆除服务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最大量程1.5T，秤体1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×1m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套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tabs>
                <w:tab w:val="left" w:pos="540"/>
              </w:tabs>
              <w:spacing w:line="360" w:lineRule="auto"/>
              <w:ind w:left="0" w:lef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360" w:lineRule="auto"/>
              <w:ind w:left="0" w:leftChars="0" w:firstLine="0" w:firstLineChars="0"/>
              <w:jc w:val="center"/>
              <w:textAlignment w:val="center"/>
              <w:rPr>
                <w:rStyle w:val="40"/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40"/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 w:bidi="ar"/>
              </w:rPr>
              <w:t>依照买方要求摆放至指定位置</w:t>
            </w:r>
          </w:p>
        </w:tc>
      </w:tr>
    </w:tbl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40" w:firstLineChars="200"/>
        <w:textAlignment w:val="auto"/>
        <w:rPr>
          <w:rFonts w:hint="eastAsia" w:ascii="微软雅黑" w:hAnsi="微软雅黑" w:eastAsia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以上安装调试工作均由乙方负责</w:t>
      </w:r>
      <w:r>
        <w:rPr>
          <w:rFonts w:hint="eastAsia" w:ascii="微软雅黑" w:hAnsi="微软雅黑" w:eastAsia="微软雅黑" w:cs="微软雅黑"/>
          <w:color w:val="auto"/>
          <w:spacing w:val="0"/>
          <w:sz w:val="21"/>
          <w:szCs w:val="21"/>
          <w:highlight w:val="none"/>
          <w:lang w:val="en-US" w:eastAsia="zh-CN"/>
        </w:rPr>
        <w:t>。安装调试工作涉及的</w:t>
      </w: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所有物料耗材、机具均有乙方提供。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设备附属备件要求</w:t>
      </w:r>
    </w:p>
    <w:tbl>
      <w:tblPr>
        <w:tblStyle w:val="27"/>
        <w:tblW w:w="99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3496"/>
        <w:gridCol w:w="3729"/>
        <w:gridCol w:w="993"/>
        <w:gridCol w:w="10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3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产品名称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型号参数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/>
              <w:spacing w:line="240" w:lineRule="auto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3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信号电缆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平台秤附属配件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10m/根，3T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3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信号电缆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平台秤附属配件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10m/根，2T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3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数字式传感器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平台秤附属配件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2T/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精度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0.2kg，最大称量2000kg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3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数字式传感器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平台秤附属配件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3T/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精度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kg，最大称量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</w:rPr>
              <w:t>000kg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3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数字接线盒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平台秤附属配件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内置传感器汇聚电路板，3T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3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数字接线盒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平台秤附属配件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内置传感器汇聚电路板，2T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tabs>
                <w:tab w:val="left" w:pos="540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个</w:t>
            </w:r>
          </w:p>
        </w:tc>
      </w:tr>
    </w:tbl>
    <w:p>
      <w:pPr>
        <w:pStyle w:val="11"/>
        <w:keepNext w:val="0"/>
        <w:keepLines w:val="0"/>
        <w:pageBreakBefore w:val="0"/>
        <w:widowControl w:val="0"/>
        <w:numPr>
          <w:ilvl w:val="0"/>
          <w:numId w:val="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平台秤安装调试要求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前期方案要求：合同签订10日内，卖方提交安装调试方案，经买方确认后实施。本项目所有信号电缆、设备配件及安装耗材由卖方供货及安装。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设备安装定位与本体标准：按图纸指定位置安装固定，不得占用生产通道，周边预留≥0.8m运维空间。安装后秤体框架贴合基础、无悬空晃动，水平度误差≤0.5mm/m。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配套部件安装规范：显示仪表安装高度1.2～1.5m，支架角度可调，仪表水平无倾斜，防护结构全覆盖，满足防护要求。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平台秤拆除示意图如下：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2691130" cy="2274570"/>
            <wp:effectExtent l="0" t="0" r="13970" b="1143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399030" cy="2230755"/>
            <wp:effectExtent l="0" t="0" r="1270" b="17145"/>
            <wp:docPr id="6" name="图片 6" descr="平台秤拆除示意图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平台秤拆除示意图 (1)"/>
                    <pic:cNvPicPr>
                      <a:picLocks noChangeAspect="1"/>
                    </pic:cNvPicPr>
                  </pic:nvPicPr>
                  <pic:blipFill>
                    <a:blip r:embed="rId6"/>
                    <a:srcRect b="7077"/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检测和试验</w:t>
      </w:r>
    </w:p>
    <w:bookmarkEnd w:id="4"/>
    <w:p>
      <w:pPr>
        <w:widowControl/>
        <w:numPr>
          <w:ilvl w:val="0"/>
          <w:numId w:val="10"/>
        </w:numPr>
        <w:shd w:val="clear"/>
        <w:tabs>
          <w:tab w:val="left" w:pos="540"/>
        </w:tabs>
        <w:spacing w:line="240" w:lineRule="auto"/>
        <w:ind w:left="0" w:leftChars="0" w:firstLine="420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出厂检验（卖方负责，提供检验报告）​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合规性：核查出厂合格证、防爆 / 防护认证（Ex ec ⅡC T6 Gc/IP67/IP68）、材质证明，确保原厂全新、无拼装。​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精度：按 GB/T 7724-2023 多点校准，2 吨≤±0.2kg、3 吨≤±0.5kg、30KG≤±0.01kg；​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结构：无焊接缺陷、锈蚀，不倒翁摇柱可调，防爆密封完好。​</w:t>
      </w:r>
    </w:p>
    <w:p>
      <w:pPr>
        <w:widowControl/>
        <w:numPr>
          <w:ilvl w:val="0"/>
          <w:numId w:val="10"/>
        </w:numPr>
        <w:shd w:val="clear"/>
        <w:tabs>
          <w:tab w:val="left" w:pos="540"/>
        </w:tabs>
        <w:spacing w:line="240" w:lineRule="auto"/>
        <w:ind w:left="0" w:leftChars="0" w:firstLine="420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到货检验（双方共同参与）​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外观数量：核对规格、数量及备品，无划痕变形，铭牌与报告一致；​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部件核查：关键部件（仪表、传感器）型号合规，辅材（电缆、螺栓）无破损；​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资料：提供产品说明书、认证证书、校准报告、安装图纸、合法有效的平台秤检定证书（具备资质的计量机构检定，满足计量局检定要求）等完整资料。​</w:t>
      </w:r>
    </w:p>
    <w:p>
      <w:pPr>
        <w:widowControl/>
        <w:numPr>
          <w:ilvl w:val="0"/>
          <w:numId w:val="10"/>
        </w:numPr>
        <w:shd w:val="clear"/>
        <w:tabs>
          <w:tab w:val="left" w:pos="540"/>
        </w:tabs>
        <w:spacing w:line="240" w:lineRule="auto"/>
        <w:ind w:left="0" w:leftChars="0" w:firstLine="420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安装过程检验（买方监督）​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定位：安装位合规，操作维护空间≥0.8m；​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框架水平：水平度误差≤0.5mm/m，框架贴合无晃动，30KG 秤防滑防位移；​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标识、包装、运输和存储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标识：设备铭牌清晰标注型号、量程、精度、防爆 / 防护等级、出厂编号；外包装贴 “易碎、防潮、向上、防爆设备” 警示标识，附产品清单；​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包装：秤体、仪表、传感器采用防潮防震木箱包装，内部衬缓冲材料；电缆、螺栓等辅材独立包装并标注规格数量；防爆部件密封防护，避免运输中受潮损坏；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运输：避免剧烈碰撞、雨淋、暴晒，不与易燃易爆、腐蚀性物品混运；运输车辆需加盖防雨篷布，轻装轻卸；​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存储：存放于干燥通风库房，温度 - 10℃~40℃、湿度≤85%，远离腐蚀性物质；防爆设备密封保存，避免密封面磕碰；备品备件分类存放，做好标识。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5" w:firstLineChars="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运输方式：汽运。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技术文件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5"/>
        </w:numPr>
        <w:shd w:val="clear"/>
        <w:tabs>
          <w:tab w:val="left" w:pos="420"/>
          <w:tab w:val="clear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卖方提供产品合格证、防爆合格证、称重显示仪表及其隔爆箱提供整体防爆3C认证证书、传感器相关计量器具型式批准证书、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平台秤检定证书（具备资质的计量机构检定，满足计量局检定要求）、</w:t>
      </w: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所用各类部件合格证、保修卡、各类仪表说明书，使用操作手册、零部件手册等，纸质版1份，扫描版1份。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工作进度、监造和现场验收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6"/>
        </w:numPr>
        <w:shd w:val="clear"/>
        <w:tabs>
          <w:tab w:val="left" w:pos="420"/>
          <w:tab w:val="clear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产品要符合本合同（包括技术附件）规定的技术、质量、设计、标准、规格、材料、计算、参数、数据等要求，性能稳定、可靠，达到承诺的性能保证值，不存在任何缺陷。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产品要采用先进技术制造，具备优良的制造工艺和水平，其设计、制造不存在任何缺陷。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产品是崭新、从未使用过的货物，其材质不存在任何缺陷。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产品到货后，在卖方所提供设备和随机资料齐全的前提下，双方严格按照合同技术要求，对设备外观、使用功能及可靠性等方面进行逐一检查。各方面检查均满足买方要求后方可完成验收交接，否则不予接收。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6"/>
        </w:numPr>
        <w:shd w:val="clear"/>
        <w:tabs>
          <w:tab w:val="left" w:pos="420"/>
          <w:tab w:val="clear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工作界面要求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卖方自备施工机具、耗材、运输车辆及合规劳保用品，制定施工计划、配合甲方工作量确认及合同结算。施工垃圾、废料全部自行清运，做到工完场清。严格遵守甲方安全管理制度，接受监督检查并闭环整改隐患。动态管控入厂人员，严禁无资质、未培训、考核不合格人员作业。承担自身违规、管理失责引发的安全事故及全部经济损失。作业遇火灾、泄漏、人员伤亡等突发事件，立即停工撤离，第一时间上报甲方并配合应急救援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8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甲方负责现场风险告知、作业方案及人员资质合规审查。指派专职安全员全程监护，监督作业符合规范及GB 30871-2022标准。提供厂区应急资源支持，开展每日巡查、每周专项安全检查，通报问题并督促整改闭环。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6"/>
        </w:numPr>
        <w:shd w:val="clear"/>
        <w:tabs>
          <w:tab w:val="left" w:pos="420"/>
          <w:tab w:val="clear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相关规范遵守及甲方要求</w:t>
      </w:r>
    </w:p>
    <w:p>
      <w:pPr>
        <w:keepNext w:val="0"/>
        <w:keepLines w:val="0"/>
        <w:pageBreakBefore w:val="0"/>
        <w:widowControl/>
        <w:numPr>
          <w:ilvl w:val="0"/>
          <w:numId w:val="19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卖方入厂施工除合规施工方案外，须提前提交：入厂许可申请表、人员清单（含身份及特种证件资料）、机具核验及合格检测资料、全员HSE8小时培训记录、80分及以上闭卷考试试卷、安全交底记录、人员保险及劳动合同（高处作业按需投保对应险种）。三人及以上作业每日提交班前会记录供甲方签字确认。每日16:30前报送施工日报及次日计划，含进度、未完工原因、施工人数、特殊作业、现场照片及赶工措施。人员调整需提前报备并补齐全部入厂合规资料。</w:t>
      </w:r>
    </w:p>
    <w:p>
      <w:pPr>
        <w:keepNext w:val="0"/>
        <w:keepLines w:val="0"/>
        <w:pageBreakBefore w:val="0"/>
        <w:widowControl/>
        <w:numPr>
          <w:ilvl w:val="0"/>
          <w:numId w:val="19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所有动火、受限空间、盲板抽堵、高处、吊装、临时用电、动土、断路等作业全程合规管控。特殊作业需提前1天报备并提供有效特种作业证件。作业区域配置持证在岗专职监护人，佩戴袖标、全程监护，不得参与施工，无监护严禁作业。</w:t>
      </w:r>
    </w:p>
    <w:p>
      <w:pPr>
        <w:keepNext w:val="0"/>
        <w:keepLines w:val="0"/>
        <w:pageBreakBefore w:val="0"/>
        <w:widowControl/>
        <w:numPr>
          <w:ilvl w:val="0"/>
          <w:numId w:val="19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每日特殊作业需按甲方要求9:30前完成平台研判报送，报送后不可修改；卖方未提前报备导致无法作业的，工期及损失自负。作业开票前甲方核查人员、证件、机具、现场信息，信息不符立即终止作业。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技术服务与售后服务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0"/>
        </w:numPr>
        <w:shd w:val="clear"/>
        <w:tabs>
          <w:tab w:val="left" w:pos="420"/>
          <w:tab w:val="clear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负责现场调试及使用和技术培训</w:t>
      </w:r>
    </w:p>
    <w:p>
      <w:pPr>
        <w:keepNext w:val="0"/>
        <w:keepLines w:val="0"/>
        <w:pageBreakBefore w:val="0"/>
        <w:widowControl/>
        <w:numPr>
          <w:ilvl w:val="0"/>
          <w:numId w:val="21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培训对象：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 xml:space="preserve">平台秤项目操作使用及维护的相关人员，包括生产人员、技术员、管理人员等。 </w:t>
      </w:r>
    </w:p>
    <w:p>
      <w:pPr>
        <w:keepNext w:val="0"/>
        <w:keepLines w:val="0"/>
        <w:pageBreakBefore w:val="0"/>
        <w:widowControl/>
        <w:numPr>
          <w:ilvl w:val="0"/>
          <w:numId w:val="21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highlight w:val="none"/>
          <w:lang w:val="en-US" w:eastAsia="zh-CN"/>
        </w:rPr>
        <w:t>设备安装调试期：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 xml:space="preserve">在设备安装调试过程中，甲方的生产、技术、管理人员可以向卖方技术人员合理提出，关于设备的任何问题，卖方予以详细解答。 </w:t>
      </w:r>
    </w:p>
    <w:p>
      <w:pPr>
        <w:keepNext w:val="0"/>
        <w:keepLines w:val="0"/>
        <w:pageBreakBefore w:val="0"/>
        <w:widowControl/>
        <w:numPr>
          <w:ilvl w:val="0"/>
          <w:numId w:val="21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 xml:space="preserve">设备质保期内培训：在设备投入使用前及设备质保期内，卖方将免费提供设备产品的安全管理、基础知识培训，共计培训总时间超过 </w:t>
      </w:r>
      <w:r>
        <w:rPr>
          <w:rFonts w:hint="default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 xml:space="preserve">8 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 xml:space="preserve">小时。 </w:t>
      </w:r>
    </w:p>
    <w:p>
      <w:pPr>
        <w:pStyle w:val="5"/>
        <w:shd w:val="clear"/>
        <w:ind w:left="220" w:leftChars="100" w:firstLine="428" w:firstLineChars="200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 xml:space="preserve">培训内容包括： </w:t>
      </w:r>
    </w:p>
    <w:p>
      <w:pPr>
        <w:pStyle w:val="11"/>
        <w:numPr>
          <w:ilvl w:val="0"/>
          <w:numId w:val="0"/>
        </w:numPr>
        <w:shd w:val="clear"/>
        <w:spacing w:line="257" w:lineRule="auto"/>
        <w:ind w:leftChars="0" w:right="122" w:rightChars="0"/>
        <w:rPr>
          <w:rFonts w:hint="default" w:ascii="微软雅黑" w:hAnsi="微软雅黑" w:eastAsia="微软雅黑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5417820" cy="1880870"/>
            <wp:effectExtent l="0" t="0" r="11430" b="508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0"/>
        </w:numPr>
        <w:shd w:val="clear"/>
        <w:tabs>
          <w:tab w:val="left" w:pos="420"/>
          <w:tab w:val="clear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质保期内出现问题处理方案。</w:t>
      </w:r>
    </w:p>
    <w:p>
      <w:pPr>
        <w:keepNext w:val="0"/>
        <w:keepLines w:val="0"/>
        <w:pageBreakBefore w:val="0"/>
        <w:widowControl/>
        <w:numPr>
          <w:ilvl w:val="0"/>
          <w:numId w:val="22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设备出现故障属于保修范围、内容的项目，保修期内，卖方在接到买方通知之日起3小时迅速响应，24小时内务必安排维修人员抵达现场采取保修措施，并承担保修费用。如有紧急维修要求，卖方须按我方需求时间完成维修，卖方应在接到通知后，立即到现场抢修。</w:t>
      </w:r>
    </w:p>
    <w:p>
      <w:pPr>
        <w:keepNext w:val="0"/>
        <w:keepLines w:val="0"/>
        <w:pageBreakBefore w:val="0"/>
        <w:widowControl/>
        <w:numPr>
          <w:ilvl w:val="0"/>
          <w:numId w:val="22"/>
        </w:numPr>
        <w:shd w:val="clear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5" w:firstLineChars="0"/>
        <w:jc w:val="left"/>
        <w:textAlignment w:val="center"/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highlight w:val="none"/>
          <w:lang w:val="en-US" w:eastAsia="zh-CN"/>
        </w:rPr>
        <w:t>同一质量问题在保修期内发生3次以上还不能修复，买方可让卖方继续服务，也可以直接委托其他卖方维修，费用全部由此项卖方承担，并向公司备案上报不良卖方服务记录。</w:t>
      </w:r>
    </w:p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质量保证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3"/>
        </w:numPr>
        <w:shd w:val="clear"/>
        <w:tabs>
          <w:tab w:val="left" w:pos="420"/>
          <w:tab w:val="clear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微软雅黑" w:hAnsi="微软雅黑" w:eastAsia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 xml:space="preserve">自验收合格之日起 1 年，质保金为合同总价的5%，（质保期满无质量问题后 45日内支付）。 </w:t>
      </w:r>
    </w:p>
    <w:bookmarkEnd w:id="5"/>
    <w:bookmarkEnd w:id="6"/>
    <w:p>
      <w:pPr>
        <w:pStyle w:val="49"/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after="120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</w:pPr>
      <w:bookmarkStart w:id="7" w:name="_Toc13249328"/>
      <w:bookmarkStart w:id="8" w:name="_Toc13248931"/>
      <w:r>
        <w:rPr>
          <w:rFonts w:hint="eastAsia" w:ascii="微软雅黑" w:hAnsi="微软雅黑" w:eastAsia="微软雅黑" w:cs="Times New Roman"/>
          <w:bCs/>
          <w:color w:val="auto"/>
          <w:sz w:val="32"/>
          <w:szCs w:val="32"/>
          <w:highlight w:val="none"/>
        </w:rPr>
        <w:t>其他要求</w:t>
      </w:r>
      <w:bookmarkEnd w:id="7"/>
      <w:bookmarkEnd w:id="8"/>
    </w:p>
    <w:p>
      <w:pPr>
        <w:widowControl/>
        <w:shd w:val="clear"/>
        <w:rPr>
          <w:color w:val="auto"/>
          <w:kern w:val="2"/>
          <w:sz w:val="21"/>
          <w:highlight w:val="none"/>
          <w:lang w:eastAsia="zh-CN"/>
        </w:rPr>
      </w:pPr>
      <w:r>
        <w:rPr>
          <w:rFonts w:hint="eastAsia" w:ascii="微软雅黑" w:hAnsi="微软雅黑" w:eastAsia="微软雅黑"/>
          <w:color w:val="auto"/>
          <w:highlight w:val="none"/>
          <w:lang w:val="en-US" w:eastAsia="zh-CN"/>
        </w:rPr>
        <w:t>无</w:t>
      </w:r>
    </w:p>
    <w:p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E1939E"/>
    <w:multiLevelType w:val="multilevel"/>
    <w:tmpl w:val="93E1939E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620"/>
        </w:tabs>
        <w:ind w:left="4620" w:leftChars="0" w:hanging="420" w:firstLineChars="0"/>
      </w:pPr>
      <w:rPr>
        <w:rFonts w:hint="default"/>
      </w:rPr>
    </w:lvl>
  </w:abstractNum>
  <w:abstractNum w:abstractNumId="1">
    <w:nsid w:val="97221A4C"/>
    <w:multiLevelType w:val="singleLevel"/>
    <w:tmpl w:val="97221A4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97D0AA25"/>
    <w:multiLevelType w:val="singleLevel"/>
    <w:tmpl w:val="97D0AA25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A4376E6D"/>
    <w:multiLevelType w:val="multilevel"/>
    <w:tmpl w:val="A4376E6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</w:abstractNum>
  <w:abstractNum w:abstractNumId="4">
    <w:nsid w:val="A61DA3AA"/>
    <w:multiLevelType w:val="multilevel"/>
    <w:tmpl w:val="A61DA3AA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</w:abstractNum>
  <w:abstractNum w:abstractNumId="5">
    <w:nsid w:val="AF3FBDD1"/>
    <w:multiLevelType w:val="singleLevel"/>
    <w:tmpl w:val="AF3FBDD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6">
    <w:nsid w:val="B4626352"/>
    <w:multiLevelType w:val="singleLevel"/>
    <w:tmpl w:val="B4626352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">
    <w:nsid w:val="D920036B"/>
    <w:multiLevelType w:val="multilevel"/>
    <w:tmpl w:val="D920036B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620"/>
        </w:tabs>
        <w:ind w:left="4620" w:leftChars="0" w:hanging="420" w:firstLineChars="0"/>
      </w:pPr>
      <w:rPr>
        <w:rFonts w:hint="default"/>
      </w:rPr>
    </w:lvl>
  </w:abstractNum>
  <w:abstractNum w:abstractNumId="8">
    <w:nsid w:val="DA88AB20"/>
    <w:multiLevelType w:val="multilevel"/>
    <w:tmpl w:val="DA88AB2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</w:abstractNum>
  <w:abstractNum w:abstractNumId="9">
    <w:nsid w:val="DBDE9811"/>
    <w:multiLevelType w:val="singleLevel"/>
    <w:tmpl w:val="DBDE981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0">
    <w:nsid w:val="E274AC90"/>
    <w:multiLevelType w:val="singleLevel"/>
    <w:tmpl w:val="E274AC90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1">
    <w:nsid w:val="FF221CA0"/>
    <w:multiLevelType w:val="singleLevel"/>
    <w:tmpl w:val="FF221CA0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2">
    <w:nsid w:val="105C008A"/>
    <w:multiLevelType w:val="singleLevel"/>
    <w:tmpl w:val="105C008A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3">
    <w:nsid w:val="13AF9453"/>
    <w:multiLevelType w:val="singleLevel"/>
    <w:tmpl w:val="13AF945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4">
    <w:nsid w:val="19EDDE8E"/>
    <w:multiLevelType w:val="singleLevel"/>
    <w:tmpl w:val="19EDDE8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5">
    <w:nsid w:val="1D229D7C"/>
    <w:multiLevelType w:val="singleLevel"/>
    <w:tmpl w:val="1D229D7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6">
    <w:nsid w:val="2984E5C5"/>
    <w:multiLevelType w:val="singleLevel"/>
    <w:tmpl w:val="2984E5C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7">
    <w:nsid w:val="37EB87A3"/>
    <w:multiLevelType w:val="singleLevel"/>
    <w:tmpl w:val="37EB87A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8">
    <w:nsid w:val="3B2C3E48"/>
    <w:multiLevelType w:val="multilevel"/>
    <w:tmpl w:val="3B2C3E48"/>
    <w:lvl w:ilvl="0" w:tentative="0">
      <w:start w:val="1"/>
      <w:numFmt w:val="chineseCountingThousand"/>
      <w:pStyle w:val="39"/>
      <w:lvlText w:val="第%1条"/>
      <w:lvlJc w:val="left"/>
      <w:pPr>
        <w:tabs>
          <w:tab w:val="left" w:pos="720"/>
        </w:tabs>
        <w:ind w:left="720" w:hanging="7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1"/>
        <w:szCs w:val="21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lvlText w:val="(%2)"/>
      <w:lvlJc w:val="left"/>
      <w:pPr>
        <w:ind w:left="930" w:hanging="51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9">
    <w:nsid w:val="3B4EC32C"/>
    <w:multiLevelType w:val="multilevel"/>
    <w:tmpl w:val="3B4EC32C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620"/>
        </w:tabs>
        <w:ind w:left="4620" w:leftChars="0" w:hanging="420" w:firstLineChars="0"/>
      </w:pPr>
      <w:rPr>
        <w:rFonts w:hint="default"/>
      </w:rPr>
    </w:lvl>
  </w:abstractNum>
  <w:abstractNum w:abstractNumId="20">
    <w:nsid w:val="3CE3D927"/>
    <w:multiLevelType w:val="singleLevel"/>
    <w:tmpl w:val="3CE3D92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5400BAE7"/>
    <w:multiLevelType w:val="singleLevel"/>
    <w:tmpl w:val="5400BAE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2">
    <w:nsid w:val="7F95F1F6"/>
    <w:multiLevelType w:val="multilevel"/>
    <w:tmpl w:val="7F95F1F6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4200"/>
        </w:tabs>
        <w:ind w:left="420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4620"/>
        </w:tabs>
        <w:ind w:left="4620" w:leftChars="0" w:hanging="420" w:firstLineChars="0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3"/>
  </w:num>
  <w:num w:numId="4">
    <w:abstractNumId w:val="4"/>
  </w:num>
  <w:num w:numId="5">
    <w:abstractNumId w:val="20"/>
  </w:num>
  <w:num w:numId="6">
    <w:abstractNumId w:val="2"/>
  </w:num>
  <w:num w:numId="7">
    <w:abstractNumId w:val="11"/>
  </w:num>
  <w:num w:numId="8">
    <w:abstractNumId w:val="10"/>
  </w:num>
  <w:num w:numId="9">
    <w:abstractNumId w:val="14"/>
  </w:num>
  <w:num w:numId="10">
    <w:abstractNumId w:val="21"/>
  </w:num>
  <w:num w:numId="11">
    <w:abstractNumId w:val="17"/>
  </w:num>
  <w:num w:numId="12">
    <w:abstractNumId w:val="6"/>
  </w:num>
  <w:num w:numId="13">
    <w:abstractNumId w:val="9"/>
  </w:num>
  <w:num w:numId="14">
    <w:abstractNumId w:val="8"/>
  </w:num>
  <w:num w:numId="15">
    <w:abstractNumId w:val="7"/>
  </w:num>
  <w:num w:numId="16">
    <w:abstractNumId w:val="19"/>
  </w:num>
  <w:num w:numId="17">
    <w:abstractNumId w:val="13"/>
  </w:num>
  <w:num w:numId="18">
    <w:abstractNumId w:val="15"/>
  </w:num>
  <w:num w:numId="19">
    <w:abstractNumId w:val="12"/>
  </w:num>
  <w:num w:numId="20">
    <w:abstractNumId w:val="22"/>
  </w:num>
  <w:num w:numId="21">
    <w:abstractNumId w:val="1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39"/>
    <w:rsid w:val="00014DEC"/>
    <w:rsid w:val="000C495F"/>
    <w:rsid w:val="000F7C96"/>
    <w:rsid w:val="00111C46"/>
    <w:rsid w:val="00133F58"/>
    <w:rsid w:val="00160030"/>
    <w:rsid w:val="0016472F"/>
    <w:rsid w:val="001C6F55"/>
    <w:rsid w:val="001F0438"/>
    <w:rsid w:val="001F254A"/>
    <w:rsid w:val="0026178D"/>
    <w:rsid w:val="00275724"/>
    <w:rsid w:val="002A70D5"/>
    <w:rsid w:val="002C6D49"/>
    <w:rsid w:val="00316DB2"/>
    <w:rsid w:val="00350FCF"/>
    <w:rsid w:val="00363957"/>
    <w:rsid w:val="00370949"/>
    <w:rsid w:val="00374BB6"/>
    <w:rsid w:val="003A4A60"/>
    <w:rsid w:val="003F3FFD"/>
    <w:rsid w:val="003F5C6A"/>
    <w:rsid w:val="004606A3"/>
    <w:rsid w:val="00461D52"/>
    <w:rsid w:val="00463213"/>
    <w:rsid w:val="00470EC4"/>
    <w:rsid w:val="00483BA5"/>
    <w:rsid w:val="004841B6"/>
    <w:rsid w:val="00494F1E"/>
    <w:rsid w:val="004A5B4B"/>
    <w:rsid w:val="004D5794"/>
    <w:rsid w:val="004F3862"/>
    <w:rsid w:val="005044D3"/>
    <w:rsid w:val="00516348"/>
    <w:rsid w:val="00583411"/>
    <w:rsid w:val="005F33DD"/>
    <w:rsid w:val="00652699"/>
    <w:rsid w:val="006702B3"/>
    <w:rsid w:val="00674F92"/>
    <w:rsid w:val="00683AD1"/>
    <w:rsid w:val="0069101C"/>
    <w:rsid w:val="006F58FA"/>
    <w:rsid w:val="00720E42"/>
    <w:rsid w:val="00756A7C"/>
    <w:rsid w:val="007573C1"/>
    <w:rsid w:val="00764F39"/>
    <w:rsid w:val="008350F6"/>
    <w:rsid w:val="00836CA1"/>
    <w:rsid w:val="00846685"/>
    <w:rsid w:val="00894217"/>
    <w:rsid w:val="008D7D99"/>
    <w:rsid w:val="00984D1C"/>
    <w:rsid w:val="009A1FB9"/>
    <w:rsid w:val="009E24D5"/>
    <w:rsid w:val="00A26D97"/>
    <w:rsid w:val="00A41C39"/>
    <w:rsid w:val="00A85386"/>
    <w:rsid w:val="00AA3245"/>
    <w:rsid w:val="00AB7ED1"/>
    <w:rsid w:val="00AF54D4"/>
    <w:rsid w:val="00B6034A"/>
    <w:rsid w:val="00B70D1E"/>
    <w:rsid w:val="00CD08F9"/>
    <w:rsid w:val="00E30DAE"/>
    <w:rsid w:val="00E50C04"/>
    <w:rsid w:val="00E61589"/>
    <w:rsid w:val="00E7056E"/>
    <w:rsid w:val="00F30B1D"/>
    <w:rsid w:val="00F50284"/>
    <w:rsid w:val="00F5615D"/>
    <w:rsid w:val="00F72079"/>
    <w:rsid w:val="00FA2D3B"/>
    <w:rsid w:val="00FA5EAC"/>
    <w:rsid w:val="00FD6B75"/>
    <w:rsid w:val="00FE6C7B"/>
    <w:rsid w:val="00FE6DB8"/>
    <w:rsid w:val="04A24243"/>
    <w:rsid w:val="09B1390D"/>
    <w:rsid w:val="0A2168AE"/>
    <w:rsid w:val="0AEE6EFC"/>
    <w:rsid w:val="0C3E3F35"/>
    <w:rsid w:val="0C8C4066"/>
    <w:rsid w:val="0CEA1440"/>
    <w:rsid w:val="0D5D0927"/>
    <w:rsid w:val="0FD02A00"/>
    <w:rsid w:val="1175099F"/>
    <w:rsid w:val="123D1409"/>
    <w:rsid w:val="134E6A3B"/>
    <w:rsid w:val="140E4BE0"/>
    <w:rsid w:val="14D45E6A"/>
    <w:rsid w:val="1543530B"/>
    <w:rsid w:val="18135A10"/>
    <w:rsid w:val="1B625FF4"/>
    <w:rsid w:val="1C3E4ECB"/>
    <w:rsid w:val="1CE44F73"/>
    <w:rsid w:val="23296C79"/>
    <w:rsid w:val="259C4FC1"/>
    <w:rsid w:val="269D1CA2"/>
    <w:rsid w:val="272301D7"/>
    <w:rsid w:val="27E13B19"/>
    <w:rsid w:val="29DA582F"/>
    <w:rsid w:val="29E20052"/>
    <w:rsid w:val="2A062B02"/>
    <w:rsid w:val="30633775"/>
    <w:rsid w:val="318B7A1E"/>
    <w:rsid w:val="32951166"/>
    <w:rsid w:val="34462A8F"/>
    <w:rsid w:val="352F7252"/>
    <w:rsid w:val="39112AA2"/>
    <w:rsid w:val="392408DD"/>
    <w:rsid w:val="399B1010"/>
    <w:rsid w:val="3D106C2D"/>
    <w:rsid w:val="3E0E0B09"/>
    <w:rsid w:val="44BA6B0A"/>
    <w:rsid w:val="44C147DB"/>
    <w:rsid w:val="46770FC2"/>
    <w:rsid w:val="46E87FBF"/>
    <w:rsid w:val="4A555101"/>
    <w:rsid w:val="4A577328"/>
    <w:rsid w:val="4F2449E5"/>
    <w:rsid w:val="505450D7"/>
    <w:rsid w:val="511F5AA4"/>
    <w:rsid w:val="531F24D6"/>
    <w:rsid w:val="5396506F"/>
    <w:rsid w:val="54007D2E"/>
    <w:rsid w:val="55C53DCD"/>
    <w:rsid w:val="56E95951"/>
    <w:rsid w:val="57E013BB"/>
    <w:rsid w:val="58C7323D"/>
    <w:rsid w:val="59556622"/>
    <w:rsid w:val="5ABF3766"/>
    <w:rsid w:val="5BB42C8C"/>
    <w:rsid w:val="5C4260EC"/>
    <w:rsid w:val="5DD2659A"/>
    <w:rsid w:val="60F265E6"/>
    <w:rsid w:val="64177ACF"/>
    <w:rsid w:val="656978B3"/>
    <w:rsid w:val="65CB68E9"/>
    <w:rsid w:val="670B371C"/>
    <w:rsid w:val="6914505A"/>
    <w:rsid w:val="69722EAC"/>
    <w:rsid w:val="69E479BE"/>
    <w:rsid w:val="6AC22BC0"/>
    <w:rsid w:val="6B321896"/>
    <w:rsid w:val="6BF118BC"/>
    <w:rsid w:val="74627DD5"/>
    <w:rsid w:val="7BB551E1"/>
    <w:rsid w:val="7D6C7155"/>
    <w:rsid w:val="7E0F0549"/>
    <w:rsid w:val="7E1B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9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0" w:semiHidden="0" w:name="table of authorities"/>
    <w:lsdException w:uiPriority="99" w:name="macro"/>
    <w:lsdException w:qFormat="1" w:unhideWhenUsed="0" w:uiPriority="0" w:semiHidden="0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qFormat/>
    <w:uiPriority w:val="0"/>
    <w:pPr>
      <w:widowControl w:val="0"/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link w:val="33"/>
    <w:qFormat/>
    <w:uiPriority w:val="1"/>
    <w:pPr>
      <w:spacing w:line="479" w:lineRule="exact"/>
      <w:outlineLvl w:val="1"/>
    </w:pPr>
    <w:rPr>
      <w:rFonts w:ascii="Microsoft YaHei UI" w:hAnsi="Microsoft YaHei UI" w:eastAsia="Microsoft YaHei UI"/>
      <w:spacing w:val="2"/>
      <w:sz w:val="32"/>
      <w:szCs w:val="32"/>
      <w:lang w:eastAsia="zh-CN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0"/>
      <w:szCs w:val="32"/>
    </w:rPr>
  </w:style>
  <w:style w:type="paragraph" w:styleId="7">
    <w:name w:val="heading 4"/>
    <w:basedOn w:val="1"/>
    <w:next w:val="1"/>
    <w:unhideWhenUsed/>
    <w:qFormat/>
    <w:uiPriority w:val="9"/>
    <w:pPr>
      <w:keepNext/>
      <w:keepLines/>
      <w:spacing w:line="360" w:lineRule="auto"/>
      <w:outlineLvl w:val="3"/>
    </w:pPr>
    <w:rPr>
      <w:rFonts w:asciiTheme="majorHAnsi" w:hAnsiTheme="majorHAnsi" w:eastAsiaTheme="majorEastAsia" w:cstheme="majorBidi"/>
      <w:b/>
      <w:bCs/>
      <w:sz w:val="24"/>
      <w:szCs w:val="28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3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8">
    <w:name w:val="table of authorities"/>
    <w:basedOn w:val="1"/>
    <w:next w:val="1"/>
    <w:unhideWhenUsed/>
    <w:qFormat/>
    <w:uiPriority w:val="0"/>
    <w:pPr>
      <w:ind w:left="420" w:leftChars="200"/>
    </w:pPr>
  </w:style>
  <w:style w:type="paragraph" w:styleId="9">
    <w:name w:val="toa heading"/>
    <w:basedOn w:val="1"/>
    <w:next w:val="1"/>
    <w:qFormat/>
    <w:uiPriority w:val="0"/>
    <w:pPr>
      <w:spacing w:before="120"/>
    </w:pPr>
    <w:rPr>
      <w:rFonts w:ascii="Cambria" w:hAnsi="Cambria"/>
    </w:rPr>
  </w:style>
  <w:style w:type="paragraph" w:styleId="10">
    <w:name w:val="annotation text"/>
    <w:basedOn w:val="1"/>
    <w:link w:val="46"/>
    <w:unhideWhenUsed/>
    <w:qFormat/>
    <w:uiPriority w:val="99"/>
  </w:style>
  <w:style w:type="paragraph" w:styleId="11">
    <w:name w:val="Body Text"/>
    <w:basedOn w:val="1"/>
    <w:next w:val="12"/>
    <w:link w:val="36"/>
    <w:qFormat/>
    <w:uiPriority w:val="1"/>
    <w:pPr>
      <w:ind w:firstLine="200" w:firstLineChars="200"/>
      <w:jc w:val="both"/>
    </w:pPr>
    <w:rPr>
      <w:rFonts w:ascii="Microsoft YaHei UI" w:hAnsi="Microsoft YaHei UI" w:eastAsia="Microsoft YaHei UI"/>
      <w:sz w:val="21"/>
      <w:szCs w:val="21"/>
    </w:rPr>
  </w:style>
  <w:style w:type="paragraph" w:styleId="12">
    <w:name w:val="Body Text First Indent"/>
    <w:basedOn w:val="11"/>
    <w:link w:val="42"/>
    <w:semiHidden/>
    <w:unhideWhenUsed/>
    <w:qFormat/>
    <w:uiPriority w:val="99"/>
    <w:pPr>
      <w:spacing w:after="120"/>
      <w:ind w:firstLine="420" w:firstLineChars="100"/>
      <w:jc w:val="left"/>
    </w:pPr>
    <w:rPr>
      <w:rFonts w:asciiTheme="minorHAnsi" w:hAnsiTheme="minorHAnsi" w:eastAsiaTheme="minorEastAsia"/>
      <w:sz w:val="22"/>
      <w:szCs w:val="22"/>
    </w:rPr>
  </w:style>
  <w:style w:type="paragraph" w:styleId="13">
    <w:name w:val="Body Text Indent"/>
    <w:basedOn w:val="1"/>
    <w:next w:val="14"/>
    <w:link w:val="34"/>
    <w:semiHidden/>
    <w:unhideWhenUsed/>
    <w:qFormat/>
    <w:uiPriority w:val="99"/>
    <w:pPr>
      <w:spacing w:after="120"/>
      <w:ind w:left="420" w:leftChars="200"/>
    </w:pPr>
  </w:style>
  <w:style w:type="paragraph" w:styleId="14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15">
    <w:name w:val="toc 3"/>
    <w:basedOn w:val="1"/>
    <w:next w:val="1"/>
    <w:link w:val="55"/>
    <w:unhideWhenUsed/>
    <w:qFormat/>
    <w:uiPriority w:val="39"/>
    <w:pPr>
      <w:widowControl/>
      <w:spacing w:after="100" w:line="259" w:lineRule="auto"/>
      <w:ind w:left="440"/>
    </w:pPr>
    <w:rPr>
      <w:rFonts w:cs="Times New Roman"/>
      <w:lang w:eastAsia="zh-CN"/>
    </w:rPr>
  </w:style>
  <w:style w:type="paragraph" w:styleId="16">
    <w:name w:val="Plain Text"/>
    <w:basedOn w:val="1"/>
    <w:next w:val="1"/>
    <w:unhideWhenUsed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unhideWhenUsed/>
    <w:qFormat/>
    <w:uiPriority w:val="99"/>
    <w:pPr>
      <w:ind w:left="100" w:leftChars="2500"/>
    </w:pPr>
  </w:style>
  <w:style w:type="paragraph" w:styleId="18">
    <w:name w:val="Balloon Text"/>
    <w:basedOn w:val="1"/>
    <w:link w:val="48"/>
    <w:semiHidden/>
    <w:unhideWhenUsed/>
    <w:qFormat/>
    <w:uiPriority w:val="99"/>
    <w:rPr>
      <w:sz w:val="18"/>
      <w:szCs w:val="18"/>
    </w:rPr>
  </w:style>
  <w:style w:type="paragraph" w:styleId="19">
    <w:name w:val="header"/>
    <w:basedOn w:val="1"/>
    <w:link w:val="4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 w:eastAsia="宋体" w:cs="Times New Roman"/>
      <w:szCs w:val="22"/>
    </w:rPr>
  </w:style>
  <w:style w:type="paragraph" w:styleId="21">
    <w:name w:val="List"/>
    <w:basedOn w:val="1"/>
    <w:qFormat/>
    <w:uiPriority w:val="0"/>
    <w:pPr>
      <w:autoSpaceDE w:val="0"/>
      <w:autoSpaceDN w:val="0"/>
      <w:adjustRightInd w:val="0"/>
      <w:spacing w:beforeLines="100" w:line="480" w:lineRule="exact"/>
      <w:jc w:val="center"/>
      <w:textAlignment w:val="baseline"/>
    </w:pPr>
    <w:rPr>
      <w:rFonts w:ascii="黑体" w:hAnsi="Times New Roman" w:eastAsia="黑体" w:cs="Times New Roman"/>
      <w:b/>
      <w:sz w:val="24"/>
      <w:szCs w:val="24"/>
    </w:rPr>
  </w:style>
  <w:style w:type="paragraph" w:styleId="22">
    <w:name w:val="toc 2"/>
    <w:basedOn w:val="1"/>
    <w:next w:val="1"/>
    <w:qFormat/>
    <w:uiPriority w:val="99"/>
    <w:pPr>
      <w:widowControl/>
      <w:overflowPunct w:val="0"/>
      <w:autoSpaceDE w:val="0"/>
      <w:autoSpaceDN w:val="0"/>
      <w:adjustRightInd w:val="0"/>
      <w:ind w:left="200"/>
      <w:textAlignment w:val="baseline"/>
    </w:pPr>
    <w:rPr>
      <w:smallCaps/>
      <w:sz w:val="20"/>
      <w:szCs w:val="20"/>
    </w:rPr>
  </w:style>
  <w:style w:type="paragraph" w:styleId="23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  <w:lang w:eastAsia="zh-CN"/>
    </w:rPr>
  </w:style>
  <w:style w:type="paragraph" w:styleId="24">
    <w:name w:val="Title"/>
    <w:basedOn w:val="1"/>
    <w:next w:val="1"/>
    <w:link w:val="43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5">
    <w:name w:val="annotation subject"/>
    <w:basedOn w:val="10"/>
    <w:next w:val="10"/>
    <w:link w:val="47"/>
    <w:semiHidden/>
    <w:unhideWhenUsed/>
    <w:qFormat/>
    <w:uiPriority w:val="99"/>
    <w:rPr>
      <w:b/>
      <w:bCs/>
    </w:rPr>
  </w:style>
  <w:style w:type="paragraph" w:styleId="26">
    <w:name w:val="Body Text First Indent 2"/>
    <w:basedOn w:val="13"/>
    <w:next w:val="1"/>
    <w:link w:val="35"/>
    <w:unhideWhenUsed/>
    <w:qFormat/>
    <w:uiPriority w:val="99"/>
    <w:pPr>
      <w:ind w:firstLine="420" w:firstLineChars="200"/>
    </w:pPr>
    <w:rPr>
      <w:rFonts w:ascii="Calibri" w:eastAsia="仿宋_GB2312"/>
      <w:sz w:val="32"/>
    </w:rPr>
  </w:style>
  <w:style w:type="table" w:styleId="28">
    <w:name w:val="Table Grid"/>
    <w:basedOn w:val="27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Hyperlink"/>
    <w:basedOn w:val="29"/>
    <w:unhideWhenUsed/>
    <w:qFormat/>
    <w:uiPriority w:val="99"/>
    <w:rPr>
      <w:color w:val="0000FF"/>
      <w:u w:val="single"/>
    </w:rPr>
  </w:style>
  <w:style w:type="character" w:styleId="31">
    <w:name w:val="annotation reference"/>
    <w:basedOn w:val="29"/>
    <w:semiHidden/>
    <w:unhideWhenUsed/>
    <w:qFormat/>
    <w:uiPriority w:val="99"/>
    <w:rPr>
      <w:sz w:val="21"/>
      <w:szCs w:val="21"/>
    </w:rPr>
  </w:style>
  <w:style w:type="paragraph" w:customStyle="1" w:styleId="32">
    <w:name w:val="样式 正文文本缩进 + 行距: 1.5 倍行距"/>
    <w:qFormat/>
    <w:uiPriority w:val="0"/>
    <w:pPr>
      <w:snapToGrid w:val="0"/>
      <w:spacing w:after="120" w:line="360" w:lineRule="auto"/>
      <w:ind w:left="90" w:leftChars="32" w:firstLine="560" w:firstLineChars="200"/>
      <w:jc w:val="both"/>
      <w:textAlignment w:val="baseline"/>
    </w:pPr>
    <w:rPr>
      <w:rFonts w:ascii="Times New Roman" w:hAnsi="Times New Roman" w:eastAsia="宋体" w:cs="宋体"/>
      <w:kern w:val="2"/>
      <w:sz w:val="24"/>
      <w:lang w:val="en-US" w:eastAsia="zh-CN" w:bidi="ar-SA"/>
    </w:rPr>
  </w:style>
  <w:style w:type="character" w:customStyle="1" w:styleId="33">
    <w:name w:val="标题 2 字符"/>
    <w:basedOn w:val="29"/>
    <w:link w:val="5"/>
    <w:qFormat/>
    <w:uiPriority w:val="1"/>
    <w:rPr>
      <w:rFonts w:ascii="Microsoft YaHei UI" w:hAnsi="Microsoft YaHei UI" w:eastAsia="Microsoft YaHei UI"/>
      <w:spacing w:val="2"/>
      <w:kern w:val="0"/>
      <w:sz w:val="32"/>
      <w:szCs w:val="32"/>
    </w:rPr>
  </w:style>
  <w:style w:type="character" w:customStyle="1" w:styleId="34">
    <w:name w:val="正文文本缩进 字符"/>
    <w:basedOn w:val="29"/>
    <w:link w:val="13"/>
    <w:semiHidden/>
    <w:qFormat/>
    <w:uiPriority w:val="99"/>
    <w:rPr>
      <w:kern w:val="0"/>
      <w:sz w:val="22"/>
      <w:lang w:eastAsia="en-US"/>
    </w:rPr>
  </w:style>
  <w:style w:type="character" w:customStyle="1" w:styleId="35">
    <w:name w:val="正文首行缩进 2 字符"/>
    <w:basedOn w:val="34"/>
    <w:link w:val="26"/>
    <w:qFormat/>
    <w:uiPriority w:val="99"/>
    <w:rPr>
      <w:rFonts w:ascii="Calibri" w:eastAsia="仿宋_GB2312"/>
      <w:kern w:val="0"/>
      <w:sz w:val="32"/>
      <w:lang w:eastAsia="en-US"/>
    </w:rPr>
  </w:style>
  <w:style w:type="character" w:customStyle="1" w:styleId="36">
    <w:name w:val="正文文本 字符"/>
    <w:basedOn w:val="29"/>
    <w:link w:val="11"/>
    <w:qFormat/>
    <w:uiPriority w:val="1"/>
    <w:rPr>
      <w:rFonts w:ascii="Microsoft YaHei UI" w:hAnsi="Microsoft YaHei UI" w:eastAsia="Microsoft YaHei UI"/>
      <w:kern w:val="0"/>
      <w:szCs w:val="21"/>
      <w:lang w:eastAsia="en-US"/>
    </w:rPr>
  </w:style>
  <w:style w:type="character" w:customStyle="1" w:styleId="37">
    <w:name w:val="页脚 字符"/>
    <w:basedOn w:val="29"/>
    <w:link w:val="2"/>
    <w:qFormat/>
    <w:uiPriority w:val="99"/>
    <w:rPr>
      <w:kern w:val="0"/>
      <w:sz w:val="18"/>
      <w:szCs w:val="18"/>
      <w:lang w:eastAsia="en-US"/>
    </w:rPr>
  </w:style>
  <w:style w:type="paragraph" w:customStyle="1" w:styleId="38">
    <w:name w:val="默认段落字体 Para Char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80" w:after="80" w:line="360" w:lineRule="auto"/>
    </w:pPr>
    <w:rPr>
      <w:rFonts w:ascii="Times New Roman" w:hAnsi="Times New Roman" w:eastAsia="宋体" w:cs="Times New Roman"/>
      <w:sz w:val="24"/>
      <w:szCs w:val="20"/>
    </w:rPr>
  </w:style>
  <w:style w:type="paragraph" w:customStyle="1" w:styleId="39">
    <w:name w:val="标题2A"/>
    <w:basedOn w:val="5"/>
    <w:qFormat/>
    <w:uiPriority w:val="0"/>
    <w:pPr>
      <w:numPr>
        <w:ilvl w:val="0"/>
        <w:numId w:val="1"/>
      </w:numPr>
      <w:spacing w:before="360" w:after="360" w:line="578" w:lineRule="auto"/>
      <w:jc w:val="center"/>
    </w:pPr>
    <w:rPr>
      <w:rFonts w:eastAsia="宋体"/>
      <w:sz w:val="24"/>
    </w:rPr>
  </w:style>
  <w:style w:type="character" w:customStyle="1" w:styleId="40">
    <w:name w:val="font21"/>
    <w:basedOn w:val="29"/>
    <w:qFormat/>
    <w:uiPriority w:val="0"/>
    <w:rPr>
      <w:rFonts w:hint="eastAsia" w:ascii="微软雅黑" w:hAnsi="微软雅黑" w:eastAsia="微软雅黑" w:cs="微软雅黑"/>
      <w:b/>
      <w:bCs/>
      <w:color w:val="000000"/>
      <w:sz w:val="22"/>
      <w:szCs w:val="22"/>
      <w:u w:val="none"/>
    </w:rPr>
  </w:style>
  <w:style w:type="character" w:customStyle="1" w:styleId="41">
    <w:name w:val="font11"/>
    <w:basedOn w:val="29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42">
    <w:name w:val="正文首行缩进 字符"/>
    <w:basedOn w:val="36"/>
    <w:link w:val="12"/>
    <w:semiHidden/>
    <w:qFormat/>
    <w:uiPriority w:val="99"/>
    <w:rPr>
      <w:rFonts w:ascii="Microsoft YaHei UI" w:hAnsi="Microsoft YaHei UI" w:eastAsia="Microsoft YaHei UI"/>
      <w:kern w:val="0"/>
      <w:szCs w:val="21"/>
      <w:lang w:eastAsia="en-US"/>
    </w:rPr>
  </w:style>
  <w:style w:type="character" w:customStyle="1" w:styleId="43">
    <w:name w:val="标题 字符"/>
    <w:basedOn w:val="29"/>
    <w:link w:val="24"/>
    <w:qFormat/>
    <w:uiPriority w:val="10"/>
    <w:rPr>
      <w:rFonts w:asciiTheme="majorHAnsi" w:hAnsiTheme="majorHAnsi" w:eastAsiaTheme="majorEastAsia" w:cstheme="majorBidi"/>
      <w:b/>
      <w:bCs/>
      <w:kern w:val="0"/>
      <w:sz w:val="32"/>
      <w:szCs w:val="32"/>
      <w:lang w:eastAsia="en-US"/>
    </w:rPr>
  </w:style>
  <w:style w:type="paragraph" w:styleId="44">
    <w:name w:val="List Paragraph"/>
    <w:basedOn w:val="1"/>
    <w:qFormat/>
    <w:uiPriority w:val="34"/>
    <w:pPr>
      <w:ind w:firstLine="420" w:firstLineChars="200"/>
    </w:pPr>
  </w:style>
  <w:style w:type="character" w:customStyle="1" w:styleId="45">
    <w:name w:val="页眉 字符"/>
    <w:basedOn w:val="29"/>
    <w:link w:val="19"/>
    <w:qFormat/>
    <w:uiPriority w:val="99"/>
    <w:rPr>
      <w:kern w:val="0"/>
      <w:sz w:val="18"/>
      <w:szCs w:val="18"/>
      <w:lang w:eastAsia="en-US"/>
    </w:rPr>
  </w:style>
  <w:style w:type="character" w:customStyle="1" w:styleId="46">
    <w:name w:val="批注文字 字符"/>
    <w:basedOn w:val="29"/>
    <w:link w:val="10"/>
    <w:qFormat/>
    <w:uiPriority w:val="99"/>
    <w:rPr>
      <w:kern w:val="0"/>
      <w:sz w:val="22"/>
      <w:lang w:eastAsia="en-US"/>
    </w:rPr>
  </w:style>
  <w:style w:type="character" w:customStyle="1" w:styleId="47">
    <w:name w:val="批注主题 字符"/>
    <w:basedOn w:val="46"/>
    <w:link w:val="25"/>
    <w:semiHidden/>
    <w:qFormat/>
    <w:uiPriority w:val="99"/>
    <w:rPr>
      <w:b/>
      <w:bCs/>
      <w:kern w:val="0"/>
      <w:sz w:val="22"/>
      <w:lang w:eastAsia="en-US"/>
    </w:rPr>
  </w:style>
  <w:style w:type="character" w:customStyle="1" w:styleId="48">
    <w:name w:val="批注框文本 字符"/>
    <w:basedOn w:val="29"/>
    <w:link w:val="18"/>
    <w:semiHidden/>
    <w:qFormat/>
    <w:uiPriority w:val="99"/>
    <w:rPr>
      <w:kern w:val="0"/>
      <w:sz w:val="18"/>
      <w:szCs w:val="18"/>
      <w:lang w:eastAsia="en-US"/>
    </w:rPr>
  </w:style>
  <w:style w:type="paragraph" w:customStyle="1" w:styleId="49">
    <w:name w:val="Default"/>
    <w:next w:val="20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50">
    <w:name w:val="fontstyle31"/>
    <w:qFormat/>
    <w:uiPriority w:val="0"/>
    <w:rPr>
      <w:rFonts w:hint="default" w:ascii="ArialMT" w:hAnsi="ArialMT"/>
      <w:color w:val="000000"/>
      <w:sz w:val="24"/>
      <w:szCs w:val="24"/>
    </w:rPr>
  </w:style>
  <w:style w:type="paragraph" w:customStyle="1" w:styleId="51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52">
    <w:name w:val="normal__char"/>
    <w:basedOn w:val="29"/>
    <w:qFormat/>
    <w:uiPriority w:val="0"/>
  </w:style>
  <w:style w:type="paragraph" w:customStyle="1" w:styleId="53">
    <w:name w:val="列出段落1"/>
    <w:basedOn w:val="1"/>
    <w:qFormat/>
    <w:uiPriority w:val="0"/>
    <w:pPr>
      <w:ind w:firstLine="420" w:firstLineChars="200"/>
      <w:jc w:val="both"/>
    </w:pPr>
    <w:rPr>
      <w:rFonts w:ascii="Calibri" w:hAnsi="Calibri" w:eastAsia="宋体" w:cs="Times New Roman"/>
      <w:kern w:val="2"/>
      <w:sz w:val="21"/>
      <w:lang w:eastAsia="zh-CN"/>
    </w:rPr>
  </w:style>
  <w:style w:type="paragraph" w:customStyle="1" w:styleId="54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55">
    <w:name w:val="目录 3 Char"/>
    <w:link w:val="15"/>
    <w:qFormat/>
    <w:uiPriority w:val="39"/>
    <w:rPr>
      <w:rFonts w:cs="Times New Roman"/>
      <w:lang w:eastAsia="zh-CN"/>
    </w:rPr>
  </w:style>
  <w:style w:type="paragraph" w:customStyle="1" w:styleId="56">
    <w:name w:val="标题1"/>
    <w:basedOn w:val="1"/>
    <w:qFormat/>
    <w:uiPriority w:val="99"/>
    <w:pPr>
      <w:tabs>
        <w:tab w:val="left" w:pos="941"/>
      </w:tabs>
      <w:spacing w:before="120" w:after="120"/>
      <w:outlineLvl w:val="0"/>
    </w:pPr>
    <w:rPr>
      <w:sz w:val="24"/>
      <w:szCs w:val="20"/>
      <w:lang w:val="zh-CN"/>
    </w:rPr>
  </w:style>
  <w:style w:type="table" w:customStyle="1" w:styleId="57">
    <w:name w:val="网格型1"/>
    <w:basedOn w:val="27"/>
    <w:qFormat/>
    <w:uiPriority w:val="59"/>
    <w:rPr>
      <w:rFonts w:ascii="Calibri" w:hAnsi="Calibri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9">
    <w:name w:val="Style1"/>
    <w:basedOn w:val="1"/>
    <w:qFormat/>
    <w:uiPriority w:val="0"/>
    <w:pPr>
      <w:widowControl/>
      <w:tabs>
        <w:tab w:val="left" w:pos="-720"/>
      </w:tabs>
      <w:spacing w:after="120" w:afterLines="0"/>
    </w:pPr>
    <w:rPr>
      <w:rFonts w:ascii="Times New Roman" w:hAnsi="Times New Roman" w:eastAsia="宋体" w:cs="Times New Roman"/>
      <w:spacing w:val="-3"/>
      <w:kern w:val="0"/>
      <w:sz w:val="24"/>
      <w:szCs w:val="20"/>
      <w:lang w:val="en-AU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EE0A0B-DE4A-409D-AD99-9F71A048E5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10</Pages>
  <Words>1554</Words>
  <Characters>8858</Characters>
  <Lines>73</Lines>
  <Paragraphs>20</Paragraphs>
  <TotalTime>0</TotalTime>
  <ScaleCrop>false</ScaleCrop>
  <LinksUpToDate>false</LinksUpToDate>
  <CharactersWithSpaces>10392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2024-07-31T01:54:00Z</dcterms:created>
  <dc:creator>顾金亮</dc:creator>
  <cp:lastModifiedBy>凌云</cp:lastModifiedBy>
  <dcterms:modified xsi:type="dcterms:W3CDTF">2026-09-10T08:16:29Z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A315731C0C7E4812850851A1FA871DDE</vt:lpwstr>
  </property>
</Properties>
</file>