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keepLines/>
        <w:tabs>
          <w:tab w:val="left" w:pos="0"/>
          <w:tab w:val="left" w:pos="420"/>
          <w:tab w:val="center" w:pos="4153"/>
        </w:tabs>
        <w:autoSpaceDE w:val="0"/>
        <w:autoSpaceDN w:val="0"/>
        <w:adjustRightInd w:val="0"/>
        <w:spacing w:line="560" w:lineRule="exact"/>
        <w:jc w:val="center"/>
        <w:outlineLvl w:val="0"/>
        <w:rPr>
          <w:rFonts w:ascii="仿宋" w:hAnsi="仿宋" w:eastAsia="仿宋" w:cs="Times New Roman"/>
          <w:bCs/>
          <w:kern w:val="44"/>
          <w:sz w:val="44"/>
          <w:szCs w:val="44"/>
        </w:rPr>
      </w:pPr>
      <w:bookmarkStart w:id="0" w:name="OLE_LINK1"/>
      <w:r>
        <w:rPr>
          <w:rFonts w:ascii="仿宋" w:hAnsi="仿宋" w:eastAsia="仿宋" w:cs="Times New Roman"/>
          <w:bCs/>
          <w:kern w:val="44"/>
          <w:sz w:val="44"/>
          <w:szCs w:val="44"/>
        </w:rPr>
        <w:t>采办计划公告</w:t>
      </w:r>
    </w:p>
    <w:p>
      <w:pPr>
        <w:spacing w:line="560" w:lineRule="exact"/>
        <w:rPr>
          <w:rFonts w:ascii="仿宋" w:hAnsi="仿宋" w:eastAsia="仿宋" w:cs="Times New Roman"/>
          <w:sz w:val="32"/>
        </w:rPr>
      </w:pPr>
    </w:p>
    <w:p>
      <w:pPr>
        <w:tabs>
          <w:tab w:val="left" w:pos="993"/>
          <w:tab w:val="left" w:pos="1134"/>
          <w:tab w:val="left" w:pos="1418"/>
        </w:tabs>
        <w:spacing w:line="560" w:lineRule="exact"/>
        <w:ind w:firstLine="640" w:firstLineChars="200"/>
        <w:rPr>
          <w:rFonts w:ascii="仿宋" w:hAnsi="仿宋" w:eastAsia="仿宋" w:cs="Times New Roman"/>
          <w:sz w:val="32"/>
          <w:szCs w:val="32"/>
        </w:rPr>
      </w:pPr>
      <w:bookmarkStart w:id="1" w:name="OLE_LINK2"/>
      <w:r>
        <w:rPr>
          <w:rFonts w:ascii="仿宋" w:hAnsi="仿宋" w:eastAsia="仿宋" w:cs="Times New Roman"/>
          <w:sz w:val="32"/>
          <w:szCs w:val="32"/>
        </w:rPr>
        <w:t>为便于供应商及时了解项目采办信息，现将</w:t>
      </w:r>
      <w:r>
        <w:rPr>
          <w:rFonts w:ascii="仿宋" w:hAnsi="仿宋" w:eastAsia="仿宋" w:cs="Times New Roman"/>
          <w:sz w:val="32"/>
          <w:szCs w:val="32"/>
          <w:u w:val="single"/>
        </w:rPr>
        <w:t>（</w:t>
      </w:r>
      <w:r>
        <w:rPr>
          <w:rFonts w:hint="eastAsia" w:ascii="仿宋" w:hAnsi="仿宋" w:eastAsia="仿宋" w:cs="Times New Roman"/>
          <w:sz w:val="32"/>
          <w:szCs w:val="32"/>
          <w:u w:val="single"/>
        </w:rPr>
        <w:t>海油发展-化工品类部-</w:t>
      </w:r>
      <w:r>
        <w:rPr>
          <w:rFonts w:hint="eastAsia" w:ascii="仿宋" w:hAnsi="仿宋" w:eastAsia="仿宋" w:cs="Times New Roman"/>
          <w:sz w:val="32"/>
          <w:szCs w:val="32"/>
          <w:u w:val="single"/>
          <w:lang w:eastAsia="zh-CN"/>
        </w:rPr>
        <w:t>工程技术公司2026-2029年修井用酸洗保护液采购协议</w:t>
      </w:r>
      <w:r>
        <w:rPr>
          <w:rFonts w:ascii="仿宋" w:hAnsi="仿宋" w:eastAsia="仿宋" w:cs="Times New Roman"/>
          <w:sz w:val="32"/>
          <w:szCs w:val="32"/>
          <w:u w:val="single"/>
        </w:rPr>
        <w:t>）</w:t>
      </w:r>
      <w:r>
        <w:rPr>
          <w:rFonts w:ascii="仿宋" w:hAnsi="仿宋" w:eastAsia="仿宋" w:cs="Times New Roman"/>
          <w:sz w:val="32"/>
          <w:szCs w:val="32"/>
        </w:rPr>
        <w:t>的采办计划公开如下：</w:t>
      </w:r>
    </w:p>
    <w:tbl>
      <w:tblPr>
        <w:tblStyle w:val="12"/>
        <w:tblW w:w="9073"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8"/>
        <w:gridCol w:w="1872"/>
        <w:gridCol w:w="1701"/>
        <w:gridCol w:w="2551"/>
        <w:gridCol w:w="1843"/>
        <w:gridCol w:w="5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68" w:type="dxa"/>
            <w:vAlign w:val="center"/>
          </w:tcPr>
          <w:p>
            <w:pPr>
              <w:jc w:val="center"/>
              <w:rPr>
                <w:rFonts w:ascii="仿宋" w:hAnsi="仿宋" w:eastAsia="仿宋" w:cs="Times New Roman"/>
                <w:kern w:val="0"/>
                <w:sz w:val="24"/>
                <w:szCs w:val="24"/>
              </w:rPr>
            </w:pPr>
            <w:r>
              <w:rPr>
                <w:rFonts w:ascii="仿宋" w:hAnsi="仿宋" w:eastAsia="仿宋" w:cs="Times New Roman"/>
                <w:kern w:val="0"/>
                <w:sz w:val="24"/>
                <w:szCs w:val="24"/>
              </w:rPr>
              <w:t>序号</w:t>
            </w:r>
          </w:p>
        </w:tc>
        <w:tc>
          <w:tcPr>
            <w:tcW w:w="1872" w:type="dxa"/>
            <w:vAlign w:val="center"/>
          </w:tcPr>
          <w:p>
            <w:pPr>
              <w:jc w:val="center"/>
              <w:rPr>
                <w:rFonts w:ascii="仿宋" w:hAnsi="仿宋" w:eastAsia="仿宋" w:cs="Times New Roman"/>
                <w:kern w:val="0"/>
                <w:sz w:val="24"/>
                <w:szCs w:val="24"/>
              </w:rPr>
            </w:pPr>
            <w:r>
              <w:rPr>
                <w:rFonts w:ascii="仿宋" w:hAnsi="仿宋" w:eastAsia="仿宋" w:cs="Times New Roman"/>
                <w:kern w:val="0"/>
                <w:sz w:val="24"/>
                <w:szCs w:val="24"/>
              </w:rPr>
              <w:t>采办包</w:t>
            </w:r>
          </w:p>
          <w:p>
            <w:pPr>
              <w:jc w:val="center"/>
              <w:rPr>
                <w:rFonts w:ascii="仿宋" w:hAnsi="仿宋" w:eastAsia="仿宋" w:cs="Times New Roman"/>
                <w:kern w:val="0"/>
                <w:sz w:val="24"/>
                <w:szCs w:val="24"/>
              </w:rPr>
            </w:pPr>
            <w:r>
              <w:rPr>
                <w:rFonts w:ascii="仿宋" w:hAnsi="仿宋" w:eastAsia="仿宋" w:cs="Times New Roman"/>
                <w:kern w:val="0"/>
                <w:sz w:val="24"/>
                <w:szCs w:val="24"/>
              </w:rPr>
              <w:t>名称</w:t>
            </w:r>
          </w:p>
        </w:tc>
        <w:tc>
          <w:tcPr>
            <w:tcW w:w="1701" w:type="dxa"/>
            <w:vAlign w:val="center"/>
          </w:tcPr>
          <w:p>
            <w:pPr>
              <w:jc w:val="center"/>
              <w:rPr>
                <w:rFonts w:ascii="仿宋" w:hAnsi="仿宋" w:eastAsia="仿宋" w:cs="Times New Roman"/>
                <w:kern w:val="0"/>
                <w:sz w:val="24"/>
                <w:szCs w:val="24"/>
              </w:rPr>
            </w:pPr>
            <w:r>
              <w:rPr>
                <w:rFonts w:ascii="仿宋" w:hAnsi="仿宋" w:eastAsia="仿宋" w:cs="Times New Roman"/>
                <w:kern w:val="0"/>
                <w:sz w:val="24"/>
                <w:szCs w:val="24"/>
              </w:rPr>
              <w:t>采购范围与主要技术指标</w:t>
            </w:r>
          </w:p>
        </w:tc>
        <w:tc>
          <w:tcPr>
            <w:tcW w:w="2551" w:type="dxa"/>
            <w:vAlign w:val="center"/>
          </w:tcPr>
          <w:p>
            <w:pPr>
              <w:jc w:val="center"/>
              <w:rPr>
                <w:rFonts w:ascii="仿宋" w:hAnsi="仿宋" w:eastAsia="仿宋" w:cs="Times New Roman"/>
                <w:kern w:val="0"/>
                <w:sz w:val="24"/>
                <w:szCs w:val="24"/>
              </w:rPr>
            </w:pPr>
            <w:r>
              <w:rPr>
                <w:rFonts w:ascii="仿宋" w:hAnsi="仿宋" w:eastAsia="仿宋" w:cs="Times New Roman"/>
                <w:kern w:val="0"/>
                <w:sz w:val="24"/>
                <w:szCs w:val="24"/>
              </w:rPr>
              <w:t>预计发标时间</w:t>
            </w:r>
          </w:p>
          <w:p>
            <w:pPr>
              <w:jc w:val="center"/>
              <w:rPr>
                <w:rFonts w:ascii="仿宋" w:hAnsi="仿宋" w:eastAsia="仿宋" w:cs="Times New Roman"/>
                <w:kern w:val="0"/>
                <w:sz w:val="24"/>
                <w:szCs w:val="24"/>
              </w:rPr>
            </w:pPr>
            <w:r>
              <w:rPr>
                <w:rFonts w:ascii="仿宋" w:hAnsi="仿宋" w:eastAsia="仿宋" w:cs="Times New Roman"/>
                <w:kern w:val="0"/>
                <w:sz w:val="24"/>
                <w:szCs w:val="24"/>
              </w:rPr>
              <w:t>（填写到月）</w:t>
            </w:r>
          </w:p>
        </w:tc>
        <w:tc>
          <w:tcPr>
            <w:tcW w:w="1843" w:type="dxa"/>
            <w:vAlign w:val="center"/>
          </w:tcPr>
          <w:p>
            <w:pPr>
              <w:jc w:val="center"/>
              <w:rPr>
                <w:rFonts w:ascii="仿宋" w:hAnsi="仿宋" w:eastAsia="仿宋" w:cs="Times New Roman"/>
                <w:kern w:val="0"/>
                <w:sz w:val="24"/>
                <w:szCs w:val="24"/>
              </w:rPr>
            </w:pPr>
            <w:r>
              <w:rPr>
                <w:rFonts w:ascii="仿宋" w:hAnsi="仿宋" w:eastAsia="仿宋" w:cs="Times New Roman"/>
                <w:kern w:val="0"/>
                <w:sz w:val="24"/>
                <w:szCs w:val="24"/>
              </w:rPr>
              <w:t>供应商资质基本要求</w:t>
            </w:r>
          </w:p>
        </w:tc>
        <w:tc>
          <w:tcPr>
            <w:tcW w:w="538" w:type="dxa"/>
            <w:vAlign w:val="center"/>
          </w:tcPr>
          <w:p>
            <w:pPr>
              <w:jc w:val="center"/>
              <w:rPr>
                <w:rFonts w:ascii="仿宋" w:hAnsi="仿宋" w:eastAsia="仿宋" w:cs="Times New Roman"/>
                <w:kern w:val="0"/>
                <w:sz w:val="24"/>
                <w:szCs w:val="24"/>
              </w:rPr>
            </w:pPr>
            <w:r>
              <w:rPr>
                <w:rFonts w:ascii="仿宋" w:hAnsi="仿宋" w:eastAsia="仿宋" w:cs="Times New Roman"/>
                <w:kern w:val="0"/>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4" w:hRule="atLeast"/>
        </w:trPr>
        <w:tc>
          <w:tcPr>
            <w:tcW w:w="568" w:type="dxa"/>
            <w:vAlign w:val="center"/>
          </w:tcPr>
          <w:p>
            <w:pPr>
              <w:ind w:firstLine="480" w:firstLineChars="200"/>
              <w:rPr>
                <w:rFonts w:ascii="仿宋" w:hAnsi="仿宋" w:eastAsia="仿宋" w:cs="Times New Roman"/>
                <w:kern w:val="0"/>
                <w:sz w:val="24"/>
                <w:szCs w:val="24"/>
              </w:rPr>
            </w:pPr>
          </w:p>
        </w:tc>
        <w:tc>
          <w:tcPr>
            <w:tcW w:w="1872" w:type="dxa"/>
            <w:vAlign w:val="center"/>
          </w:tcPr>
          <w:p>
            <w:pPr>
              <w:rPr>
                <w:rFonts w:ascii="仿宋" w:hAnsi="仿宋" w:eastAsia="仿宋" w:cs="Times New Roman"/>
                <w:kern w:val="0"/>
                <w:sz w:val="24"/>
                <w:szCs w:val="24"/>
                <w:u w:val="single"/>
              </w:rPr>
            </w:pPr>
            <w:r>
              <w:rPr>
                <w:rFonts w:ascii="仿宋" w:hAnsi="仿宋" w:eastAsia="仿宋" w:cs="Times New Roman"/>
                <w:kern w:val="0"/>
                <w:sz w:val="24"/>
                <w:szCs w:val="24"/>
                <w:u w:val="single"/>
              </w:rPr>
              <w:t>（</w:t>
            </w:r>
            <w:r>
              <w:rPr>
                <w:rFonts w:hint="eastAsia" w:ascii="仿宋" w:hAnsi="仿宋" w:eastAsia="仿宋" w:cs="Times New Roman"/>
                <w:kern w:val="0"/>
                <w:sz w:val="24"/>
                <w:szCs w:val="24"/>
                <w:u w:val="single"/>
                <w:lang w:eastAsia="zh-CN"/>
              </w:rPr>
              <w:t>工程技术公司2026-2029年修井用酸洗保护液采购协议</w:t>
            </w:r>
            <w:r>
              <w:rPr>
                <w:rFonts w:ascii="仿宋" w:hAnsi="仿宋" w:eastAsia="仿宋" w:cs="Times New Roman"/>
                <w:kern w:val="0"/>
                <w:sz w:val="24"/>
                <w:szCs w:val="24"/>
                <w:u w:val="single"/>
              </w:rPr>
              <w:t>）</w:t>
            </w:r>
          </w:p>
        </w:tc>
        <w:tc>
          <w:tcPr>
            <w:tcW w:w="1701" w:type="dxa"/>
            <w:vAlign w:val="center"/>
          </w:tcPr>
          <w:p>
            <w:pPr>
              <w:rPr>
                <w:rFonts w:ascii="仿宋" w:hAnsi="仿宋" w:eastAsia="仿宋" w:cs="Times New Roman"/>
                <w:kern w:val="0"/>
                <w:sz w:val="24"/>
                <w:szCs w:val="24"/>
                <w:u w:val="single"/>
              </w:rPr>
            </w:pPr>
            <w:r>
              <w:rPr>
                <w:rFonts w:hint="eastAsia" w:ascii="仿宋" w:hAnsi="仿宋" w:eastAsia="仿宋" w:cs="Times New Roman"/>
                <w:kern w:val="0"/>
                <w:sz w:val="24"/>
                <w:szCs w:val="24"/>
                <w:u w:val="single"/>
              </w:rPr>
              <w:t>具体要求详见附件</w:t>
            </w:r>
            <w:r>
              <w:rPr>
                <w:rFonts w:ascii="仿宋" w:hAnsi="仿宋" w:eastAsia="仿宋" w:cs="Times New Roman"/>
                <w:kern w:val="0"/>
                <w:sz w:val="24"/>
                <w:szCs w:val="24"/>
                <w:u w:val="single"/>
              </w:rPr>
              <w:t>1。</w:t>
            </w:r>
          </w:p>
        </w:tc>
        <w:tc>
          <w:tcPr>
            <w:tcW w:w="2551" w:type="dxa"/>
            <w:vAlign w:val="center"/>
          </w:tcPr>
          <w:p>
            <w:pPr>
              <w:rPr>
                <w:rFonts w:ascii="仿宋" w:hAnsi="仿宋" w:eastAsia="仿宋" w:cs="Times New Roman"/>
                <w:kern w:val="0"/>
                <w:sz w:val="24"/>
                <w:szCs w:val="24"/>
                <w:u w:val="single"/>
              </w:rPr>
            </w:pPr>
            <w:r>
              <w:rPr>
                <w:rFonts w:ascii="仿宋" w:hAnsi="仿宋" w:eastAsia="仿宋" w:cs="Times New Roman"/>
                <w:kern w:val="0"/>
                <w:sz w:val="24"/>
                <w:szCs w:val="24"/>
                <w:u w:val="single"/>
              </w:rPr>
              <w:t>（</w:t>
            </w:r>
            <w:r>
              <w:rPr>
                <w:rFonts w:hint="eastAsia" w:ascii="仿宋" w:hAnsi="仿宋" w:eastAsia="仿宋" w:cs="Times New Roman"/>
                <w:kern w:val="0"/>
                <w:sz w:val="24"/>
                <w:szCs w:val="24"/>
                <w:u w:val="single"/>
                <w:lang w:eastAsia="zh-CN"/>
              </w:rPr>
              <w:t>2026年</w:t>
            </w:r>
            <w:r>
              <w:rPr>
                <w:rFonts w:hint="eastAsia" w:ascii="仿宋" w:hAnsi="仿宋" w:eastAsia="仿宋" w:cs="Times New Roman"/>
                <w:kern w:val="0"/>
                <w:sz w:val="24"/>
                <w:szCs w:val="24"/>
                <w:u w:val="single"/>
                <w:lang w:val="en-US" w:eastAsia="zh-CN"/>
              </w:rPr>
              <w:t>9月</w:t>
            </w:r>
            <w:r>
              <w:rPr>
                <w:rFonts w:ascii="仿宋" w:hAnsi="仿宋" w:eastAsia="仿宋" w:cs="Times New Roman"/>
                <w:kern w:val="0"/>
                <w:sz w:val="24"/>
                <w:szCs w:val="24"/>
                <w:u w:val="single"/>
              </w:rPr>
              <w:t>）</w:t>
            </w:r>
          </w:p>
        </w:tc>
        <w:tc>
          <w:tcPr>
            <w:tcW w:w="1843" w:type="dxa"/>
            <w:vAlign w:val="center"/>
          </w:tcPr>
          <w:p>
            <w:pPr>
              <w:rPr>
                <w:rFonts w:ascii="仿宋" w:hAnsi="仿宋" w:eastAsia="仿宋" w:cs="Times New Roman"/>
                <w:kern w:val="0"/>
                <w:sz w:val="24"/>
                <w:szCs w:val="24"/>
                <w:u w:val="single"/>
              </w:rPr>
            </w:pPr>
            <w:r>
              <w:rPr>
                <w:rFonts w:hint="eastAsia" w:ascii="仿宋" w:hAnsi="仿宋" w:eastAsia="仿宋" w:cs="Times New Roman"/>
                <w:kern w:val="0"/>
                <w:sz w:val="24"/>
                <w:szCs w:val="24"/>
                <w:u w:val="single"/>
              </w:rPr>
              <w:t>详见附件2</w:t>
            </w:r>
          </w:p>
        </w:tc>
        <w:tc>
          <w:tcPr>
            <w:tcW w:w="538" w:type="dxa"/>
            <w:vAlign w:val="center"/>
          </w:tcPr>
          <w:p>
            <w:pPr>
              <w:rPr>
                <w:rFonts w:ascii="仿宋" w:hAnsi="仿宋" w:eastAsia="仿宋" w:cs="Times New Roman"/>
                <w:kern w:val="0"/>
                <w:sz w:val="24"/>
                <w:szCs w:val="24"/>
                <w:u w:val="single"/>
              </w:rPr>
            </w:pPr>
          </w:p>
        </w:tc>
      </w:tr>
    </w:tbl>
    <w:p>
      <w:pPr>
        <w:tabs>
          <w:tab w:val="left" w:pos="993"/>
          <w:tab w:val="left" w:pos="1134"/>
          <w:tab w:val="left" w:pos="1418"/>
        </w:tabs>
        <w:spacing w:line="560" w:lineRule="exact"/>
        <w:ind w:firstLine="640" w:firstLineChars="200"/>
        <w:rPr>
          <w:rFonts w:ascii="仿宋" w:hAnsi="仿宋" w:eastAsia="仿宋" w:cs="Times New Roman"/>
          <w:sz w:val="32"/>
          <w:szCs w:val="32"/>
        </w:rPr>
      </w:pPr>
      <w:r>
        <w:rPr>
          <w:rFonts w:ascii="仿宋" w:hAnsi="仿宋" w:eastAsia="仿宋" w:cs="Times New Roman"/>
          <w:sz w:val="32"/>
          <w:szCs w:val="32"/>
        </w:rPr>
        <w:t>本次公开的采办计划是本项目采办工作的初步安排，实际采购应以相关采购公告和采购文件为准，所有提供和反馈的信息只作为项目采办参考。</w:t>
      </w:r>
    </w:p>
    <w:p>
      <w:pPr>
        <w:tabs>
          <w:tab w:val="left" w:pos="993"/>
          <w:tab w:val="left" w:pos="1134"/>
          <w:tab w:val="left" w:pos="1418"/>
        </w:tabs>
        <w:spacing w:line="560" w:lineRule="exact"/>
        <w:ind w:firstLine="640" w:firstLineChars="200"/>
        <w:rPr>
          <w:rFonts w:hint="eastAsia" w:ascii="仿宋" w:hAnsi="仿宋" w:eastAsia="仿宋" w:cs="Times New Roman"/>
          <w:sz w:val="32"/>
          <w:szCs w:val="32"/>
        </w:rPr>
      </w:pPr>
      <w:r>
        <w:rPr>
          <w:rFonts w:ascii="仿宋" w:hAnsi="仿宋" w:eastAsia="仿宋" w:cs="Times New Roman"/>
          <w:sz w:val="32"/>
          <w:szCs w:val="32"/>
        </w:rPr>
        <w:t>本次公告有效期是（</w:t>
      </w:r>
      <w:r>
        <w:rPr>
          <w:rFonts w:hint="eastAsia" w:ascii="仿宋" w:hAnsi="仿宋" w:eastAsia="仿宋" w:cs="Times New Roman"/>
          <w:sz w:val="32"/>
          <w:szCs w:val="32"/>
          <w:lang w:eastAsia="zh-CN"/>
        </w:rPr>
        <w:t>2026年</w:t>
      </w:r>
      <w:r>
        <w:rPr>
          <w:rFonts w:hint="eastAsia" w:ascii="仿宋" w:hAnsi="仿宋" w:eastAsia="仿宋" w:cs="Times New Roman"/>
          <w:sz w:val="32"/>
          <w:szCs w:val="32"/>
          <w:lang w:val="en-US" w:eastAsia="zh-CN"/>
        </w:rPr>
        <w:t>9月14日</w:t>
      </w:r>
      <w:r>
        <w:rPr>
          <w:rFonts w:ascii="仿宋" w:hAnsi="仿宋" w:eastAsia="仿宋" w:cs="Times New Roman"/>
          <w:sz w:val="32"/>
          <w:szCs w:val="32"/>
        </w:rPr>
        <w:t>）至（</w:t>
      </w:r>
      <w:r>
        <w:rPr>
          <w:rFonts w:hint="eastAsia" w:ascii="仿宋" w:hAnsi="仿宋" w:eastAsia="仿宋" w:cs="Times New Roman"/>
          <w:sz w:val="32"/>
          <w:szCs w:val="32"/>
          <w:lang w:eastAsia="zh-CN"/>
        </w:rPr>
        <w:t>2026年</w:t>
      </w:r>
      <w:r>
        <w:rPr>
          <w:rFonts w:hint="eastAsia" w:ascii="仿宋" w:hAnsi="仿宋" w:eastAsia="仿宋" w:cs="Times New Roman"/>
          <w:sz w:val="32"/>
          <w:szCs w:val="32"/>
          <w:lang w:val="en-US" w:eastAsia="zh-CN"/>
        </w:rPr>
        <w:t>9月18日</w:t>
      </w:r>
      <w:r>
        <w:rPr>
          <w:rFonts w:ascii="仿宋" w:hAnsi="仿宋" w:eastAsia="仿宋" w:cs="Times New Roman"/>
          <w:sz w:val="32"/>
          <w:szCs w:val="32"/>
        </w:rPr>
        <w:t>）止。在此期间，</w:t>
      </w:r>
      <w:r>
        <w:rPr>
          <w:rFonts w:hint="eastAsia" w:ascii="仿宋" w:hAnsi="仿宋" w:eastAsia="仿宋" w:cs="Times New Roman"/>
          <w:sz w:val="32"/>
          <w:szCs w:val="32"/>
        </w:rPr>
        <w:t>有意向参与本项目的供应商，请在系统中进行反馈。</w:t>
      </w:r>
    </w:p>
    <w:p>
      <w:pPr>
        <w:pStyle w:val="7"/>
        <w:rPr>
          <w:rFonts w:hint="eastAsia" w:ascii="仿宋" w:hAnsi="仿宋" w:eastAsia="仿宋" w:cs="Times New Roman"/>
          <w:sz w:val="32"/>
          <w:szCs w:val="32"/>
        </w:rPr>
      </w:pPr>
    </w:p>
    <w:p>
      <w:pPr>
        <w:pStyle w:val="7"/>
        <w:rPr>
          <w:rFonts w:hint="eastAsia" w:ascii="仿宋" w:hAnsi="仿宋" w:eastAsia="仿宋" w:cs="Times New Roman"/>
          <w:sz w:val="32"/>
          <w:szCs w:val="32"/>
        </w:rPr>
      </w:pPr>
    </w:p>
    <w:p>
      <w:pPr>
        <w:tabs>
          <w:tab w:val="left" w:pos="993"/>
          <w:tab w:val="left" w:pos="1134"/>
          <w:tab w:val="left" w:pos="1418"/>
        </w:tabs>
        <w:spacing w:line="600" w:lineRule="exact"/>
        <w:rPr>
          <w:rFonts w:ascii="仿宋" w:hAnsi="仿宋" w:eastAsia="仿宋" w:cs="Times New Roman"/>
          <w:sz w:val="28"/>
          <w:szCs w:val="28"/>
        </w:rPr>
      </w:pPr>
    </w:p>
    <w:p>
      <w:pPr>
        <w:tabs>
          <w:tab w:val="left" w:pos="993"/>
          <w:tab w:val="left" w:pos="1134"/>
          <w:tab w:val="left" w:pos="1418"/>
        </w:tabs>
        <w:spacing w:line="600" w:lineRule="exact"/>
        <w:ind w:right="480" w:firstLine="960" w:firstLineChars="300"/>
        <w:jc w:val="right"/>
        <w:rPr>
          <w:rFonts w:ascii="仿宋" w:hAnsi="仿宋" w:eastAsia="仿宋" w:cs="Times New Roman"/>
          <w:sz w:val="32"/>
          <w:szCs w:val="32"/>
        </w:rPr>
      </w:pPr>
      <w:r>
        <w:rPr>
          <w:rFonts w:hint="eastAsia" w:ascii="仿宋" w:hAnsi="仿宋" w:eastAsia="仿宋" w:cs="Times New Roman"/>
          <w:sz w:val="32"/>
          <w:szCs w:val="32"/>
        </w:rPr>
        <w:t>中海油能源发展股份有限公司</w:t>
      </w:r>
    </w:p>
    <w:p>
      <w:pPr>
        <w:tabs>
          <w:tab w:val="left" w:pos="993"/>
          <w:tab w:val="left" w:pos="1134"/>
          <w:tab w:val="left" w:pos="1418"/>
        </w:tabs>
        <w:spacing w:line="600" w:lineRule="exact"/>
        <w:ind w:right="480" w:firstLine="960" w:firstLineChars="300"/>
        <w:jc w:val="left"/>
        <w:rPr>
          <w:rFonts w:ascii="仿宋" w:hAnsi="仿宋" w:eastAsia="仿宋" w:cs="Times New Roman"/>
          <w:sz w:val="32"/>
          <w:szCs w:val="32"/>
        </w:rPr>
      </w:pPr>
      <w:r>
        <w:rPr>
          <w:rFonts w:ascii="仿宋" w:hAnsi="仿宋" w:eastAsia="仿宋" w:cs="Times New Roman"/>
          <w:sz w:val="32"/>
          <w:szCs w:val="32"/>
        </w:rPr>
        <w:t xml:space="preserve">                         采办共享中心</w:t>
      </w:r>
    </w:p>
    <w:p>
      <w:pPr>
        <w:tabs>
          <w:tab w:val="left" w:pos="993"/>
          <w:tab w:val="left" w:pos="1134"/>
          <w:tab w:val="left" w:pos="1418"/>
        </w:tabs>
        <w:spacing w:line="600" w:lineRule="exact"/>
        <w:ind w:right="1120" w:firstLine="960" w:firstLineChars="300"/>
        <w:jc w:val="right"/>
        <w:rPr>
          <w:rFonts w:ascii="仿宋" w:hAnsi="仿宋" w:eastAsia="仿宋" w:cs="Times New Roman"/>
          <w:sz w:val="32"/>
          <w:szCs w:val="32"/>
        </w:rPr>
      </w:pPr>
      <w:r>
        <w:rPr>
          <w:rFonts w:hint="eastAsia" w:ascii="仿宋" w:hAnsi="仿宋" w:eastAsia="仿宋" w:cs="Times New Roman"/>
          <w:sz w:val="32"/>
          <w:szCs w:val="32"/>
          <w:lang w:eastAsia="zh-CN"/>
        </w:rPr>
        <w:t>2026年</w:t>
      </w:r>
      <w:r>
        <w:rPr>
          <w:rFonts w:hint="eastAsia" w:ascii="仿宋" w:hAnsi="仿宋" w:eastAsia="仿宋" w:cs="Times New Roman"/>
          <w:sz w:val="32"/>
          <w:szCs w:val="32"/>
          <w:lang w:val="en-US" w:eastAsia="zh-CN"/>
        </w:rPr>
        <w:t>9月14月</w:t>
      </w:r>
      <w:r>
        <w:rPr>
          <w:rFonts w:ascii="仿宋" w:hAnsi="仿宋" w:eastAsia="仿宋" w:cs="Times New Roman"/>
          <w:sz w:val="32"/>
          <w:szCs w:val="32"/>
        </w:rPr>
        <w:t xml:space="preserve">   </w:t>
      </w:r>
    </w:p>
    <w:bookmarkEnd w:id="0"/>
    <w:p>
      <w:pPr>
        <w:tabs>
          <w:tab w:val="left" w:pos="993"/>
          <w:tab w:val="left" w:pos="1134"/>
          <w:tab w:val="left" w:pos="1418"/>
        </w:tabs>
        <w:spacing w:line="600" w:lineRule="exact"/>
        <w:ind w:right="1120" w:firstLine="960" w:firstLineChars="300"/>
        <w:jc w:val="right"/>
        <w:rPr>
          <w:rFonts w:ascii="仿宋" w:hAnsi="仿宋" w:eastAsia="仿宋" w:cs="Times New Roman"/>
          <w:sz w:val="32"/>
          <w:szCs w:val="32"/>
        </w:rPr>
      </w:pPr>
    </w:p>
    <w:bookmarkEnd w:id="1"/>
    <w:p>
      <w:pPr>
        <w:widowControl/>
        <w:jc w:val="left"/>
        <w:rPr>
          <w:rFonts w:ascii="仿宋" w:hAnsi="仿宋" w:eastAsia="仿宋" w:cs="Times New Roman"/>
          <w:sz w:val="32"/>
          <w:szCs w:val="32"/>
        </w:rPr>
      </w:pPr>
      <w:r>
        <w:rPr>
          <w:rFonts w:ascii="仿宋" w:hAnsi="仿宋" w:eastAsia="仿宋" w:cs="Times New Roman"/>
          <w:sz w:val="32"/>
          <w:szCs w:val="32"/>
        </w:rPr>
        <w:br w:type="page"/>
      </w:r>
    </w:p>
    <w:p>
      <w:pPr>
        <w:tabs>
          <w:tab w:val="left" w:pos="993"/>
          <w:tab w:val="left" w:pos="1134"/>
          <w:tab w:val="left" w:pos="1418"/>
        </w:tabs>
        <w:spacing w:line="600" w:lineRule="exact"/>
        <w:ind w:right="1120"/>
        <w:jc w:val="left"/>
        <w:rPr>
          <w:rFonts w:ascii="仿宋" w:hAnsi="仿宋" w:eastAsia="仿宋"/>
          <w:sz w:val="24"/>
        </w:rPr>
      </w:pPr>
      <w:r>
        <w:rPr>
          <w:rFonts w:hint="eastAsia" w:ascii="仿宋" w:hAnsi="仿宋" w:eastAsia="仿宋" w:cs="Times New Roman"/>
          <w:sz w:val="32"/>
          <w:szCs w:val="32"/>
        </w:rPr>
        <w:t>附件1：</w:t>
      </w:r>
    </w:p>
    <w:p>
      <w:pPr>
        <w:pStyle w:val="32"/>
        <w:spacing w:before="120" w:after="120" w:line="360" w:lineRule="auto"/>
        <w:ind w:left="600"/>
        <w:outlineLvl w:val="0"/>
        <w:rPr>
          <w:rFonts w:ascii="仿宋" w:hAnsi="仿宋" w:eastAsia="仿宋" w:cs="Times New Roman"/>
          <w:b/>
          <w:bCs/>
          <w:color w:val="auto"/>
          <w:kern w:val="2"/>
          <w:sz w:val="32"/>
          <w:szCs w:val="32"/>
        </w:rPr>
      </w:pPr>
      <w:r>
        <w:rPr>
          <w:rFonts w:hint="eastAsia" w:ascii="仿宋" w:hAnsi="仿宋" w:eastAsia="仿宋" w:cs="Times New Roman"/>
          <w:b/>
          <w:bCs/>
          <w:color w:val="auto"/>
          <w:kern w:val="2"/>
          <w:sz w:val="32"/>
          <w:szCs w:val="32"/>
        </w:rPr>
        <w:t>1、需求一览表</w:t>
      </w:r>
    </w:p>
    <w:tbl>
      <w:tblPr>
        <w:tblStyle w:val="11"/>
        <w:tblW w:w="108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7"/>
        <w:gridCol w:w="2444"/>
        <w:gridCol w:w="1936"/>
        <w:gridCol w:w="1554"/>
        <w:gridCol w:w="1184"/>
        <w:gridCol w:w="1064"/>
        <w:gridCol w:w="22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7" w:hRule="atLeast"/>
          <w:jc w:val="center"/>
        </w:trPr>
        <w:tc>
          <w:tcPr>
            <w:tcW w:w="447" w:type="dxa"/>
          </w:tcPr>
          <w:p>
            <w:pPr>
              <w:pStyle w:val="2"/>
              <w:adjustRightInd w:val="0"/>
              <w:snapToGrid w:val="0"/>
              <w:spacing w:line="240" w:lineRule="auto"/>
              <w:jc w:val="center"/>
              <w:rPr>
                <w:rFonts w:ascii="仿宋" w:hAnsi="仿宋" w:eastAsia="仿宋" w:cs="仿宋"/>
                <w:b w:val="0"/>
                <w:bCs w:val="0"/>
                <w:sz w:val="24"/>
                <w:szCs w:val="24"/>
              </w:rPr>
            </w:pPr>
            <w:r>
              <w:rPr>
                <w:rFonts w:hint="eastAsia" w:ascii="仿宋" w:hAnsi="仿宋" w:eastAsia="仿宋" w:cs="仿宋"/>
                <w:b w:val="0"/>
                <w:bCs w:val="0"/>
                <w:sz w:val="24"/>
                <w:szCs w:val="24"/>
              </w:rPr>
              <w:t>序号</w:t>
            </w:r>
          </w:p>
        </w:tc>
        <w:tc>
          <w:tcPr>
            <w:tcW w:w="2444" w:type="dxa"/>
          </w:tcPr>
          <w:p>
            <w:pPr>
              <w:pStyle w:val="2"/>
              <w:adjustRightInd w:val="0"/>
              <w:snapToGrid w:val="0"/>
              <w:spacing w:line="240" w:lineRule="auto"/>
              <w:jc w:val="center"/>
              <w:rPr>
                <w:rFonts w:ascii="仿宋" w:hAnsi="仿宋" w:eastAsia="仿宋" w:cs="仿宋"/>
                <w:b w:val="0"/>
                <w:bCs w:val="0"/>
                <w:sz w:val="24"/>
                <w:szCs w:val="24"/>
              </w:rPr>
            </w:pPr>
            <w:r>
              <w:rPr>
                <w:rFonts w:hint="eastAsia" w:ascii="仿宋" w:hAnsi="仿宋" w:eastAsia="仿宋" w:cs="仿宋"/>
                <w:b w:val="0"/>
                <w:bCs w:val="0"/>
                <w:sz w:val="24"/>
                <w:szCs w:val="24"/>
              </w:rPr>
              <w:t>物资名称</w:t>
            </w:r>
          </w:p>
        </w:tc>
        <w:tc>
          <w:tcPr>
            <w:tcW w:w="1936" w:type="dxa"/>
          </w:tcPr>
          <w:p>
            <w:pPr>
              <w:pStyle w:val="2"/>
              <w:adjustRightInd w:val="0"/>
              <w:snapToGrid w:val="0"/>
              <w:spacing w:line="240" w:lineRule="auto"/>
              <w:jc w:val="center"/>
              <w:rPr>
                <w:rFonts w:ascii="仿宋" w:hAnsi="仿宋" w:eastAsia="仿宋" w:cs="仿宋"/>
                <w:b w:val="0"/>
                <w:bCs w:val="0"/>
                <w:sz w:val="24"/>
                <w:szCs w:val="24"/>
              </w:rPr>
            </w:pPr>
            <w:r>
              <w:rPr>
                <w:rFonts w:hint="eastAsia" w:ascii="仿宋" w:hAnsi="仿宋" w:eastAsia="仿宋" w:cs="仿宋"/>
                <w:b w:val="0"/>
                <w:bCs w:val="0"/>
                <w:sz w:val="24"/>
                <w:szCs w:val="24"/>
              </w:rPr>
              <w:t>规格型号</w:t>
            </w:r>
          </w:p>
        </w:tc>
        <w:tc>
          <w:tcPr>
            <w:tcW w:w="1554" w:type="dxa"/>
          </w:tcPr>
          <w:p>
            <w:pPr>
              <w:pStyle w:val="2"/>
              <w:adjustRightInd w:val="0"/>
              <w:snapToGrid w:val="0"/>
              <w:spacing w:line="240" w:lineRule="auto"/>
              <w:jc w:val="center"/>
              <w:rPr>
                <w:rFonts w:ascii="仿宋" w:hAnsi="仿宋" w:eastAsia="仿宋" w:cs="仿宋"/>
                <w:b w:val="0"/>
                <w:bCs w:val="0"/>
                <w:sz w:val="24"/>
                <w:szCs w:val="24"/>
              </w:rPr>
            </w:pPr>
            <w:r>
              <w:rPr>
                <w:rFonts w:hint="eastAsia" w:ascii="仿宋" w:hAnsi="仿宋" w:eastAsia="仿宋" w:cs="仿宋"/>
                <w:b w:val="0"/>
                <w:bCs w:val="0"/>
                <w:sz w:val="24"/>
                <w:szCs w:val="24"/>
                <w:lang w:val="en-US" w:eastAsia="zh-CN"/>
              </w:rPr>
              <w:t>年度预估</w:t>
            </w:r>
            <w:r>
              <w:rPr>
                <w:rFonts w:hint="eastAsia" w:ascii="仿宋" w:hAnsi="仿宋" w:eastAsia="仿宋" w:cs="仿宋"/>
                <w:b w:val="0"/>
                <w:bCs w:val="0"/>
                <w:sz w:val="24"/>
                <w:szCs w:val="24"/>
              </w:rPr>
              <w:t>数量及单位</w:t>
            </w:r>
          </w:p>
        </w:tc>
        <w:tc>
          <w:tcPr>
            <w:tcW w:w="1184" w:type="dxa"/>
          </w:tcPr>
          <w:p>
            <w:pPr>
              <w:pStyle w:val="2"/>
              <w:adjustRightInd w:val="0"/>
              <w:snapToGrid w:val="0"/>
              <w:spacing w:line="240" w:lineRule="auto"/>
              <w:jc w:val="center"/>
              <w:rPr>
                <w:rFonts w:ascii="仿宋" w:hAnsi="仿宋" w:eastAsia="仿宋" w:cs="仿宋"/>
                <w:b w:val="0"/>
                <w:bCs w:val="0"/>
                <w:sz w:val="24"/>
                <w:szCs w:val="24"/>
              </w:rPr>
            </w:pPr>
            <w:r>
              <w:rPr>
                <w:rFonts w:hint="eastAsia" w:ascii="仿宋" w:hAnsi="仿宋" w:eastAsia="仿宋" w:cs="仿宋"/>
                <w:b w:val="0"/>
                <w:bCs w:val="0"/>
                <w:sz w:val="24"/>
                <w:szCs w:val="24"/>
              </w:rPr>
              <w:t>交货期</w:t>
            </w:r>
          </w:p>
        </w:tc>
        <w:tc>
          <w:tcPr>
            <w:tcW w:w="1064" w:type="dxa"/>
          </w:tcPr>
          <w:p>
            <w:pPr>
              <w:pStyle w:val="2"/>
              <w:adjustRightInd w:val="0"/>
              <w:snapToGrid w:val="0"/>
              <w:spacing w:line="240" w:lineRule="auto"/>
              <w:jc w:val="center"/>
              <w:rPr>
                <w:rFonts w:ascii="仿宋" w:hAnsi="仿宋" w:eastAsia="仿宋" w:cs="仿宋"/>
                <w:b w:val="0"/>
                <w:bCs w:val="0"/>
                <w:sz w:val="24"/>
                <w:szCs w:val="24"/>
              </w:rPr>
            </w:pPr>
            <w:r>
              <w:rPr>
                <w:rFonts w:hint="eastAsia" w:ascii="仿宋" w:hAnsi="仿宋" w:eastAsia="仿宋" w:cs="仿宋"/>
                <w:b w:val="0"/>
                <w:bCs w:val="0"/>
                <w:sz w:val="24"/>
                <w:szCs w:val="24"/>
              </w:rPr>
              <w:t>交货地点</w:t>
            </w:r>
          </w:p>
        </w:tc>
        <w:tc>
          <w:tcPr>
            <w:tcW w:w="2207" w:type="dxa"/>
          </w:tcPr>
          <w:p>
            <w:pPr>
              <w:pStyle w:val="2"/>
              <w:adjustRightInd w:val="0"/>
              <w:snapToGrid w:val="0"/>
              <w:spacing w:line="240" w:lineRule="auto"/>
              <w:jc w:val="center"/>
              <w:rPr>
                <w:rFonts w:ascii="仿宋" w:hAnsi="仿宋" w:eastAsia="仿宋" w:cs="仿宋"/>
                <w:b w:val="0"/>
                <w:bCs w:val="0"/>
                <w:sz w:val="24"/>
                <w:szCs w:val="24"/>
              </w:rPr>
            </w:pPr>
            <w:r>
              <w:rPr>
                <w:rFonts w:hint="eastAsia" w:ascii="仿宋" w:hAnsi="仿宋" w:eastAsia="仿宋" w:cs="仿宋"/>
                <w:b w:val="0"/>
                <w:bCs w:val="0"/>
                <w:sz w:val="24"/>
                <w:szCs w:val="24"/>
              </w:rPr>
              <w:t>付款方式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9" w:hRule="atLeast"/>
          <w:jc w:val="center"/>
        </w:trPr>
        <w:tc>
          <w:tcPr>
            <w:tcW w:w="447" w:type="dxa"/>
            <w:vAlign w:val="center"/>
          </w:tcPr>
          <w:p>
            <w:pPr>
              <w:pStyle w:val="2"/>
              <w:adjustRightInd w:val="0"/>
              <w:snapToGrid w:val="0"/>
              <w:spacing w:line="240" w:lineRule="auto"/>
              <w:jc w:val="center"/>
              <w:rPr>
                <w:rFonts w:hint="eastAsia" w:ascii="仿宋" w:hAnsi="仿宋" w:eastAsia="仿宋" w:cs="仿宋"/>
                <w:b w:val="0"/>
                <w:bCs w:val="0"/>
                <w:sz w:val="24"/>
                <w:szCs w:val="24"/>
              </w:rPr>
            </w:pPr>
            <w:r>
              <w:rPr>
                <w:rFonts w:hint="eastAsia" w:ascii="仿宋" w:hAnsi="仿宋" w:eastAsia="仿宋" w:cs="仿宋"/>
                <w:b w:val="0"/>
                <w:bCs w:val="0"/>
                <w:sz w:val="24"/>
                <w:szCs w:val="24"/>
                <w:lang w:val="en-US" w:eastAsia="zh-CN"/>
              </w:rPr>
              <w:t>1</w:t>
            </w:r>
          </w:p>
        </w:tc>
        <w:tc>
          <w:tcPr>
            <w:tcW w:w="2444" w:type="dxa"/>
            <w:vAlign w:val="center"/>
          </w:tcPr>
          <w:p>
            <w:pPr>
              <w:pStyle w:val="2"/>
              <w:adjustRightInd w:val="0"/>
              <w:snapToGrid w:val="0"/>
              <w:spacing w:line="240" w:lineRule="auto"/>
              <w:jc w:val="center"/>
              <w:rPr>
                <w:rFonts w:hint="eastAsia" w:ascii="仿宋" w:hAnsi="仿宋" w:eastAsia="仿宋" w:cs="仿宋"/>
                <w:b w:val="0"/>
                <w:bCs w:val="0"/>
                <w:sz w:val="24"/>
                <w:szCs w:val="24"/>
                <w:lang w:eastAsia="zh-CN"/>
              </w:rPr>
            </w:pPr>
            <w:r>
              <w:rPr>
                <w:rFonts w:hint="eastAsia" w:ascii="仿宋" w:hAnsi="仿宋" w:eastAsia="仿宋" w:cs="仿宋"/>
                <w:b w:val="0"/>
                <w:bCs w:val="0"/>
                <w:sz w:val="24"/>
                <w:szCs w:val="24"/>
                <w:lang w:val="en-US" w:eastAsia="zh-CN"/>
              </w:rPr>
              <w:t>酸洗保护液PI-90</w:t>
            </w:r>
          </w:p>
        </w:tc>
        <w:tc>
          <w:tcPr>
            <w:tcW w:w="1936" w:type="dxa"/>
            <w:vAlign w:val="center"/>
          </w:tcPr>
          <w:p>
            <w:pPr>
              <w:pStyle w:val="2"/>
              <w:adjustRightInd w:val="0"/>
              <w:snapToGrid w:val="0"/>
              <w:spacing w:line="240" w:lineRule="auto"/>
              <w:jc w:val="center"/>
              <w:rPr>
                <w:rFonts w:hint="default"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200kg/桶\液体</w:t>
            </w:r>
          </w:p>
        </w:tc>
        <w:tc>
          <w:tcPr>
            <w:tcW w:w="1554" w:type="dxa"/>
            <w:vAlign w:val="center"/>
          </w:tcPr>
          <w:p>
            <w:pPr>
              <w:pStyle w:val="2"/>
              <w:adjustRightInd w:val="0"/>
              <w:snapToGrid w:val="0"/>
              <w:spacing w:line="240" w:lineRule="auto"/>
              <w:jc w:val="righ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360000KG</w:t>
            </w:r>
          </w:p>
        </w:tc>
        <w:tc>
          <w:tcPr>
            <w:tcW w:w="1184" w:type="dxa"/>
            <w:vMerge w:val="restart"/>
            <w:vAlign w:val="center"/>
          </w:tcPr>
          <w:p>
            <w:pPr>
              <w:pStyle w:val="2"/>
              <w:adjustRightInd w:val="0"/>
              <w:snapToGrid w:val="0"/>
              <w:spacing w:line="240" w:lineRule="auto"/>
              <w:jc w:val="center"/>
              <w:rPr>
                <w:rFonts w:hint="eastAsia" w:ascii="仿宋" w:hAnsi="仿宋" w:eastAsia="仿宋" w:cs="仿宋"/>
                <w:b w:val="0"/>
                <w:bCs w:val="0"/>
                <w:sz w:val="22"/>
                <w:szCs w:val="22"/>
                <w:lang w:eastAsia="zh-CN"/>
              </w:rPr>
            </w:pPr>
            <w:r>
              <w:rPr>
                <w:rFonts w:hint="eastAsia" w:ascii="仿宋" w:hAnsi="仿宋" w:eastAsia="仿宋" w:cs="仿宋"/>
                <w:b w:val="0"/>
                <w:bCs w:val="0"/>
                <w:sz w:val="22"/>
                <w:szCs w:val="22"/>
                <w:lang w:eastAsia="zh-CN"/>
              </w:rPr>
              <w:t>合同有效期内，按买方订单通知送货，卖方收到买方订单送货通知后，7日内完成送货。</w:t>
            </w:r>
          </w:p>
        </w:tc>
        <w:tc>
          <w:tcPr>
            <w:tcW w:w="1064" w:type="dxa"/>
            <w:vMerge w:val="restart"/>
            <w:vAlign w:val="center"/>
          </w:tcPr>
          <w:p>
            <w:pPr>
              <w:pStyle w:val="2"/>
              <w:adjustRightInd w:val="0"/>
              <w:snapToGrid w:val="0"/>
              <w:spacing w:line="240" w:lineRule="auto"/>
              <w:jc w:val="center"/>
              <w:rPr>
                <w:rFonts w:hint="eastAsia" w:ascii="仿宋" w:hAnsi="仿宋" w:eastAsia="仿宋" w:cs="仿宋"/>
                <w:b w:val="0"/>
                <w:bCs w:val="0"/>
                <w:sz w:val="22"/>
                <w:szCs w:val="22"/>
                <w:lang w:val="en-US" w:eastAsia="zh-CN"/>
              </w:rPr>
            </w:pPr>
            <w:r>
              <w:rPr>
                <w:rFonts w:hint="eastAsia" w:ascii="仿宋" w:hAnsi="仿宋" w:eastAsia="仿宋" w:cs="仿宋"/>
                <w:b w:val="0"/>
                <w:bCs w:val="0"/>
                <w:sz w:val="22"/>
                <w:szCs w:val="22"/>
                <w:lang w:val="en-US" w:eastAsia="zh-CN"/>
              </w:rPr>
              <w:t>天津市滨海新区工程技术公司增产库房</w:t>
            </w:r>
          </w:p>
        </w:tc>
        <w:tc>
          <w:tcPr>
            <w:tcW w:w="2207" w:type="dxa"/>
            <w:vMerge w:val="restart"/>
            <w:vAlign w:val="center"/>
          </w:tcPr>
          <w:p>
            <w:pPr>
              <w:pStyle w:val="2"/>
              <w:rPr>
                <w:rFonts w:hint="eastAsia" w:ascii="仿宋" w:hAnsi="仿宋" w:eastAsia="仿宋" w:cs="仿宋"/>
                <w:b w:val="0"/>
                <w:bCs w:val="0"/>
                <w:color w:val="000000"/>
                <w:sz w:val="22"/>
                <w:szCs w:val="22"/>
                <w:lang w:eastAsia="zh-CN"/>
              </w:rPr>
            </w:pPr>
            <w:r>
              <w:rPr>
                <w:rFonts w:hint="eastAsia" w:ascii="仿宋" w:hAnsi="仿宋" w:eastAsia="仿宋" w:cs="仿宋"/>
                <w:b w:val="0"/>
                <w:bCs w:val="0"/>
                <w:color w:val="000000"/>
                <w:sz w:val="22"/>
                <w:szCs w:val="22"/>
              </w:rPr>
              <w:t>按照交货批次付款。卖方在每批次实际交付货物并经买方执行方验收合格之日起，卖方3日内向买方执行方提供有效增值税专用发票及相关支持文件，买方执行方于</w:t>
            </w:r>
            <w:r>
              <w:rPr>
                <w:rFonts w:hint="eastAsia" w:ascii="仿宋" w:hAnsi="仿宋" w:eastAsia="仿宋" w:cs="仿宋"/>
                <w:b w:val="0"/>
                <w:bCs w:val="0"/>
                <w:color w:val="000000"/>
                <w:sz w:val="22"/>
                <w:szCs w:val="22"/>
                <w:lang w:val="en-US" w:eastAsia="zh-CN"/>
              </w:rPr>
              <w:t>45</w:t>
            </w:r>
            <w:r>
              <w:rPr>
                <w:rFonts w:hint="eastAsia" w:ascii="仿宋" w:hAnsi="仿宋" w:eastAsia="仿宋" w:cs="仿宋"/>
                <w:b w:val="0"/>
                <w:bCs w:val="0"/>
                <w:color w:val="000000"/>
                <w:sz w:val="22"/>
                <w:szCs w:val="22"/>
              </w:rPr>
              <w:t>个日历日内以银行电汇支付订单价款</w:t>
            </w:r>
            <w:r>
              <w:rPr>
                <w:rFonts w:hint="eastAsia" w:ascii="仿宋" w:hAnsi="仿宋" w:eastAsia="仿宋" w:cs="仿宋"/>
                <w:b w:val="0"/>
                <w:bCs w:val="0"/>
                <w:color w:val="000000"/>
                <w:sz w:val="22"/>
                <w:szCs w:val="22"/>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2" w:hRule="atLeast"/>
          <w:jc w:val="center"/>
        </w:trPr>
        <w:tc>
          <w:tcPr>
            <w:tcW w:w="447" w:type="dxa"/>
            <w:vAlign w:val="center"/>
          </w:tcPr>
          <w:p>
            <w:pPr>
              <w:pStyle w:val="2"/>
              <w:adjustRightInd w:val="0"/>
              <w:snapToGrid w:val="0"/>
              <w:spacing w:line="240" w:lineRule="auto"/>
              <w:jc w:val="center"/>
              <w:rPr>
                <w:rFonts w:hint="default" w:ascii="仿宋" w:hAnsi="仿宋" w:eastAsia="仿宋" w:cs="仿宋"/>
                <w:b w:val="0"/>
                <w:bCs w:val="0"/>
                <w:sz w:val="24"/>
                <w:szCs w:val="24"/>
                <w:lang w:val="en-US" w:eastAsia="zh-CN"/>
              </w:rPr>
            </w:pPr>
            <w:bookmarkStart w:id="2" w:name="_Toc13249326"/>
            <w:bookmarkStart w:id="3" w:name="_Toc13248929"/>
            <w:r>
              <w:rPr>
                <w:rFonts w:hint="eastAsia" w:ascii="仿宋" w:hAnsi="仿宋" w:eastAsia="仿宋" w:cs="仿宋"/>
                <w:b w:val="0"/>
                <w:bCs w:val="0"/>
                <w:sz w:val="24"/>
                <w:szCs w:val="24"/>
                <w:lang w:val="en-US" w:eastAsia="zh-CN"/>
              </w:rPr>
              <w:t>2</w:t>
            </w:r>
          </w:p>
        </w:tc>
        <w:tc>
          <w:tcPr>
            <w:tcW w:w="2444" w:type="dxa"/>
            <w:vAlign w:val="center"/>
          </w:tcPr>
          <w:p>
            <w:pPr>
              <w:pStyle w:val="2"/>
              <w:adjustRightInd w:val="0"/>
              <w:snapToGrid w:val="0"/>
              <w:spacing w:line="240" w:lineRule="auto"/>
              <w:jc w:val="center"/>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酸洗保护液PI-110</w:t>
            </w:r>
          </w:p>
        </w:tc>
        <w:tc>
          <w:tcPr>
            <w:tcW w:w="1936" w:type="dxa"/>
            <w:vAlign w:val="center"/>
          </w:tcPr>
          <w:p>
            <w:pPr>
              <w:pStyle w:val="2"/>
              <w:adjustRightInd w:val="0"/>
              <w:snapToGrid w:val="0"/>
              <w:spacing w:line="240" w:lineRule="auto"/>
              <w:jc w:val="center"/>
              <w:rPr>
                <w:rFonts w:hint="default"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200kg/桶\液体</w:t>
            </w:r>
          </w:p>
        </w:tc>
        <w:tc>
          <w:tcPr>
            <w:tcW w:w="1554" w:type="dxa"/>
            <w:vAlign w:val="center"/>
          </w:tcPr>
          <w:p>
            <w:pPr>
              <w:pStyle w:val="2"/>
              <w:adjustRightInd w:val="0"/>
              <w:snapToGrid w:val="0"/>
              <w:spacing w:line="240" w:lineRule="auto"/>
              <w:jc w:val="righ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200000KG</w:t>
            </w:r>
          </w:p>
        </w:tc>
        <w:tc>
          <w:tcPr>
            <w:tcW w:w="1184" w:type="dxa"/>
            <w:vMerge w:val="continue"/>
            <w:tcBorders/>
            <w:vAlign w:val="center"/>
          </w:tcPr>
          <w:p>
            <w:pPr>
              <w:pStyle w:val="2"/>
              <w:adjustRightInd w:val="0"/>
              <w:snapToGrid w:val="0"/>
              <w:spacing w:line="240" w:lineRule="auto"/>
              <w:jc w:val="center"/>
              <w:rPr>
                <w:rFonts w:hint="eastAsia" w:ascii="仿宋" w:hAnsi="仿宋" w:eastAsia="仿宋" w:cs="仿宋"/>
                <w:b w:val="0"/>
                <w:bCs w:val="0"/>
                <w:sz w:val="22"/>
                <w:szCs w:val="22"/>
                <w:lang w:eastAsia="zh-CN"/>
              </w:rPr>
            </w:pPr>
          </w:p>
        </w:tc>
        <w:tc>
          <w:tcPr>
            <w:tcW w:w="1064" w:type="dxa"/>
            <w:vMerge w:val="continue"/>
            <w:tcBorders/>
            <w:vAlign w:val="center"/>
          </w:tcPr>
          <w:p>
            <w:pPr>
              <w:pStyle w:val="2"/>
              <w:adjustRightInd w:val="0"/>
              <w:snapToGrid w:val="0"/>
              <w:spacing w:line="240" w:lineRule="auto"/>
              <w:jc w:val="center"/>
              <w:rPr>
                <w:rFonts w:hint="eastAsia" w:ascii="仿宋" w:hAnsi="仿宋" w:eastAsia="仿宋" w:cs="仿宋"/>
                <w:b w:val="0"/>
                <w:bCs w:val="0"/>
                <w:sz w:val="22"/>
                <w:szCs w:val="22"/>
                <w:lang w:val="en-US" w:eastAsia="zh-CN"/>
              </w:rPr>
            </w:pPr>
          </w:p>
        </w:tc>
        <w:tc>
          <w:tcPr>
            <w:tcW w:w="2207" w:type="dxa"/>
            <w:vMerge w:val="continue"/>
            <w:tcBorders/>
            <w:vAlign w:val="center"/>
          </w:tcPr>
          <w:p>
            <w:pPr>
              <w:pStyle w:val="2"/>
              <w:rPr>
                <w:rFonts w:hint="eastAsia" w:ascii="仿宋" w:hAnsi="仿宋" w:eastAsia="仿宋" w:cs="仿宋"/>
                <w:b w:val="0"/>
                <w:bCs w:val="0"/>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9" w:hRule="atLeast"/>
          <w:jc w:val="center"/>
        </w:trPr>
        <w:tc>
          <w:tcPr>
            <w:tcW w:w="447" w:type="dxa"/>
            <w:vAlign w:val="center"/>
          </w:tcPr>
          <w:p>
            <w:pPr>
              <w:pStyle w:val="2"/>
              <w:adjustRightInd w:val="0"/>
              <w:snapToGrid w:val="0"/>
              <w:spacing w:line="240" w:lineRule="auto"/>
              <w:jc w:val="center"/>
              <w:rPr>
                <w:rFonts w:hint="default"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3</w:t>
            </w:r>
          </w:p>
        </w:tc>
        <w:tc>
          <w:tcPr>
            <w:tcW w:w="2444" w:type="dxa"/>
            <w:vAlign w:val="center"/>
          </w:tcPr>
          <w:p>
            <w:pPr>
              <w:pStyle w:val="2"/>
              <w:adjustRightInd w:val="0"/>
              <w:snapToGrid w:val="0"/>
              <w:spacing w:line="240" w:lineRule="auto"/>
              <w:jc w:val="center"/>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酸洗保护液PI-120）</w:t>
            </w:r>
          </w:p>
        </w:tc>
        <w:tc>
          <w:tcPr>
            <w:tcW w:w="1936" w:type="dxa"/>
            <w:vAlign w:val="center"/>
          </w:tcPr>
          <w:p>
            <w:pPr>
              <w:pStyle w:val="2"/>
              <w:adjustRightInd w:val="0"/>
              <w:snapToGrid w:val="0"/>
              <w:spacing w:line="240" w:lineRule="auto"/>
              <w:jc w:val="center"/>
              <w:rPr>
                <w:rFonts w:hint="default"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200kg/桶\液体</w:t>
            </w:r>
          </w:p>
        </w:tc>
        <w:tc>
          <w:tcPr>
            <w:tcW w:w="1554" w:type="dxa"/>
            <w:vAlign w:val="center"/>
          </w:tcPr>
          <w:p>
            <w:pPr>
              <w:pStyle w:val="2"/>
              <w:adjustRightInd w:val="0"/>
              <w:snapToGrid w:val="0"/>
              <w:spacing w:line="240" w:lineRule="auto"/>
              <w:jc w:val="righ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200000KG</w:t>
            </w:r>
          </w:p>
        </w:tc>
        <w:tc>
          <w:tcPr>
            <w:tcW w:w="1184" w:type="dxa"/>
            <w:vMerge w:val="continue"/>
            <w:tcBorders/>
            <w:vAlign w:val="center"/>
          </w:tcPr>
          <w:p>
            <w:pPr>
              <w:pStyle w:val="2"/>
              <w:adjustRightInd w:val="0"/>
              <w:snapToGrid w:val="0"/>
              <w:spacing w:line="240" w:lineRule="auto"/>
              <w:jc w:val="center"/>
              <w:rPr>
                <w:rFonts w:hint="eastAsia" w:ascii="仿宋" w:hAnsi="仿宋" w:eastAsia="仿宋" w:cs="仿宋"/>
                <w:b w:val="0"/>
                <w:bCs w:val="0"/>
                <w:sz w:val="22"/>
                <w:szCs w:val="22"/>
                <w:lang w:eastAsia="zh-CN"/>
              </w:rPr>
            </w:pPr>
          </w:p>
        </w:tc>
        <w:tc>
          <w:tcPr>
            <w:tcW w:w="1064" w:type="dxa"/>
            <w:vMerge w:val="continue"/>
            <w:tcBorders/>
            <w:vAlign w:val="center"/>
          </w:tcPr>
          <w:p>
            <w:pPr>
              <w:pStyle w:val="2"/>
              <w:adjustRightInd w:val="0"/>
              <w:snapToGrid w:val="0"/>
              <w:spacing w:line="240" w:lineRule="auto"/>
              <w:jc w:val="center"/>
              <w:rPr>
                <w:rFonts w:hint="eastAsia" w:ascii="仿宋" w:hAnsi="仿宋" w:eastAsia="仿宋" w:cs="仿宋"/>
                <w:b w:val="0"/>
                <w:bCs w:val="0"/>
                <w:sz w:val="22"/>
                <w:szCs w:val="22"/>
                <w:lang w:val="en-US" w:eastAsia="zh-CN"/>
              </w:rPr>
            </w:pPr>
          </w:p>
        </w:tc>
        <w:tc>
          <w:tcPr>
            <w:tcW w:w="2207" w:type="dxa"/>
            <w:vMerge w:val="continue"/>
            <w:tcBorders/>
            <w:vAlign w:val="center"/>
          </w:tcPr>
          <w:p>
            <w:pPr>
              <w:pStyle w:val="2"/>
              <w:rPr>
                <w:rFonts w:hint="eastAsia" w:ascii="仿宋" w:hAnsi="仿宋" w:eastAsia="仿宋" w:cs="仿宋"/>
                <w:b w:val="0"/>
                <w:bCs w:val="0"/>
                <w:color w:val="000000"/>
                <w:sz w:val="22"/>
                <w:szCs w:val="22"/>
              </w:rPr>
            </w:pPr>
          </w:p>
        </w:tc>
      </w:tr>
    </w:tbl>
    <w:p>
      <w:pPr>
        <w:keepNext w:val="0"/>
        <w:keepLines w:val="0"/>
        <w:widowControl/>
        <w:suppressLineNumbers w:val="0"/>
        <w:jc w:val="center"/>
        <w:textAlignment w:val="center"/>
        <w:rPr>
          <w:rFonts w:hint="default" w:ascii="仿宋" w:hAnsi="仿宋" w:eastAsia="仿宋" w:cs="仿宋"/>
          <w:b w:val="0"/>
          <w:bCs w:val="0"/>
          <w:sz w:val="21"/>
          <w:szCs w:val="21"/>
          <w:lang w:val="en-US" w:eastAsia="zh-CN"/>
        </w:rPr>
      </w:pPr>
    </w:p>
    <w:p>
      <w:pPr>
        <w:pStyle w:val="32"/>
        <w:spacing w:before="120" w:after="120" w:line="360" w:lineRule="auto"/>
        <w:ind w:left="600"/>
        <w:outlineLvl w:val="0"/>
        <w:rPr>
          <w:rFonts w:hint="default" w:ascii="仿宋" w:hAnsi="仿宋" w:eastAsia="仿宋" w:cs="仿宋"/>
          <w:b w:val="0"/>
          <w:bCs w:val="0"/>
          <w:sz w:val="24"/>
          <w:szCs w:val="24"/>
          <w:lang w:val="en-US" w:eastAsia="zh-CN"/>
        </w:rPr>
      </w:pPr>
      <w:r>
        <w:rPr>
          <w:rFonts w:hint="default" w:ascii="仿宋" w:hAnsi="仿宋" w:eastAsia="仿宋" w:cs="仿宋"/>
          <w:b w:val="0"/>
          <w:bCs w:val="0"/>
          <w:sz w:val="24"/>
          <w:szCs w:val="24"/>
          <w:lang w:val="en-US" w:eastAsia="zh-CN"/>
        </w:rPr>
        <w:t>单次最小送货量</w:t>
      </w:r>
      <w:r>
        <w:rPr>
          <w:rFonts w:hint="eastAsia" w:ascii="仿宋" w:hAnsi="仿宋" w:eastAsia="仿宋" w:cs="仿宋"/>
          <w:b w:val="0"/>
          <w:bCs w:val="0"/>
          <w:sz w:val="24"/>
          <w:szCs w:val="24"/>
          <w:lang w:val="en-US" w:eastAsia="zh-CN"/>
        </w:rPr>
        <w:t>5吨</w:t>
      </w:r>
    </w:p>
    <w:p>
      <w:pPr>
        <w:pStyle w:val="32"/>
        <w:numPr>
          <w:ilvl w:val="0"/>
          <w:numId w:val="1"/>
        </w:numPr>
        <w:spacing w:before="120" w:after="120" w:line="360" w:lineRule="auto"/>
        <w:ind w:left="760" w:leftChars="0" w:firstLine="0" w:firstLineChars="0"/>
        <w:outlineLvl w:val="0"/>
        <w:rPr>
          <w:rFonts w:hint="eastAsia" w:ascii="仿宋" w:hAnsi="仿宋" w:eastAsia="仿宋" w:cs="Times New Roman"/>
          <w:b/>
          <w:bCs/>
          <w:color w:val="auto"/>
          <w:kern w:val="2"/>
          <w:sz w:val="32"/>
          <w:szCs w:val="32"/>
        </w:rPr>
      </w:pPr>
      <w:r>
        <w:rPr>
          <w:rFonts w:hint="eastAsia" w:ascii="仿宋" w:hAnsi="仿宋" w:eastAsia="仿宋" w:cs="Times New Roman"/>
          <w:b/>
          <w:bCs/>
          <w:color w:val="auto"/>
          <w:kern w:val="2"/>
          <w:sz w:val="32"/>
          <w:szCs w:val="32"/>
        </w:rPr>
        <w:t>主要技术指标</w:t>
      </w:r>
    </w:p>
    <w:p>
      <w:pPr>
        <w:numPr>
          <w:ilvl w:val="0"/>
          <w:numId w:val="2"/>
        </w:numPr>
        <w:spacing w:line="360" w:lineRule="auto"/>
        <w:ind w:left="845" w:leftChars="0" w:hanging="425" w:firstLineChars="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产品技术参数</w:t>
      </w:r>
    </w:p>
    <w:p>
      <w:pPr>
        <w:pStyle w:val="2"/>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eastAsia" w:ascii="仿宋" w:hAnsi="仿宋" w:eastAsia="仿宋" w:cs="仿宋"/>
          <w:color w:val="auto"/>
          <w:spacing w:val="0"/>
          <w:sz w:val="21"/>
          <w:szCs w:val="21"/>
          <w:highlight w:val="none"/>
          <w:lang w:eastAsia="zh-CN"/>
        </w:rPr>
      </w:pPr>
      <w:r>
        <w:rPr>
          <w:rFonts w:hint="eastAsia" w:ascii="仿宋" w:hAnsi="仿宋" w:eastAsia="仿宋" w:cs="仿宋"/>
          <w:color w:val="auto"/>
          <w:spacing w:val="0"/>
          <w:sz w:val="21"/>
          <w:szCs w:val="21"/>
          <w:highlight w:val="none"/>
          <w:lang w:eastAsia="zh-CN"/>
        </w:rPr>
        <w:t>表</w:t>
      </w:r>
      <w:r>
        <w:rPr>
          <w:rFonts w:hint="eastAsia" w:ascii="仿宋" w:hAnsi="仿宋" w:eastAsia="仿宋" w:cs="仿宋"/>
          <w:color w:val="auto"/>
          <w:spacing w:val="0"/>
          <w:sz w:val="21"/>
          <w:szCs w:val="21"/>
          <w:highlight w:val="none"/>
          <w:lang w:val="en-US" w:eastAsia="zh-CN"/>
        </w:rPr>
        <w:t>2 修井用酸洗保护液</w:t>
      </w:r>
      <w:r>
        <w:rPr>
          <w:rFonts w:hint="eastAsia" w:ascii="仿宋" w:hAnsi="仿宋" w:eastAsia="仿宋" w:cs="仿宋"/>
          <w:color w:val="auto"/>
          <w:spacing w:val="0"/>
          <w:sz w:val="21"/>
          <w:szCs w:val="21"/>
          <w:highlight w:val="none"/>
          <w:lang w:eastAsia="zh-CN"/>
        </w:rPr>
        <w:t>技术指标</w:t>
      </w:r>
    </w:p>
    <w:tbl>
      <w:tblPr>
        <w:tblStyle w:val="11"/>
        <w:tblW w:w="84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297"/>
        <w:gridCol w:w="3295"/>
        <w:gridCol w:w="1168"/>
        <w:gridCol w:w="1421"/>
        <w:gridCol w:w="12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3" w:hRule="exact"/>
          <w:jc w:val="center"/>
        </w:trPr>
        <w:tc>
          <w:tcPr>
            <w:tcW w:w="4592" w:type="dxa"/>
            <w:gridSpan w:val="2"/>
            <w:vMerge w:val="restart"/>
            <w:shd w:val="clear" w:color="auto" w:fill="auto"/>
            <w:tcMar>
              <w:top w:w="0" w:type="dxa"/>
              <w:left w:w="51" w:type="dxa"/>
              <w:bottom w:w="0" w:type="dxa"/>
              <w:right w:w="51" w:type="dxa"/>
            </w:tcMar>
            <w:vAlign w:val="center"/>
          </w:tcPr>
          <w:p>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sz w:val="21"/>
                <w:szCs w:val="21"/>
                <w:highlight w:val="none"/>
              </w:rPr>
              <w:t>项　　目</w:t>
            </w:r>
          </w:p>
        </w:tc>
        <w:tc>
          <w:tcPr>
            <w:tcW w:w="3888" w:type="dxa"/>
            <w:gridSpan w:val="3"/>
            <w:shd w:val="clear" w:color="auto" w:fill="auto"/>
            <w:tcMar>
              <w:top w:w="0" w:type="dxa"/>
              <w:left w:w="51" w:type="dxa"/>
              <w:bottom w:w="0" w:type="dxa"/>
              <w:right w:w="51" w:type="dxa"/>
            </w:tcMar>
            <w:vAlign w:val="center"/>
          </w:tcPr>
          <w:p>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sz w:val="21"/>
                <w:szCs w:val="21"/>
                <w:highlight w:val="none"/>
              </w:rPr>
              <w:t>指</w:t>
            </w:r>
            <w:r>
              <w:rPr>
                <w:rFonts w:hint="eastAsia" w:ascii="仿宋" w:hAnsi="仿宋" w:eastAsia="仿宋" w:cs="仿宋"/>
                <w:color w:val="auto"/>
                <w:sz w:val="21"/>
                <w:szCs w:val="21"/>
                <w:highlight w:val="none"/>
                <w:lang w:val="en-US" w:eastAsia="zh-CN"/>
              </w:rPr>
              <w:t xml:space="preserve">   </w:t>
            </w:r>
            <w:r>
              <w:rPr>
                <w:rFonts w:hint="eastAsia" w:ascii="仿宋" w:hAnsi="仿宋" w:eastAsia="仿宋" w:cs="仿宋"/>
                <w:color w:val="auto"/>
                <w:sz w:val="21"/>
                <w:szCs w:val="21"/>
                <w:highlight w:val="none"/>
              </w:rPr>
              <w:t>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2" w:hRule="exact"/>
          <w:jc w:val="center"/>
        </w:trPr>
        <w:tc>
          <w:tcPr>
            <w:tcW w:w="4592" w:type="dxa"/>
            <w:gridSpan w:val="2"/>
            <w:vMerge w:val="continue"/>
            <w:shd w:val="clear" w:color="auto" w:fill="auto"/>
            <w:tcMar>
              <w:top w:w="0" w:type="dxa"/>
              <w:left w:w="51" w:type="dxa"/>
              <w:bottom w:w="0" w:type="dxa"/>
              <w:right w:w="51" w:type="dxa"/>
            </w:tcMar>
            <w:vAlign w:val="center"/>
          </w:tcPr>
          <w:p>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color w:val="auto"/>
                <w:sz w:val="21"/>
                <w:szCs w:val="21"/>
                <w:highlight w:val="none"/>
              </w:rPr>
            </w:pPr>
          </w:p>
        </w:tc>
        <w:tc>
          <w:tcPr>
            <w:tcW w:w="1168" w:type="dxa"/>
            <w:shd w:val="clear" w:color="auto" w:fill="auto"/>
            <w:tcMar>
              <w:top w:w="0" w:type="dxa"/>
              <w:left w:w="51" w:type="dxa"/>
              <w:bottom w:w="0" w:type="dxa"/>
              <w:right w:w="51" w:type="dxa"/>
            </w:tcMar>
            <w:vAlign w:val="center"/>
          </w:tcPr>
          <w:p>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Ⅰ型（90℃）</w:t>
            </w:r>
          </w:p>
        </w:tc>
        <w:tc>
          <w:tcPr>
            <w:tcW w:w="1421" w:type="dxa"/>
            <w:shd w:val="clear" w:color="auto" w:fill="auto"/>
            <w:tcMar>
              <w:top w:w="0" w:type="dxa"/>
              <w:left w:w="51" w:type="dxa"/>
              <w:bottom w:w="0" w:type="dxa"/>
              <w:right w:w="51" w:type="dxa"/>
            </w:tcMar>
            <w:vAlign w:val="center"/>
          </w:tcPr>
          <w:p>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Ⅱ型（110℃）</w:t>
            </w:r>
          </w:p>
        </w:tc>
        <w:tc>
          <w:tcPr>
            <w:tcW w:w="1299" w:type="dxa"/>
            <w:shd w:val="clear" w:color="auto" w:fill="auto"/>
            <w:tcMar>
              <w:top w:w="0" w:type="dxa"/>
              <w:left w:w="51" w:type="dxa"/>
              <w:bottom w:w="0" w:type="dxa"/>
              <w:right w:w="51" w:type="dxa"/>
            </w:tcMar>
            <w:vAlign w:val="center"/>
          </w:tcPr>
          <w:p>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Ⅲ型（120℃）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37" w:hRule="exact"/>
          <w:jc w:val="center"/>
        </w:trPr>
        <w:tc>
          <w:tcPr>
            <w:tcW w:w="4592" w:type="dxa"/>
            <w:gridSpan w:val="2"/>
            <w:shd w:val="clear" w:color="auto" w:fill="auto"/>
            <w:tcMar>
              <w:top w:w="0" w:type="dxa"/>
              <w:left w:w="51" w:type="dxa"/>
              <w:bottom w:w="0" w:type="dxa"/>
              <w:right w:w="51"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外观</w:t>
            </w:r>
          </w:p>
        </w:tc>
        <w:tc>
          <w:tcPr>
            <w:tcW w:w="3888" w:type="dxa"/>
            <w:gridSpan w:val="3"/>
            <w:shd w:val="clear" w:color="auto" w:fill="auto"/>
            <w:tcMar>
              <w:top w:w="0" w:type="dxa"/>
              <w:left w:w="51" w:type="dxa"/>
              <w:bottom w:w="0" w:type="dxa"/>
              <w:right w:w="51"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color w:val="auto"/>
                <w:sz w:val="21"/>
                <w:szCs w:val="21"/>
                <w:highlight w:val="none"/>
                <w:lang w:eastAsia="zh-CN"/>
              </w:rPr>
            </w:pPr>
            <w:r>
              <w:rPr>
                <w:rFonts w:hint="eastAsia" w:ascii="仿宋" w:hAnsi="仿宋" w:eastAsia="仿宋" w:cs="仿宋"/>
                <w:color w:val="auto"/>
                <w:sz w:val="21"/>
                <w:szCs w:val="21"/>
                <w:highlight w:val="none"/>
                <w:lang w:eastAsia="zh-CN"/>
              </w:rPr>
              <w:t>均一稳定无杂质无分层液体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exact"/>
          <w:jc w:val="center"/>
        </w:trPr>
        <w:tc>
          <w:tcPr>
            <w:tcW w:w="4592" w:type="dxa"/>
            <w:gridSpan w:val="2"/>
            <w:shd w:val="clear" w:color="auto" w:fill="auto"/>
            <w:tcMar>
              <w:top w:w="0" w:type="dxa"/>
              <w:left w:w="51" w:type="dxa"/>
              <w:bottom w:w="0" w:type="dxa"/>
              <w:right w:w="51"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val="en-US" w:eastAsia="zh-CN"/>
              </w:rPr>
              <w:t>★凝点，℃</w:t>
            </w:r>
          </w:p>
        </w:tc>
        <w:tc>
          <w:tcPr>
            <w:tcW w:w="3888" w:type="dxa"/>
            <w:gridSpan w:val="3"/>
            <w:shd w:val="clear" w:color="auto" w:fill="auto"/>
            <w:tcMar>
              <w:top w:w="0" w:type="dxa"/>
              <w:left w:w="51" w:type="dxa"/>
              <w:bottom w:w="0" w:type="dxa"/>
              <w:right w:w="51"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exact"/>
          <w:jc w:val="center"/>
        </w:trPr>
        <w:tc>
          <w:tcPr>
            <w:tcW w:w="1297" w:type="dxa"/>
            <w:vMerge w:val="restart"/>
            <w:shd w:val="clear" w:color="auto" w:fill="auto"/>
            <w:tcMar>
              <w:top w:w="0" w:type="dxa"/>
              <w:left w:w="51" w:type="dxa"/>
              <w:bottom w:w="0" w:type="dxa"/>
              <w:right w:w="51" w:type="dxa"/>
            </w:tcMar>
            <w:vAlign w:val="center"/>
          </w:tcPr>
          <w:p>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i w:val="0"/>
                <w:iCs w:val="0"/>
                <w:strike/>
                <w:dstrike w:val="0"/>
                <w:color w:val="auto"/>
                <w:kern w:val="2"/>
                <w:sz w:val="21"/>
                <w:szCs w:val="21"/>
                <w:highlight w:val="none"/>
                <w:u w:val="none"/>
                <w:lang w:val="en-US" w:eastAsia="zh-CN" w:bidi="ar-SA"/>
              </w:rPr>
            </w:pPr>
            <w:r>
              <w:rPr>
                <w:rFonts w:hint="eastAsia" w:ascii="仿宋" w:hAnsi="仿宋" w:eastAsia="仿宋" w:cs="仿宋"/>
                <w:color w:val="auto"/>
                <w:sz w:val="21"/>
                <w:szCs w:val="21"/>
                <w:highlight w:val="none"/>
                <w:lang w:val="en-US" w:eastAsia="zh-CN"/>
              </w:rPr>
              <w:t>★</w:t>
            </w:r>
            <w:r>
              <w:rPr>
                <w:rFonts w:hint="eastAsia" w:ascii="仿宋" w:hAnsi="仿宋" w:eastAsia="仿宋" w:cs="仿宋"/>
                <w:color w:val="auto"/>
                <w:sz w:val="21"/>
                <w:szCs w:val="21"/>
                <w:highlight w:val="none"/>
              </w:rPr>
              <w:t>腐蚀速率，g/(m</w:t>
            </w:r>
            <w:r>
              <w:rPr>
                <w:rFonts w:hint="eastAsia" w:ascii="仿宋" w:hAnsi="仿宋" w:eastAsia="仿宋" w:cs="仿宋"/>
                <w:color w:val="auto"/>
                <w:sz w:val="21"/>
                <w:szCs w:val="21"/>
                <w:highlight w:val="none"/>
                <w:vertAlign w:val="superscript"/>
                <w:lang w:val="en-US" w:eastAsia="zh-CN"/>
              </w:rPr>
              <w:t>2</w:t>
            </w:r>
            <w:r>
              <w:rPr>
                <w:rFonts w:hint="eastAsia" w:ascii="仿宋" w:hAnsi="仿宋" w:eastAsia="仿宋" w:cs="仿宋"/>
                <w:color w:val="auto"/>
                <w:sz w:val="21"/>
                <w:szCs w:val="21"/>
                <w:highlight w:val="none"/>
                <w:lang w:val="en-US" w:eastAsia="zh-CN"/>
              </w:rPr>
              <w:t>·</w:t>
            </w:r>
            <w:r>
              <w:rPr>
                <w:rFonts w:hint="eastAsia" w:ascii="仿宋" w:hAnsi="仿宋" w:eastAsia="仿宋" w:cs="仿宋"/>
                <w:color w:val="auto"/>
                <w:sz w:val="21"/>
                <w:szCs w:val="21"/>
                <w:highlight w:val="none"/>
              </w:rPr>
              <w:t>h)</w:t>
            </w:r>
          </w:p>
        </w:tc>
        <w:tc>
          <w:tcPr>
            <w:tcW w:w="3295" w:type="dxa"/>
            <w:shd w:val="clear" w:color="auto" w:fill="auto"/>
            <w:tcMar>
              <w:top w:w="0" w:type="dxa"/>
              <w:left w:w="51" w:type="dxa"/>
              <w:bottom w:w="0" w:type="dxa"/>
              <w:right w:w="51" w:type="dxa"/>
            </w:tcMar>
            <w:vAlign w:val="center"/>
          </w:tcPr>
          <w:p>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90℃×6h，基础酸液A+1%Ⅰ型试样</w:t>
            </w:r>
          </w:p>
        </w:tc>
        <w:tc>
          <w:tcPr>
            <w:tcW w:w="1168" w:type="dxa"/>
            <w:shd w:val="clear" w:color="auto" w:fill="auto"/>
            <w:tcMar>
              <w:top w:w="0" w:type="dxa"/>
              <w:left w:w="51" w:type="dxa"/>
              <w:bottom w:w="0" w:type="dxa"/>
              <w:right w:w="51" w:type="dxa"/>
            </w:tcMar>
            <w:vAlign w:val="center"/>
          </w:tcPr>
          <w:p>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i w:val="0"/>
                <w:iCs w:val="0"/>
                <w:color w:val="auto"/>
                <w:kern w:val="0"/>
                <w:sz w:val="21"/>
                <w:szCs w:val="21"/>
                <w:highlight w:val="none"/>
                <w:u w:val="none"/>
                <w:lang w:val="en-US" w:eastAsia="zh-CN" w:bidi="ar-SA"/>
              </w:rPr>
            </w:pPr>
            <w:r>
              <w:rPr>
                <w:rFonts w:hint="eastAsia" w:ascii="仿宋" w:hAnsi="仿宋" w:eastAsia="仿宋" w:cs="仿宋"/>
                <w:color w:val="auto"/>
                <w:kern w:val="0"/>
                <w:sz w:val="21"/>
                <w:szCs w:val="21"/>
                <w:highlight w:val="none"/>
              </w:rPr>
              <w:t>≤</w:t>
            </w:r>
            <w:r>
              <w:rPr>
                <w:rFonts w:hint="eastAsia" w:ascii="仿宋" w:hAnsi="仿宋" w:eastAsia="仿宋" w:cs="仿宋"/>
                <w:color w:val="auto"/>
                <w:kern w:val="0"/>
                <w:sz w:val="21"/>
                <w:szCs w:val="21"/>
                <w:highlight w:val="none"/>
                <w:lang w:val="en-US" w:eastAsia="zh-CN"/>
              </w:rPr>
              <w:t>5.0</w:t>
            </w:r>
          </w:p>
        </w:tc>
        <w:tc>
          <w:tcPr>
            <w:tcW w:w="1421" w:type="dxa"/>
            <w:shd w:val="clear" w:color="auto" w:fill="auto"/>
            <w:tcMar>
              <w:top w:w="0" w:type="dxa"/>
              <w:left w:w="51" w:type="dxa"/>
              <w:bottom w:w="0" w:type="dxa"/>
              <w:right w:w="51" w:type="dxa"/>
            </w:tcMar>
            <w:vAlign w:val="center"/>
          </w:tcPr>
          <w:p>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color w:val="auto"/>
                <w:kern w:val="0"/>
                <w:sz w:val="21"/>
                <w:szCs w:val="21"/>
                <w:highlight w:val="none"/>
              </w:rPr>
            </w:pPr>
          </w:p>
        </w:tc>
        <w:tc>
          <w:tcPr>
            <w:tcW w:w="1299" w:type="dxa"/>
            <w:shd w:val="clear" w:color="auto" w:fill="auto"/>
            <w:tcMar>
              <w:top w:w="0" w:type="dxa"/>
              <w:left w:w="51" w:type="dxa"/>
              <w:bottom w:w="0" w:type="dxa"/>
              <w:right w:w="51" w:type="dxa"/>
            </w:tcMar>
            <w:vAlign w:val="center"/>
          </w:tcPr>
          <w:p>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color w:val="auto"/>
                <w:kern w:val="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exact"/>
          <w:jc w:val="center"/>
        </w:trPr>
        <w:tc>
          <w:tcPr>
            <w:tcW w:w="1297" w:type="dxa"/>
            <w:vMerge w:val="continue"/>
            <w:shd w:val="clear" w:color="auto" w:fill="auto"/>
            <w:tcMar>
              <w:top w:w="0" w:type="dxa"/>
              <w:left w:w="51" w:type="dxa"/>
              <w:bottom w:w="0" w:type="dxa"/>
              <w:right w:w="51" w:type="dxa"/>
            </w:tcMar>
            <w:vAlign w:val="center"/>
          </w:tcPr>
          <w:p>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color w:val="auto"/>
                <w:sz w:val="21"/>
                <w:szCs w:val="21"/>
                <w:highlight w:val="none"/>
                <w:lang w:val="en-US" w:eastAsia="zh-CN"/>
              </w:rPr>
            </w:pPr>
          </w:p>
        </w:tc>
        <w:tc>
          <w:tcPr>
            <w:tcW w:w="3295" w:type="dxa"/>
            <w:shd w:val="clear" w:color="auto" w:fill="auto"/>
            <w:tcMar>
              <w:top w:w="0" w:type="dxa"/>
              <w:left w:w="51" w:type="dxa"/>
              <w:bottom w:w="0" w:type="dxa"/>
              <w:right w:w="51" w:type="dxa"/>
            </w:tcMar>
            <w:vAlign w:val="center"/>
          </w:tcPr>
          <w:p>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110℃×6h，基础酸液B+2%Ⅱ型试样</w:t>
            </w:r>
          </w:p>
        </w:tc>
        <w:tc>
          <w:tcPr>
            <w:tcW w:w="1168" w:type="dxa"/>
            <w:shd w:val="clear" w:color="auto" w:fill="auto"/>
            <w:tcMar>
              <w:top w:w="0" w:type="dxa"/>
              <w:left w:w="51" w:type="dxa"/>
              <w:bottom w:w="0" w:type="dxa"/>
              <w:right w:w="51" w:type="dxa"/>
            </w:tcMar>
            <w:vAlign w:val="center"/>
          </w:tcPr>
          <w:p>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color w:val="auto"/>
                <w:kern w:val="0"/>
                <w:sz w:val="21"/>
                <w:szCs w:val="21"/>
                <w:highlight w:val="none"/>
              </w:rPr>
            </w:pPr>
          </w:p>
        </w:tc>
        <w:tc>
          <w:tcPr>
            <w:tcW w:w="1421" w:type="dxa"/>
            <w:shd w:val="clear" w:color="auto" w:fill="auto"/>
            <w:tcMar>
              <w:top w:w="0" w:type="dxa"/>
              <w:left w:w="51" w:type="dxa"/>
              <w:bottom w:w="0" w:type="dxa"/>
              <w:right w:w="51" w:type="dxa"/>
            </w:tcMar>
            <w:vAlign w:val="center"/>
          </w:tcPr>
          <w:p>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color w:val="auto"/>
                <w:kern w:val="0"/>
                <w:sz w:val="21"/>
                <w:szCs w:val="21"/>
                <w:highlight w:val="none"/>
                <w:lang w:val="en-US"/>
              </w:rPr>
            </w:pPr>
            <w:r>
              <w:rPr>
                <w:rFonts w:hint="eastAsia" w:ascii="仿宋" w:hAnsi="仿宋" w:eastAsia="仿宋" w:cs="仿宋"/>
                <w:bCs/>
                <w:color w:val="auto"/>
                <w:sz w:val="21"/>
                <w:szCs w:val="21"/>
                <w:highlight w:val="none"/>
                <w:lang w:eastAsia="zh-CN"/>
              </w:rPr>
              <w:t>≤</w:t>
            </w:r>
            <w:r>
              <w:rPr>
                <w:rFonts w:hint="eastAsia" w:ascii="仿宋" w:hAnsi="仿宋" w:eastAsia="仿宋" w:cs="仿宋"/>
                <w:bCs/>
                <w:color w:val="auto"/>
                <w:sz w:val="21"/>
                <w:szCs w:val="21"/>
                <w:highlight w:val="none"/>
                <w:lang w:val="en-US" w:eastAsia="zh-CN"/>
              </w:rPr>
              <w:t>8.0</w:t>
            </w:r>
          </w:p>
        </w:tc>
        <w:tc>
          <w:tcPr>
            <w:tcW w:w="1299" w:type="dxa"/>
            <w:shd w:val="clear" w:color="auto" w:fill="auto"/>
            <w:tcMar>
              <w:top w:w="0" w:type="dxa"/>
              <w:left w:w="51" w:type="dxa"/>
              <w:bottom w:w="0" w:type="dxa"/>
              <w:right w:w="51" w:type="dxa"/>
            </w:tcMar>
            <w:vAlign w:val="center"/>
          </w:tcPr>
          <w:p>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color w:val="auto"/>
                <w:kern w:val="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exact"/>
          <w:jc w:val="center"/>
        </w:trPr>
        <w:tc>
          <w:tcPr>
            <w:tcW w:w="1297" w:type="dxa"/>
            <w:vMerge w:val="continue"/>
            <w:shd w:val="clear" w:color="auto" w:fill="auto"/>
            <w:tcMar>
              <w:top w:w="0" w:type="dxa"/>
              <w:left w:w="51" w:type="dxa"/>
              <w:bottom w:w="0" w:type="dxa"/>
              <w:right w:w="51" w:type="dxa"/>
            </w:tcMar>
            <w:vAlign w:val="center"/>
          </w:tcPr>
          <w:p>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color w:val="auto"/>
                <w:sz w:val="21"/>
                <w:szCs w:val="21"/>
                <w:highlight w:val="none"/>
                <w:lang w:val="en-US" w:eastAsia="zh-CN"/>
              </w:rPr>
            </w:pPr>
          </w:p>
        </w:tc>
        <w:tc>
          <w:tcPr>
            <w:tcW w:w="3295" w:type="dxa"/>
            <w:shd w:val="clear" w:color="auto" w:fill="auto"/>
            <w:tcMar>
              <w:top w:w="0" w:type="dxa"/>
              <w:left w:w="51" w:type="dxa"/>
              <w:bottom w:w="0" w:type="dxa"/>
              <w:right w:w="51" w:type="dxa"/>
            </w:tcMar>
            <w:vAlign w:val="center"/>
          </w:tcPr>
          <w:p>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120℃×6h，基础酸液A+2%Ⅲ型试样</w:t>
            </w:r>
          </w:p>
        </w:tc>
        <w:tc>
          <w:tcPr>
            <w:tcW w:w="1168" w:type="dxa"/>
            <w:shd w:val="clear" w:color="auto" w:fill="auto"/>
            <w:tcMar>
              <w:top w:w="0" w:type="dxa"/>
              <w:left w:w="51" w:type="dxa"/>
              <w:bottom w:w="0" w:type="dxa"/>
              <w:right w:w="51" w:type="dxa"/>
            </w:tcMar>
            <w:vAlign w:val="center"/>
          </w:tcPr>
          <w:p>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color w:val="auto"/>
                <w:kern w:val="0"/>
                <w:sz w:val="21"/>
                <w:szCs w:val="21"/>
                <w:highlight w:val="none"/>
              </w:rPr>
            </w:pPr>
          </w:p>
        </w:tc>
        <w:tc>
          <w:tcPr>
            <w:tcW w:w="1421" w:type="dxa"/>
            <w:shd w:val="clear" w:color="auto" w:fill="auto"/>
            <w:tcMar>
              <w:top w:w="0" w:type="dxa"/>
              <w:left w:w="51" w:type="dxa"/>
              <w:bottom w:w="0" w:type="dxa"/>
              <w:right w:w="51" w:type="dxa"/>
            </w:tcMar>
            <w:vAlign w:val="center"/>
          </w:tcPr>
          <w:p>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color w:val="auto"/>
                <w:kern w:val="0"/>
                <w:sz w:val="21"/>
                <w:szCs w:val="21"/>
                <w:highlight w:val="none"/>
              </w:rPr>
            </w:pPr>
          </w:p>
        </w:tc>
        <w:tc>
          <w:tcPr>
            <w:tcW w:w="1299" w:type="dxa"/>
            <w:shd w:val="clear" w:color="auto" w:fill="auto"/>
            <w:tcMar>
              <w:top w:w="0" w:type="dxa"/>
              <w:left w:w="51" w:type="dxa"/>
              <w:bottom w:w="0" w:type="dxa"/>
              <w:right w:w="51" w:type="dxa"/>
            </w:tcMar>
            <w:vAlign w:val="center"/>
          </w:tcPr>
          <w:p>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bCs/>
                <w:color w:val="auto"/>
                <w:sz w:val="21"/>
                <w:szCs w:val="21"/>
                <w:highlight w:val="none"/>
                <w:lang w:eastAsia="zh-CN"/>
              </w:rPr>
              <w:t>≤</w:t>
            </w:r>
            <w:r>
              <w:rPr>
                <w:rFonts w:hint="eastAsia" w:ascii="仿宋" w:hAnsi="仿宋" w:eastAsia="仿宋" w:cs="仿宋"/>
                <w:bCs/>
                <w:color w:val="auto"/>
                <w:sz w:val="21"/>
                <w:szCs w:val="21"/>
                <w:highlight w:val="none"/>
                <w:lang w:val="en-US" w:eastAsia="zh-CN"/>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exact"/>
          <w:jc w:val="center"/>
        </w:trPr>
        <w:tc>
          <w:tcPr>
            <w:tcW w:w="4592" w:type="dxa"/>
            <w:gridSpan w:val="2"/>
            <w:shd w:val="clear" w:color="auto" w:fill="auto"/>
            <w:tcMar>
              <w:top w:w="0" w:type="dxa"/>
              <w:left w:w="51" w:type="dxa"/>
              <w:bottom w:w="0" w:type="dxa"/>
              <w:right w:w="51"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uto"/>
              <w:ind w:firstLine="420" w:firstLineChars="200"/>
              <w:jc w:val="center"/>
              <w:textAlignment w:val="auto"/>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sz w:val="21"/>
                <w:szCs w:val="21"/>
                <w:highlight w:val="none"/>
              </w:rPr>
              <w:t>配伍性</w:t>
            </w:r>
          </w:p>
        </w:tc>
        <w:tc>
          <w:tcPr>
            <w:tcW w:w="3888" w:type="dxa"/>
            <w:gridSpan w:val="3"/>
            <w:shd w:val="clear" w:color="auto" w:fill="auto"/>
            <w:tcMar>
              <w:top w:w="0" w:type="dxa"/>
              <w:left w:w="51" w:type="dxa"/>
              <w:bottom w:w="0" w:type="dxa"/>
              <w:right w:w="51" w:type="dxa"/>
            </w:tcMar>
            <w:vAlign w:val="center"/>
          </w:tcPr>
          <w:p>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bCs/>
                <w:color w:val="auto"/>
                <w:sz w:val="21"/>
                <w:szCs w:val="21"/>
                <w:highlight w:val="none"/>
                <w:lang w:eastAsia="zh-CN"/>
              </w:rPr>
            </w:pPr>
            <w:r>
              <w:rPr>
                <w:rFonts w:hint="eastAsia" w:ascii="仿宋" w:hAnsi="仿宋" w:eastAsia="仿宋" w:cs="仿宋"/>
                <w:bCs/>
                <w:color w:val="auto"/>
                <w:sz w:val="21"/>
                <w:szCs w:val="21"/>
                <w:highlight w:val="none"/>
                <w:lang w:eastAsia="zh-CN"/>
              </w:rPr>
              <w:t>与</w:t>
            </w:r>
            <w:r>
              <w:rPr>
                <w:rFonts w:hint="eastAsia" w:ascii="仿宋" w:hAnsi="仿宋" w:eastAsia="仿宋" w:cs="仿宋"/>
                <w:bCs/>
                <w:color w:val="auto"/>
                <w:sz w:val="21"/>
                <w:szCs w:val="21"/>
                <w:highlight w:val="none"/>
                <w:lang w:val="en-US" w:eastAsia="zh-CN"/>
              </w:rPr>
              <w:t>酸液混合</w:t>
            </w:r>
            <w:r>
              <w:rPr>
                <w:rFonts w:hint="eastAsia" w:ascii="仿宋" w:hAnsi="仿宋" w:eastAsia="仿宋" w:cs="仿宋"/>
                <w:bCs/>
                <w:color w:val="auto"/>
                <w:sz w:val="21"/>
                <w:szCs w:val="21"/>
                <w:highlight w:val="none"/>
                <w:lang w:eastAsia="zh-CN"/>
              </w:rPr>
              <w:t>，无沉淀，无絮状物</w:t>
            </w:r>
          </w:p>
        </w:tc>
      </w:tr>
    </w:tbl>
    <w:p>
      <w:pPr>
        <w:rPr>
          <w:rFonts w:hint="eastAsia" w:ascii="仿宋" w:hAnsi="仿宋" w:eastAsia="仿宋" w:cs="仿宋"/>
          <w:color w:val="auto"/>
          <w:spacing w:val="0"/>
          <w:sz w:val="21"/>
          <w:szCs w:val="21"/>
          <w:highlight w:val="none"/>
          <w:lang w:eastAsia="zh-CN"/>
        </w:rPr>
      </w:pPr>
    </w:p>
    <w:p>
      <w:pPr>
        <w:numPr>
          <w:ilvl w:val="0"/>
          <w:numId w:val="2"/>
        </w:numPr>
        <w:spacing w:line="360" w:lineRule="auto"/>
        <w:ind w:left="845" w:leftChars="0" w:hanging="425" w:firstLineChars="0"/>
        <w:jc w:val="both"/>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检测方法</w:t>
      </w:r>
    </w:p>
    <w:p>
      <w:pPr>
        <w:pStyle w:val="9"/>
        <w:keepNext w:val="0"/>
        <w:keepLines w:val="0"/>
        <w:pageBreakBefore w:val="0"/>
        <w:widowControl/>
        <w:suppressLineNumbers w:val="0"/>
        <w:kinsoku/>
        <w:wordWrap/>
        <w:overflowPunct/>
        <w:topLinePunct w:val="0"/>
        <w:autoSpaceDE w:val="0"/>
        <w:autoSpaceDN/>
        <w:bidi w:val="0"/>
        <w:adjustRightInd w:val="0"/>
        <w:snapToGrid w:val="0"/>
        <w:spacing w:before="0" w:beforeAutospacing="0" w:after="0" w:afterAutospacing="0" w:line="360" w:lineRule="auto"/>
        <w:ind w:left="0" w:right="0" w:firstLine="42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按《CGBZ-ⅡHF0495-2025 修井用酸洗保护液》执行。</w:t>
      </w:r>
    </w:p>
    <w:p>
      <w:pPr>
        <w:keepNext w:val="0"/>
        <w:keepLines w:val="0"/>
        <w:pageBreakBefore w:val="0"/>
        <w:widowControl/>
        <w:numPr>
          <w:ilvl w:val="0"/>
          <w:numId w:val="0"/>
        </w:numPr>
        <w:kinsoku/>
        <w:wordWrap/>
        <w:overflowPunct/>
        <w:topLinePunct w:val="0"/>
        <w:autoSpaceDE/>
        <w:autoSpaceDN/>
        <w:bidi w:val="0"/>
        <w:adjustRightInd w:val="0"/>
        <w:snapToGrid w:val="0"/>
        <w:spacing w:before="167" w:beforeLines="50" w:after="167" w:afterLines="50"/>
        <w:ind w:leftChars="0" w:firstLine="480" w:firstLineChars="200"/>
        <w:jc w:val="left"/>
        <w:textAlignment w:val="auto"/>
        <w:outlineLvl w:val="0"/>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2.1外观</w:t>
      </w:r>
    </w:p>
    <w:p>
      <w:pPr>
        <w:pStyle w:val="9"/>
        <w:keepNext w:val="0"/>
        <w:keepLines w:val="0"/>
        <w:pageBreakBefore w:val="0"/>
        <w:widowControl/>
        <w:suppressLineNumbers w:val="0"/>
        <w:kinsoku/>
        <w:wordWrap/>
        <w:overflowPunct/>
        <w:topLinePunct w:val="0"/>
        <w:autoSpaceDE w:val="0"/>
        <w:autoSpaceDN/>
        <w:bidi w:val="0"/>
        <w:adjustRightInd w:val="0"/>
        <w:snapToGrid w:val="0"/>
        <w:spacing w:before="0" w:beforeAutospacing="0" w:after="0" w:afterAutospacing="0" w:line="360" w:lineRule="auto"/>
        <w:ind w:left="0" w:right="0" w:firstLine="42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目视观察。</w:t>
      </w:r>
    </w:p>
    <w:p>
      <w:pPr>
        <w:pStyle w:val="2"/>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eastAsia" w:ascii="仿宋" w:hAnsi="仿宋" w:eastAsia="仿宋" w:cs="仿宋"/>
          <w:color w:val="auto"/>
          <w:spacing w:val="0"/>
          <w:sz w:val="21"/>
          <w:szCs w:val="21"/>
          <w:highlight w:val="none"/>
          <w:lang w:val="en-US" w:eastAsia="zh-CN"/>
        </w:rPr>
      </w:pPr>
      <w:r>
        <w:rPr>
          <w:rFonts w:hint="eastAsia" w:ascii="仿宋" w:hAnsi="仿宋" w:eastAsia="仿宋" w:cs="仿宋"/>
          <w:color w:val="auto"/>
          <w:spacing w:val="0"/>
          <w:sz w:val="21"/>
          <w:szCs w:val="21"/>
          <w:highlight w:val="none"/>
          <w:lang w:val="en-US" w:eastAsia="zh-CN"/>
        </w:rPr>
        <w:t>表2  外观检验参数</w:t>
      </w:r>
    </w:p>
    <w:tbl>
      <w:tblPr>
        <w:tblStyle w:val="11"/>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749"/>
        <w:gridCol w:w="671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27" w:hRule="atLeast"/>
          <w:jc w:val="center"/>
        </w:trPr>
        <w:tc>
          <w:tcPr>
            <w:tcW w:w="1749" w:type="dxa"/>
            <w:vAlign w:val="center"/>
          </w:tcPr>
          <w:p>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检验温度</w:t>
            </w:r>
          </w:p>
        </w:tc>
        <w:tc>
          <w:tcPr>
            <w:tcW w:w="6715" w:type="dxa"/>
            <w:vAlign w:val="center"/>
          </w:tcPr>
          <w:p>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环境温度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7" w:hRule="atLeast"/>
          <w:jc w:val="center"/>
        </w:trPr>
        <w:tc>
          <w:tcPr>
            <w:tcW w:w="1749" w:type="dxa"/>
            <w:vAlign w:val="center"/>
          </w:tcPr>
          <w:p>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光照条件</w:t>
            </w:r>
          </w:p>
        </w:tc>
        <w:tc>
          <w:tcPr>
            <w:tcW w:w="6715" w:type="dxa"/>
            <w:vAlign w:val="center"/>
          </w:tcPr>
          <w:p>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非直射，自然光或日光灯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4" w:hRule="atLeast"/>
          <w:jc w:val="center"/>
        </w:trPr>
        <w:tc>
          <w:tcPr>
            <w:tcW w:w="1749" w:type="dxa"/>
            <w:vAlign w:val="center"/>
          </w:tcPr>
          <w:p>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观察容器</w:t>
            </w:r>
          </w:p>
        </w:tc>
        <w:tc>
          <w:tcPr>
            <w:tcW w:w="6715" w:type="dxa"/>
            <w:vAlign w:val="center"/>
          </w:tcPr>
          <w:p>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比色管，或其他不影响颜色判断的透明容器</w:t>
            </w:r>
          </w:p>
        </w:tc>
      </w:tr>
    </w:tbl>
    <w:p>
      <w:pPr>
        <w:keepNext w:val="0"/>
        <w:keepLines w:val="0"/>
        <w:pageBreakBefore w:val="0"/>
        <w:widowControl/>
        <w:numPr>
          <w:ilvl w:val="0"/>
          <w:numId w:val="0"/>
        </w:numPr>
        <w:kinsoku/>
        <w:wordWrap/>
        <w:overflowPunct/>
        <w:topLinePunct w:val="0"/>
        <w:autoSpaceDE/>
        <w:autoSpaceDN/>
        <w:bidi w:val="0"/>
        <w:adjustRightInd w:val="0"/>
        <w:snapToGrid w:val="0"/>
        <w:spacing w:before="167" w:beforeLines="50" w:after="167" w:afterLines="50"/>
        <w:ind w:leftChars="0" w:firstLine="480" w:firstLineChars="200"/>
        <w:jc w:val="left"/>
        <w:textAlignment w:val="auto"/>
        <w:outlineLvl w:val="0"/>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 xml:space="preserve"> 2.2 凝点</w:t>
      </w:r>
    </w:p>
    <w:p>
      <w:pPr>
        <w:keepNext w:val="0"/>
        <w:keepLines w:val="0"/>
        <w:pageBreakBefore w:val="0"/>
        <w:kinsoku/>
        <w:wordWrap/>
        <w:topLinePunct w:val="0"/>
        <w:autoSpaceDE/>
        <w:autoSpaceDN/>
        <w:bidi w:val="0"/>
        <w:adjustRightInd w:val="0"/>
        <w:snapToGrid w:val="0"/>
        <w:spacing w:line="360" w:lineRule="auto"/>
        <w:ind w:firstLine="600" w:firstLineChars="25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按照</w:t>
      </w:r>
      <w:r>
        <w:rPr>
          <w:rFonts w:hint="eastAsia" w:ascii="仿宋" w:hAnsi="仿宋" w:eastAsia="仿宋" w:cs="仿宋"/>
          <w:color w:val="auto"/>
          <w:sz w:val="24"/>
          <w:szCs w:val="24"/>
          <w:highlight w:val="none"/>
          <w:lang w:val="en-US" w:eastAsia="zh-CN" w:bidi="ar-SA"/>
        </w:rPr>
        <w:t>《GB/T 510-2018石油产品凝点测定法》</w:t>
      </w:r>
      <w:r>
        <w:rPr>
          <w:rFonts w:hint="eastAsia" w:ascii="仿宋" w:hAnsi="仿宋" w:eastAsia="仿宋" w:cs="仿宋"/>
          <w:sz w:val="24"/>
          <w:szCs w:val="24"/>
          <w:highlight w:val="none"/>
        </w:rPr>
        <w:t>进行检测。</w:t>
      </w:r>
    </w:p>
    <w:p>
      <w:pPr>
        <w:keepNext w:val="0"/>
        <w:keepLines w:val="0"/>
        <w:pageBreakBefore w:val="0"/>
        <w:widowControl/>
        <w:numPr>
          <w:ilvl w:val="0"/>
          <w:numId w:val="0"/>
        </w:numPr>
        <w:kinsoku/>
        <w:wordWrap/>
        <w:overflowPunct/>
        <w:topLinePunct w:val="0"/>
        <w:autoSpaceDE/>
        <w:autoSpaceDN/>
        <w:bidi w:val="0"/>
        <w:adjustRightInd w:val="0"/>
        <w:snapToGrid w:val="0"/>
        <w:spacing w:before="167" w:beforeLines="50" w:after="167" w:afterLines="50"/>
        <w:ind w:leftChars="0" w:firstLine="480" w:firstLineChars="200"/>
        <w:jc w:val="left"/>
        <w:textAlignment w:val="auto"/>
        <w:outlineLvl w:val="0"/>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2.3 腐蚀速率</w:t>
      </w:r>
    </w:p>
    <w:p>
      <w:pPr>
        <w:keepNext w:val="0"/>
        <w:keepLines w:val="0"/>
        <w:pageBreakBefore w:val="0"/>
        <w:widowControl/>
        <w:numPr>
          <w:ilvl w:val="0"/>
          <w:numId w:val="0"/>
        </w:numPr>
        <w:kinsoku/>
        <w:wordWrap/>
        <w:overflowPunct/>
        <w:topLinePunct w:val="0"/>
        <w:autoSpaceDE/>
        <w:autoSpaceDN/>
        <w:bidi w:val="0"/>
        <w:adjustRightInd w:val="0"/>
        <w:snapToGrid w:val="0"/>
        <w:spacing w:before="167" w:beforeLines="50" w:after="167" w:afterLines="50"/>
        <w:ind w:leftChars="0" w:firstLine="480" w:firstLineChars="200"/>
        <w:jc w:val="left"/>
        <w:textAlignment w:val="auto"/>
        <w:outlineLvl w:val="0"/>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2.3.1 仪器设备</w:t>
      </w:r>
    </w:p>
    <w:p>
      <w:pPr>
        <w:keepNext w:val="0"/>
        <w:keepLines w:val="0"/>
        <w:pageBreakBefore w:val="0"/>
        <w:kinsoku/>
        <w:wordWrap/>
        <w:topLinePunct w:val="0"/>
        <w:autoSpaceDE/>
        <w:autoSpaceDN/>
        <w:bidi w:val="0"/>
        <w:adjustRightInd w:val="0"/>
        <w:snapToGrid w:val="0"/>
        <w:spacing w:line="360" w:lineRule="auto"/>
        <w:ind w:left="0"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1）丝口瓶，200 mL；</w:t>
      </w:r>
    </w:p>
    <w:p>
      <w:pPr>
        <w:keepNext w:val="0"/>
        <w:keepLines w:val="0"/>
        <w:pageBreakBefore w:val="0"/>
        <w:kinsoku/>
        <w:wordWrap/>
        <w:topLinePunct w:val="0"/>
        <w:autoSpaceDE/>
        <w:autoSpaceDN/>
        <w:bidi w:val="0"/>
        <w:adjustRightInd w:val="0"/>
        <w:snapToGrid w:val="0"/>
        <w:spacing w:line="360" w:lineRule="auto"/>
        <w:ind w:left="0"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2）水浴锅；</w:t>
      </w:r>
    </w:p>
    <w:p>
      <w:pPr>
        <w:keepNext w:val="0"/>
        <w:keepLines w:val="0"/>
        <w:pageBreakBefore w:val="0"/>
        <w:kinsoku/>
        <w:wordWrap/>
        <w:topLinePunct w:val="0"/>
        <w:autoSpaceDE/>
        <w:autoSpaceDN/>
        <w:bidi w:val="0"/>
        <w:adjustRightInd w:val="0"/>
        <w:snapToGrid w:val="0"/>
        <w:spacing w:line="360" w:lineRule="auto"/>
        <w:ind w:left="0"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3）电子天平，感量0.0001 g；</w:t>
      </w:r>
    </w:p>
    <w:p>
      <w:pPr>
        <w:keepNext w:val="0"/>
        <w:keepLines w:val="0"/>
        <w:pageBreakBefore w:val="0"/>
        <w:kinsoku/>
        <w:wordWrap/>
        <w:topLinePunct w:val="0"/>
        <w:autoSpaceDE/>
        <w:autoSpaceDN/>
        <w:bidi w:val="0"/>
        <w:adjustRightInd w:val="0"/>
        <w:snapToGrid w:val="0"/>
        <w:spacing w:line="360" w:lineRule="auto"/>
        <w:ind w:left="0"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4）N80挂片。</w:t>
      </w:r>
    </w:p>
    <w:p>
      <w:pPr>
        <w:keepNext w:val="0"/>
        <w:keepLines w:val="0"/>
        <w:pageBreakBefore w:val="0"/>
        <w:widowControl/>
        <w:numPr>
          <w:ilvl w:val="0"/>
          <w:numId w:val="0"/>
        </w:numPr>
        <w:kinsoku/>
        <w:wordWrap/>
        <w:overflowPunct/>
        <w:topLinePunct w:val="0"/>
        <w:autoSpaceDE/>
        <w:autoSpaceDN/>
        <w:bidi w:val="0"/>
        <w:adjustRightInd w:val="0"/>
        <w:snapToGrid w:val="0"/>
        <w:spacing w:before="167" w:beforeLines="50" w:after="167" w:afterLines="50"/>
        <w:ind w:leftChars="0" w:firstLine="480" w:firstLineChars="200"/>
        <w:jc w:val="left"/>
        <w:textAlignment w:val="auto"/>
        <w:outlineLvl w:val="0"/>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2.3.2 试剂和溶液</w:t>
      </w:r>
    </w:p>
    <w:p>
      <w:pPr>
        <w:keepNext w:val="0"/>
        <w:keepLines w:val="0"/>
        <w:pageBreakBefore w:val="0"/>
        <w:numPr>
          <w:ilvl w:val="0"/>
          <w:numId w:val="3"/>
        </w:numPr>
        <w:kinsoku/>
        <w:wordWrap/>
        <w:topLinePunct w:val="0"/>
        <w:autoSpaceDE/>
        <w:autoSpaceDN/>
        <w:bidi w:val="0"/>
        <w:adjustRightInd w:val="0"/>
        <w:snapToGrid w:val="0"/>
        <w:spacing w:line="360" w:lineRule="auto"/>
        <w:ind w:left="845" w:hanging="425"/>
        <w:textAlignment w:val="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水样：现场取回的地热水</w:t>
      </w:r>
      <w:r>
        <w:rPr>
          <w:rFonts w:hint="eastAsia" w:ascii="仿宋" w:hAnsi="仿宋" w:eastAsia="仿宋" w:cs="仿宋"/>
          <w:b w:val="0"/>
          <w:bCs w:val="0"/>
          <w:color w:val="auto"/>
          <w:sz w:val="24"/>
          <w:szCs w:val="24"/>
          <w:highlight w:val="none"/>
          <w:lang w:eastAsia="zh-CN"/>
        </w:rPr>
        <w:t>（</w:t>
      </w:r>
      <w:r>
        <w:rPr>
          <w:rFonts w:hint="eastAsia" w:ascii="仿宋" w:hAnsi="仿宋" w:eastAsia="仿宋" w:cs="仿宋"/>
          <w:b w:val="0"/>
          <w:bCs w:val="0"/>
          <w:color w:val="auto"/>
          <w:sz w:val="24"/>
          <w:szCs w:val="24"/>
          <w:highlight w:val="none"/>
          <w:lang w:val="en-US" w:eastAsia="zh-CN"/>
        </w:rPr>
        <w:t>或模拟水</w:t>
      </w:r>
      <w:r>
        <w:rPr>
          <w:rFonts w:hint="eastAsia" w:ascii="仿宋" w:hAnsi="仿宋" w:eastAsia="仿宋" w:cs="仿宋"/>
          <w:b w:val="0"/>
          <w:bCs w:val="0"/>
          <w:color w:val="auto"/>
          <w:sz w:val="24"/>
          <w:szCs w:val="24"/>
          <w:highlight w:val="none"/>
          <w:lang w:eastAsia="zh-CN"/>
        </w:rPr>
        <w:t>）</w:t>
      </w:r>
      <w:r>
        <w:rPr>
          <w:rFonts w:hint="eastAsia" w:ascii="仿宋" w:hAnsi="仿宋" w:eastAsia="仿宋" w:cs="仿宋"/>
          <w:b w:val="0"/>
          <w:bCs w:val="0"/>
          <w:color w:val="auto"/>
          <w:sz w:val="24"/>
          <w:szCs w:val="24"/>
          <w:highlight w:val="none"/>
        </w:rPr>
        <w:t>。</w:t>
      </w:r>
    </w:p>
    <w:p>
      <w:pPr>
        <w:keepNext w:val="0"/>
        <w:keepLines w:val="0"/>
        <w:pageBreakBefore w:val="0"/>
        <w:numPr>
          <w:ilvl w:val="0"/>
          <w:numId w:val="3"/>
        </w:numPr>
        <w:kinsoku/>
        <w:wordWrap/>
        <w:topLinePunct w:val="0"/>
        <w:autoSpaceDE/>
        <w:autoSpaceDN/>
        <w:bidi w:val="0"/>
        <w:adjustRightInd w:val="0"/>
        <w:snapToGrid w:val="0"/>
        <w:spacing w:line="360" w:lineRule="auto"/>
        <w:ind w:left="845" w:hanging="425"/>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酸洗保护液：Ⅰ型（90℃）、Ⅱ型（110℃）、Ⅲ型（120℃）；</w:t>
      </w:r>
    </w:p>
    <w:p>
      <w:pPr>
        <w:keepNext w:val="0"/>
        <w:keepLines w:val="0"/>
        <w:pageBreakBefore w:val="0"/>
        <w:numPr>
          <w:ilvl w:val="0"/>
          <w:numId w:val="3"/>
        </w:numPr>
        <w:kinsoku/>
        <w:wordWrap/>
        <w:topLinePunct w:val="0"/>
        <w:autoSpaceDE/>
        <w:autoSpaceDN/>
        <w:bidi w:val="0"/>
        <w:adjustRightInd w:val="0"/>
        <w:snapToGrid w:val="0"/>
        <w:spacing w:line="360" w:lineRule="auto"/>
        <w:ind w:left="845" w:hanging="425"/>
        <w:textAlignment w:val="auto"/>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rPr>
        <w:t>氨基磺酸：符合《</w:t>
      </w:r>
      <w:r>
        <w:rPr>
          <w:rFonts w:hint="eastAsia" w:ascii="仿宋" w:hAnsi="仿宋" w:eastAsia="仿宋" w:cs="仿宋"/>
          <w:b w:val="0"/>
          <w:bCs w:val="0"/>
          <w:color w:val="auto"/>
          <w:kern w:val="2"/>
          <w:sz w:val="24"/>
          <w:szCs w:val="24"/>
          <w:highlight w:val="none"/>
          <w:lang w:val="en-US" w:eastAsia="zh-CN" w:bidi="ar-SA"/>
        </w:rPr>
        <w:fldChar w:fldCharType="begin"/>
      </w:r>
      <w:r>
        <w:rPr>
          <w:rFonts w:hint="eastAsia" w:ascii="仿宋" w:hAnsi="仿宋" w:eastAsia="仿宋" w:cs="仿宋"/>
          <w:sz w:val="24"/>
          <w:szCs w:val="24"/>
        </w:rPr>
        <w:instrText xml:space="preserve">HYPERLINK "https://www.so.com/link?m=eXZ0H/qaK3URxyC+dQOCUTYRskpXgZdAx9Kqm4M5GaTbgtjl9e1FvjgCq1TM5YBSew2MFSBAQXMwT4ZyQFRV6fLyDUfPD2cSjQIT/cDExFSnMm6rZLiW3CG3hd9AgvOBb+ZAnZC2gD9G1pHP8Pe+SV/R4MVWjiJGR5UWswtZ2lF+2UytFnEjDAp1U7ibhEQzcRwdSn3P/a/plewIigjrs9f7lV5Y="</w:instrText>
      </w:r>
      <w:r>
        <w:rPr>
          <w:rFonts w:hint="eastAsia" w:ascii="仿宋" w:hAnsi="仿宋" w:eastAsia="仿宋" w:cs="仿宋"/>
          <w:b w:val="0"/>
          <w:bCs w:val="0"/>
          <w:color w:val="auto"/>
          <w:kern w:val="2"/>
          <w:sz w:val="24"/>
          <w:szCs w:val="24"/>
          <w:highlight w:val="none"/>
          <w:lang w:val="en-US" w:eastAsia="zh-CN" w:bidi="ar-SA"/>
        </w:rPr>
        <w:fldChar w:fldCharType="separate"/>
      </w:r>
      <w:r>
        <w:rPr>
          <w:rFonts w:hint="eastAsia" w:ascii="仿宋" w:hAnsi="仿宋" w:eastAsia="仿宋" w:cs="仿宋"/>
          <w:b w:val="0"/>
          <w:bCs w:val="0"/>
          <w:color w:val="auto"/>
          <w:kern w:val="2"/>
          <w:sz w:val="24"/>
          <w:szCs w:val="24"/>
          <w:highlight w:val="none"/>
          <w:lang w:val="en-US" w:eastAsia="zh-CN" w:bidi="ar-SA"/>
        </w:rPr>
        <w:t>HG/T 2527-1993 工业氨基磺酸</w:t>
      </w:r>
      <w:r>
        <w:rPr>
          <w:rFonts w:hint="eastAsia" w:ascii="仿宋" w:hAnsi="仿宋" w:eastAsia="仿宋" w:cs="仿宋"/>
          <w:b w:val="0"/>
          <w:bCs w:val="0"/>
          <w:color w:val="auto"/>
          <w:kern w:val="2"/>
          <w:sz w:val="24"/>
          <w:szCs w:val="24"/>
          <w:highlight w:val="none"/>
          <w:lang w:val="en-US" w:eastAsia="zh-CN" w:bidi="ar-SA"/>
        </w:rPr>
        <w:fldChar w:fldCharType="end"/>
      </w:r>
      <w:r>
        <w:rPr>
          <w:rFonts w:hint="eastAsia" w:ascii="仿宋" w:hAnsi="仿宋" w:eastAsia="仿宋" w:cs="仿宋"/>
          <w:b w:val="0"/>
          <w:bCs w:val="0"/>
          <w:color w:val="auto"/>
          <w:kern w:val="2"/>
          <w:sz w:val="24"/>
          <w:szCs w:val="24"/>
          <w:highlight w:val="none"/>
          <w:lang w:val="en-US" w:eastAsia="zh-CN" w:bidi="ar-SA"/>
        </w:rPr>
        <w:t>》标准优等品要求；</w:t>
      </w:r>
    </w:p>
    <w:p>
      <w:pPr>
        <w:keepNext w:val="0"/>
        <w:keepLines w:val="0"/>
        <w:pageBreakBefore w:val="0"/>
        <w:numPr>
          <w:ilvl w:val="0"/>
          <w:numId w:val="3"/>
        </w:numPr>
        <w:kinsoku/>
        <w:wordWrap/>
        <w:topLinePunct w:val="0"/>
        <w:autoSpaceDE/>
        <w:autoSpaceDN/>
        <w:bidi w:val="0"/>
        <w:adjustRightInd w:val="0"/>
        <w:snapToGrid w:val="0"/>
        <w:spacing w:line="360" w:lineRule="auto"/>
        <w:ind w:left="845" w:hanging="425"/>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水解聚马来酸酐：符合《</w:t>
      </w:r>
      <w:r>
        <w:rPr>
          <w:rFonts w:hint="eastAsia" w:ascii="仿宋" w:hAnsi="仿宋" w:eastAsia="仿宋" w:cs="仿宋"/>
          <w:b w:val="0"/>
          <w:bCs w:val="0"/>
          <w:color w:val="auto"/>
          <w:sz w:val="24"/>
          <w:szCs w:val="24"/>
          <w:highlight w:val="none"/>
          <w:lang w:val="en-US" w:eastAsia="zh-CN"/>
        </w:rPr>
        <w:fldChar w:fldCharType="begin"/>
      </w:r>
      <w:r>
        <w:rPr>
          <w:rFonts w:hint="eastAsia" w:ascii="仿宋" w:hAnsi="仿宋" w:eastAsia="仿宋" w:cs="仿宋"/>
          <w:sz w:val="24"/>
          <w:szCs w:val="24"/>
        </w:rPr>
        <w:instrText xml:space="preserve">HYPERLINK "https://www.so.com/link?m=zH1I/9iE++hahkmQVCkoqeFyisxZ0c086dPJo3qZ4AudHiM19QM+o13P0sqCl3y0aqlukMLOVBGOdG4RCQ4Scbj75ZVbz0hj1onHAp7IXioRpeDrs3Fa/4mR8y0lk8onPQ3KP+VBDT3F+UGcaiZ4qlLWIln+2/kFV8fo1+67XrRv5aiqpwwPwM2IXE/7hNAoXVAwEFc2y9xNTZqZoO1tvkpgnPSs="</w:instrText>
      </w:r>
      <w:r>
        <w:rPr>
          <w:rFonts w:hint="eastAsia" w:ascii="仿宋" w:hAnsi="仿宋" w:eastAsia="仿宋" w:cs="仿宋"/>
          <w:b w:val="0"/>
          <w:bCs w:val="0"/>
          <w:color w:val="auto"/>
          <w:sz w:val="24"/>
          <w:szCs w:val="24"/>
          <w:highlight w:val="none"/>
          <w:lang w:val="en-US" w:eastAsia="zh-CN"/>
        </w:rPr>
        <w:fldChar w:fldCharType="separate"/>
      </w:r>
      <w:r>
        <w:rPr>
          <w:rFonts w:hint="eastAsia" w:ascii="仿宋" w:hAnsi="仿宋" w:eastAsia="仿宋" w:cs="仿宋"/>
          <w:b w:val="0"/>
          <w:bCs w:val="0"/>
          <w:color w:val="auto"/>
          <w:sz w:val="24"/>
          <w:szCs w:val="24"/>
          <w:highlight w:val="none"/>
          <w:lang w:val="en-US" w:eastAsia="zh-CN"/>
        </w:rPr>
        <w:t>GB/T 10535-2014 水处理剂 水解聚马来酸酐</w:t>
      </w:r>
      <w:r>
        <w:rPr>
          <w:rFonts w:hint="eastAsia" w:ascii="仿宋" w:hAnsi="仿宋" w:eastAsia="仿宋" w:cs="仿宋"/>
          <w:b w:val="0"/>
          <w:bCs w:val="0"/>
          <w:color w:val="auto"/>
          <w:sz w:val="24"/>
          <w:szCs w:val="24"/>
          <w:highlight w:val="none"/>
          <w:lang w:val="en-US" w:eastAsia="zh-CN"/>
        </w:rPr>
        <w:fldChar w:fldCharType="end"/>
      </w:r>
      <w:r>
        <w:rPr>
          <w:rFonts w:hint="eastAsia" w:ascii="仿宋" w:hAnsi="仿宋" w:eastAsia="仿宋" w:cs="仿宋"/>
          <w:b w:val="0"/>
          <w:bCs w:val="0"/>
          <w:color w:val="auto"/>
          <w:sz w:val="24"/>
          <w:szCs w:val="24"/>
          <w:highlight w:val="none"/>
          <w:lang w:val="en-US" w:eastAsia="zh-CN"/>
        </w:rPr>
        <w:t xml:space="preserve">》标准要求 </w:t>
      </w:r>
    </w:p>
    <w:p>
      <w:pPr>
        <w:keepNext w:val="0"/>
        <w:keepLines w:val="0"/>
        <w:pageBreakBefore w:val="0"/>
        <w:numPr>
          <w:ilvl w:val="0"/>
          <w:numId w:val="3"/>
        </w:numPr>
        <w:kinsoku/>
        <w:wordWrap/>
        <w:topLinePunct w:val="0"/>
        <w:autoSpaceDE/>
        <w:autoSpaceDN/>
        <w:bidi w:val="0"/>
        <w:adjustRightInd w:val="0"/>
        <w:snapToGrid w:val="0"/>
        <w:spacing w:line="360" w:lineRule="auto"/>
        <w:ind w:left="845" w:hanging="425"/>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基础酸液A：水样+10%氨基磺酸+0.5%水解聚马来酸酐;</w:t>
      </w:r>
    </w:p>
    <w:p>
      <w:pPr>
        <w:keepNext w:val="0"/>
        <w:keepLines w:val="0"/>
        <w:pageBreakBefore w:val="0"/>
        <w:numPr>
          <w:ilvl w:val="0"/>
          <w:numId w:val="3"/>
        </w:numPr>
        <w:kinsoku/>
        <w:wordWrap/>
        <w:topLinePunct w:val="0"/>
        <w:autoSpaceDE/>
        <w:autoSpaceDN/>
        <w:bidi w:val="0"/>
        <w:adjustRightInd w:val="0"/>
        <w:snapToGrid w:val="0"/>
        <w:spacing w:line="360" w:lineRule="auto"/>
        <w:ind w:left="845" w:hanging="425"/>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基础酸液B：水样+10%水解聚马来酸酐。</w:t>
      </w:r>
    </w:p>
    <w:p>
      <w:pPr>
        <w:keepNext w:val="0"/>
        <w:keepLines w:val="0"/>
        <w:pageBreakBefore w:val="0"/>
        <w:widowControl/>
        <w:numPr>
          <w:ilvl w:val="0"/>
          <w:numId w:val="0"/>
        </w:numPr>
        <w:kinsoku/>
        <w:wordWrap/>
        <w:overflowPunct/>
        <w:topLinePunct w:val="0"/>
        <w:autoSpaceDE/>
        <w:autoSpaceDN/>
        <w:bidi w:val="0"/>
        <w:adjustRightInd w:val="0"/>
        <w:snapToGrid w:val="0"/>
        <w:spacing w:before="167" w:beforeLines="50" w:after="167" w:afterLines="50"/>
        <w:ind w:leftChars="0" w:firstLine="480" w:firstLineChars="200"/>
        <w:jc w:val="left"/>
        <w:textAlignment w:val="auto"/>
        <w:outlineLvl w:val="0"/>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2.3.3 分析步骤</w:t>
      </w:r>
    </w:p>
    <w:p>
      <w:pPr>
        <w:keepNext w:val="0"/>
        <w:keepLines w:val="0"/>
        <w:pageBreakBefore w:val="0"/>
        <w:widowControl w:val="0"/>
        <w:numPr>
          <w:ilvl w:val="0"/>
          <w:numId w:val="4"/>
        </w:numPr>
        <w:tabs>
          <w:tab w:val="center" w:pos="4201"/>
          <w:tab w:val="right" w:leader="dot" w:pos="9298"/>
        </w:tabs>
        <w:kinsoku/>
        <w:wordWrap/>
        <w:overflowPunct w:val="0"/>
        <w:topLinePunct w:val="0"/>
        <w:autoSpaceDE/>
        <w:autoSpaceDN/>
        <w:bidi w:val="0"/>
        <w:adjustRightInd w:val="0"/>
        <w:snapToGrid w:val="0"/>
        <w:spacing w:line="360" w:lineRule="auto"/>
        <w:ind w:left="0" w:firstLine="480" w:firstLineChars="200"/>
        <w:jc w:val="both"/>
        <w:textAlignment w:val="auto"/>
        <w:rPr>
          <w:rFonts w:hint="eastAsia" w:ascii="仿宋" w:hAnsi="仿宋" w:eastAsia="仿宋" w:cs="仿宋"/>
          <w:sz w:val="24"/>
          <w:szCs w:val="24"/>
          <w:highlight w:val="none"/>
          <w:lang w:val="en-US"/>
        </w:rPr>
      </w:pPr>
      <w:r>
        <w:rPr>
          <w:rFonts w:hint="eastAsia" w:ascii="仿宋" w:hAnsi="仿宋" w:eastAsia="仿宋" w:cs="仿宋"/>
          <w:kern w:val="0"/>
          <w:sz w:val="24"/>
          <w:szCs w:val="24"/>
          <w:highlight w:val="none"/>
          <w:lang w:val="en-US" w:eastAsia="zh-CN"/>
        </w:rPr>
        <w:t xml:space="preserve"> </w:t>
      </w:r>
      <w:r>
        <w:rPr>
          <w:rFonts w:hint="eastAsia" w:ascii="仿宋" w:hAnsi="仿宋" w:eastAsia="仿宋" w:cs="仿宋"/>
          <w:kern w:val="0"/>
          <w:sz w:val="24"/>
          <w:szCs w:val="24"/>
          <w:highlight w:val="none"/>
        </w:rPr>
        <w:t>试片处理</w:t>
      </w:r>
      <w:r>
        <w:rPr>
          <w:rFonts w:hint="eastAsia" w:ascii="仿宋" w:hAnsi="仿宋" w:eastAsia="仿宋" w:cs="仿宋"/>
          <w:kern w:val="0"/>
          <w:sz w:val="24"/>
          <w:szCs w:val="24"/>
          <w:highlight w:val="none"/>
          <w:lang w:eastAsia="zh-CN"/>
        </w:rPr>
        <w:t>：</w:t>
      </w:r>
      <w:r>
        <w:rPr>
          <w:rFonts w:hint="eastAsia" w:ascii="仿宋" w:hAnsi="仿宋" w:eastAsia="仿宋" w:cs="仿宋"/>
          <w:color w:val="auto"/>
          <w:sz w:val="24"/>
          <w:szCs w:val="24"/>
          <w:highlight w:val="none"/>
          <w:lang w:val="en-US" w:eastAsia="zh-CN" w:bidi="ar-SA"/>
        </w:rPr>
        <w:t>按《SY/T 5405-2019酸化用缓蚀剂性能试验方法及评价指标》中4.1.4、4.1.5执行；</w:t>
      </w:r>
    </w:p>
    <w:p>
      <w:pPr>
        <w:keepNext w:val="0"/>
        <w:keepLines w:val="0"/>
        <w:pageBreakBefore w:val="0"/>
        <w:widowControl w:val="0"/>
        <w:numPr>
          <w:ilvl w:val="0"/>
          <w:numId w:val="4"/>
        </w:numPr>
        <w:tabs>
          <w:tab w:val="center" w:pos="4201"/>
          <w:tab w:val="right" w:leader="dot" w:pos="9298"/>
        </w:tabs>
        <w:kinsoku/>
        <w:wordWrap/>
        <w:overflowPunct w:val="0"/>
        <w:topLinePunct w:val="0"/>
        <w:autoSpaceDE/>
        <w:autoSpaceDN/>
        <w:bidi w:val="0"/>
        <w:adjustRightInd w:val="0"/>
        <w:snapToGrid w:val="0"/>
        <w:spacing w:line="360" w:lineRule="auto"/>
        <w:ind w:left="0" w:firstLine="480" w:firstLineChars="200"/>
        <w:jc w:val="both"/>
        <w:textAlignment w:val="auto"/>
        <w:rPr>
          <w:rFonts w:hint="eastAsia" w:ascii="仿宋" w:hAnsi="仿宋" w:eastAsia="仿宋" w:cs="仿宋"/>
          <w:sz w:val="24"/>
          <w:szCs w:val="24"/>
          <w:highlight w:val="none"/>
          <w:lang w:val="en-US"/>
        </w:rPr>
      </w:pPr>
      <w:r>
        <w:rPr>
          <w:rFonts w:hint="eastAsia" w:ascii="仿宋" w:hAnsi="仿宋" w:eastAsia="仿宋" w:cs="仿宋"/>
          <w:color w:val="auto"/>
          <w:sz w:val="24"/>
          <w:szCs w:val="24"/>
          <w:highlight w:val="none"/>
          <w:lang w:val="en-US" w:eastAsia="zh-CN" w:bidi="ar-SA"/>
        </w:rPr>
        <w:t xml:space="preserve"> </w:t>
      </w:r>
      <w:r>
        <w:rPr>
          <w:rFonts w:hint="eastAsia" w:ascii="仿宋" w:hAnsi="仿宋" w:eastAsia="仿宋" w:cs="仿宋"/>
          <w:kern w:val="0"/>
          <w:sz w:val="24"/>
          <w:szCs w:val="24"/>
          <w:highlight w:val="none"/>
          <w:lang w:val="en-US" w:eastAsia="zh-CN"/>
        </w:rPr>
        <w:t>按</w:t>
      </w:r>
      <w:r>
        <w:rPr>
          <w:rFonts w:hint="eastAsia" w:ascii="仿宋" w:hAnsi="仿宋" w:eastAsia="仿宋" w:cs="仿宋"/>
          <w:color w:val="auto"/>
          <w:sz w:val="24"/>
          <w:szCs w:val="24"/>
          <w:highlight w:val="none"/>
          <w:lang w:val="en-US" w:eastAsia="zh-CN" w:bidi="ar-SA"/>
        </w:rPr>
        <w:t>《SY/T 5405-2019酸化用缓蚀剂性能试验方法及评价指标》</w:t>
      </w:r>
      <w:r>
        <w:rPr>
          <w:rFonts w:hint="eastAsia" w:ascii="仿宋" w:hAnsi="仿宋" w:eastAsia="仿宋" w:cs="仿宋"/>
          <w:kern w:val="0"/>
          <w:sz w:val="24"/>
          <w:szCs w:val="24"/>
          <w:highlight w:val="none"/>
          <w:lang w:val="en-US" w:eastAsia="zh-CN"/>
        </w:rPr>
        <w:t>中5 常压静态腐蚀速率测定方法测定腐蚀速率</w:t>
      </w:r>
      <w:r>
        <w:rPr>
          <w:rFonts w:hint="eastAsia" w:ascii="仿宋" w:hAnsi="仿宋" w:eastAsia="仿宋" w:cs="仿宋"/>
          <w:kern w:val="0"/>
          <w:sz w:val="24"/>
          <w:szCs w:val="24"/>
          <w:highlight w:val="none"/>
          <w:lang w:eastAsia="zh-CN"/>
        </w:rPr>
        <w:t>。</w:t>
      </w:r>
    </w:p>
    <w:p>
      <w:pPr>
        <w:keepNext w:val="0"/>
        <w:keepLines w:val="0"/>
        <w:pageBreakBefore w:val="0"/>
        <w:widowControl/>
        <w:numPr>
          <w:ilvl w:val="0"/>
          <w:numId w:val="0"/>
        </w:numPr>
        <w:kinsoku/>
        <w:wordWrap/>
        <w:overflowPunct/>
        <w:topLinePunct w:val="0"/>
        <w:autoSpaceDE/>
        <w:autoSpaceDN/>
        <w:bidi w:val="0"/>
        <w:adjustRightInd w:val="0"/>
        <w:snapToGrid w:val="0"/>
        <w:spacing w:before="167" w:beforeLines="50" w:after="167" w:afterLines="50"/>
        <w:ind w:leftChars="0" w:firstLine="480" w:firstLineChars="200"/>
        <w:jc w:val="left"/>
        <w:textAlignment w:val="auto"/>
        <w:outlineLvl w:val="0"/>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2.4  配伍性</w:t>
      </w:r>
    </w:p>
    <w:p>
      <w:pPr>
        <w:pStyle w:val="9"/>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eastAsia" w:ascii="仿宋" w:hAnsi="仿宋" w:eastAsia="仿宋" w:cs="仿宋"/>
          <w:kern w:val="0"/>
          <w:sz w:val="24"/>
          <w:szCs w:val="24"/>
          <w:highlight w:val="none"/>
          <w:lang w:val="en-US" w:eastAsia="zh-CN"/>
        </w:rPr>
      </w:pPr>
      <w:r>
        <w:rPr>
          <w:rFonts w:hint="eastAsia" w:ascii="仿宋" w:hAnsi="仿宋" w:eastAsia="仿宋" w:cs="仿宋"/>
          <w:color w:val="auto"/>
          <w:kern w:val="2"/>
          <w:sz w:val="24"/>
          <w:szCs w:val="24"/>
          <w:highlight w:val="none"/>
          <w:lang w:val="en-US" w:eastAsia="zh-CN" w:bidi="ar-SA"/>
        </w:rPr>
        <w:t>取配制好的基础酸液与150mL丝口瓶中，加入规定加量浓度（质量比，同5.3中加注浓度）的酸洗保护液试样，充分搅拌混合均匀，室温静置2h，观察试样配伍性。</w:t>
      </w:r>
    </w:p>
    <w:bookmarkEnd w:id="2"/>
    <w:bookmarkEnd w:id="3"/>
    <w:p>
      <w:pPr>
        <w:pStyle w:val="32"/>
        <w:spacing w:before="120" w:after="120" w:line="360" w:lineRule="auto"/>
        <w:ind w:firstLine="643" w:firstLineChars="200"/>
        <w:outlineLvl w:val="0"/>
        <w:rPr>
          <w:rFonts w:ascii="仿宋" w:hAnsi="仿宋" w:eastAsia="仿宋" w:cs="Times New Roman"/>
          <w:b/>
          <w:bCs/>
          <w:color w:val="auto"/>
          <w:kern w:val="2"/>
          <w:sz w:val="32"/>
          <w:szCs w:val="32"/>
        </w:rPr>
      </w:pPr>
      <w:r>
        <w:rPr>
          <w:rFonts w:ascii="仿宋" w:hAnsi="仿宋" w:eastAsia="仿宋" w:cs="Times New Roman"/>
          <w:b/>
          <w:bCs/>
          <w:color w:val="auto"/>
          <w:kern w:val="2"/>
          <w:sz w:val="32"/>
          <w:szCs w:val="32"/>
        </w:rPr>
        <w:t>3</w:t>
      </w:r>
      <w:r>
        <w:rPr>
          <w:rFonts w:hint="eastAsia" w:ascii="仿宋" w:hAnsi="仿宋" w:eastAsia="仿宋" w:cs="Times New Roman"/>
          <w:b/>
          <w:bCs/>
          <w:color w:val="auto"/>
          <w:kern w:val="2"/>
          <w:sz w:val="32"/>
          <w:szCs w:val="32"/>
        </w:rPr>
        <w:t>、项目联系人</w:t>
      </w:r>
    </w:p>
    <w:p>
      <w:pPr>
        <w:widowControl/>
        <w:spacing w:line="600" w:lineRule="exact"/>
        <w:ind w:firstLine="560" w:firstLineChars="200"/>
        <w:jc w:val="left"/>
        <w:outlineLvl w:val="0"/>
        <w:rPr>
          <w:rFonts w:ascii="仿宋" w:hAnsi="仿宋" w:eastAsia="仿宋"/>
          <w:sz w:val="20"/>
          <w:szCs w:val="21"/>
        </w:rPr>
      </w:pPr>
      <w:r>
        <w:rPr>
          <w:rFonts w:hint="eastAsia" w:ascii="仿宋" w:hAnsi="仿宋" w:eastAsia="仿宋" w:cs="仿宋_GB2312"/>
          <w:color w:val="333333"/>
          <w:sz w:val="28"/>
          <w:szCs w:val="28"/>
          <w:lang w:bidi="ar"/>
        </w:rPr>
        <w:t>请感兴趣的供应商于</w:t>
      </w:r>
      <w:r>
        <w:rPr>
          <w:rFonts w:hint="eastAsia" w:ascii="仿宋" w:hAnsi="仿宋" w:eastAsia="仿宋" w:cs="Times New Roman"/>
          <w:color w:val="333333"/>
          <w:sz w:val="28"/>
          <w:szCs w:val="28"/>
          <w:lang w:eastAsia="zh-CN" w:bidi="ar"/>
        </w:rPr>
        <w:t>2026年</w:t>
      </w:r>
      <w:r>
        <w:rPr>
          <w:rFonts w:hint="eastAsia" w:ascii="仿宋" w:hAnsi="仿宋" w:eastAsia="仿宋" w:cs="Times New Roman"/>
          <w:color w:val="333333"/>
          <w:sz w:val="28"/>
          <w:szCs w:val="28"/>
          <w:lang w:val="en-US" w:eastAsia="zh-CN" w:bidi="ar"/>
        </w:rPr>
        <w:t>9月18日18</w:t>
      </w:r>
      <w:r>
        <w:rPr>
          <w:rFonts w:ascii="仿宋" w:hAnsi="仿宋" w:eastAsia="仿宋" w:cs="Times New Roman"/>
          <w:color w:val="333333"/>
          <w:sz w:val="28"/>
          <w:szCs w:val="28"/>
          <w:lang w:bidi="ar"/>
        </w:rPr>
        <w:t>:</w:t>
      </w:r>
      <w:r>
        <w:rPr>
          <w:rFonts w:hint="eastAsia" w:ascii="仿宋" w:hAnsi="仿宋" w:eastAsia="仿宋" w:cs="Times New Roman"/>
          <w:color w:val="333333"/>
          <w:sz w:val="28"/>
          <w:szCs w:val="28"/>
          <w:lang w:val="en-US" w:eastAsia="zh-CN" w:bidi="ar"/>
        </w:rPr>
        <w:t>00</w:t>
      </w:r>
      <w:r>
        <w:rPr>
          <w:rFonts w:hint="eastAsia" w:ascii="仿宋" w:hAnsi="仿宋" w:eastAsia="仿宋" w:cs="仿宋_GB2312"/>
          <w:color w:val="333333"/>
          <w:sz w:val="28"/>
          <w:szCs w:val="28"/>
          <w:lang w:bidi="ar"/>
        </w:rPr>
        <w:t>前，在计划公告意见反馈处填报参与意向即可。</w:t>
      </w:r>
    </w:p>
    <w:p>
      <w:pPr>
        <w:widowControl/>
        <w:spacing w:line="600" w:lineRule="exact"/>
        <w:ind w:firstLine="560" w:firstLineChars="200"/>
        <w:jc w:val="left"/>
        <w:outlineLvl w:val="0"/>
        <w:rPr>
          <w:rFonts w:ascii="仿宋" w:hAnsi="仿宋" w:eastAsia="仿宋"/>
        </w:rPr>
      </w:pPr>
      <w:r>
        <w:rPr>
          <w:rFonts w:hint="eastAsia" w:ascii="仿宋" w:hAnsi="仿宋" w:eastAsia="仿宋" w:cs="仿宋_GB2312"/>
          <w:color w:val="333333"/>
          <w:sz w:val="28"/>
          <w:szCs w:val="28"/>
          <w:lang w:bidi="ar"/>
        </w:rPr>
        <w:t>联系人：黄金鑫</w:t>
      </w:r>
      <w:r>
        <w:rPr>
          <w:rFonts w:hint="eastAsia" w:ascii="仿宋" w:hAnsi="仿宋" w:eastAsia="仿宋" w:cs="Times New Roman"/>
          <w:color w:val="333333"/>
          <w:sz w:val="28"/>
          <w:szCs w:val="28"/>
          <w:lang w:bidi="ar"/>
        </w:rPr>
        <w:t xml:space="preserve"> ；</w:t>
      </w:r>
      <w:r>
        <w:rPr>
          <w:rFonts w:hint="eastAsia" w:ascii="仿宋" w:hAnsi="仿宋" w:eastAsia="仿宋" w:cs="仿宋_GB2312"/>
          <w:color w:val="333333"/>
          <w:sz w:val="28"/>
          <w:szCs w:val="28"/>
          <w:lang w:bidi="ar"/>
        </w:rPr>
        <w:t>电</w:t>
      </w:r>
      <w:r>
        <w:rPr>
          <w:rFonts w:hint="eastAsia" w:ascii="仿宋" w:hAnsi="仿宋" w:eastAsia="仿宋" w:cs="Times New Roman"/>
          <w:color w:val="333333"/>
          <w:sz w:val="28"/>
          <w:szCs w:val="28"/>
          <w:lang w:bidi="ar"/>
        </w:rPr>
        <w:t xml:space="preserve">  </w:t>
      </w:r>
      <w:r>
        <w:rPr>
          <w:rFonts w:hint="eastAsia" w:ascii="仿宋" w:hAnsi="仿宋" w:eastAsia="仿宋" w:cs="仿宋_GB2312"/>
          <w:color w:val="333333"/>
          <w:sz w:val="28"/>
          <w:szCs w:val="28"/>
          <w:lang w:bidi="ar"/>
        </w:rPr>
        <w:t>话：</w:t>
      </w:r>
      <w:r>
        <w:rPr>
          <w:rFonts w:ascii="仿宋" w:hAnsi="仿宋" w:eastAsia="仿宋" w:cs="Times New Roman"/>
          <w:color w:val="333333"/>
          <w:sz w:val="28"/>
          <w:szCs w:val="28"/>
          <w:lang w:bidi="ar"/>
        </w:rPr>
        <w:t>022-25802226</w:t>
      </w:r>
    </w:p>
    <w:p>
      <w:pPr>
        <w:widowControl/>
        <w:spacing w:line="600" w:lineRule="exact"/>
        <w:ind w:firstLine="560" w:firstLineChars="200"/>
        <w:jc w:val="left"/>
        <w:outlineLvl w:val="0"/>
        <w:rPr>
          <w:rStyle w:val="21"/>
          <w:rFonts w:ascii="仿宋" w:hAnsi="仿宋" w:eastAsia="仿宋" w:cs="Times New Roman"/>
          <w:sz w:val="28"/>
          <w:szCs w:val="28"/>
          <w:lang w:bidi="ar"/>
        </w:rPr>
      </w:pPr>
      <w:r>
        <w:rPr>
          <w:rFonts w:hint="eastAsia" w:ascii="仿宋" w:hAnsi="仿宋" w:eastAsia="仿宋" w:cs="仿宋_GB2312"/>
          <w:color w:val="333333"/>
          <w:sz w:val="28"/>
          <w:szCs w:val="28"/>
          <w:lang w:bidi="ar"/>
        </w:rPr>
        <w:t>邮</w:t>
      </w:r>
      <w:r>
        <w:rPr>
          <w:rFonts w:hint="eastAsia" w:ascii="仿宋" w:hAnsi="仿宋" w:eastAsia="仿宋" w:cs="Times New Roman"/>
          <w:color w:val="333333"/>
          <w:sz w:val="28"/>
          <w:szCs w:val="28"/>
          <w:lang w:bidi="ar"/>
        </w:rPr>
        <w:t xml:space="preserve">  </w:t>
      </w:r>
      <w:r>
        <w:rPr>
          <w:rFonts w:hint="eastAsia" w:ascii="仿宋" w:hAnsi="仿宋" w:eastAsia="仿宋" w:cs="仿宋_GB2312"/>
          <w:color w:val="333333"/>
          <w:sz w:val="28"/>
          <w:szCs w:val="28"/>
          <w:lang w:bidi="ar"/>
        </w:rPr>
        <w:t>箱：</w:t>
      </w:r>
      <w:r>
        <w:fldChar w:fldCharType="begin"/>
      </w:r>
      <w:r>
        <w:instrText xml:space="preserve"> HYPERLINK "mailto:huangjx14@cnooc.com.cn" </w:instrText>
      </w:r>
      <w:r>
        <w:fldChar w:fldCharType="separate"/>
      </w:r>
      <w:r>
        <w:rPr>
          <w:rStyle w:val="21"/>
          <w:rFonts w:ascii="仿宋" w:hAnsi="仿宋" w:eastAsia="仿宋" w:cs="Times New Roman"/>
          <w:sz w:val="28"/>
          <w:szCs w:val="28"/>
          <w:lang w:bidi="ar"/>
        </w:rPr>
        <w:t>huangjx14@cnooc.com.cn</w:t>
      </w:r>
      <w:r>
        <w:rPr>
          <w:rStyle w:val="21"/>
          <w:rFonts w:ascii="仿宋" w:hAnsi="仿宋" w:eastAsia="仿宋" w:cs="Times New Roman"/>
          <w:sz w:val="28"/>
          <w:szCs w:val="28"/>
          <w:lang w:bidi="ar"/>
        </w:rPr>
        <w:fldChar w:fldCharType="end"/>
      </w:r>
    </w:p>
    <w:p>
      <w:pPr>
        <w:widowControl/>
        <w:spacing w:line="600" w:lineRule="exact"/>
        <w:ind w:firstLine="560" w:firstLineChars="200"/>
        <w:jc w:val="left"/>
        <w:outlineLvl w:val="0"/>
        <w:rPr>
          <w:rStyle w:val="21"/>
          <w:rFonts w:hint="eastAsia" w:ascii="仿宋" w:hAnsi="仿宋" w:eastAsia="仿宋" w:cs="Times New Roman"/>
          <w:sz w:val="28"/>
          <w:szCs w:val="28"/>
          <w:lang w:bidi="ar"/>
        </w:rPr>
      </w:pPr>
      <w:r>
        <w:rPr>
          <w:rStyle w:val="21"/>
          <w:rFonts w:hint="eastAsia" w:ascii="仿宋" w:hAnsi="仿宋" w:eastAsia="仿宋" w:cs="Times New Roman"/>
          <w:sz w:val="28"/>
          <w:szCs w:val="28"/>
          <w:lang w:bidi="ar"/>
        </w:rPr>
        <w:t>社会监督电话：022-25802262</w:t>
      </w:r>
    </w:p>
    <w:p>
      <w:pPr>
        <w:pStyle w:val="10"/>
        <w:rPr>
          <w:rStyle w:val="21"/>
          <w:rFonts w:hint="eastAsia" w:ascii="仿宋" w:hAnsi="仿宋" w:eastAsia="仿宋" w:cs="Times New Roman"/>
          <w:sz w:val="28"/>
          <w:szCs w:val="28"/>
          <w:lang w:bidi="ar"/>
        </w:rPr>
      </w:pPr>
    </w:p>
    <w:p>
      <w:pPr>
        <w:pStyle w:val="10"/>
        <w:rPr>
          <w:rStyle w:val="21"/>
          <w:rFonts w:hint="eastAsia" w:ascii="仿宋" w:hAnsi="仿宋" w:eastAsia="仿宋" w:cs="Times New Roman"/>
          <w:sz w:val="28"/>
          <w:szCs w:val="28"/>
          <w:lang w:bidi="ar"/>
        </w:rPr>
      </w:pPr>
    </w:p>
    <w:p>
      <w:pPr>
        <w:pStyle w:val="10"/>
        <w:rPr>
          <w:rStyle w:val="21"/>
          <w:rFonts w:hint="eastAsia" w:ascii="仿宋" w:hAnsi="仿宋" w:eastAsia="仿宋" w:cs="Times New Roman"/>
          <w:sz w:val="28"/>
          <w:szCs w:val="28"/>
          <w:lang w:bidi="ar"/>
        </w:rPr>
      </w:pPr>
    </w:p>
    <w:p>
      <w:pPr>
        <w:pStyle w:val="10"/>
        <w:rPr>
          <w:rStyle w:val="21"/>
          <w:rFonts w:hint="eastAsia" w:ascii="仿宋" w:hAnsi="仿宋" w:eastAsia="仿宋" w:cs="Times New Roman"/>
          <w:sz w:val="28"/>
          <w:szCs w:val="28"/>
          <w:lang w:bidi="ar"/>
        </w:rPr>
      </w:pPr>
    </w:p>
    <w:p>
      <w:pPr>
        <w:pStyle w:val="10"/>
        <w:rPr>
          <w:rStyle w:val="21"/>
          <w:rFonts w:hint="eastAsia" w:ascii="仿宋" w:hAnsi="仿宋" w:eastAsia="仿宋" w:cs="Times New Roman"/>
          <w:sz w:val="28"/>
          <w:szCs w:val="28"/>
          <w:lang w:bidi="ar"/>
        </w:rPr>
      </w:pPr>
    </w:p>
    <w:p>
      <w:pPr>
        <w:pStyle w:val="10"/>
        <w:rPr>
          <w:rStyle w:val="21"/>
          <w:rFonts w:hint="eastAsia" w:ascii="仿宋" w:hAnsi="仿宋" w:eastAsia="仿宋" w:cs="Times New Roman"/>
          <w:sz w:val="28"/>
          <w:szCs w:val="28"/>
          <w:lang w:bidi="ar"/>
        </w:rPr>
      </w:pPr>
    </w:p>
    <w:p>
      <w:pPr>
        <w:pStyle w:val="10"/>
        <w:rPr>
          <w:rStyle w:val="21"/>
          <w:rFonts w:hint="eastAsia" w:ascii="仿宋" w:hAnsi="仿宋" w:eastAsia="仿宋" w:cs="Times New Roman"/>
          <w:sz w:val="28"/>
          <w:szCs w:val="28"/>
          <w:lang w:bidi="ar"/>
        </w:rPr>
      </w:pPr>
    </w:p>
    <w:p>
      <w:pPr>
        <w:pStyle w:val="10"/>
        <w:rPr>
          <w:rStyle w:val="21"/>
          <w:rFonts w:hint="eastAsia" w:ascii="仿宋" w:hAnsi="仿宋" w:eastAsia="仿宋" w:cs="Times New Roman"/>
          <w:sz w:val="28"/>
          <w:szCs w:val="28"/>
          <w:lang w:bidi="ar"/>
        </w:rPr>
      </w:pPr>
    </w:p>
    <w:p>
      <w:pPr>
        <w:pStyle w:val="10"/>
        <w:rPr>
          <w:rStyle w:val="21"/>
          <w:rFonts w:hint="eastAsia" w:ascii="仿宋" w:hAnsi="仿宋" w:eastAsia="仿宋" w:cs="Times New Roman"/>
          <w:sz w:val="28"/>
          <w:szCs w:val="28"/>
          <w:lang w:bidi="ar"/>
        </w:rPr>
      </w:pPr>
    </w:p>
    <w:p>
      <w:pPr>
        <w:pStyle w:val="10"/>
        <w:ind w:left="0" w:leftChars="0" w:firstLine="0" w:firstLineChars="0"/>
        <w:rPr>
          <w:rStyle w:val="21"/>
          <w:rFonts w:hint="eastAsia" w:ascii="仿宋" w:hAnsi="仿宋" w:eastAsia="仿宋" w:cs="Times New Roman"/>
          <w:sz w:val="28"/>
          <w:szCs w:val="28"/>
          <w:lang w:bidi="ar"/>
        </w:rPr>
      </w:pPr>
    </w:p>
    <w:p>
      <w:pPr>
        <w:tabs>
          <w:tab w:val="left" w:pos="993"/>
          <w:tab w:val="left" w:pos="1134"/>
          <w:tab w:val="left" w:pos="1418"/>
        </w:tabs>
        <w:spacing w:line="560" w:lineRule="exact"/>
        <w:outlineLvl w:val="0"/>
        <w:rPr>
          <w:rFonts w:ascii="仿宋" w:hAnsi="仿宋" w:eastAsia="仿宋" w:cs="Times New Roman"/>
          <w:sz w:val="32"/>
          <w:szCs w:val="32"/>
        </w:rPr>
      </w:pPr>
      <w:r>
        <w:rPr>
          <w:rFonts w:hint="eastAsia" w:ascii="仿宋" w:hAnsi="仿宋" w:eastAsia="仿宋" w:cs="Times New Roman"/>
          <w:sz w:val="32"/>
          <w:szCs w:val="32"/>
        </w:rPr>
        <w:t xml:space="preserve">附件2供应商资质基本要求 </w:t>
      </w:r>
    </w:p>
    <w:tbl>
      <w:tblPr>
        <w:tblStyle w:val="11"/>
        <w:tblW w:w="5045" w:type="pct"/>
        <w:jc w:val="center"/>
        <w:tblLayout w:type="autofit"/>
        <w:tblCellMar>
          <w:top w:w="0" w:type="dxa"/>
          <w:left w:w="0" w:type="dxa"/>
          <w:bottom w:w="0" w:type="dxa"/>
          <w:right w:w="0" w:type="dxa"/>
        </w:tblCellMar>
      </w:tblPr>
      <w:tblGrid>
        <w:gridCol w:w="1318"/>
        <w:gridCol w:w="7076"/>
      </w:tblGrid>
      <w:tr>
        <w:tblPrEx>
          <w:tblCellMar>
            <w:top w:w="0" w:type="dxa"/>
            <w:left w:w="0" w:type="dxa"/>
            <w:bottom w:w="0" w:type="dxa"/>
            <w:right w:w="0" w:type="dxa"/>
          </w:tblCellMar>
        </w:tblPrEx>
        <w:trPr>
          <w:trHeight w:val="2196" w:hRule="atLeast"/>
          <w:jc w:val="center"/>
        </w:trPr>
        <w:tc>
          <w:tcPr>
            <w:tcW w:w="785" w:type="pct"/>
            <w:tcBorders>
              <w:top w:val="single" w:color="000000" w:sz="4" w:space="0"/>
              <w:left w:val="single" w:color="000000" w:sz="6" w:space="0"/>
              <w:bottom w:val="single" w:color="000000" w:sz="4" w:space="0"/>
              <w:right w:val="single" w:color="000000" w:sz="4" w:space="0"/>
            </w:tcBorders>
            <w:vAlign w:val="center"/>
          </w:tcPr>
          <w:p>
            <w:pPr>
              <w:pStyle w:val="33"/>
              <w:jc w:val="both"/>
              <w:rPr>
                <w:rFonts w:hint="eastAsia" w:ascii="仿宋" w:hAnsi="仿宋" w:eastAsia="仿宋" w:cs="仿宋"/>
                <w:sz w:val="24"/>
                <w:szCs w:val="24"/>
                <w:lang w:eastAsia="zh-CN"/>
              </w:rPr>
            </w:pPr>
            <w:r>
              <w:rPr>
                <w:rFonts w:hint="eastAsia" w:ascii="仿宋" w:hAnsi="仿宋" w:eastAsia="仿宋" w:cs="仿宋"/>
                <w:sz w:val="24"/>
                <w:szCs w:val="24"/>
                <w:lang w:eastAsia="zh-CN"/>
              </w:rPr>
              <w:t>资质要求</w:t>
            </w:r>
          </w:p>
          <w:p>
            <w:pPr>
              <w:pStyle w:val="33"/>
              <w:jc w:val="both"/>
              <w:rPr>
                <w:rFonts w:hint="eastAsia" w:ascii="仿宋" w:hAnsi="仿宋" w:eastAsia="仿宋" w:cs="仿宋"/>
                <w:sz w:val="24"/>
                <w:szCs w:val="24"/>
                <w:lang w:eastAsia="zh-CN"/>
              </w:rPr>
            </w:pPr>
          </w:p>
        </w:tc>
        <w:tc>
          <w:tcPr>
            <w:tcW w:w="4214" w:type="pct"/>
            <w:tcBorders>
              <w:top w:val="single" w:color="000000" w:sz="4" w:space="0"/>
              <w:left w:val="nil"/>
              <w:bottom w:val="single" w:color="000000" w:sz="4" w:space="0"/>
              <w:right w:val="single" w:color="000000" w:sz="4" w:space="0"/>
            </w:tcBorders>
            <w:vAlign w:val="center"/>
          </w:tcPr>
          <w:p>
            <w:pPr>
              <w:pStyle w:val="33"/>
              <w:jc w:val="both"/>
              <w:rPr>
                <w:rFonts w:hint="eastAsia" w:ascii="仿宋" w:hAnsi="仿宋" w:eastAsia="仿宋" w:cs="仿宋"/>
                <w:sz w:val="24"/>
                <w:szCs w:val="24"/>
                <w:lang w:eastAsia="zh-CN"/>
              </w:rPr>
            </w:pPr>
            <w:r>
              <w:rPr>
                <w:rFonts w:hint="eastAsia" w:ascii="仿宋" w:hAnsi="仿宋" w:eastAsia="仿宋" w:cs="仿宋"/>
                <w:sz w:val="24"/>
                <w:szCs w:val="24"/>
                <w:lang w:eastAsia="zh-CN"/>
              </w:rPr>
              <w:t>1.申请人须是中华人民共和国境内注册的独立法人单位，具有合法有效的企业法人营业执照、税务登记证及组织机构代码证或证照合一的营业执照；</w:t>
            </w:r>
          </w:p>
          <w:p>
            <w:pPr>
              <w:pStyle w:val="33"/>
              <w:jc w:val="both"/>
              <w:rPr>
                <w:rFonts w:hint="eastAsia" w:ascii="仿宋" w:hAnsi="仿宋" w:eastAsia="仿宋" w:cs="仿宋"/>
                <w:sz w:val="24"/>
                <w:szCs w:val="24"/>
                <w:lang w:eastAsia="zh-CN"/>
              </w:rPr>
            </w:pPr>
            <w:r>
              <w:rPr>
                <w:rFonts w:hint="eastAsia" w:ascii="仿宋" w:hAnsi="仿宋" w:eastAsia="仿宋" w:cs="仿宋"/>
                <w:sz w:val="24"/>
                <w:szCs w:val="24"/>
                <w:lang w:eastAsia="zh-CN"/>
              </w:rPr>
              <w:t>2.申请人须是中华人民共和国境内具有独立承担民事责任能力的法人，或具备国家认可经营资格的其他组织；</w:t>
            </w:r>
          </w:p>
          <w:p>
            <w:pPr>
              <w:pStyle w:val="33"/>
              <w:jc w:val="both"/>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3</w:t>
            </w:r>
            <w:r>
              <w:rPr>
                <w:rFonts w:hint="default" w:ascii="仿宋" w:hAnsi="仿宋" w:eastAsia="仿宋" w:cs="仿宋"/>
                <w:sz w:val="24"/>
                <w:szCs w:val="24"/>
                <w:lang w:val="en-US" w:eastAsia="zh-CN"/>
              </w:rPr>
              <w:t>.该项采购仅允许制造商参与，不接受代理商、贸易商。</w:t>
            </w:r>
          </w:p>
          <w:p>
            <w:pPr>
              <w:pStyle w:val="33"/>
              <w:jc w:val="both"/>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制造商相关证明材料须提供以下证明</w:t>
            </w:r>
          </w:p>
          <w:p>
            <w:pPr>
              <w:pStyle w:val="33"/>
              <w:numPr>
                <w:ilvl w:val="0"/>
                <w:numId w:val="5"/>
              </w:numPr>
              <w:jc w:val="both"/>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申请人须提供有效期内的三体系管理认证证书（质量管理体系认证，环境管理体系认证，职业健康安全管理体系认证），GB/T19001（ISO9001）质量体系认证证书认证范围须包括</w:t>
            </w:r>
            <w:r>
              <w:rPr>
                <w:rFonts w:hint="eastAsia" w:ascii="仿宋" w:hAnsi="仿宋" w:eastAsia="仿宋" w:cs="仿宋"/>
                <w:sz w:val="24"/>
                <w:szCs w:val="24"/>
                <w:lang w:val="en-US" w:eastAsia="zh-CN"/>
              </w:rPr>
              <w:t>酸洗保护液或</w:t>
            </w:r>
            <w:r>
              <w:rPr>
                <w:rFonts w:hint="default" w:ascii="仿宋" w:hAnsi="仿宋" w:eastAsia="仿宋" w:cs="仿宋"/>
                <w:sz w:val="24"/>
                <w:szCs w:val="24"/>
                <w:lang w:val="en-US" w:eastAsia="zh-CN"/>
              </w:rPr>
              <w:t>专有化学品或油田水处理剂或油田化学药剂或油田药剂或油田措施药剂或油田化学助剂或采油助剂或油田助剂或油气集输药剂或油田专用助剂或助剂或石油助剂或石油钻井助剂或石油钻采助剂的生产或加工或制造。国内认证机构签发的证书可在中国国家认证认可监督管理委员会网站(http://www.cnca.gov.cn/)核实。如果有国家相关部门发布的最新体系标准，以最新体系标准为准。投标时</w:t>
            </w:r>
            <w:bookmarkStart w:id="4" w:name="_GoBack"/>
            <w:bookmarkEnd w:id="4"/>
            <w:r>
              <w:rPr>
                <w:rFonts w:hint="default" w:ascii="仿宋" w:hAnsi="仿宋" w:eastAsia="仿宋" w:cs="仿宋"/>
                <w:sz w:val="24"/>
                <w:szCs w:val="24"/>
                <w:lang w:val="en-US" w:eastAsia="zh-CN"/>
              </w:rPr>
              <w:t xml:space="preserve">需提供原件扫描件（原件备查）。2）申请人须提供厂房/库房和生产设备的证明材料，申请人关联公司（母、子公司）的不视为自有。A.若申请人自有的厂房或库房须提供①厂房或库房产权证明材料；②厂房或库房照片；若租赁的厂房或库房须提供①正式的租赁合同或协议（产权所有者与租赁合同（协议）中的出租人（方）名称一致，承租人（方）与申请人名称一致）；②出租方厂房或库房产权证明材料；③厂房或库房照片。B. 申请人须提供至少1套标的物相关的自有或租赁加工生产所需的关键生产设备（反应釜或聚合釜或配制釜或搅拌罐等）的证明材料，申请人关联公司（母、子公司）的不视为自有。若申请人自有的设备须提供①设备照片或铭牌照片、②采购合同或发票；租赁的设备须提供①设备照片或铭牌照片、②租赁合同。  </w:t>
            </w:r>
          </w:p>
        </w:tc>
      </w:tr>
    </w:tbl>
    <w:p>
      <w:pPr>
        <w:pStyle w:val="7"/>
        <w:rPr>
          <w:rFonts w:ascii="仿宋" w:hAnsi="仿宋" w:eastAsia="仿宋"/>
        </w:rPr>
      </w:pPr>
    </w:p>
    <w:p>
      <w:pPr>
        <w:pStyle w:val="7"/>
        <w:rPr>
          <w:rFonts w:ascii="仿宋" w:hAnsi="仿宋" w:eastAsia="仿宋"/>
        </w:rPr>
      </w:pPr>
    </w:p>
    <w:p>
      <w:pPr>
        <w:pStyle w:val="7"/>
        <w:rPr>
          <w:rFonts w:ascii="仿宋" w:hAnsi="仿宋" w:eastAsia="仿宋"/>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Microsoft YaHei UI">
    <w:panose1 w:val="020B0503020204020204"/>
    <w:charset w:val="86"/>
    <w:family w:val="swiss"/>
    <w:pitch w:val="default"/>
    <w:sig w:usb0="80000287" w:usb1="2ACF3C50" w:usb2="00000016" w:usb3="00000000" w:csb0="0004001F" w:csb1="00000000"/>
  </w:font>
  <w:font w:name="monospace">
    <w:altName w:val="Segoe Print"/>
    <w:panose1 w:val="00000000000000000000"/>
    <w:charset w:val="00"/>
    <w:family w:val="auto"/>
    <w:pitch w:val="default"/>
    <w:sig w:usb0="00000000" w:usb1="00000000" w:usb2="00000000" w:usb3="00000000" w:csb0="00000000" w:csb1="00000000"/>
  </w:font>
  <w:font w:name="CIDFont+F4">
    <w:altName w:val="Times New Roman"/>
    <w:panose1 w:val="00000000000000000000"/>
    <w:charset w:val="00"/>
    <w:family w:val="roman"/>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C7DF653"/>
    <w:multiLevelType w:val="singleLevel"/>
    <w:tmpl w:val="BC7DF653"/>
    <w:lvl w:ilvl="0" w:tentative="0">
      <w:start w:val="1"/>
      <w:numFmt w:val="decimal"/>
      <w:suff w:val="nothing"/>
      <w:lvlText w:val="%1）"/>
      <w:lvlJc w:val="left"/>
    </w:lvl>
  </w:abstractNum>
  <w:abstractNum w:abstractNumId="1">
    <w:nsid w:val="BF016F70"/>
    <w:multiLevelType w:val="singleLevel"/>
    <w:tmpl w:val="BF016F70"/>
    <w:lvl w:ilvl="0" w:tentative="0">
      <w:start w:val="2"/>
      <w:numFmt w:val="decimal"/>
      <w:suff w:val="nothing"/>
      <w:lvlText w:val="%1、"/>
      <w:lvlJc w:val="left"/>
      <w:pPr>
        <w:ind w:left="760" w:leftChars="0" w:firstLine="0" w:firstLineChars="0"/>
      </w:pPr>
    </w:lvl>
  </w:abstractNum>
  <w:abstractNum w:abstractNumId="2">
    <w:nsid w:val="C9CC5513"/>
    <w:multiLevelType w:val="singleLevel"/>
    <w:tmpl w:val="C9CC5513"/>
    <w:lvl w:ilvl="0" w:tentative="0">
      <w:start w:val="1"/>
      <w:numFmt w:val="decimal"/>
      <w:suff w:val="space"/>
      <w:lvlText w:val="%1)"/>
      <w:lvlJc w:val="left"/>
    </w:lvl>
  </w:abstractNum>
  <w:abstractNum w:abstractNumId="3">
    <w:nsid w:val="CCDC4B95"/>
    <w:multiLevelType w:val="singleLevel"/>
    <w:tmpl w:val="CCDC4B95"/>
    <w:lvl w:ilvl="0" w:tentative="0">
      <w:start w:val="1"/>
      <w:numFmt w:val="decimal"/>
      <w:lvlText w:val="%1)"/>
      <w:lvlJc w:val="left"/>
      <w:pPr>
        <w:tabs>
          <w:tab w:val="left" w:pos="420"/>
        </w:tabs>
        <w:ind w:left="845" w:hanging="425"/>
      </w:pPr>
      <w:rPr>
        <w:rFonts w:hint="default"/>
      </w:rPr>
    </w:lvl>
  </w:abstractNum>
  <w:abstractNum w:abstractNumId="4">
    <w:nsid w:val="1DF53BAE"/>
    <w:multiLevelType w:val="singleLevel"/>
    <w:tmpl w:val="1DF53BAE"/>
    <w:lvl w:ilvl="0" w:tentative="0">
      <w:start w:val="1"/>
      <w:numFmt w:val="decimal"/>
      <w:lvlText w:val="%1."/>
      <w:lvlJc w:val="left"/>
      <w:pPr>
        <w:tabs>
          <w:tab w:val="left" w:pos="420"/>
        </w:tabs>
        <w:ind w:left="845" w:hanging="425"/>
      </w:pPr>
      <w:rPr>
        <w:rFonts w:hint="default"/>
      </w:r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Q3MDMzNmYxMjRmNWYyMzBmYjk2YmJmZTkyNzk4MTAifQ=="/>
  </w:docVars>
  <w:rsids>
    <w:rsidRoot w:val="00AE20AB"/>
    <w:rsid w:val="000216E2"/>
    <w:rsid w:val="001D4237"/>
    <w:rsid w:val="002E3C4A"/>
    <w:rsid w:val="00331055"/>
    <w:rsid w:val="0033735D"/>
    <w:rsid w:val="00371254"/>
    <w:rsid w:val="004029A6"/>
    <w:rsid w:val="00411A38"/>
    <w:rsid w:val="004874A5"/>
    <w:rsid w:val="004917F4"/>
    <w:rsid w:val="004C7AFB"/>
    <w:rsid w:val="004F7164"/>
    <w:rsid w:val="005D7510"/>
    <w:rsid w:val="005F0FF7"/>
    <w:rsid w:val="006976BF"/>
    <w:rsid w:val="006A60F6"/>
    <w:rsid w:val="006E4F13"/>
    <w:rsid w:val="00703896"/>
    <w:rsid w:val="007A7F89"/>
    <w:rsid w:val="007D73E6"/>
    <w:rsid w:val="007E2B6E"/>
    <w:rsid w:val="0081063D"/>
    <w:rsid w:val="0089189B"/>
    <w:rsid w:val="008C1CC8"/>
    <w:rsid w:val="008C38F3"/>
    <w:rsid w:val="009A18CE"/>
    <w:rsid w:val="009F6966"/>
    <w:rsid w:val="00A1038A"/>
    <w:rsid w:val="00AE20AB"/>
    <w:rsid w:val="00B014B0"/>
    <w:rsid w:val="00B679B4"/>
    <w:rsid w:val="00C07AC2"/>
    <w:rsid w:val="00C451F2"/>
    <w:rsid w:val="00C51FDD"/>
    <w:rsid w:val="00CA23A2"/>
    <w:rsid w:val="00D127EC"/>
    <w:rsid w:val="00E607B8"/>
    <w:rsid w:val="00E769E7"/>
    <w:rsid w:val="00E93761"/>
    <w:rsid w:val="00ED277A"/>
    <w:rsid w:val="00EE4BE5"/>
    <w:rsid w:val="00F56602"/>
    <w:rsid w:val="00FA2452"/>
    <w:rsid w:val="010C5A7B"/>
    <w:rsid w:val="02E5364E"/>
    <w:rsid w:val="03473362"/>
    <w:rsid w:val="051B5E8B"/>
    <w:rsid w:val="061B2869"/>
    <w:rsid w:val="06BC6527"/>
    <w:rsid w:val="06D64A89"/>
    <w:rsid w:val="083A49AF"/>
    <w:rsid w:val="0C4D4E59"/>
    <w:rsid w:val="0C616DDD"/>
    <w:rsid w:val="0D7C583C"/>
    <w:rsid w:val="0F3F2B2F"/>
    <w:rsid w:val="11380EA0"/>
    <w:rsid w:val="113C79BD"/>
    <w:rsid w:val="11511F61"/>
    <w:rsid w:val="11A46680"/>
    <w:rsid w:val="125D5E2E"/>
    <w:rsid w:val="12902616"/>
    <w:rsid w:val="13D053C0"/>
    <w:rsid w:val="145F157F"/>
    <w:rsid w:val="173061A8"/>
    <w:rsid w:val="176C72BF"/>
    <w:rsid w:val="18001EB7"/>
    <w:rsid w:val="194400BE"/>
    <w:rsid w:val="19B62D0A"/>
    <w:rsid w:val="1A9429E0"/>
    <w:rsid w:val="1D0A73B1"/>
    <w:rsid w:val="1DB23D88"/>
    <w:rsid w:val="1E66474C"/>
    <w:rsid w:val="1ECC2895"/>
    <w:rsid w:val="1FC305F0"/>
    <w:rsid w:val="20CC42AE"/>
    <w:rsid w:val="216F239A"/>
    <w:rsid w:val="2245341D"/>
    <w:rsid w:val="226C0F7C"/>
    <w:rsid w:val="22880290"/>
    <w:rsid w:val="23E53F2A"/>
    <w:rsid w:val="24BE47FC"/>
    <w:rsid w:val="278220C7"/>
    <w:rsid w:val="29BB473E"/>
    <w:rsid w:val="2AD33FFA"/>
    <w:rsid w:val="2BCB7E65"/>
    <w:rsid w:val="2BD87947"/>
    <w:rsid w:val="2D410831"/>
    <w:rsid w:val="2DDF18E0"/>
    <w:rsid w:val="2E2F1115"/>
    <w:rsid w:val="2FC048E3"/>
    <w:rsid w:val="2FF328C9"/>
    <w:rsid w:val="30C41C11"/>
    <w:rsid w:val="329D451D"/>
    <w:rsid w:val="344A2458"/>
    <w:rsid w:val="348F1AF2"/>
    <w:rsid w:val="34C346A0"/>
    <w:rsid w:val="356928AF"/>
    <w:rsid w:val="372B09DB"/>
    <w:rsid w:val="38521F98"/>
    <w:rsid w:val="386579B7"/>
    <w:rsid w:val="387A0CA7"/>
    <w:rsid w:val="3AA4467B"/>
    <w:rsid w:val="3C943B5A"/>
    <w:rsid w:val="3EA03BF2"/>
    <w:rsid w:val="3F41091E"/>
    <w:rsid w:val="404D430C"/>
    <w:rsid w:val="41E53E7C"/>
    <w:rsid w:val="434515C1"/>
    <w:rsid w:val="43985384"/>
    <w:rsid w:val="4407712C"/>
    <w:rsid w:val="44457410"/>
    <w:rsid w:val="44DD6666"/>
    <w:rsid w:val="46452296"/>
    <w:rsid w:val="47120827"/>
    <w:rsid w:val="48BB08BB"/>
    <w:rsid w:val="4AEB794E"/>
    <w:rsid w:val="4CE81270"/>
    <w:rsid w:val="4E8A1EFE"/>
    <w:rsid w:val="4EEA3369"/>
    <w:rsid w:val="4FD9320F"/>
    <w:rsid w:val="50330614"/>
    <w:rsid w:val="507906CA"/>
    <w:rsid w:val="52641C79"/>
    <w:rsid w:val="535D2377"/>
    <w:rsid w:val="58843DB0"/>
    <w:rsid w:val="59400090"/>
    <w:rsid w:val="596F1B3B"/>
    <w:rsid w:val="59C30797"/>
    <w:rsid w:val="5A9F3B06"/>
    <w:rsid w:val="5DA84B68"/>
    <w:rsid w:val="5E0A56D8"/>
    <w:rsid w:val="5EC7698C"/>
    <w:rsid w:val="5EC96B76"/>
    <w:rsid w:val="5F530EF2"/>
    <w:rsid w:val="622E70A1"/>
    <w:rsid w:val="62D1212E"/>
    <w:rsid w:val="63616199"/>
    <w:rsid w:val="63E112D8"/>
    <w:rsid w:val="64930F59"/>
    <w:rsid w:val="669811DF"/>
    <w:rsid w:val="66CE5E36"/>
    <w:rsid w:val="68F64541"/>
    <w:rsid w:val="68F8137F"/>
    <w:rsid w:val="6A2D2040"/>
    <w:rsid w:val="6B5C2732"/>
    <w:rsid w:val="6DAC0CFD"/>
    <w:rsid w:val="6FBB7E47"/>
    <w:rsid w:val="725C4944"/>
    <w:rsid w:val="731E13FB"/>
    <w:rsid w:val="75225F35"/>
    <w:rsid w:val="7A0F316A"/>
    <w:rsid w:val="7ABF07F0"/>
    <w:rsid w:val="7D042F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qFormat="1" w:unhideWhenUsed="0" w:uiPriority="0" w:semiHidden="0"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qFormat="1" w:uiPriority="99"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qFormat/>
    <w:uiPriority w:val="0"/>
    <w:pPr>
      <w:keepNext/>
      <w:keepLines/>
      <w:spacing w:before="340" w:after="330" w:line="576" w:lineRule="auto"/>
      <w:outlineLvl w:val="0"/>
    </w:pPr>
    <w:rPr>
      <w:b/>
      <w:kern w:val="44"/>
      <w:sz w:val="44"/>
    </w:rPr>
  </w:style>
  <w:style w:type="paragraph" w:styleId="2">
    <w:name w:val="heading 2"/>
    <w:basedOn w:val="1"/>
    <w:next w:val="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4">
    <w:name w:val="table of authorities"/>
    <w:basedOn w:val="1"/>
    <w:next w:val="1"/>
    <w:qFormat/>
    <w:uiPriority w:val="0"/>
    <w:pPr>
      <w:spacing w:line="360" w:lineRule="auto"/>
      <w:ind w:firstLine="480" w:firstLineChars="200"/>
    </w:pPr>
    <w:rPr>
      <w:rFonts w:ascii="Times New Roman" w:hAnsi="Times New Roman" w:eastAsiaTheme="minorEastAsia"/>
      <w:sz w:val="24"/>
    </w:rPr>
  </w:style>
  <w:style w:type="paragraph" w:styleId="5">
    <w:name w:val="Body Text"/>
    <w:basedOn w:val="1"/>
    <w:next w:val="1"/>
    <w:unhideWhenUsed/>
    <w:qFormat/>
    <w:uiPriority w:val="1"/>
    <w:pPr>
      <w:ind w:firstLine="200" w:firstLineChars="200"/>
    </w:pPr>
    <w:rPr>
      <w:rFonts w:ascii="Microsoft YaHei UI" w:hAnsi="Microsoft YaHei UI" w:eastAsia="Microsoft YaHei UI"/>
      <w:kern w:val="0"/>
      <w:szCs w:val="21"/>
      <w:lang w:eastAsia="en-US"/>
    </w:rPr>
  </w:style>
  <w:style w:type="paragraph" w:styleId="6">
    <w:name w:val="Date"/>
    <w:basedOn w:val="1"/>
    <w:next w:val="1"/>
    <w:link w:val="29"/>
    <w:semiHidden/>
    <w:unhideWhenUsed/>
    <w:qFormat/>
    <w:uiPriority w:val="99"/>
    <w:pPr>
      <w:ind w:left="100" w:leftChars="2500"/>
    </w:pPr>
  </w:style>
  <w:style w:type="paragraph" w:styleId="7">
    <w:name w:val="footer"/>
    <w:basedOn w:val="1"/>
    <w:link w:val="27"/>
    <w:unhideWhenUsed/>
    <w:qFormat/>
    <w:uiPriority w:val="99"/>
    <w:pPr>
      <w:tabs>
        <w:tab w:val="center" w:pos="4153"/>
        <w:tab w:val="right" w:pos="8306"/>
      </w:tabs>
      <w:snapToGrid w:val="0"/>
      <w:jc w:val="left"/>
    </w:pPr>
    <w:rPr>
      <w:sz w:val="18"/>
      <w:szCs w:val="18"/>
    </w:rPr>
  </w:style>
  <w:style w:type="paragraph" w:styleId="8">
    <w:name w:val="header"/>
    <w:basedOn w:val="1"/>
    <w:link w:val="26"/>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10">
    <w:name w:val="Body Text First Indent"/>
    <w:basedOn w:val="5"/>
    <w:unhideWhenUsed/>
    <w:qFormat/>
    <w:uiPriority w:val="99"/>
    <w:pPr>
      <w:ind w:firstLine="420" w:firstLineChars="100"/>
    </w:pPr>
  </w:style>
  <w:style w:type="table" w:styleId="12">
    <w:name w:val="Table Grid"/>
    <w:basedOn w:val="11"/>
    <w:qFormat/>
    <w:uiPriority w:val="39"/>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uiPriority w:val="22"/>
    <w:rPr>
      <w:b/>
      <w:bCs/>
    </w:rPr>
  </w:style>
  <w:style w:type="character" w:styleId="15">
    <w:name w:val="FollowedHyperlink"/>
    <w:basedOn w:val="13"/>
    <w:semiHidden/>
    <w:unhideWhenUsed/>
    <w:qFormat/>
    <w:uiPriority w:val="99"/>
    <w:rPr>
      <w:color w:val="333333"/>
      <w:u w:val="none"/>
    </w:rPr>
  </w:style>
  <w:style w:type="character" w:styleId="16">
    <w:name w:val="Emphasis"/>
    <w:basedOn w:val="13"/>
    <w:qFormat/>
    <w:uiPriority w:val="20"/>
    <w:rPr>
      <w:b/>
      <w:bCs/>
    </w:rPr>
  </w:style>
  <w:style w:type="character" w:styleId="17">
    <w:name w:val="HTML Definition"/>
    <w:basedOn w:val="13"/>
    <w:semiHidden/>
    <w:unhideWhenUsed/>
    <w:qFormat/>
    <w:uiPriority w:val="99"/>
  </w:style>
  <w:style w:type="character" w:styleId="18">
    <w:name w:val="HTML Typewriter"/>
    <w:basedOn w:val="13"/>
    <w:semiHidden/>
    <w:unhideWhenUsed/>
    <w:qFormat/>
    <w:uiPriority w:val="99"/>
    <w:rPr>
      <w:rFonts w:hint="default" w:ascii="monospace" w:hAnsi="monospace" w:eastAsia="monospace" w:cs="monospace"/>
      <w:sz w:val="20"/>
    </w:rPr>
  </w:style>
  <w:style w:type="character" w:styleId="19">
    <w:name w:val="HTML Acronym"/>
    <w:basedOn w:val="13"/>
    <w:semiHidden/>
    <w:unhideWhenUsed/>
    <w:qFormat/>
    <w:uiPriority w:val="99"/>
  </w:style>
  <w:style w:type="character" w:styleId="20">
    <w:name w:val="HTML Variable"/>
    <w:basedOn w:val="13"/>
    <w:semiHidden/>
    <w:unhideWhenUsed/>
    <w:qFormat/>
    <w:uiPriority w:val="99"/>
  </w:style>
  <w:style w:type="character" w:styleId="21">
    <w:name w:val="Hyperlink"/>
    <w:basedOn w:val="13"/>
    <w:semiHidden/>
    <w:unhideWhenUsed/>
    <w:qFormat/>
    <w:uiPriority w:val="99"/>
    <w:rPr>
      <w:color w:val="333333"/>
      <w:u w:val="none"/>
    </w:rPr>
  </w:style>
  <w:style w:type="character" w:styleId="22">
    <w:name w:val="HTML Code"/>
    <w:basedOn w:val="13"/>
    <w:semiHidden/>
    <w:unhideWhenUsed/>
    <w:qFormat/>
    <w:uiPriority w:val="99"/>
    <w:rPr>
      <w:rFonts w:hint="default" w:ascii="monospace" w:hAnsi="monospace" w:eastAsia="monospace" w:cs="monospace"/>
      <w:sz w:val="20"/>
    </w:rPr>
  </w:style>
  <w:style w:type="character" w:styleId="23">
    <w:name w:val="HTML Cite"/>
    <w:basedOn w:val="13"/>
    <w:semiHidden/>
    <w:unhideWhenUsed/>
    <w:qFormat/>
    <w:uiPriority w:val="99"/>
  </w:style>
  <w:style w:type="character" w:styleId="24">
    <w:name w:val="HTML Keyboard"/>
    <w:basedOn w:val="13"/>
    <w:semiHidden/>
    <w:unhideWhenUsed/>
    <w:qFormat/>
    <w:uiPriority w:val="99"/>
    <w:rPr>
      <w:rFonts w:ascii="monospace" w:hAnsi="monospace" w:eastAsia="monospace" w:cs="monospace"/>
      <w:sz w:val="20"/>
    </w:rPr>
  </w:style>
  <w:style w:type="character" w:styleId="25">
    <w:name w:val="HTML Sample"/>
    <w:basedOn w:val="13"/>
    <w:semiHidden/>
    <w:unhideWhenUsed/>
    <w:qFormat/>
    <w:uiPriority w:val="99"/>
    <w:rPr>
      <w:rFonts w:hint="default" w:ascii="monospace" w:hAnsi="monospace" w:eastAsia="monospace" w:cs="monospace"/>
    </w:rPr>
  </w:style>
  <w:style w:type="character" w:customStyle="1" w:styleId="26">
    <w:name w:val="页眉 字符"/>
    <w:basedOn w:val="13"/>
    <w:link w:val="8"/>
    <w:qFormat/>
    <w:uiPriority w:val="99"/>
    <w:rPr>
      <w:sz w:val="18"/>
      <w:szCs w:val="18"/>
    </w:rPr>
  </w:style>
  <w:style w:type="character" w:customStyle="1" w:styleId="27">
    <w:name w:val="页脚 字符"/>
    <w:basedOn w:val="13"/>
    <w:link w:val="7"/>
    <w:qFormat/>
    <w:uiPriority w:val="99"/>
    <w:rPr>
      <w:sz w:val="18"/>
      <w:szCs w:val="18"/>
    </w:rPr>
  </w:style>
  <w:style w:type="paragraph" w:styleId="28">
    <w:name w:val="List Paragraph"/>
    <w:basedOn w:val="1"/>
    <w:qFormat/>
    <w:uiPriority w:val="34"/>
    <w:pPr>
      <w:ind w:firstLine="420" w:firstLineChars="200"/>
    </w:pPr>
  </w:style>
  <w:style w:type="character" w:customStyle="1" w:styleId="29">
    <w:name w:val="日期 字符"/>
    <w:basedOn w:val="13"/>
    <w:link w:val="6"/>
    <w:semiHidden/>
    <w:qFormat/>
    <w:uiPriority w:val="99"/>
  </w:style>
  <w:style w:type="character" w:customStyle="1" w:styleId="30">
    <w:name w:val="fontstyle01"/>
    <w:basedOn w:val="13"/>
    <w:qFormat/>
    <w:uiPriority w:val="0"/>
    <w:rPr>
      <w:rFonts w:hint="default" w:ascii="CIDFont+F4" w:hAnsi="CIDFont+F4"/>
      <w:color w:val="000000"/>
      <w:sz w:val="24"/>
      <w:szCs w:val="24"/>
    </w:rPr>
  </w:style>
  <w:style w:type="table" w:customStyle="1" w:styleId="31">
    <w:name w:val="网格型1"/>
    <w:basedOn w:val="11"/>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32">
    <w:name w:val="Default"/>
    <w:qFormat/>
    <w:uiPriority w:val="0"/>
    <w:pPr>
      <w:widowControl w:val="0"/>
      <w:autoSpaceDE w:val="0"/>
      <w:autoSpaceDN w:val="0"/>
      <w:adjustRightInd w:val="0"/>
    </w:pPr>
    <w:rPr>
      <w:rFonts w:ascii="宋体" w:eastAsia="宋体" w:cs="宋体" w:hAnsiTheme="minorHAnsi"/>
      <w:color w:val="000000"/>
      <w:sz w:val="24"/>
      <w:szCs w:val="24"/>
      <w:lang w:val="en-US" w:eastAsia="zh-CN" w:bidi="ar-SA"/>
    </w:rPr>
  </w:style>
  <w:style w:type="paragraph" w:customStyle="1" w:styleId="33">
    <w:name w:val="Table Paragraph"/>
    <w:basedOn w:val="1"/>
    <w:qFormat/>
    <w:uiPriority w:val="0"/>
    <w:pPr>
      <w:jc w:val="left"/>
    </w:pPr>
    <w:rPr>
      <w:kern w:val="0"/>
      <w:sz w:val="22"/>
      <w:lang w:eastAsia="en-US"/>
    </w:rPr>
  </w:style>
  <w:style w:type="paragraph" w:customStyle="1" w:styleId="34">
    <w:name w:val="设计正文2"/>
    <w:basedOn w:val="1"/>
    <w:qFormat/>
    <w:uiPriority w:val="0"/>
    <w:pPr>
      <w:snapToGrid w:val="0"/>
      <w:spacing w:before="160" w:line="320" w:lineRule="atLeast"/>
    </w:pPr>
    <w:rPr>
      <w:rFonts w:ascii="Times New Roman" w:hAnsi="Times New Roman" w:eastAsia="宋体" w:cs="Times New Roman"/>
      <w:sz w:val="24"/>
      <w:szCs w:val="20"/>
    </w:rPr>
  </w:style>
  <w:style w:type="character" w:customStyle="1" w:styleId="35">
    <w:name w:val="comboiconspanclear"/>
    <w:basedOn w:val="13"/>
    <w:qFormat/>
    <w:uiPriority w:val="0"/>
  </w:style>
  <w:style w:type="character" w:customStyle="1" w:styleId="36">
    <w:name w:val="comboiconspan"/>
    <w:basedOn w:val="13"/>
    <w:qFormat/>
    <w:uiPriority w:val="0"/>
  </w:style>
  <w:style w:type="character" w:customStyle="1" w:styleId="37">
    <w:name w:val="ui-icon48"/>
    <w:basedOn w:val="13"/>
    <w:qFormat/>
    <w:uiPriority w:val="0"/>
  </w:style>
  <w:style w:type="character" w:customStyle="1" w:styleId="38">
    <w:name w:val="clear"/>
    <w:basedOn w:val="13"/>
    <w:qFormat/>
    <w:uiPriority w:val="0"/>
  </w:style>
  <w:style w:type="character" w:customStyle="1" w:styleId="39">
    <w:name w:val="select"/>
    <w:basedOn w:val="13"/>
    <w:qFormat/>
    <w:uiPriority w:val="0"/>
  </w:style>
  <w:style w:type="paragraph" w:customStyle="1" w:styleId="40">
    <w:name w:val="_Style 37"/>
    <w:basedOn w:val="1"/>
    <w:next w:val="1"/>
    <w:qFormat/>
    <w:uiPriority w:val="0"/>
    <w:pPr>
      <w:pBdr>
        <w:bottom w:val="single" w:color="auto" w:sz="6" w:space="1"/>
      </w:pBdr>
      <w:jc w:val="center"/>
    </w:pPr>
    <w:rPr>
      <w:rFonts w:ascii="Arial" w:eastAsia="宋体"/>
      <w:vanish/>
      <w:sz w:val="16"/>
    </w:rPr>
  </w:style>
  <w:style w:type="paragraph" w:customStyle="1" w:styleId="41">
    <w:name w:val="_Style 38"/>
    <w:basedOn w:val="1"/>
    <w:next w:val="1"/>
    <w:qFormat/>
    <w:uiPriority w:val="0"/>
    <w:pPr>
      <w:pBdr>
        <w:top w:val="single" w:color="auto" w:sz="6" w:space="1"/>
      </w:pBdr>
      <w:jc w:val="center"/>
    </w:pPr>
    <w:rPr>
      <w:rFonts w:ascii="Arial" w:eastAsia="宋体"/>
      <w:vanish/>
      <w:sz w:val="16"/>
    </w:rPr>
  </w:style>
  <w:style w:type="character" w:customStyle="1" w:styleId="42">
    <w:name w:val="font31"/>
    <w:basedOn w:val="13"/>
    <w:qFormat/>
    <w:uiPriority w:val="0"/>
    <w:rPr>
      <w:rFonts w:hint="default" w:ascii="Times New Roman" w:hAnsi="Times New Roman" w:cs="Times New Roman"/>
      <w:color w:val="000000"/>
      <w:sz w:val="24"/>
      <w:szCs w:val="24"/>
      <w:u w:val="none"/>
    </w:rPr>
  </w:style>
  <w:style w:type="table" w:customStyle="1" w:styleId="43">
    <w:name w:val="网格型3"/>
    <w:basedOn w:val="11"/>
    <w:qFormat/>
    <w:uiPriority w:val="59"/>
    <w:rPr>
      <w:rFonts w:asciiTheme="minorHAnsi" w:hAnsiTheme="minorHAnsi" w:eastAsiaTheme="minorEastAsia" w:cstheme="minorBid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180</Words>
  <Characters>1032</Characters>
  <Lines>8</Lines>
  <Paragraphs>2</Paragraphs>
  <TotalTime>2</TotalTime>
  <ScaleCrop>false</ScaleCrop>
  <LinksUpToDate>false</LinksUpToDate>
  <CharactersWithSpaces>1210</CharactersWithSpaces>
  <Application>WPS Office_11.8.2.12309_F1E327BC-269C-435d-A152-05C5408002CA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2021-04-29T03:47:00Z</dcterms:created>
  <dc:creator>季云峰/采办项目组/集团公司机关</dc:creator>
  <cp:lastModifiedBy>黄金鑫</cp:lastModifiedBy>
  <dcterms:modified xsi:type="dcterms:W3CDTF">2026-09-14T07:29:55Z</dcterms:modified>
  <cp:revision>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2052-11.8.2.12309</vt:lpwstr>
  </property>
  <property fmtid="{D5CDD505-2E9C-101B-9397-08002B2CF9AE}" pid="3" name="ICV">
    <vt:lpwstr>465F0A84F3944F8C89686179B095F711</vt:lpwstr>
  </property>
  <property fmtid="{D5CDD505-2E9C-101B-9397-08002B2CF9AE}" pid="4" name="KSOTemplateDocerSaveRecord">
    <vt:lpwstr>eyJoZGlkIjoiOTQ3MDMzNmYxMjRmNWYyMzBmYjk2YmJmZTkyNzk4MTAifQ==</vt:lpwstr>
  </property>
</Properties>
</file>