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93"/>
          <w:tab w:val="left" w:pos="1418"/>
          <w:tab w:val="clear" w:pos="567"/>
        </w:tabs>
        <w:spacing w:line="560" w:lineRule="exact"/>
        <w:ind w:firstLine="723" w:firstLineChars="200"/>
        <w:jc w:val="center"/>
        <w:rPr>
          <w:rFonts w:ascii="Times New Roman" w:hAnsi="Times New Roman" w:eastAsia="仿宋_GB2312"/>
          <w:b/>
          <w:bCs/>
          <w:color w:val="auto"/>
          <w:sz w:val="36"/>
          <w:szCs w:val="36"/>
        </w:rPr>
      </w:pPr>
      <w:r>
        <w:rPr>
          <w:rFonts w:hint="eastAsia" w:ascii="Times New Roman" w:hAnsi="Times New Roman" w:eastAsia="仿宋_GB2312"/>
          <w:b/>
          <w:bCs/>
          <w:color w:val="auto"/>
          <w:sz w:val="36"/>
          <w:szCs w:val="36"/>
        </w:rPr>
        <w:t>供应商资质基本要求</w:t>
      </w:r>
    </w:p>
    <w:p>
      <w:pPr>
        <w:tabs>
          <w:tab w:val="left" w:pos="993"/>
          <w:tab w:val="left" w:pos="1418"/>
          <w:tab w:val="clear" w:pos="567"/>
        </w:tabs>
        <w:spacing w:line="312" w:lineRule="auto"/>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1、 营业执照：申请人具有合法有效的企业法人营业执照、税务登记证及组织机构代码证或证照合一的营业执照，投标时需提供原件扫描件（原件备查）。</w:t>
      </w:r>
    </w:p>
    <w:p>
      <w:pPr>
        <w:tabs>
          <w:tab w:val="left" w:pos="993"/>
          <w:tab w:val="left" w:pos="1418"/>
          <w:tab w:val="clear" w:pos="567"/>
        </w:tabs>
        <w:spacing w:line="312" w:lineRule="auto"/>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2、 信誉要求：1）申请人不得是最高人民法院在“信用中国”网站（www.creditchina.gov.cn）或“中国执行信息公开网” (http://zxgk.court.gov.cn)列入失信被执行人名单。（应附查询结果复印件并加盖单位章）；2）202</w:t>
      </w:r>
      <w:r>
        <w:rPr>
          <w:rFonts w:hint="eastAsia" w:ascii="Times New Roman" w:hAnsi="Times New Roman" w:eastAsia="仿宋_GB2312"/>
          <w:color w:val="auto"/>
          <w:sz w:val="24"/>
          <w:szCs w:val="24"/>
          <w:lang w:val="en-US" w:eastAsia="zh-CN"/>
        </w:rPr>
        <w:t>2</w:t>
      </w:r>
      <w:r>
        <w:rPr>
          <w:rFonts w:hint="eastAsia" w:ascii="Times New Roman" w:hAnsi="Times New Roman" w:eastAsia="仿宋_GB2312"/>
          <w:color w:val="auto"/>
          <w:sz w:val="24"/>
          <w:szCs w:val="24"/>
        </w:rPr>
        <w:t>年1月1日起内申请人或其法定代表人、拟委任的项目负责人不得有行贿犯罪行为（可在中国裁判文书网（http://wenshu.court.gov.cn）查询，并附查询结果复印件并加盖单位章）；3）申请人不得被工商行政管理机关在全国企业信用信息公示系统（http://www.gsxt.gov.cn）中列入严重违法失信企业名（应附查询结果复印件并加盖单位章）；</w:t>
      </w:r>
    </w:p>
    <w:p>
      <w:pPr>
        <w:tabs>
          <w:tab w:val="left" w:pos="993"/>
          <w:tab w:val="left" w:pos="1418"/>
          <w:tab w:val="clear" w:pos="567"/>
        </w:tabs>
        <w:spacing w:line="312" w:lineRule="auto"/>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3、 如申请人与本项目其他申请人存在控股关系或管理关系、单位负责人为同一人情形，不得参加同一标段或者未划分标段的同一项目报价。</w:t>
      </w:r>
    </w:p>
    <w:p>
      <w:pPr>
        <w:tabs>
          <w:tab w:val="left" w:pos="993"/>
          <w:tab w:val="left" w:pos="1418"/>
          <w:tab w:val="clear" w:pos="567"/>
        </w:tabs>
        <w:spacing w:line="312" w:lineRule="auto"/>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4、 申请人应是《中国海油供应链数字化平台》系统的注册供应商或合格供应商，工商注册超过3年且不处于冻结状态。注册但未通过审核的，视为非注册供应商，其响应和反馈均视为无效。</w:t>
      </w:r>
    </w:p>
    <w:p>
      <w:pPr>
        <w:tabs>
          <w:tab w:val="left" w:pos="993"/>
          <w:tab w:val="left" w:pos="1418"/>
          <w:tab w:val="clear" w:pos="567"/>
        </w:tabs>
        <w:spacing w:line="312" w:lineRule="auto"/>
        <w:ind w:firstLine="480" w:firstLineChars="200"/>
        <w:rPr>
          <w:rFonts w:hint="eastAsia"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rPr>
        <w:t>5、业绩要求：</w:t>
      </w:r>
      <w:r>
        <w:rPr>
          <w:rFonts w:hint="eastAsia" w:ascii="Times New Roman" w:hAnsi="Times New Roman" w:eastAsia="仿宋_GB2312"/>
          <w:color w:val="auto"/>
          <w:sz w:val="24"/>
          <w:szCs w:val="24"/>
          <w:lang w:val="en-US" w:eastAsia="zh-CN"/>
        </w:rPr>
        <w:t>无。</w:t>
      </w:r>
    </w:p>
    <w:p>
      <w:pPr>
        <w:tabs>
          <w:tab w:val="left" w:pos="993"/>
          <w:tab w:val="left" w:pos="1418"/>
          <w:tab w:val="clear" w:pos="567"/>
        </w:tabs>
        <w:spacing w:line="312" w:lineRule="auto"/>
        <w:ind w:firstLine="480" w:firstLineChars="200"/>
        <w:rPr>
          <w:rFonts w:hint="eastAsia" w:ascii="Times New Roman" w:hAnsi="Times New Roman" w:eastAsia="仿宋_GB2312"/>
          <w:color w:val="auto"/>
          <w:sz w:val="24"/>
          <w:szCs w:val="24"/>
          <w:lang w:val="en-US" w:eastAsia="zh-CN"/>
        </w:rPr>
      </w:pPr>
      <w:r>
        <w:rPr>
          <w:rFonts w:hint="eastAsia" w:ascii="Times New Roman" w:hAnsi="Times New Roman" w:eastAsia="仿宋_GB2312"/>
          <w:color w:val="auto"/>
          <w:sz w:val="24"/>
          <w:szCs w:val="24"/>
        </w:rPr>
        <w:t>6、资质要求：</w:t>
      </w:r>
      <w:bookmarkStart w:id="0" w:name="_GoBack"/>
      <w:r>
        <w:rPr>
          <w:rFonts w:hint="eastAsia" w:ascii="Times New Roman" w:hAnsi="Times New Roman" w:eastAsia="仿宋_GB2312"/>
          <w:color w:val="auto"/>
          <w:sz w:val="24"/>
          <w:szCs w:val="24"/>
          <w:lang w:val="en-US" w:eastAsia="zh-CN"/>
        </w:rPr>
        <w:t>1、</w:t>
      </w:r>
      <w:r>
        <w:rPr>
          <w:rFonts w:hint="eastAsia" w:ascii="Times New Roman" w:hAnsi="Times New Roman" w:eastAsia="仿宋_GB2312"/>
          <w:color w:val="auto"/>
          <w:sz w:val="24"/>
          <w:szCs w:val="24"/>
        </w:rPr>
        <w:t>熟悉焊评工艺编制及试验要求及船级社规范要求，提供至少一次同类材质焊评获得船级社认可焊评报及焊接工艺。</w:t>
      </w:r>
      <w:r>
        <w:rPr>
          <w:rFonts w:hint="eastAsia" w:ascii="Times New Roman" w:hAnsi="Times New Roman" w:eastAsia="仿宋_GB2312"/>
          <w:color w:val="auto"/>
          <w:sz w:val="24"/>
          <w:szCs w:val="24"/>
          <w:lang w:val="en-US" w:eastAsia="zh-CN"/>
        </w:rPr>
        <w:t>2、出海人员需要满足南海东部作业人员出海作业需要证书及通过承包商安全考试。</w:t>
      </w:r>
      <w:bookmarkEnd w:id="0"/>
    </w:p>
    <w:p>
      <w:pPr>
        <w:tabs>
          <w:tab w:val="left" w:pos="993"/>
          <w:tab w:val="left" w:pos="1418"/>
          <w:tab w:val="clear" w:pos="567"/>
        </w:tabs>
        <w:spacing w:line="312" w:lineRule="auto"/>
        <w:ind w:firstLine="480" w:firstLineChars="200"/>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7、申请人的响应和反馈材料应真实有效，如通过实地考察、相关政府网站核查或其他渠道发现申请人提交的材料存在弄虚作假行为，一经核实将永久禁止使用。</w:t>
      </w:r>
    </w:p>
    <w:p>
      <w:pPr>
        <w:tabs>
          <w:tab w:val="left" w:pos="993"/>
          <w:tab w:val="left" w:pos="1418"/>
          <w:tab w:val="clear" w:pos="567"/>
        </w:tabs>
        <w:spacing w:line="312" w:lineRule="auto"/>
        <w:ind w:firstLine="480" w:firstLineChars="200"/>
        <w:rPr>
          <w:rFonts w:hint="eastAsia"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val="en-US" w:eastAsia="zh-CN"/>
        </w:rPr>
        <w:t>温馨提示：严格</w:t>
      </w:r>
      <w:r>
        <w:rPr>
          <w:rFonts w:hint="eastAsia" w:ascii="Times New Roman" w:hAnsi="Times New Roman" w:eastAsia="仿宋_GB2312" w:cs="Times New Roman"/>
          <w:color w:val="auto"/>
          <w:sz w:val="24"/>
          <w:szCs w:val="24"/>
        </w:rPr>
        <w:t>按</w:t>
      </w:r>
      <w:r>
        <w:rPr>
          <w:rFonts w:hint="eastAsia" w:ascii="Times New Roman" w:hAnsi="Times New Roman" w:eastAsia="仿宋_GB2312" w:cs="Times New Roman"/>
          <w:color w:val="auto"/>
          <w:sz w:val="24"/>
          <w:szCs w:val="24"/>
          <w:lang w:val="en-US" w:eastAsia="zh-CN"/>
        </w:rPr>
        <w:t>上述</w:t>
      </w:r>
      <w:r>
        <w:rPr>
          <w:rFonts w:hint="eastAsia" w:ascii="Times New Roman" w:hAnsi="Times New Roman" w:eastAsia="仿宋_GB2312" w:cs="Times New Roman"/>
          <w:color w:val="auto"/>
          <w:sz w:val="24"/>
          <w:szCs w:val="24"/>
        </w:rPr>
        <w:t>顺序逐条提供响应材料或证书，</w:t>
      </w:r>
      <w:r>
        <w:rPr>
          <w:rFonts w:hint="eastAsia" w:ascii="Times New Roman" w:hAnsi="Times New Roman" w:eastAsia="仿宋_GB2312" w:cs="Times New Roman"/>
          <w:b/>
          <w:bCs/>
          <w:i/>
          <w:iCs/>
          <w:color w:val="auto"/>
          <w:sz w:val="24"/>
          <w:szCs w:val="24"/>
          <w:u w:val="single"/>
        </w:rPr>
        <w:t>不得提供无关材料和证书，相应证书或材料请在官方网站查询真伪，并将网上截图做为真伪鉴别依据</w:t>
      </w:r>
      <w:r>
        <w:rPr>
          <w:rFonts w:hint="eastAsia" w:ascii="Times New Roman" w:hAnsi="Times New Roman" w:eastAsia="仿宋_GB2312" w:cs="Times New Roman"/>
          <w:color w:val="auto"/>
          <w:sz w:val="24"/>
          <w:szCs w:val="24"/>
        </w:rPr>
        <w:t>。</w:t>
      </w:r>
    </w:p>
    <w:p>
      <w:pPr>
        <w:tabs>
          <w:tab w:val="left" w:pos="993"/>
          <w:tab w:val="left" w:pos="1418"/>
          <w:tab w:val="clear" w:pos="567"/>
        </w:tabs>
        <w:spacing w:line="312" w:lineRule="auto"/>
        <w:ind w:firstLine="440" w:firstLineChars="200"/>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2"/>
      <w:lvlText w:val="%1"/>
      <w:lvlJc w:val="left"/>
      <w:pPr>
        <w:tabs>
          <w:tab w:val="left" w:pos="567"/>
        </w:tabs>
        <w:ind w:left="567" w:hanging="567"/>
      </w:pPr>
      <w:rPr>
        <w:rFonts w:hint="default" w:ascii="黑体" w:hAnsi="黑体" w:eastAsia="黑体" w:cs="黑体"/>
      </w:rPr>
    </w:lvl>
    <w:lvl w:ilvl="1" w:tentative="0">
      <w:start w:val="1"/>
      <w:numFmt w:val="decimal"/>
      <w:lvlText w:val="%1.%2"/>
      <w:lvlJc w:val="left"/>
      <w:pPr>
        <w:tabs>
          <w:tab w:val="left" w:pos="567"/>
        </w:tabs>
        <w:ind w:left="567" w:hanging="567"/>
      </w:pPr>
      <w:rPr>
        <w:rFonts w:hint="default" w:ascii="黑体" w:hAnsi="黑体" w:eastAsia="黑体" w:cs="黑体"/>
        <w:sz w:val="24"/>
        <w:szCs w:val="24"/>
      </w:rPr>
    </w:lvl>
    <w:lvl w:ilvl="2" w:tentative="0">
      <w:start w:val="1"/>
      <w:numFmt w:val="decimal"/>
      <w:lvlText w:val="%1.%2.%3"/>
      <w:lvlJc w:val="left"/>
      <w:pPr>
        <w:tabs>
          <w:tab w:val="left" w:pos="567"/>
        </w:tabs>
        <w:ind w:left="567" w:hanging="567"/>
      </w:pPr>
      <w:rPr>
        <w:rFonts w:hint="default"/>
        <w:b w:val="0"/>
        <w:bCs w:val="0"/>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decimal"/>
      <w:lvlText w:val="%1.%2.%3.%4.%5.%6"/>
      <w:lvlJc w:val="left"/>
      <w:pPr>
        <w:tabs>
          <w:tab w:val="left" w:pos="567"/>
        </w:tabs>
        <w:ind w:left="567" w:hanging="567"/>
      </w:pPr>
      <w:rPr>
        <w:rFonts w:hint="default"/>
      </w:rPr>
    </w:lvl>
    <w:lvl w:ilvl="6" w:tentative="0">
      <w:start w:val="1"/>
      <w:numFmt w:val="decimal"/>
      <w:lvlText w:val="%1.%2.%3.%4.%5.%6.%7"/>
      <w:lvlJc w:val="left"/>
      <w:pPr>
        <w:tabs>
          <w:tab w:val="left" w:pos="567"/>
        </w:tabs>
        <w:ind w:left="567" w:hanging="567"/>
      </w:pPr>
      <w:rPr>
        <w:rFonts w:hint="default"/>
      </w:rPr>
    </w:lvl>
    <w:lvl w:ilvl="7" w:tentative="0">
      <w:start w:val="1"/>
      <w:numFmt w:val="decimal"/>
      <w:lvlText w:val="%1.%2.%3.%4.%5.%6.%7.%8"/>
      <w:lvlJc w:val="left"/>
      <w:pPr>
        <w:tabs>
          <w:tab w:val="left" w:pos="567"/>
        </w:tabs>
        <w:ind w:left="567" w:hanging="567"/>
      </w:pPr>
      <w:rPr>
        <w:rFonts w:hint="default"/>
      </w:rPr>
    </w:lvl>
    <w:lvl w:ilvl="8" w:tentative="0">
      <w:start w:val="1"/>
      <w:numFmt w:val="decimal"/>
      <w:lvlText w:val="%1.%2.%3.%4.%5.%6.%7.%8.%9"/>
      <w:lvlJc w:val="left"/>
      <w:pPr>
        <w:tabs>
          <w:tab w:val="left" w:pos="567"/>
        </w:tabs>
        <w:ind w:left="567"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754DF5"/>
    <w:rsid w:val="00227AA9"/>
    <w:rsid w:val="002F7DA5"/>
    <w:rsid w:val="00454CDF"/>
    <w:rsid w:val="00754DF5"/>
    <w:rsid w:val="00906406"/>
    <w:rsid w:val="02B13F60"/>
    <w:rsid w:val="036231E3"/>
    <w:rsid w:val="0479602B"/>
    <w:rsid w:val="05916646"/>
    <w:rsid w:val="06DC2229"/>
    <w:rsid w:val="086E779E"/>
    <w:rsid w:val="0A6362C8"/>
    <w:rsid w:val="0A71587A"/>
    <w:rsid w:val="0AD85296"/>
    <w:rsid w:val="0C11038A"/>
    <w:rsid w:val="0D5E3F41"/>
    <w:rsid w:val="0DC00E62"/>
    <w:rsid w:val="0F2E788D"/>
    <w:rsid w:val="0FCF240D"/>
    <w:rsid w:val="169E6329"/>
    <w:rsid w:val="1AAC6FCD"/>
    <w:rsid w:val="1B000558"/>
    <w:rsid w:val="1D246EBA"/>
    <w:rsid w:val="1E6B34C1"/>
    <w:rsid w:val="225C11CF"/>
    <w:rsid w:val="24A14FB1"/>
    <w:rsid w:val="24C9418B"/>
    <w:rsid w:val="25672150"/>
    <w:rsid w:val="277E0023"/>
    <w:rsid w:val="28677F9D"/>
    <w:rsid w:val="2D6C7591"/>
    <w:rsid w:val="2F214FEF"/>
    <w:rsid w:val="2FB101F1"/>
    <w:rsid w:val="30480317"/>
    <w:rsid w:val="31D5132D"/>
    <w:rsid w:val="321B5E2C"/>
    <w:rsid w:val="35E551FF"/>
    <w:rsid w:val="36DD670B"/>
    <w:rsid w:val="37772B17"/>
    <w:rsid w:val="3A6F3A2E"/>
    <w:rsid w:val="3C9E7A8E"/>
    <w:rsid w:val="3E3B1CFF"/>
    <w:rsid w:val="3EE30F39"/>
    <w:rsid w:val="3EF56977"/>
    <w:rsid w:val="41243DA9"/>
    <w:rsid w:val="41BB6D38"/>
    <w:rsid w:val="4ADF4D62"/>
    <w:rsid w:val="4B5F37A2"/>
    <w:rsid w:val="5075308D"/>
    <w:rsid w:val="52FA05A9"/>
    <w:rsid w:val="537B7FA2"/>
    <w:rsid w:val="546350CF"/>
    <w:rsid w:val="560F0968"/>
    <w:rsid w:val="56C360E3"/>
    <w:rsid w:val="58087CB6"/>
    <w:rsid w:val="58BC54DF"/>
    <w:rsid w:val="594C63AC"/>
    <w:rsid w:val="596F0BD4"/>
    <w:rsid w:val="60811C20"/>
    <w:rsid w:val="60F44592"/>
    <w:rsid w:val="618D45E7"/>
    <w:rsid w:val="62D26007"/>
    <w:rsid w:val="630D321F"/>
    <w:rsid w:val="639F4D79"/>
    <w:rsid w:val="64136EA5"/>
    <w:rsid w:val="67385029"/>
    <w:rsid w:val="6A1A6D3C"/>
    <w:rsid w:val="6FB3683D"/>
    <w:rsid w:val="73027288"/>
    <w:rsid w:val="73DE7CCA"/>
    <w:rsid w:val="77262A70"/>
    <w:rsid w:val="77E94927"/>
    <w:rsid w:val="7A8F6B31"/>
    <w:rsid w:val="7E6A2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8"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8"/>
    <w:pPr>
      <w:keepLines/>
      <w:widowControl w:val="0"/>
      <w:tabs>
        <w:tab w:val="left" w:pos="567"/>
        <w:tab w:val="left" w:pos="1134"/>
      </w:tabs>
      <w:jc w:val="both"/>
    </w:pPr>
    <w:rPr>
      <w:rFonts w:ascii="Arial" w:hAnsi="Arial" w:eastAsia="宋体" w:cs="Times New Roman"/>
      <w:sz w:val="22"/>
      <w:lang w:val="en-US" w:eastAsia="zh-CN" w:bidi="ar-SA"/>
    </w:rPr>
  </w:style>
  <w:style w:type="paragraph" w:styleId="2">
    <w:name w:val="heading 1"/>
    <w:basedOn w:val="1"/>
    <w:next w:val="1"/>
    <w:qFormat/>
    <w:uiPriority w:val="1"/>
    <w:pPr>
      <w:numPr>
        <w:ilvl w:val="0"/>
        <w:numId w:val="1"/>
      </w:numPr>
      <w:tabs>
        <w:tab w:val="clear" w:pos="567"/>
        <w:tab w:val="clear" w:pos="1134"/>
      </w:tabs>
      <w:spacing w:before="100" w:beforeLines="100" w:after="100" w:afterLines="100" w:line="360" w:lineRule="auto"/>
      <w:outlineLvl w:val="0"/>
    </w:pPr>
    <w:rPr>
      <w:rFonts w:eastAsia="黑体"/>
      <w:b/>
      <w:caps/>
      <w:kern w:val="28"/>
      <w:sz w:val="28"/>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header"/>
    <w:basedOn w:val="1"/>
    <w:unhideWhenUsed/>
    <w:qFormat/>
    <w:uiPriority w:val="99"/>
    <w:pPr>
      <w:tabs>
        <w:tab w:val="center" w:pos="4536"/>
        <w:tab w:val="right" w:pos="9072"/>
      </w:tabs>
    </w:p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98</Words>
  <Characters>561</Characters>
  <Lines>4</Lines>
  <Paragraphs>1</Paragraphs>
  <TotalTime>0</TotalTime>
  <ScaleCrop>false</ScaleCrop>
  <LinksUpToDate>false</LinksUpToDate>
  <CharactersWithSpaces>658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2024-10-14T01:28:00Z</dcterms:created>
  <dc:creator>guoyg</dc:creator>
  <cp:lastModifiedBy>shenchao7</cp:lastModifiedBy>
  <cp:lastPrinted>2024-08-27T08:01:00Z</cp:lastPrinted>
  <dcterms:modified xsi:type="dcterms:W3CDTF">2026-06-16T11:00:32Z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ECD444C697CA489991CA8DE498A5B214</vt:lpwstr>
  </property>
</Properties>
</file>