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rPr>
      </w:pPr>
      <w:bookmarkStart w:id="162" w:name="_GoBack"/>
      <w:bookmarkEnd w:id="162"/>
      <w:r>
        <w:rPr>
          <w:rFonts w:hint="eastAsia" w:ascii="仿宋" w:hAnsi="仿宋" w:eastAsia="仿宋"/>
        </w:rPr>
        <w:t>附件</w:t>
      </w:r>
      <w:r>
        <w:rPr>
          <w:rFonts w:ascii="仿宋" w:hAnsi="仿宋" w:eastAsia="仿宋"/>
        </w:rPr>
        <w:t>9</w:t>
      </w:r>
      <w:r>
        <w:rPr>
          <w:rFonts w:hint="eastAsia" w:ascii="仿宋" w:hAnsi="仿宋" w:eastAsia="仿宋"/>
        </w:rPr>
        <w:t xml:space="preserve">： </w:t>
      </w:r>
    </w:p>
    <w:p>
      <w:pPr>
        <w:rPr>
          <w:rFonts w:hint="eastAsia" w:ascii="仿宋" w:hAnsi="仿宋" w:eastAsia="仿宋"/>
        </w:rPr>
      </w:pPr>
    </w:p>
    <w:p>
      <w:pPr>
        <w:pStyle w:val="29"/>
        <w:ind w:left="360" w:firstLine="0" w:firstLineChars="0"/>
        <w:rPr>
          <w:rFonts w:hint="eastAsia" w:ascii="仿宋" w:hAnsi="仿宋" w:eastAsia="仿宋"/>
          <w:b/>
        </w:rPr>
      </w:pPr>
    </w:p>
    <w:p>
      <w:pPr>
        <w:autoSpaceDE w:val="0"/>
        <w:autoSpaceDN w:val="0"/>
        <w:spacing w:before="120" w:after="120"/>
        <w:ind w:right="-20"/>
        <w:jc w:val="center"/>
        <w:rPr>
          <w:rFonts w:hint="eastAsia" w:ascii="仿宋" w:hAnsi="仿宋" w:eastAsia="仿宋" w:cs="Arial Unicode MS"/>
          <w:b/>
          <w:spacing w:val="2"/>
          <w:w w:val="99"/>
          <w:sz w:val="52"/>
          <w:szCs w:val="52"/>
        </w:rPr>
      </w:pPr>
      <w:r>
        <w:rPr>
          <w:rFonts w:ascii="仿宋" w:hAnsi="仿宋" w:eastAsia="仿宋" w:cs="Arial Unicode MS"/>
          <w:b/>
          <w:spacing w:val="2"/>
          <w:w w:val="99"/>
          <w:sz w:val="52"/>
          <w:szCs w:val="52"/>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0" b="0"/>
            <wp:wrapTight wrapText="bothSides">
              <wp:wrapPolygon>
                <wp:start x="7475" y="0"/>
                <wp:lineTo x="2320" y="4577"/>
                <wp:lineTo x="1289" y="6008"/>
                <wp:lineTo x="0" y="8583"/>
                <wp:lineTo x="0" y="15163"/>
                <wp:lineTo x="1289" y="18310"/>
                <wp:lineTo x="1289" y="18882"/>
                <wp:lineTo x="5155" y="21457"/>
                <wp:lineTo x="5928" y="21457"/>
                <wp:lineTo x="11084" y="21457"/>
                <wp:lineTo x="11857" y="21457"/>
                <wp:lineTo x="15465" y="18882"/>
                <wp:lineTo x="15723" y="18310"/>
                <wp:lineTo x="17527" y="13732"/>
                <wp:lineTo x="21394" y="12016"/>
                <wp:lineTo x="21394" y="8869"/>
                <wp:lineTo x="14692" y="4577"/>
                <wp:lineTo x="9537" y="0"/>
                <wp:lineTo x="7475"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96390" cy="1438275"/>
                    </a:xfrm>
                    <a:prstGeom prst="rect">
                      <a:avLst/>
                    </a:prstGeom>
                  </pic:spPr>
                </pic:pic>
              </a:graphicData>
            </a:graphic>
          </wp:anchor>
        </w:drawing>
      </w:r>
    </w:p>
    <w:p>
      <w:pPr>
        <w:autoSpaceDE w:val="0"/>
        <w:autoSpaceDN w:val="0"/>
        <w:spacing w:before="120" w:after="120"/>
        <w:ind w:right="-20"/>
        <w:jc w:val="center"/>
        <w:rPr>
          <w:rFonts w:hint="eastAsia" w:ascii="仿宋" w:hAnsi="仿宋" w:eastAsia="仿宋" w:cs="Arial Unicode MS"/>
          <w:b/>
          <w:spacing w:val="2"/>
          <w:w w:val="99"/>
          <w:sz w:val="52"/>
          <w:szCs w:val="52"/>
        </w:rPr>
      </w:pPr>
    </w:p>
    <w:p>
      <w:pPr>
        <w:autoSpaceDE w:val="0"/>
        <w:autoSpaceDN w:val="0"/>
        <w:spacing w:before="120" w:after="120"/>
        <w:ind w:right="-20"/>
        <w:jc w:val="center"/>
        <w:rPr>
          <w:rFonts w:hint="eastAsia" w:ascii="仿宋" w:hAnsi="仿宋" w:eastAsia="仿宋" w:cs="Arial Unicode MS"/>
          <w:b/>
          <w:spacing w:val="2"/>
          <w:w w:val="99"/>
          <w:sz w:val="52"/>
          <w:szCs w:val="52"/>
        </w:rPr>
      </w:pPr>
    </w:p>
    <w:p>
      <w:pPr>
        <w:jc w:val="center"/>
        <w:rPr>
          <w:rFonts w:hint="eastAsia" w:ascii="仿宋" w:hAnsi="仿宋" w:eastAsia="仿宋" w:cs="Arial Unicode MS"/>
          <w:color w:val="000000"/>
          <w:spacing w:val="2"/>
          <w:w w:val="99"/>
          <w:sz w:val="52"/>
          <w:szCs w:val="52"/>
        </w:rPr>
      </w:pPr>
      <w:r>
        <w:rPr>
          <w:rFonts w:hint="eastAsia" w:ascii="仿宋" w:hAnsi="仿宋" w:eastAsia="仿宋" w:cs="Arial Unicode MS"/>
          <w:color w:val="000000"/>
          <w:spacing w:val="2"/>
          <w:w w:val="99"/>
          <w:sz w:val="52"/>
          <w:szCs w:val="52"/>
        </w:rPr>
        <w:t>中海油能源发展股份有限公司</w:t>
      </w:r>
    </w:p>
    <w:p>
      <w:pPr>
        <w:pStyle w:val="4"/>
        <w:rPr>
          <w:rFonts w:hint="eastAsia"/>
        </w:rPr>
      </w:pPr>
    </w:p>
    <w:p>
      <w:pPr>
        <w:jc w:val="center"/>
        <w:rPr>
          <w:rFonts w:hint="eastAsia" w:ascii="仿宋" w:hAnsi="仿宋" w:eastAsia="仿宋" w:cs="Arial Unicode MS"/>
          <w:color w:val="000000"/>
          <w:spacing w:val="2"/>
          <w:w w:val="99"/>
          <w:sz w:val="52"/>
          <w:szCs w:val="52"/>
        </w:rPr>
      </w:pPr>
      <w:r>
        <w:rPr>
          <w:rFonts w:hint="eastAsia" w:ascii="仿宋" w:hAnsi="仿宋" w:eastAsia="仿宋" w:cs="Arial Unicode MS"/>
          <w:color w:val="000000"/>
          <w:spacing w:val="2"/>
          <w:w w:val="99"/>
          <w:sz w:val="52"/>
          <w:szCs w:val="52"/>
        </w:rPr>
        <w:t>邮件系统架构技术服务</w:t>
      </w:r>
    </w:p>
    <w:p>
      <w:pPr>
        <w:jc w:val="center"/>
        <w:rPr>
          <w:rFonts w:hint="eastAsia" w:ascii="仿宋" w:hAnsi="仿宋" w:eastAsia="仿宋" w:cs="Arial Unicode MS"/>
          <w:b/>
          <w:spacing w:val="2"/>
          <w:w w:val="99"/>
          <w:sz w:val="52"/>
          <w:szCs w:val="52"/>
        </w:rPr>
      </w:pPr>
      <w:r>
        <w:rPr>
          <w:rFonts w:hint="eastAsia" w:ascii="仿宋" w:hAnsi="仿宋" w:eastAsia="仿宋" w:cs="Arial Unicode MS"/>
          <w:b/>
          <w:spacing w:val="2"/>
          <w:w w:val="99"/>
          <w:sz w:val="52"/>
          <w:szCs w:val="52"/>
        </w:rPr>
        <w:t>采购技术要求书</w:t>
      </w:r>
    </w:p>
    <w:p>
      <w:pPr>
        <w:pStyle w:val="43"/>
        <w:ind w:firstLine="473"/>
        <w:rPr>
          <w:w w:val="99"/>
        </w:rPr>
      </w:pPr>
    </w:p>
    <w:p>
      <w:pPr>
        <w:autoSpaceDE w:val="0"/>
        <w:autoSpaceDN w:val="0"/>
        <w:spacing w:before="120" w:after="120" w:line="720" w:lineRule="auto"/>
        <w:ind w:right="-23" w:firstLine="1080" w:firstLineChars="300"/>
        <w:rPr>
          <w:rFonts w:hint="eastAsia" w:ascii="仿宋" w:hAnsi="仿宋" w:eastAsia="仿宋" w:cs="Arial Unicode MS"/>
          <w:spacing w:val="2"/>
          <w:w w:val="99"/>
          <w:sz w:val="36"/>
          <w:szCs w:val="36"/>
        </w:rPr>
      </w:pPr>
      <w:r>
        <w:rPr>
          <w:rFonts w:hint="eastAsia" w:ascii="仿宋" w:hAnsi="仿宋" w:eastAsia="仿宋" w:cs="Arial Unicode MS"/>
          <w:spacing w:val="2"/>
          <w:w w:val="99"/>
          <w:sz w:val="36"/>
          <w:szCs w:val="36"/>
        </w:rPr>
        <w:t xml:space="preserve">       编 制：</w:t>
      </w:r>
      <w:r>
        <w:rPr>
          <w:rFonts w:hint="eastAsia" w:ascii="仿宋" w:hAnsi="仿宋" w:eastAsia="仿宋" w:cs="Arial Unicode MS"/>
          <w:spacing w:val="2"/>
          <w:w w:val="99"/>
          <w:sz w:val="36"/>
          <w:szCs w:val="36"/>
          <w:u w:val="single"/>
        </w:rPr>
        <w:t xml:space="preserve">               </w:t>
      </w:r>
    </w:p>
    <w:p>
      <w:pPr>
        <w:autoSpaceDE w:val="0"/>
        <w:autoSpaceDN w:val="0"/>
        <w:spacing w:before="120" w:after="120" w:line="720" w:lineRule="auto"/>
        <w:ind w:right="-23" w:firstLine="1080" w:firstLineChars="300"/>
        <w:rPr>
          <w:rFonts w:hint="eastAsia" w:ascii="仿宋" w:hAnsi="仿宋" w:eastAsia="仿宋" w:cs="Arial Unicode MS"/>
          <w:spacing w:val="2"/>
          <w:w w:val="99"/>
          <w:sz w:val="36"/>
          <w:szCs w:val="36"/>
        </w:rPr>
      </w:pPr>
      <w:r>
        <w:rPr>
          <w:rFonts w:hint="eastAsia" w:ascii="仿宋" w:hAnsi="仿宋" w:eastAsia="仿宋" w:cs="Arial Unicode MS"/>
          <w:spacing w:val="2"/>
          <w:w w:val="99"/>
          <w:sz w:val="36"/>
          <w:szCs w:val="36"/>
        </w:rPr>
        <w:t xml:space="preserve">       审 核：</w:t>
      </w:r>
      <w:r>
        <w:rPr>
          <w:rFonts w:hint="eastAsia" w:ascii="仿宋" w:hAnsi="仿宋" w:eastAsia="仿宋" w:cs="Arial Unicode MS"/>
          <w:spacing w:val="2"/>
          <w:w w:val="99"/>
          <w:sz w:val="36"/>
          <w:szCs w:val="36"/>
          <w:u w:val="single"/>
        </w:rPr>
        <w:t xml:space="preserve">                </w:t>
      </w:r>
    </w:p>
    <w:p>
      <w:pPr>
        <w:autoSpaceDE w:val="0"/>
        <w:autoSpaceDN w:val="0"/>
        <w:spacing w:before="120" w:after="120" w:line="720" w:lineRule="auto"/>
        <w:ind w:right="-23" w:firstLine="1080" w:firstLineChars="300"/>
        <w:rPr>
          <w:rFonts w:hint="eastAsia" w:ascii="仿宋" w:hAnsi="仿宋" w:eastAsia="仿宋" w:cs="Arial Unicode MS"/>
          <w:spacing w:val="2"/>
          <w:w w:val="99"/>
          <w:sz w:val="36"/>
          <w:szCs w:val="36"/>
        </w:rPr>
      </w:pPr>
      <w:r>
        <w:rPr>
          <w:rFonts w:hint="eastAsia" w:ascii="仿宋" w:hAnsi="仿宋" w:eastAsia="仿宋" w:cs="Arial Unicode MS"/>
          <w:spacing w:val="2"/>
          <w:w w:val="99"/>
          <w:sz w:val="36"/>
          <w:szCs w:val="36"/>
        </w:rPr>
        <w:t xml:space="preserve">       批 准：</w:t>
      </w:r>
      <w:r>
        <w:rPr>
          <w:rFonts w:hint="eastAsia" w:ascii="仿宋" w:hAnsi="仿宋" w:eastAsia="仿宋" w:cs="Arial Unicode MS"/>
          <w:spacing w:val="2"/>
          <w:w w:val="99"/>
          <w:sz w:val="36"/>
          <w:szCs w:val="36"/>
          <w:u w:val="single"/>
        </w:rPr>
        <w:t xml:space="preserve">                </w:t>
      </w:r>
      <w:r>
        <w:rPr>
          <w:rFonts w:hint="eastAsia" w:ascii="仿宋" w:hAnsi="仿宋" w:eastAsia="仿宋" w:cs="Arial Unicode MS"/>
          <w:spacing w:val="2"/>
          <w:w w:val="99"/>
          <w:sz w:val="36"/>
          <w:szCs w:val="36"/>
        </w:rPr>
        <w:t xml:space="preserve"> </w:t>
      </w:r>
    </w:p>
    <w:p>
      <w:pPr>
        <w:rPr>
          <w:rFonts w:hint="eastAsia" w:ascii="仿宋" w:hAnsi="仿宋" w:eastAsia="仿宋"/>
        </w:rPr>
      </w:pPr>
      <w:bookmarkStart w:id="0" w:name="_Toc13249324"/>
      <w:bookmarkStart w:id="1" w:name="_Toc13248927"/>
    </w:p>
    <w:p>
      <w:pPr>
        <w:pStyle w:val="2"/>
        <w:rPr>
          <w:rFonts w:hint="eastAsia"/>
        </w:rPr>
      </w:pPr>
    </w:p>
    <w:p>
      <w:pPr>
        <w:pStyle w:val="3"/>
        <w:spacing w:before="156" w:after="156"/>
        <w:ind w:firstLine="480"/>
        <w:rPr>
          <w:rFonts w:hint="eastAsia"/>
        </w:rPr>
      </w:pPr>
    </w:p>
    <w:bookmarkEnd w:id="0"/>
    <w:bookmarkEnd w:id="1"/>
    <w:p>
      <w:pPr>
        <w:pStyle w:val="10"/>
        <w:spacing w:before="156" w:beforeLines="50"/>
        <w:ind w:left="0"/>
        <w:outlineLvl w:val="0"/>
        <w:rPr>
          <w:rFonts w:hint="eastAsia" w:ascii="仿宋" w:hAnsi="仿宋" w:eastAsia="仿宋"/>
          <w:bCs/>
          <w:sz w:val="32"/>
          <w:szCs w:val="32"/>
        </w:rPr>
      </w:pPr>
      <w:bookmarkStart w:id="2" w:name="_Toc29893"/>
      <w:bookmarkStart w:id="3" w:name="_Toc149317259"/>
      <w:bookmarkStart w:id="4" w:name="_Toc31233"/>
      <w:bookmarkStart w:id="5" w:name="_Toc32439"/>
      <w:bookmarkStart w:id="6" w:name="_Toc6769"/>
      <w:bookmarkStart w:id="7" w:name="_Toc32005"/>
      <w:bookmarkStart w:id="8" w:name="_Toc12381"/>
      <w:bookmarkStart w:id="9" w:name="_Toc23792"/>
      <w:bookmarkStart w:id="10" w:name="_Toc12008"/>
      <w:r>
        <w:rPr>
          <w:rFonts w:ascii="仿宋" w:hAnsi="仿宋" w:eastAsia="仿宋"/>
          <w:bCs/>
          <w:sz w:val="32"/>
          <w:szCs w:val="32"/>
        </w:rPr>
        <w:t>一、项目概况及总体要求</w:t>
      </w:r>
      <w:bookmarkEnd w:id="2"/>
      <w:bookmarkEnd w:id="3"/>
      <w:bookmarkEnd w:id="4"/>
      <w:bookmarkEnd w:id="5"/>
      <w:bookmarkEnd w:id="6"/>
      <w:bookmarkEnd w:id="7"/>
      <w:bookmarkEnd w:id="8"/>
      <w:bookmarkEnd w:id="9"/>
      <w:bookmarkEnd w:id="10"/>
      <w:r>
        <w:rPr>
          <w:rFonts w:hint="eastAsia" w:ascii="仿宋" w:hAnsi="仿宋" w:eastAsia="仿宋"/>
          <w:bCs/>
          <w:sz w:val="32"/>
          <w:szCs w:val="32"/>
        </w:rPr>
        <w:t xml:space="preserve"> </w:t>
      </w:r>
    </w:p>
    <w:p>
      <w:pPr>
        <w:spacing w:before="2" w:line="100" w:lineRule="exact"/>
        <w:rPr>
          <w:rFonts w:hint="eastAsia" w:ascii="仿宋" w:hAnsi="仿宋" w:eastAsia="仿宋"/>
          <w:sz w:val="10"/>
          <w:szCs w:val="10"/>
        </w:rPr>
      </w:pPr>
    </w:p>
    <w:p>
      <w:pPr>
        <w:pStyle w:val="9"/>
        <w:spacing w:line="360" w:lineRule="auto"/>
        <w:ind w:firstLine="560"/>
        <w:rPr>
          <w:rFonts w:hint="eastAsia" w:ascii="仿宋" w:hAnsi="仿宋" w:eastAsia="仿宋"/>
          <w:sz w:val="28"/>
          <w:lang w:eastAsia="zh-CN"/>
        </w:rPr>
      </w:pPr>
      <w:r>
        <w:rPr>
          <w:rFonts w:hint="eastAsia" w:ascii="仿宋" w:hAnsi="仿宋" w:eastAsia="仿宋"/>
          <w:sz w:val="28"/>
          <w:lang w:eastAsia="zh-CN"/>
        </w:rPr>
        <w:t>项目组主要为甲方提供邮件和Notes系统应用支持运维服务，以确保关键业务系统稳定、安全、高效运行，并为用户提供优质的技术支持服务。本项目主要提供系统架构技术服务，来保障系统可靠安全运行和功能的持续优化。</w:t>
      </w:r>
    </w:p>
    <w:p>
      <w:pPr>
        <w:widowControl/>
        <w:spacing w:line="360" w:lineRule="auto"/>
        <w:jc w:val="left"/>
        <w:outlineLvl w:val="0"/>
        <w:rPr>
          <w:rFonts w:hint="eastAsia" w:ascii="仿宋" w:hAnsi="仿宋" w:eastAsia="仿宋"/>
          <w:bCs/>
          <w:kern w:val="0"/>
          <w:sz w:val="32"/>
          <w:szCs w:val="32"/>
        </w:rPr>
      </w:pPr>
      <w:bookmarkStart w:id="11" w:name="_Toc149317260"/>
      <w:bookmarkStart w:id="12" w:name="_Toc11252"/>
      <w:bookmarkStart w:id="13" w:name="_Toc16325"/>
      <w:bookmarkStart w:id="14" w:name="_Toc3527"/>
      <w:bookmarkStart w:id="15" w:name="_Toc20071"/>
      <w:bookmarkStart w:id="16" w:name="_Toc5799"/>
      <w:bookmarkStart w:id="17" w:name="_Toc2520"/>
      <w:bookmarkStart w:id="18" w:name="_Toc23616"/>
      <w:bookmarkStart w:id="19" w:name="_Toc10092"/>
      <w:bookmarkStart w:id="20" w:name="_Toc13249325"/>
      <w:bookmarkStart w:id="21" w:name="_Toc20332"/>
      <w:bookmarkStart w:id="22" w:name="_Toc14752"/>
      <w:bookmarkStart w:id="23" w:name="_Toc17879"/>
      <w:bookmarkStart w:id="24" w:name="_Toc10483"/>
      <w:bookmarkStart w:id="25" w:name="_Toc29899"/>
      <w:bookmarkStart w:id="26" w:name="_Toc13248928"/>
      <w:bookmarkStart w:id="27" w:name="_Toc96693296"/>
      <w:r>
        <w:rPr>
          <w:rFonts w:hint="eastAsia" w:ascii="仿宋" w:hAnsi="仿宋" w:eastAsia="仿宋"/>
          <w:bCs/>
          <w:kern w:val="0"/>
          <w:sz w:val="32"/>
          <w:szCs w:val="32"/>
        </w:rPr>
        <w:t>二</w:t>
      </w:r>
      <w:r>
        <w:rPr>
          <w:rFonts w:ascii="仿宋" w:hAnsi="仿宋" w:eastAsia="仿宋"/>
          <w:bCs/>
          <w:kern w:val="0"/>
          <w:sz w:val="32"/>
          <w:szCs w:val="32"/>
        </w:rPr>
        <w:t>、</w:t>
      </w:r>
      <w:r>
        <w:rPr>
          <w:rFonts w:hint="eastAsia" w:ascii="仿宋" w:hAnsi="仿宋" w:eastAsia="仿宋"/>
          <w:bCs/>
          <w:kern w:val="0"/>
          <w:sz w:val="32"/>
          <w:szCs w:val="32"/>
        </w:rPr>
        <w:t>服务</w:t>
      </w:r>
      <w:r>
        <w:rPr>
          <w:rFonts w:ascii="仿宋" w:hAnsi="仿宋" w:eastAsia="仿宋"/>
          <w:bCs/>
          <w:kern w:val="0"/>
          <w:sz w:val="32"/>
          <w:szCs w:val="32"/>
        </w:rPr>
        <w:t>内容和范围</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spacing w:line="360" w:lineRule="auto"/>
        <w:jc w:val="left"/>
        <w:outlineLvl w:val="1"/>
        <w:rPr>
          <w:rFonts w:hint="eastAsia" w:ascii="仿宋" w:hAnsi="仿宋" w:eastAsia="仿宋"/>
          <w:color w:val="FF0000"/>
          <w:spacing w:val="2"/>
          <w:kern w:val="0"/>
          <w:sz w:val="28"/>
          <w:szCs w:val="28"/>
        </w:rPr>
      </w:pPr>
      <w:bookmarkStart w:id="28" w:name="_Toc149317263"/>
      <w:bookmarkStart w:id="29" w:name="_Toc961"/>
      <w:bookmarkStart w:id="30" w:name="_Toc7926"/>
      <w:bookmarkStart w:id="31" w:name="_Toc9821"/>
      <w:bookmarkStart w:id="32" w:name="_Toc4447"/>
      <w:bookmarkStart w:id="33" w:name="_Toc14229"/>
      <w:bookmarkStart w:id="34" w:name="_Toc19018"/>
      <w:bookmarkStart w:id="35" w:name="_Toc30038"/>
      <w:bookmarkStart w:id="36" w:name="_Toc22890"/>
      <w:bookmarkStart w:id="37" w:name="_Toc6717"/>
      <w:bookmarkStart w:id="38" w:name="_Toc13364"/>
      <w:bookmarkStart w:id="39" w:name="_Toc1970"/>
      <w:bookmarkStart w:id="40" w:name="_Toc16668"/>
      <w:bookmarkStart w:id="41" w:name="_Toc15565"/>
      <w:r>
        <w:rPr>
          <w:rFonts w:hint="eastAsia" w:ascii="仿宋" w:hAnsi="仿宋" w:eastAsia="仿宋"/>
          <w:spacing w:val="2"/>
          <w:kern w:val="0"/>
          <w:sz w:val="28"/>
          <w:szCs w:val="28"/>
        </w:rPr>
        <w:t>1、工作清单</w:t>
      </w:r>
      <w:bookmarkEnd w:id="28"/>
      <w:bookmarkEnd w:id="29"/>
      <w:bookmarkEnd w:id="30"/>
      <w:bookmarkEnd w:id="31"/>
      <w:bookmarkEnd w:id="32"/>
      <w:bookmarkEnd w:id="33"/>
      <w:bookmarkEnd w:id="34"/>
      <w:bookmarkEnd w:id="35"/>
      <w:bookmarkEnd w:id="36"/>
      <w:bookmarkEnd w:id="37"/>
      <w:bookmarkEnd w:id="38"/>
      <w:bookmarkEnd w:id="39"/>
      <w:bookmarkEnd w:id="40"/>
      <w:bookmarkEnd w:id="41"/>
    </w:p>
    <w:p>
      <w:pPr>
        <w:spacing w:line="360" w:lineRule="auto"/>
        <w:ind w:firstLine="560" w:firstLineChars="200"/>
        <w:rPr>
          <w:rFonts w:hint="eastAsia" w:ascii="仿宋" w:hAnsi="仿宋" w:eastAsia="仿宋"/>
          <w:kern w:val="0"/>
          <w:sz w:val="28"/>
          <w:szCs w:val="28"/>
        </w:rPr>
      </w:pPr>
      <w:r>
        <w:rPr>
          <w:rFonts w:hint="eastAsia" w:ascii="仿宋" w:hAnsi="仿宋" w:eastAsia="仿宋"/>
          <w:kern w:val="0"/>
          <w:sz w:val="28"/>
          <w:szCs w:val="28"/>
        </w:rPr>
        <w:t>本次项目相关支持服务工作的工作清单包括如下内容：</w:t>
      </w:r>
    </w:p>
    <w:tbl>
      <w:tblPr>
        <w:tblStyle w:val="18"/>
        <w:tblW w:w="8179" w:type="dxa"/>
        <w:tblInd w:w="0" w:type="dxa"/>
        <w:tblLayout w:type="autofit"/>
        <w:tblCellMar>
          <w:top w:w="0" w:type="dxa"/>
          <w:left w:w="108" w:type="dxa"/>
          <w:bottom w:w="0" w:type="dxa"/>
          <w:right w:w="108" w:type="dxa"/>
        </w:tblCellMar>
      </w:tblPr>
      <w:tblGrid>
        <w:gridCol w:w="1174"/>
        <w:gridCol w:w="2910"/>
        <w:gridCol w:w="1440"/>
        <w:gridCol w:w="1320"/>
        <w:gridCol w:w="1335"/>
      </w:tblGrid>
      <w:tr>
        <w:tblPrEx>
          <w:tblCellMar>
            <w:top w:w="0" w:type="dxa"/>
            <w:left w:w="108" w:type="dxa"/>
            <w:bottom w:w="0" w:type="dxa"/>
            <w:right w:w="108" w:type="dxa"/>
          </w:tblCellMar>
        </w:tblPrEx>
        <w:trPr>
          <w:trHeight w:val="624" w:hRule="atLeast"/>
        </w:trPr>
        <w:tc>
          <w:tcPr>
            <w:tcW w:w="1174" w:type="dxa"/>
            <w:tcBorders>
              <w:top w:val="single" w:color="000000" w:sz="8" w:space="0"/>
              <w:left w:val="single" w:color="000000" w:sz="8" w:space="0"/>
              <w:bottom w:val="single" w:color="000000" w:sz="8" w:space="0"/>
              <w:right w:val="single" w:color="000000" w:sz="8" w:space="0"/>
            </w:tcBorders>
            <w:shd w:val="clear" w:color="000000" w:fill="BFBFBF"/>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序号</w:t>
            </w:r>
          </w:p>
        </w:tc>
        <w:tc>
          <w:tcPr>
            <w:tcW w:w="2910" w:type="dxa"/>
            <w:tcBorders>
              <w:top w:val="single" w:color="000000" w:sz="8" w:space="0"/>
              <w:left w:val="nil"/>
              <w:bottom w:val="single" w:color="000000" w:sz="8" w:space="0"/>
              <w:right w:val="single" w:color="000000" w:sz="8" w:space="0"/>
            </w:tcBorders>
            <w:shd w:val="clear" w:color="000000" w:fill="BFBFBF"/>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服务内容</w:t>
            </w:r>
          </w:p>
        </w:tc>
        <w:tc>
          <w:tcPr>
            <w:tcW w:w="1440" w:type="dxa"/>
            <w:tcBorders>
              <w:top w:val="single" w:color="000000" w:sz="8" w:space="0"/>
              <w:left w:val="nil"/>
              <w:bottom w:val="single" w:color="000000" w:sz="8" w:space="0"/>
              <w:right w:val="single" w:color="000000" w:sz="8" w:space="0"/>
            </w:tcBorders>
            <w:shd w:val="clear" w:color="000000" w:fill="BFBFBF"/>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单位</w:t>
            </w:r>
          </w:p>
        </w:tc>
        <w:tc>
          <w:tcPr>
            <w:tcW w:w="1320" w:type="dxa"/>
            <w:tcBorders>
              <w:top w:val="single" w:color="000000" w:sz="8" w:space="0"/>
              <w:left w:val="nil"/>
              <w:bottom w:val="single" w:color="000000" w:sz="8" w:space="0"/>
              <w:right w:val="single" w:color="000000" w:sz="8" w:space="0"/>
            </w:tcBorders>
            <w:shd w:val="clear" w:color="000000" w:fill="BFBFBF"/>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单位</w:t>
            </w:r>
          </w:p>
        </w:tc>
        <w:tc>
          <w:tcPr>
            <w:tcW w:w="1335" w:type="dxa"/>
            <w:tcBorders>
              <w:top w:val="single" w:color="000000" w:sz="8" w:space="0"/>
              <w:left w:val="nil"/>
              <w:bottom w:val="single" w:color="000000" w:sz="8" w:space="0"/>
              <w:right w:val="single" w:color="000000" w:sz="8" w:space="0"/>
            </w:tcBorders>
            <w:shd w:val="clear" w:color="000000" w:fill="BFBFBF"/>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备注</w:t>
            </w:r>
          </w:p>
        </w:tc>
      </w:tr>
      <w:tr>
        <w:tblPrEx>
          <w:tblCellMar>
            <w:top w:w="0" w:type="dxa"/>
            <w:left w:w="108" w:type="dxa"/>
            <w:bottom w:w="0" w:type="dxa"/>
            <w:right w:w="108" w:type="dxa"/>
          </w:tblCellMar>
        </w:tblPrEx>
        <w:trPr>
          <w:trHeight w:val="420" w:hRule="atLeast"/>
        </w:trPr>
        <w:tc>
          <w:tcPr>
            <w:tcW w:w="1174" w:type="dxa"/>
            <w:tcBorders>
              <w:top w:val="nil"/>
              <w:left w:val="single" w:color="000000" w:sz="8" w:space="0"/>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1</w:t>
            </w:r>
          </w:p>
        </w:tc>
        <w:tc>
          <w:tcPr>
            <w:tcW w:w="2910" w:type="dxa"/>
            <w:tcBorders>
              <w:top w:val="nil"/>
              <w:left w:val="nil"/>
              <w:bottom w:val="single" w:color="000000" w:sz="8" w:space="0"/>
              <w:right w:val="single" w:color="000000" w:sz="8" w:space="0"/>
            </w:tcBorders>
            <w:vAlign w:val="bottom"/>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架构设计部署服务</w:t>
            </w:r>
          </w:p>
        </w:tc>
        <w:tc>
          <w:tcPr>
            <w:tcW w:w="1440"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项</w:t>
            </w:r>
          </w:p>
        </w:tc>
        <w:tc>
          <w:tcPr>
            <w:tcW w:w="1320"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1</w:t>
            </w:r>
          </w:p>
        </w:tc>
        <w:tc>
          <w:tcPr>
            <w:tcW w:w="1335"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p>
        </w:tc>
      </w:tr>
      <w:tr>
        <w:tblPrEx>
          <w:tblCellMar>
            <w:top w:w="0" w:type="dxa"/>
            <w:left w:w="108" w:type="dxa"/>
            <w:bottom w:w="0" w:type="dxa"/>
            <w:right w:w="108" w:type="dxa"/>
          </w:tblCellMar>
        </w:tblPrEx>
        <w:trPr>
          <w:trHeight w:val="390" w:hRule="atLeast"/>
        </w:trPr>
        <w:tc>
          <w:tcPr>
            <w:tcW w:w="1174" w:type="dxa"/>
            <w:tcBorders>
              <w:top w:val="nil"/>
              <w:left w:val="single" w:color="000000" w:sz="8" w:space="0"/>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2</w:t>
            </w:r>
          </w:p>
        </w:tc>
        <w:tc>
          <w:tcPr>
            <w:tcW w:w="2910" w:type="dxa"/>
            <w:tcBorders>
              <w:top w:val="nil"/>
              <w:left w:val="nil"/>
              <w:bottom w:val="single" w:color="000000" w:sz="8" w:space="0"/>
              <w:right w:val="single" w:color="000000" w:sz="8" w:space="0"/>
            </w:tcBorders>
            <w:vAlign w:val="bottom"/>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核心运行支撑服务</w:t>
            </w:r>
          </w:p>
        </w:tc>
        <w:tc>
          <w:tcPr>
            <w:tcW w:w="1440"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项</w:t>
            </w:r>
          </w:p>
        </w:tc>
        <w:tc>
          <w:tcPr>
            <w:tcW w:w="1320"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r>
              <w:rPr>
                <w:rFonts w:hint="eastAsia" w:ascii="仿宋" w:hAnsi="仿宋" w:eastAsia="仿宋" w:cs="宋体"/>
                <w:color w:val="000000"/>
                <w:kern w:val="0"/>
                <w:szCs w:val="21"/>
              </w:rPr>
              <w:t>1</w:t>
            </w:r>
          </w:p>
        </w:tc>
        <w:tc>
          <w:tcPr>
            <w:tcW w:w="1335" w:type="dxa"/>
            <w:tcBorders>
              <w:top w:val="nil"/>
              <w:left w:val="nil"/>
              <w:bottom w:val="single" w:color="000000" w:sz="8" w:space="0"/>
              <w:right w:val="single" w:color="000000" w:sz="8" w:space="0"/>
            </w:tcBorders>
            <w:vAlign w:val="center"/>
          </w:tcPr>
          <w:p>
            <w:pPr>
              <w:widowControl/>
              <w:jc w:val="center"/>
              <w:rPr>
                <w:rFonts w:hint="eastAsia" w:ascii="仿宋" w:hAnsi="仿宋" w:eastAsia="仿宋" w:cs="宋体"/>
                <w:color w:val="000000"/>
                <w:kern w:val="0"/>
                <w:szCs w:val="21"/>
              </w:rPr>
            </w:pPr>
          </w:p>
        </w:tc>
      </w:tr>
    </w:tbl>
    <w:p>
      <w:pPr>
        <w:spacing w:line="257" w:lineRule="auto"/>
        <w:ind w:right="115" w:rightChars="55"/>
        <w:outlineLvl w:val="1"/>
        <w:rPr>
          <w:rFonts w:hint="eastAsia" w:ascii="仿宋" w:hAnsi="仿宋" w:eastAsia="仿宋" w:cs="微软雅黑"/>
          <w:kern w:val="0"/>
          <w:sz w:val="28"/>
          <w:szCs w:val="28"/>
        </w:rPr>
      </w:pPr>
      <w:bookmarkStart w:id="42" w:name="_Toc25675"/>
      <w:bookmarkStart w:id="43" w:name="_Toc8471"/>
      <w:bookmarkStart w:id="44" w:name="_Toc31001"/>
      <w:bookmarkStart w:id="45" w:name="_Toc20972"/>
      <w:bookmarkStart w:id="46" w:name="_Toc32760"/>
      <w:bookmarkStart w:id="47" w:name="_Toc5054"/>
      <w:bookmarkStart w:id="48" w:name="_Toc22067"/>
      <w:bookmarkStart w:id="49" w:name="_Toc8422"/>
      <w:bookmarkStart w:id="50" w:name="_Toc28292"/>
      <w:bookmarkStart w:id="51" w:name="_Toc149317264"/>
      <w:bookmarkStart w:id="52" w:name="_Toc20974"/>
      <w:bookmarkStart w:id="53" w:name="_Toc23684"/>
      <w:bookmarkStart w:id="54" w:name="_Toc25526"/>
      <w:bookmarkStart w:id="55" w:name="_Toc28955"/>
      <w:r>
        <w:rPr>
          <w:rFonts w:hint="eastAsia" w:ascii="仿宋" w:hAnsi="仿宋" w:eastAsia="仿宋" w:cs="微软雅黑"/>
          <w:kern w:val="0"/>
          <w:sz w:val="28"/>
          <w:szCs w:val="28"/>
        </w:rPr>
        <w:t>2、服务地点</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中海油办公区域。</w:t>
      </w:r>
    </w:p>
    <w:p>
      <w:pPr>
        <w:pStyle w:val="9"/>
        <w:spacing w:line="257" w:lineRule="auto"/>
        <w:ind w:right="115" w:rightChars="55" w:firstLine="0" w:firstLineChars="0"/>
        <w:outlineLvl w:val="1"/>
        <w:rPr>
          <w:rFonts w:hint="eastAsia" w:ascii="仿宋" w:hAnsi="仿宋" w:eastAsia="仿宋" w:cs="微软雅黑"/>
          <w:sz w:val="28"/>
          <w:szCs w:val="28"/>
          <w:lang w:eastAsia="zh-CN"/>
        </w:rPr>
      </w:pPr>
      <w:bookmarkStart w:id="56" w:name="_Toc27756"/>
      <w:bookmarkStart w:id="57" w:name="_Toc28787"/>
      <w:bookmarkStart w:id="58" w:name="_Toc2228"/>
      <w:bookmarkStart w:id="59" w:name="_Toc20408"/>
      <w:bookmarkStart w:id="60" w:name="_Toc22337"/>
      <w:bookmarkStart w:id="61" w:name="_Toc149317265"/>
      <w:bookmarkStart w:id="62" w:name="_Toc9525"/>
      <w:bookmarkStart w:id="63" w:name="_Toc4311"/>
      <w:bookmarkStart w:id="64" w:name="_Toc27950"/>
      <w:bookmarkStart w:id="65" w:name="_Toc17239"/>
      <w:bookmarkStart w:id="66" w:name="_Toc1991"/>
      <w:bookmarkStart w:id="67" w:name="_Toc20148"/>
      <w:bookmarkStart w:id="68" w:name="_Toc8143"/>
      <w:r>
        <w:rPr>
          <w:rFonts w:hint="eastAsia" w:ascii="仿宋" w:hAnsi="仿宋" w:eastAsia="仿宋" w:cs="微软雅黑"/>
          <w:sz w:val="28"/>
          <w:szCs w:val="28"/>
          <w:lang w:eastAsia="zh-CN"/>
        </w:rPr>
        <w:t>3、服务期限</w:t>
      </w:r>
      <w:bookmarkEnd w:id="27"/>
      <w:bookmarkEnd w:id="56"/>
      <w:bookmarkEnd w:id="57"/>
      <w:bookmarkEnd w:id="58"/>
      <w:bookmarkEnd w:id="59"/>
      <w:bookmarkEnd w:id="60"/>
      <w:bookmarkEnd w:id="61"/>
      <w:bookmarkEnd w:id="62"/>
      <w:bookmarkEnd w:id="63"/>
      <w:bookmarkEnd w:id="64"/>
      <w:bookmarkEnd w:id="65"/>
      <w:bookmarkEnd w:id="66"/>
      <w:bookmarkEnd w:id="67"/>
      <w:bookmarkEnd w:id="68"/>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合同签署之日起至2027年12月31日</w:t>
      </w:r>
      <w:r>
        <w:rPr>
          <w:rFonts w:ascii="仿宋" w:hAnsi="仿宋" w:eastAsia="仿宋"/>
          <w:sz w:val="28"/>
          <w:szCs w:val="28"/>
          <w:lang w:eastAsia="zh-CN"/>
        </w:rPr>
        <w:t>。</w:t>
      </w:r>
    </w:p>
    <w:p>
      <w:pPr>
        <w:widowControl/>
        <w:spacing w:line="360" w:lineRule="auto"/>
        <w:jc w:val="left"/>
        <w:outlineLvl w:val="0"/>
        <w:rPr>
          <w:rFonts w:hint="eastAsia" w:ascii="仿宋" w:hAnsi="仿宋" w:eastAsia="仿宋"/>
          <w:bCs/>
          <w:kern w:val="0"/>
          <w:sz w:val="32"/>
          <w:szCs w:val="32"/>
        </w:rPr>
      </w:pPr>
      <w:r>
        <w:rPr>
          <w:rFonts w:hint="eastAsia" w:ascii="仿宋" w:hAnsi="仿宋" w:eastAsia="仿宋"/>
          <w:bCs/>
          <w:kern w:val="0"/>
          <w:sz w:val="32"/>
          <w:szCs w:val="32"/>
        </w:rPr>
        <w:t>三、执行标准/规范</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下列标准规范对于本文件的应用是必不可少的，本次采购主要引用的采购标准如下。当标准规范与技术文件相冲突时，应按照文件优先级执行；在寻源和合同执行过程中，如果技术文件和各类标准等文件之间出现矛盾，卖方应在交货之前向买方提出澄清申请。文件的优先执行顺序由高到低为：</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（1）中华人民共和国强制执行的国家法律、法规和标准；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（2）中国海油集团公司强制执行的行业标准；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（3）项目所在地强制执行标准；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（4）本技术文件及其附件；</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（5）非强制执行的行业标准；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（6）非强制执行的国家标准；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（7）通用的国际标准。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GB/T 28827.1-2022 《信息技术服务 运行维护 第1部分：通用要求》；</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中海油及海油发展相关信息化、网络安全、运维管理内部制度及标准。</w:t>
      </w:r>
    </w:p>
    <w:p>
      <w:pPr>
        <w:pStyle w:val="9"/>
        <w:spacing w:line="360" w:lineRule="auto"/>
        <w:ind w:firstLine="560"/>
        <w:rPr>
          <w:rFonts w:hint="eastAsia" w:ascii="仿宋" w:hAnsi="仿宋" w:eastAsia="仿宋"/>
          <w:sz w:val="28"/>
          <w:szCs w:val="28"/>
          <w:lang w:eastAsia="zh-CN"/>
        </w:rPr>
      </w:pPr>
      <w:r>
        <w:rPr>
          <w:rFonts w:hint="eastAsia" w:ascii="仿宋" w:hAnsi="仿宋" w:eastAsia="仿宋"/>
          <w:sz w:val="28"/>
          <w:szCs w:val="28"/>
          <w:lang w:eastAsia="zh-CN"/>
        </w:rPr>
        <w:t>其中引用绿色标准为：请参照《通信行业绿色低碳领域标准清单》选择匹配的引用，并在技术文件中描述及挂接附件。本项目在邮件系统运维过程中应优先采用节能、低碳、资源复用的技术手段，降低系统能耗与碳排放。</w:t>
      </w:r>
    </w:p>
    <w:p>
      <w:pPr>
        <w:widowControl/>
        <w:numPr>
          <w:ilvl w:val="0"/>
          <w:numId w:val="2"/>
        </w:numPr>
        <w:spacing w:line="360" w:lineRule="auto"/>
        <w:jc w:val="left"/>
        <w:outlineLvl w:val="0"/>
        <w:rPr>
          <w:rFonts w:hint="eastAsia" w:ascii="仿宋" w:hAnsi="仿宋" w:eastAsia="仿宋"/>
          <w:bCs/>
          <w:kern w:val="0"/>
          <w:sz w:val="32"/>
          <w:szCs w:val="32"/>
        </w:rPr>
      </w:pPr>
      <w:bookmarkStart w:id="69" w:name="_Toc25736"/>
      <w:bookmarkStart w:id="70" w:name="_Toc21960"/>
      <w:bookmarkStart w:id="71" w:name="_Toc29979"/>
      <w:bookmarkStart w:id="72" w:name="_Toc25448"/>
      <w:bookmarkStart w:id="73" w:name="_Toc149317267"/>
      <w:bookmarkStart w:id="74" w:name="_Toc9229"/>
      <w:bookmarkStart w:id="75" w:name="_Toc12886"/>
      <w:bookmarkStart w:id="76" w:name="_Toc10545"/>
      <w:bookmarkStart w:id="77" w:name="_Toc23259"/>
      <w:bookmarkStart w:id="78" w:name="_Toc15663"/>
      <w:bookmarkStart w:id="79" w:name="_Toc13248929"/>
      <w:bookmarkStart w:id="80" w:name="_Toc13249326"/>
      <w:r>
        <w:rPr>
          <w:rFonts w:hint="eastAsia" w:ascii="仿宋" w:hAnsi="仿宋" w:eastAsia="仿宋"/>
          <w:bCs/>
          <w:kern w:val="0"/>
          <w:sz w:val="32"/>
          <w:szCs w:val="32"/>
        </w:rPr>
        <w:t>服务要求</w:t>
      </w:r>
      <w:bookmarkEnd w:id="69"/>
      <w:bookmarkEnd w:id="70"/>
      <w:bookmarkEnd w:id="71"/>
      <w:bookmarkEnd w:id="72"/>
      <w:bookmarkEnd w:id="73"/>
      <w:bookmarkEnd w:id="74"/>
      <w:bookmarkEnd w:id="75"/>
      <w:bookmarkEnd w:id="76"/>
      <w:bookmarkEnd w:id="77"/>
      <w:bookmarkEnd w:id="78"/>
    </w:p>
    <w:p>
      <w:pPr>
        <w:numPr>
          <w:ilvl w:val="255"/>
          <w:numId w:val="0"/>
        </w:numPr>
        <w:spacing w:line="479" w:lineRule="exact"/>
        <w:jc w:val="left"/>
        <w:outlineLvl w:val="1"/>
        <w:rPr>
          <w:rFonts w:hint="eastAsia" w:ascii="仿宋" w:hAnsi="仿宋" w:eastAsia="仿宋"/>
          <w:spacing w:val="2"/>
          <w:kern w:val="0"/>
          <w:sz w:val="28"/>
          <w:szCs w:val="28"/>
        </w:rPr>
      </w:pPr>
      <w:bookmarkStart w:id="81" w:name="_Toc32092"/>
      <w:bookmarkStart w:id="82" w:name="_Toc28072"/>
      <w:bookmarkStart w:id="83" w:name="_Toc27810"/>
      <w:bookmarkStart w:id="84" w:name="_Toc8222"/>
      <w:bookmarkStart w:id="85" w:name="_Toc32554"/>
      <w:bookmarkStart w:id="86" w:name="_Toc8538"/>
      <w:bookmarkStart w:id="87" w:name="_Toc15718"/>
      <w:bookmarkStart w:id="88" w:name="_Toc29991"/>
      <w:bookmarkStart w:id="89" w:name="_Toc12938"/>
      <w:bookmarkStart w:id="90" w:name="_Toc149317261"/>
      <w:bookmarkStart w:id="91" w:name="_Toc31733"/>
      <w:bookmarkStart w:id="92" w:name="_Toc5267"/>
      <w:bookmarkStart w:id="93" w:name="_Toc29207"/>
      <w:bookmarkStart w:id="94" w:name="_Toc2129"/>
      <w:r>
        <w:rPr>
          <w:rFonts w:hint="eastAsia" w:ascii="仿宋" w:hAnsi="仿宋" w:eastAsia="仿宋"/>
          <w:spacing w:val="2"/>
          <w:kern w:val="0"/>
          <w:sz w:val="28"/>
          <w:szCs w:val="28"/>
        </w:rPr>
        <w:t>1、服务</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hint="eastAsia" w:ascii="仿宋" w:hAnsi="仿宋" w:eastAsia="仿宋"/>
          <w:spacing w:val="2"/>
          <w:kern w:val="0"/>
          <w:sz w:val="28"/>
          <w:szCs w:val="28"/>
        </w:rPr>
        <w:t>要求</w:t>
      </w:r>
    </w:p>
    <w:p>
      <w:pPr>
        <w:pStyle w:val="9"/>
        <w:spacing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根据甲方要求</w:t>
      </w:r>
      <w:bookmarkStart w:id="95" w:name="OLE_LINK1"/>
      <w:r>
        <w:rPr>
          <w:rFonts w:hint="eastAsia" w:ascii="仿宋" w:hAnsi="仿宋" w:eastAsia="仿宋" w:cs="微软雅黑"/>
          <w:sz w:val="28"/>
          <w:szCs w:val="28"/>
          <w:lang w:eastAsia="zh-CN"/>
        </w:rPr>
        <w:t>提供技术服务，服务成果以架构设计方案、部署实施成果、服务级别报告、安全运营记录及各类工作台账等形式交付，同时按照集团公司统一安全管理要求，提供重点节假日安全保障、日常巡检等运维保障服务。</w:t>
      </w:r>
      <w:bookmarkEnd w:id="95"/>
    </w:p>
    <w:p>
      <w:pPr>
        <w:numPr>
          <w:ilvl w:val="0"/>
          <w:numId w:val="3"/>
        </w:numPr>
        <w:spacing w:line="360" w:lineRule="auto"/>
        <w:rPr>
          <w:rFonts w:hint="eastAsia" w:ascii="仿宋" w:hAnsi="仿宋" w:eastAsia="仿宋"/>
          <w:sz w:val="28"/>
          <w:szCs w:val="28"/>
        </w:rPr>
      </w:pPr>
      <w:r>
        <w:rPr>
          <w:rFonts w:hint="eastAsia" w:ascii="仿宋" w:hAnsi="仿宋" w:eastAsia="仿宋"/>
          <w:sz w:val="28"/>
          <w:szCs w:val="28"/>
        </w:rPr>
        <w:t>架构设计部署服务</w:t>
      </w:r>
    </w:p>
    <w:p>
      <w:pPr>
        <w:pStyle w:val="9"/>
        <w:spacing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（本项服务部分引用《GB/T 28827.1-2022 信息技术服务 运行维护 第1部分：通用要求》第5.3.1条、第7.7条、第7.9条）</w:t>
      </w:r>
    </w:p>
    <w:p>
      <w:pPr>
        <w:pStyle w:val="9"/>
        <w:spacing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以下为引用标准中所列条款：</w:t>
      </w:r>
    </w:p>
    <w:p>
      <w:pPr>
        <w:pStyle w:val="9"/>
        <w:spacing w:before="156" w:after="156" w:line="360" w:lineRule="auto"/>
        <w:ind w:firstLine="560"/>
        <w:rPr>
          <w:rFonts w:hint="eastAsia" w:ascii="仿宋" w:hAnsi="仿宋" w:eastAsia="仿宋" w:cs="微软雅黑"/>
          <w:sz w:val="28"/>
          <w:szCs w:val="28"/>
          <w:lang w:eastAsia="zh-CN"/>
        </w:rPr>
      </w:pPr>
      <w:bookmarkStart w:id="96" w:name="_Toc16830"/>
      <w:bookmarkStart w:id="97" w:name="_Toc26549"/>
      <w:bookmarkStart w:id="98" w:name="_Toc31007"/>
      <w:bookmarkStart w:id="99" w:name="_Toc12629"/>
      <w:bookmarkStart w:id="100" w:name="_Toc24876"/>
      <w:bookmarkStart w:id="101" w:name="_Toc149317277"/>
      <w:bookmarkStart w:id="102" w:name="_Toc5225"/>
      <w:bookmarkStart w:id="103" w:name="_Toc6743"/>
      <w:bookmarkStart w:id="104" w:name="_Toc432"/>
      <w:bookmarkStart w:id="105" w:name="_Toc21160"/>
      <w:bookmarkStart w:id="106" w:name="_Toc10190"/>
      <w:bookmarkStart w:id="107" w:name="_Toc11051"/>
      <w:bookmarkStart w:id="108" w:name="_Toc96693314"/>
      <w:bookmarkStart w:id="109" w:name="_Toc14081"/>
      <w:r>
        <w:rPr>
          <w:rFonts w:hint="eastAsia" w:ascii="宋体" w:hAnsi="宋体" w:cs="宋体"/>
          <w:sz w:val="20"/>
          <w:szCs w:val="20"/>
        </w:rPr>
        <w:t>★</w:t>
      </w:r>
      <w:r>
        <w:rPr>
          <w:rFonts w:hint="eastAsia" w:ascii="仿宋" w:hAnsi="仿宋" w:eastAsia="仿宋" w:cs="微软雅黑"/>
          <w:sz w:val="28"/>
          <w:szCs w:val="28"/>
          <w:lang w:eastAsia="zh-CN"/>
        </w:rPr>
        <w:t>条款5.3.1 策划。内容：对运行维护服务能力管理进行策划，形成能力管理计划，明确服务目标、范围、资源投入及质量要求，为架构设计与部署实施提供管理依据。</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条款7.7 变更管理。内容：组织应控制变更的过程，确保变更有序实施。</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条款7.9 配置管理。内容：组织应建立配置管理过程，确保配置项信息的准确性、完整性和可追溯性。</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以下内容为本项目个性化要求：</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a)架构评估与顶层设计：完成邮件系统现状梳理与架构评估，输出总体架构设计方案，内容覆盖系统拓扑、容量规划、高可用设计及安全体系设计，并根据办公与档案业务需求迭代演进；</w:t>
      </w:r>
    </w:p>
    <w:p>
      <w:pPr>
        <w:pStyle w:val="9"/>
        <w:spacing w:before="156" w:after="156" w:line="360" w:lineRule="auto"/>
        <w:ind w:firstLine="560"/>
        <w:rPr>
          <w:rFonts w:hint="eastAsia" w:ascii="仿宋" w:hAnsi="仿宋" w:eastAsia="仿宋" w:cs="微软雅黑"/>
          <w:sz w:val="28"/>
          <w:szCs w:val="28"/>
          <w:lang w:eastAsia="zh-CN"/>
        </w:rPr>
      </w:pPr>
      <w:r>
        <w:rPr>
          <w:rFonts w:hint="eastAsia" w:ascii="宋体" w:hAnsi="宋体" w:cs="宋体"/>
          <w:sz w:val="20"/>
          <w:szCs w:val="20"/>
        </w:rPr>
        <w:t>★</w:t>
      </w:r>
      <w:r>
        <w:rPr>
          <w:rFonts w:hint="eastAsia" w:ascii="仿宋" w:hAnsi="仿宋" w:eastAsia="仿宋" w:cs="微软雅黑"/>
          <w:sz w:val="28"/>
          <w:szCs w:val="28"/>
          <w:lang w:eastAsia="zh-CN"/>
        </w:rPr>
        <w:t>b)部署实施与版本升级：负责邮件系统软件、中间件、操作系统及相关组件的部署实施、版本升级与配置变更，制定实施及回退方案，重大变更成功率100%；</w:t>
      </w:r>
    </w:p>
    <w:p>
      <w:pPr>
        <w:pStyle w:val="9"/>
        <w:spacing w:before="156" w:after="156" w:line="360" w:lineRule="auto"/>
        <w:ind w:firstLine="560"/>
        <w:rPr>
          <w:rFonts w:hint="eastAsia" w:ascii="仿宋" w:hAnsi="仿宋" w:eastAsia="仿宋" w:cs="微软雅黑"/>
          <w:sz w:val="28"/>
          <w:szCs w:val="28"/>
          <w:lang w:eastAsia="zh-CN"/>
        </w:rPr>
      </w:pPr>
      <w:r>
        <w:rPr>
          <w:rFonts w:hint="eastAsia" w:ascii="宋体" w:hAnsi="宋体" w:cs="宋体"/>
          <w:sz w:val="20"/>
          <w:szCs w:val="20"/>
        </w:rPr>
        <w:t>★</w:t>
      </w:r>
      <w:r>
        <w:rPr>
          <w:rFonts w:hint="eastAsia" w:ascii="仿宋" w:hAnsi="仿宋" w:eastAsia="仿宋" w:cs="微软雅黑"/>
          <w:sz w:val="28"/>
          <w:szCs w:val="28"/>
          <w:lang w:eastAsia="zh-CN"/>
        </w:rPr>
        <w:t>c)数据迁移与备份体系建设：制定并实施数据迁移方案，建立数据备份策略与恢复机制，关键数据备份成功率≥99%；</w:t>
      </w:r>
    </w:p>
    <w:p>
      <w:pPr>
        <w:numPr>
          <w:ilvl w:val="0"/>
          <w:numId w:val="3"/>
        </w:numPr>
        <w:spacing w:line="360" w:lineRule="auto"/>
        <w:rPr>
          <w:rFonts w:hint="eastAsia" w:ascii="仿宋" w:hAnsi="仿宋" w:eastAsia="仿宋"/>
          <w:sz w:val="28"/>
          <w:szCs w:val="28"/>
        </w:rPr>
      </w:pPr>
      <w:r>
        <w:rPr>
          <w:rFonts w:hint="eastAsia" w:ascii="仿宋" w:hAnsi="仿宋" w:eastAsia="仿宋"/>
          <w:sz w:val="28"/>
          <w:szCs w:val="28"/>
        </w:rPr>
        <w:t>核心运行支撑服务</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（本项服务部分引用《GB/T 28827.1-2022 信息技术服务 运行维护 第1部分：通用要求》第5.3.2条、第7.3条、第7.10条、第7.12条）</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以下为引用标准中所列条款：</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条款5.3.2 实施。内容：按照运行维护服务能力管理计划进行实施，以确保组织运行维护服务能力和服务价值的实现。</w:t>
      </w:r>
    </w:p>
    <w:p>
      <w:pPr>
        <w:pStyle w:val="9"/>
        <w:spacing w:before="156" w:after="156" w:line="360" w:lineRule="auto"/>
        <w:ind w:firstLine="560"/>
        <w:rPr>
          <w:rFonts w:hint="eastAsia" w:ascii="仿宋" w:hAnsi="仿宋" w:eastAsia="仿宋" w:cs="微软雅黑"/>
          <w:sz w:val="28"/>
          <w:szCs w:val="28"/>
          <w:lang w:eastAsia="zh-CN"/>
        </w:rPr>
      </w:pPr>
      <w:r>
        <w:rPr>
          <w:rFonts w:hint="eastAsia" w:ascii="宋体" w:hAnsi="宋体" w:cs="宋体"/>
          <w:sz w:val="20"/>
          <w:szCs w:val="20"/>
        </w:rPr>
        <w:t>★</w:t>
      </w:r>
      <w:r>
        <w:rPr>
          <w:rFonts w:hint="eastAsia" w:ascii="仿宋" w:hAnsi="仿宋" w:eastAsia="仿宋" w:cs="微软雅黑"/>
          <w:sz w:val="28"/>
          <w:szCs w:val="28"/>
          <w:lang w:eastAsia="zh-CN"/>
        </w:rPr>
        <w:t>条款7.3 服务级别管理。内容：服务提供方应依据运行维护服务能力与需求方协商策划要求，通过定义、约定和管理建立服务级别协议（SLA），明确服务响应时间、故障处置时限、服务可用性等核心指标，满足服务质量要求。</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条款7.10 服务可用性和连续性管理。内容：应确保协商一致的服务可用性和连续性。</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条款7.12 信息安全管理。内容：组织应在运行维护服务过程中确保信息的保密性、完整性和可用性，防范信息安全风险。</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以下内容为本项目个性化要求：</w:t>
      </w:r>
    </w:p>
    <w:p>
      <w:pPr>
        <w:pStyle w:val="9"/>
        <w:spacing w:before="156" w:after="156" w:line="360" w:lineRule="auto"/>
        <w:ind w:firstLine="560"/>
        <w:rPr>
          <w:rFonts w:hint="eastAsia" w:ascii="仿宋" w:hAnsi="仿宋" w:eastAsia="仿宋" w:cs="微软雅黑"/>
          <w:sz w:val="28"/>
          <w:szCs w:val="28"/>
          <w:lang w:eastAsia="zh-CN"/>
        </w:rPr>
      </w:pPr>
      <w:r>
        <w:rPr>
          <w:rFonts w:hint="eastAsia" w:ascii="宋体" w:hAnsi="宋体" w:cs="宋体"/>
          <w:sz w:val="20"/>
          <w:szCs w:val="20"/>
        </w:rPr>
        <w:t>★</w:t>
      </w:r>
      <w:r>
        <w:rPr>
          <w:rFonts w:hint="eastAsia" w:ascii="仿宋" w:hAnsi="仿宋" w:eastAsia="仿宋" w:cs="微软雅黑"/>
          <w:sz w:val="28"/>
          <w:szCs w:val="28"/>
          <w:lang w:eastAsia="zh-CN"/>
        </w:rPr>
        <w:t>a)服务级别管理：建立邮件系统服务级别协议（SLA）并持续运营，年度服务可用性不低于99.9%；常规故障响应时间不超过30分钟，重大故障不超过15分钟，重大故障应急响应参照《GB/T 28827.3-2022 信息技术服务 运行维护 第3部分：应急响应规范》执行；按月输出服务报告（含SLA达成情况、故障统计及改进建议）；</w:t>
      </w:r>
    </w:p>
    <w:p>
      <w:pPr>
        <w:pStyle w:val="9"/>
        <w:spacing w:before="156" w:after="156" w:line="360" w:lineRule="auto"/>
        <w:ind w:firstLine="560"/>
        <w:rPr>
          <w:rFonts w:hint="eastAsia" w:ascii="仿宋" w:hAnsi="仿宋" w:eastAsia="仿宋" w:cs="微软雅黑"/>
          <w:sz w:val="28"/>
          <w:szCs w:val="28"/>
          <w:lang w:eastAsia="zh-CN"/>
        </w:rPr>
      </w:pPr>
      <w:r>
        <w:rPr>
          <w:rFonts w:hint="eastAsia" w:ascii="仿宋" w:hAnsi="仿宋" w:eastAsia="仿宋" w:cs="微软雅黑"/>
          <w:sz w:val="28"/>
          <w:szCs w:val="28"/>
          <w:lang w:eastAsia="zh-CN"/>
        </w:rPr>
        <w:t>b)运行保障体系构建与优化：构建邮件系统运行保障体系，覆盖服务器、网络、存储等基础设施的监控、巡检、备份与应急机制，编制并定期演练应急预案；电话技术支持提供每周5天、每日8小时服务保障，服务热线由专职技术支持团队承接，不使用自动应答代替人工支持；通过热线及远程协助仍无法解决故障时，完整留存问题记录并流转技术团队研判，取得解决方案后第一时间反馈，每年度上门不少于2次；</w:t>
      </w:r>
    </w:p>
    <w:p>
      <w:pPr>
        <w:pStyle w:val="9"/>
        <w:spacing w:before="156" w:after="156" w:line="360" w:lineRule="auto"/>
        <w:ind w:firstLine="560"/>
        <w:rPr>
          <w:rFonts w:hint="eastAsia" w:ascii="仿宋" w:hAnsi="仿宋" w:eastAsia="仿宋" w:cs="微软雅黑"/>
          <w:sz w:val="28"/>
          <w:szCs w:val="28"/>
          <w:lang w:eastAsia="zh-CN"/>
        </w:rPr>
      </w:pPr>
      <w:r>
        <w:rPr>
          <w:rFonts w:hint="eastAsia" w:ascii="宋体" w:hAnsi="宋体" w:cs="宋体"/>
          <w:sz w:val="20"/>
          <w:szCs w:val="20"/>
        </w:rPr>
        <w:t>★</w:t>
      </w:r>
      <w:r>
        <w:rPr>
          <w:rFonts w:hint="eastAsia" w:ascii="仿宋" w:hAnsi="仿宋" w:eastAsia="仿宋" w:cs="微软雅黑"/>
          <w:sz w:val="28"/>
          <w:szCs w:val="28"/>
          <w:lang w:eastAsia="zh-CN"/>
        </w:rPr>
        <w:t>c)安全体系运营：持续优化邮件安全防护策略，拦截钓鱼、病毒、垃圾邮件（拦截率≥99.5%），监测处置各类异常操作，落实日志留存与安全巡检，满足等级保护（GB/T 22239-2019）相关要求，重大及以上安全事件为零；</w:t>
      </w:r>
    </w:p>
    <w:p>
      <w:pPr>
        <w:pStyle w:val="9"/>
        <w:spacing w:before="156" w:after="156" w:line="360" w:lineRule="auto"/>
        <w:ind w:firstLine="560"/>
        <w:rPr>
          <w:rFonts w:hint="eastAsia"/>
          <w:lang w:eastAsia="zh-CN"/>
        </w:rPr>
      </w:pPr>
      <w:r>
        <w:rPr>
          <w:rFonts w:hint="eastAsia" w:ascii="仿宋" w:hAnsi="仿宋" w:eastAsia="仿宋" w:cs="微软雅黑"/>
          <w:sz w:val="28"/>
          <w:szCs w:val="28"/>
          <w:lang w:eastAsia="zh-CN"/>
        </w:rPr>
        <w:t>d)公务数据治理与档案化支撑：统筹邮箱账号全生命周期治理，账号操作准确率100%、台账更新及时率100%；依托邮件系统公务数据完成重要公务资料的归集筛选、标准化对接归档、溯源查询及到期档案合规处置，归档合规率100%、到期档案合规处置率100%。</w:t>
      </w:r>
    </w:p>
    <w:p>
      <w:pPr>
        <w:pStyle w:val="9"/>
        <w:spacing w:before="156" w:after="156" w:line="257" w:lineRule="auto"/>
        <w:ind w:left="210" w:right="115" w:rightChars="55" w:firstLine="0" w:firstLineChars="0"/>
        <w:outlineLvl w:val="1"/>
        <w:rPr>
          <w:rFonts w:hint="eastAsia" w:ascii="仿宋" w:hAnsi="仿宋" w:eastAsia="仿宋"/>
          <w:sz w:val="28"/>
          <w:szCs w:val="28"/>
          <w:lang w:eastAsia="zh-CN"/>
        </w:rPr>
      </w:pPr>
      <w:r>
        <w:rPr>
          <w:rFonts w:hint="eastAsia" w:ascii="仿宋" w:hAnsi="仿宋" w:eastAsia="仿宋"/>
          <w:sz w:val="28"/>
          <w:szCs w:val="28"/>
          <w:lang w:eastAsia="zh-CN"/>
        </w:rPr>
        <w:t>2、部署实施要求：</w:t>
      </w:r>
    </w:p>
    <w:p>
      <w:pPr>
        <w:pStyle w:val="29"/>
        <w:numPr>
          <w:ilvl w:val="0"/>
          <w:numId w:val="4"/>
        </w:numPr>
        <w:spacing w:line="360" w:lineRule="auto"/>
        <w:ind w:firstLineChars="0"/>
        <w:rPr>
          <w:rFonts w:hint="eastAsia" w:ascii="仿宋" w:hAnsi="仿宋" w:eastAsia="仿宋"/>
          <w:sz w:val="28"/>
          <w:szCs w:val="28"/>
        </w:rPr>
      </w:pPr>
      <w:r>
        <w:rPr>
          <w:rFonts w:ascii="仿宋" w:hAnsi="仿宋" w:eastAsia="仿宋"/>
          <w:sz w:val="28"/>
          <w:szCs w:val="28"/>
        </w:rPr>
        <w:t>总体服务与架构实施方案：包含项目组织架构、架构师职责分工、整体实施流程、多方沟通机制、架构交付物清单及架构质量管控措施；</w:t>
      </w:r>
    </w:p>
    <w:p>
      <w:pPr>
        <w:pStyle w:val="29"/>
        <w:numPr>
          <w:ilvl w:val="0"/>
          <w:numId w:val="4"/>
        </w:numPr>
        <w:spacing w:line="360" w:lineRule="auto"/>
        <w:ind w:firstLineChars="0"/>
        <w:rPr>
          <w:rFonts w:hint="eastAsia" w:ascii="仿宋" w:hAnsi="仿宋" w:eastAsia="仿宋"/>
          <w:sz w:val="28"/>
          <w:szCs w:val="28"/>
        </w:rPr>
      </w:pPr>
      <w:r>
        <w:rPr>
          <w:rFonts w:ascii="仿宋" w:hAnsi="仿宋" w:eastAsia="仿宋"/>
          <w:sz w:val="28"/>
          <w:szCs w:val="28"/>
        </w:rPr>
        <w:t>架构运维与持续优化方案：包含架构日常巡检、架构健康监控、架构事件处置、问题根因分析、架构变更管控、版本发布管理、配置项管理流程；</w:t>
      </w:r>
    </w:p>
    <w:p>
      <w:pPr>
        <w:pStyle w:val="29"/>
        <w:numPr>
          <w:ilvl w:val="0"/>
          <w:numId w:val="4"/>
        </w:numPr>
        <w:spacing w:line="360" w:lineRule="auto"/>
        <w:ind w:firstLineChars="0"/>
        <w:rPr>
          <w:rFonts w:hint="eastAsia" w:ascii="仿宋" w:hAnsi="仿宋" w:eastAsia="仿宋"/>
          <w:sz w:val="28"/>
          <w:szCs w:val="28"/>
        </w:rPr>
      </w:pPr>
      <w:r>
        <w:rPr>
          <w:rFonts w:ascii="仿宋" w:hAnsi="仿宋" w:eastAsia="仿宋"/>
          <w:sz w:val="28"/>
          <w:szCs w:val="28"/>
        </w:rPr>
        <w:t>架构应急与故障处置方案：包含架构应急预案、故障等级划分、应急响应时限、问题升级机制、应急技术对接人、应急演练计划及架构恢复目标；</w:t>
      </w:r>
    </w:p>
    <w:p>
      <w:pPr>
        <w:pStyle w:val="29"/>
        <w:numPr>
          <w:ilvl w:val="0"/>
          <w:numId w:val="4"/>
        </w:numPr>
        <w:spacing w:line="360" w:lineRule="auto"/>
        <w:ind w:firstLineChars="0"/>
        <w:rPr>
          <w:rFonts w:hint="eastAsia" w:ascii="仿宋" w:hAnsi="仿宋" w:eastAsia="仿宋"/>
          <w:sz w:val="28"/>
          <w:szCs w:val="28"/>
        </w:rPr>
      </w:pPr>
      <w:r>
        <w:rPr>
          <w:rFonts w:ascii="仿宋" w:hAnsi="仿宋" w:eastAsia="仿宋"/>
          <w:sz w:val="28"/>
          <w:szCs w:val="28"/>
        </w:rPr>
        <w:t>架构安全与合规方案：包含架构安全基线、漏洞风险管控、补丁升级策略、权限访问控制、操作日志审计、数据安全保护、等保合规支撑措施；</w:t>
      </w:r>
    </w:p>
    <w:p>
      <w:pPr>
        <w:pStyle w:val="29"/>
        <w:numPr>
          <w:ilvl w:val="0"/>
          <w:numId w:val="4"/>
        </w:numPr>
        <w:spacing w:line="360" w:lineRule="auto"/>
        <w:ind w:firstLineChars="0"/>
        <w:rPr>
          <w:rFonts w:hint="eastAsia" w:ascii="仿宋" w:hAnsi="仿宋" w:eastAsia="仿宋"/>
          <w:sz w:val="28"/>
          <w:szCs w:val="28"/>
        </w:rPr>
      </w:pPr>
      <w:r>
        <w:rPr>
          <w:rFonts w:ascii="仿宋" w:hAnsi="仿宋" w:eastAsia="仿宋"/>
          <w:sz w:val="28"/>
          <w:szCs w:val="28"/>
        </w:rPr>
        <w:t>架构知识转移与赋能方案：包含架构专项培训、架构知识库建设、运维架构手册编制、技术交接与能力移交方案。</w:t>
      </w:r>
    </w:p>
    <w:p>
      <w:pPr>
        <w:pStyle w:val="9"/>
        <w:spacing w:before="156" w:after="156" w:line="257" w:lineRule="auto"/>
        <w:ind w:left="210" w:right="115" w:rightChars="55" w:firstLine="0" w:firstLineChars="0"/>
        <w:outlineLvl w:val="1"/>
        <w:rPr>
          <w:rFonts w:hint="eastAsia" w:ascii="仿宋" w:hAnsi="仿宋" w:eastAsia="仿宋"/>
          <w:sz w:val="28"/>
          <w:szCs w:val="28"/>
          <w:lang w:eastAsia="zh-CN"/>
        </w:rPr>
      </w:pPr>
      <w:r>
        <w:rPr>
          <w:rFonts w:hint="eastAsia" w:ascii="仿宋" w:hAnsi="仿宋" w:eastAsia="仿宋"/>
          <w:sz w:val="28"/>
          <w:szCs w:val="28"/>
          <w:lang w:eastAsia="zh-CN"/>
        </w:rPr>
        <w:t>3、质量要求：</w:t>
      </w:r>
    </w:p>
    <w:p>
      <w:pPr>
        <w:pStyle w:val="29"/>
        <w:numPr>
          <w:ilvl w:val="0"/>
          <w:numId w:val="5"/>
        </w:numPr>
        <w:spacing w:line="360" w:lineRule="auto"/>
        <w:ind w:firstLineChars="0"/>
        <w:rPr>
          <w:rFonts w:hint="eastAsia" w:ascii="仿宋" w:hAnsi="仿宋" w:eastAsia="仿宋"/>
          <w:sz w:val="28"/>
          <w:szCs w:val="28"/>
        </w:rPr>
      </w:pPr>
      <w:r>
        <w:rPr>
          <w:rFonts w:hint="eastAsia" w:ascii="仿宋" w:hAnsi="仿宋" w:eastAsia="仿宋"/>
          <w:sz w:val="28"/>
          <w:szCs w:val="28"/>
        </w:rPr>
        <w:t>服务交付物须内容完整、格式规范、数据准确、结论明确；</w:t>
      </w:r>
    </w:p>
    <w:p>
      <w:pPr>
        <w:pStyle w:val="29"/>
        <w:numPr>
          <w:ilvl w:val="0"/>
          <w:numId w:val="5"/>
        </w:numPr>
        <w:spacing w:line="360" w:lineRule="auto"/>
        <w:ind w:firstLineChars="0"/>
        <w:rPr>
          <w:rFonts w:hint="eastAsia" w:ascii="仿宋" w:hAnsi="仿宋" w:eastAsia="仿宋"/>
          <w:sz w:val="28"/>
          <w:szCs w:val="28"/>
        </w:rPr>
      </w:pPr>
      <w:r>
        <w:rPr>
          <w:rFonts w:hint="eastAsia" w:ascii="仿宋" w:hAnsi="仿宋" w:eastAsia="仿宋"/>
          <w:sz w:val="28"/>
          <w:szCs w:val="28"/>
        </w:rPr>
        <w:t>故障处理须形成闭环，包括故障现象、根因分析、处理过程、预防措施及改进建议；</w:t>
      </w:r>
    </w:p>
    <w:p>
      <w:pPr>
        <w:pStyle w:val="29"/>
        <w:numPr>
          <w:ilvl w:val="0"/>
          <w:numId w:val="5"/>
        </w:numPr>
        <w:spacing w:line="360" w:lineRule="auto"/>
        <w:ind w:firstLineChars="0"/>
        <w:rPr>
          <w:rFonts w:hint="eastAsia" w:ascii="仿宋" w:hAnsi="仿宋" w:eastAsia="仿宋"/>
          <w:sz w:val="28"/>
          <w:szCs w:val="28"/>
        </w:rPr>
      </w:pPr>
      <w:r>
        <w:rPr>
          <w:rFonts w:hint="eastAsia" w:ascii="仿宋" w:hAnsi="仿宋" w:eastAsia="仿宋"/>
          <w:sz w:val="28"/>
          <w:szCs w:val="28"/>
        </w:rPr>
        <w:t>因供应商原因导致的系统重大故障或安全事件，按合同追究违约责任。</w:t>
      </w:r>
    </w:p>
    <w:p>
      <w:pPr>
        <w:pStyle w:val="9"/>
        <w:spacing w:before="156" w:after="156" w:line="257" w:lineRule="auto"/>
        <w:ind w:left="210" w:right="115" w:rightChars="55" w:firstLine="0" w:firstLineChars="0"/>
        <w:outlineLvl w:val="1"/>
        <w:rPr>
          <w:rFonts w:hint="eastAsia" w:ascii="仿宋" w:hAnsi="仿宋" w:eastAsia="仿宋"/>
          <w:sz w:val="28"/>
          <w:szCs w:val="28"/>
          <w:lang w:eastAsia="zh-CN"/>
        </w:rPr>
      </w:pPr>
      <w:r>
        <w:rPr>
          <w:rFonts w:hint="eastAsia" w:ascii="仿宋" w:hAnsi="仿宋" w:eastAsia="仿宋"/>
          <w:sz w:val="28"/>
          <w:szCs w:val="28"/>
          <w:lang w:eastAsia="zh-CN"/>
        </w:rPr>
        <w:t>4、HSE要求：</w:t>
      </w:r>
    </w:p>
    <w:p>
      <w:pPr>
        <w:pStyle w:val="29"/>
        <w:numPr>
          <w:ilvl w:val="0"/>
          <w:numId w:val="6"/>
        </w:numPr>
        <w:spacing w:line="360" w:lineRule="auto"/>
        <w:ind w:firstLineChars="0"/>
        <w:rPr>
          <w:rFonts w:hint="eastAsia" w:ascii="仿宋" w:hAnsi="仿宋" w:eastAsia="仿宋"/>
          <w:sz w:val="28"/>
          <w:szCs w:val="28"/>
        </w:rPr>
      </w:pPr>
      <w:r>
        <w:rPr>
          <w:rFonts w:hint="eastAsia" w:ascii="仿宋" w:hAnsi="仿宋" w:eastAsia="仿宋"/>
          <w:sz w:val="28"/>
          <w:szCs w:val="28"/>
        </w:rPr>
        <w:t>供应商须遵守采购人健康、安全与环境管理制度；</w:t>
      </w:r>
    </w:p>
    <w:p>
      <w:pPr>
        <w:pStyle w:val="29"/>
        <w:numPr>
          <w:ilvl w:val="0"/>
          <w:numId w:val="6"/>
        </w:numPr>
        <w:spacing w:line="360" w:lineRule="auto"/>
        <w:ind w:firstLineChars="0"/>
        <w:rPr>
          <w:rFonts w:hint="eastAsia" w:ascii="仿宋" w:hAnsi="仿宋" w:eastAsia="仿宋"/>
          <w:sz w:val="28"/>
          <w:szCs w:val="28"/>
        </w:rPr>
      </w:pPr>
      <w:r>
        <w:rPr>
          <w:rFonts w:hint="eastAsia" w:ascii="仿宋" w:hAnsi="仿宋" w:eastAsia="仿宋"/>
          <w:sz w:val="28"/>
          <w:szCs w:val="28"/>
        </w:rPr>
        <w:t>进入机房等关键区域须办理相关手续，佩戴必要防护用品，严禁违规操作；</w:t>
      </w:r>
    </w:p>
    <w:p>
      <w:pPr>
        <w:pStyle w:val="29"/>
        <w:numPr>
          <w:ilvl w:val="0"/>
          <w:numId w:val="6"/>
        </w:numPr>
        <w:spacing w:line="360" w:lineRule="auto"/>
        <w:ind w:firstLineChars="0"/>
        <w:rPr>
          <w:rFonts w:hint="eastAsia" w:ascii="仿宋" w:hAnsi="仿宋" w:eastAsia="仿宋"/>
          <w:sz w:val="28"/>
          <w:szCs w:val="28"/>
        </w:rPr>
      </w:pPr>
      <w:r>
        <w:rPr>
          <w:rFonts w:hint="eastAsia" w:ascii="仿宋" w:hAnsi="仿宋" w:eastAsia="仿宋"/>
          <w:sz w:val="28"/>
          <w:szCs w:val="28"/>
        </w:rPr>
        <w:t>服务过程中产生的废弃物、电子垃圾等须按环保要求处理。</w:t>
      </w:r>
    </w:p>
    <w:p>
      <w:pPr>
        <w:pStyle w:val="9"/>
        <w:spacing w:before="156" w:after="156" w:line="257" w:lineRule="auto"/>
        <w:ind w:left="210" w:right="115" w:rightChars="55" w:firstLine="0" w:firstLineChars="0"/>
        <w:outlineLvl w:val="1"/>
        <w:rPr>
          <w:rFonts w:hint="eastAsia" w:ascii="仿宋" w:hAnsi="仿宋" w:eastAsia="仿宋"/>
          <w:sz w:val="28"/>
          <w:szCs w:val="28"/>
          <w:lang w:eastAsia="zh-CN"/>
        </w:rPr>
      </w:pPr>
      <w:r>
        <w:rPr>
          <w:rFonts w:hint="eastAsia" w:ascii="仿宋" w:hAnsi="仿宋" w:eastAsia="仿宋"/>
          <w:sz w:val="28"/>
          <w:szCs w:val="28"/>
          <w:lang w:eastAsia="zh-CN"/>
        </w:rPr>
        <w:t>5、进度要求：</w:t>
      </w:r>
    </w:p>
    <w:p>
      <w:pPr>
        <w:spacing w:line="360" w:lineRule="auto"/>
        <w:ind w:firstLine="560" w:firstLineChars="200"/>
        <w:rPr>
          <w:rFonts w:hint="eastAsia" w:ascii="仿宋" w:hAnsi="仿宋" w:eastAsia="仿宋" w:cs="微软雅黑"/>
          <w:sz w:val="28"/>
          <w:szCs w:val="28"/>
        </w:rPr>
      </w:pPr>
      <w:r>
        <w:rPr>
          <w:rFonts w:hint="eastAsia" w:ascii="仿宋" w:hAnsi="仿宋" w:eastAsia="仿宋"/>
          <w:sz w:val="28"/>
          <w:szCs w:val="28"/>
        </w:rPr>
        <w:t>乙方在约定服务期限内完成全部工作，执行过程中，乙方应根据技术需求书具体要求，配合甲方完成进度监督检查</w:t>
      </w:r>
      <w:r>
        <w:rPr>
          <w:rFonts w:hint="eastAsia" w:ascii="仿宋" w:hAnsi="仿宋" w:eastAsia="仿宋" w:cs="微软雅黑"/>
          <w:sz w:val="28"/>
          <w:szCs w:val="28"/>
        </w:rPr>
        <w:t>。</w:t>
      </w:r>
    </w:p>
    <w:p>
      <w:pPr>
        <w:pStyle w:val="9"/>
        <w:spacing w:before="156" w:after="156" w:line="257" w:lineRule="auto"/>
        <w:ind w:left="210" w:right="115" w:rightChars="55" w:firstLine="0" w:firstLineChars="0"/>
        <w:outlineLvl w:val="1"/>
        <w:rPr>
          <w:rFonts w:hint="eastAsia" w:ascii="仿宋" w:hAnsi="仿宋" w:eastAsia="仿宋" w:cs="微软雅黑"/>
          <w:sz w:val="28"/>
          <w:szCs w:val="28"/>
          <w:lang w:eastAsia="zh-CN"/>
        </w:rPr>
      </w:pPr>
      <w:r>
        <w:rPr>
          <w:rFonts w:hint="eastAsia" w:ascii="仿宋" w:hAnsi="仿宋" w:eastAsia="仿宋"/>
          <w:sz w:val="28"/>
          <w:szCs w:val="28"/>
          <w:lang w:eastAsia="zh-CN"/>
        </w:rPr>
        <w:t>6、保密要求：</w:t>
      </w:r>
    </w:p>
    <w:p>
      <w:pPr>
        <w:pStyle w:val="3"/>
        <w:spacing w:before="156" w:after="156"/>
        <w:ind w:firstLine="560"/>
        <w:rPr>
          <w:rFonts w:hint="eastAsia" w:ascii="仿宋" w:hAnsi="仿宋" w:eastAsia="仿宋" w:cs="微软雅黑"/>
          <w:sz w:val="28"/>
          <w:szCs w:val="28"/>
        </w:rPr>
      </w:pPr>
      <w:r>
        <w:rPr>
          <w:rFonts w:hint="eastAsia" w:ascii="仿宋" w:hAnsi="仿宋" w:eastAsia="仿宋" w:cs="微软雅黑"/>
          <w:sz w:val="28"/>
          <w:szCs w:val="28"/>
        </w:rPr>
        <w:t>甲方拥有全部成果物的知识产权，包括但不限于软件著作权、发明专利、实用新型专利和外观设计专利、论文发表等权利。</w:t>
      </w:r>
    </w:p>
    <w:p>
      <w:pPr>
        <w:pStyle w:val="3"/>
        <w:spacing w:before="156" w:after="156"/>
        <w:ind w:firstLine="560"/>
        <w:rPr>
          <w:rFonts w:hint="eastAsia"/>
        </w:rPr>
      </w:pPr>
      <w:r>
        <w:rPr>
          <w:rFonts w:hint="eastAsia" w:ascii="仿宋" w:hAnsi="仿宋" w:eastAsia="仿宋" w:cs="微软雅黑"/>
          <w:sz w:val="28"/>
          <w:szCs w:val="28"/>
        </w:rPr>
        <w:t>乙方应保守商业秘密，未经甲方事先书面同意，乙方不得将甲方任何业务信息披露给任何第三方；不得将信息用于与本服务无关的用途；不得发表于其工作相关的论文，不得自行就其工作范围内取得的成果申报专利或科技奖励；乙方不得利用甲方的商业秘密自己另行从事与甲方相竞争的业务或者帮助他人从事与甲方相竞争的业务；乙方服务结束时，应将从甲方所获得所有资料完整交还甲方。</w:t>
      </w:r>
    </w:p>
    <w:p>
      <w:pPr>
        <w:pStyle w:val="29"/>
        <w:widowControl/>
        <w:numPr>
          <w:ilvl w:val="0"/>
          <w:numId w:val="7"/>
        </w:numPr>
        <w:spacing w:line="360" w:lineRule="auto"/>
        <w:ind w:firstLineChars="0"/>
        <w:jc w:val="left"/>
        <w:outlineLvl w:val="0"/>
        <w:rPr>
          <w:rFonts w:hint="eastAsia" w:ascii="仿宋" w:hAnsi="仿宋" w:eastAsia="仿宋"/>
          <w:bCs/>
          <w:kern w:val="0"/>
          <w:sz w:val="32"/>
          <w:szCs w:val="32"/>
        </w:rPr>
      </w:pPr>
      <w:r>
        <w:rPr>
          <w:rFonts w:hint="eastAsia" w:ascii="仿宋" w:hAnsi="仿宋" w:eastAsia="仿宋"/>
          <w:bCs/>
          <w:kern w:val="0"/>
          <w:sz w:val="32"/>
          <w:szCs w:val="32"/>
        </w:rPr>
        <w:t>配备资源要求/人员要求</w:t>
      </w:r>
    </w:p>
    <w:p>
      <w:pPr>
        <w:pStyle w:val="3"/>
        <w:spacing w:before="156" w:after="156"/>
        <w:ind w:firstLine="560"/>
        <w:rPr>
          <w:rFonts w:hint="eastAsia" w:ascii="仿宋" w:hAnsi="仿宋" w:eastAsia="仿宋" w:cs="微软雅黑"/>
          <w:sz w:val="28"/>
          <w:szCs w:val="28"/>
        </w:rPr>
      </w:pPr>
      <w:r>
        <w:rPr>
          <w:rFonts w:hint="eastAsia" w:ascii="仿宋" w:hAnsi="仿宋" w:eastAsia="仿宋" w:cs="微软雅黑"/>
          <w:sz w:val="28"/>
          <w:szCs w:val="28"/>
        </w:rPr>
        <w:t>供应商应为本项目配置具备相应能力的服务团队，团队核心成员能力要求如下：</w:t>
      </w:r>
    </w:p>
    <w:p>
      <w:pPr>
        <w:pStyle w:val="29"/>
        <w:numPr>
          <w:ilvl w:val="0"/>
          <w:numId w:val="8"/>
        </w:numPr>
        <w:spacing w:after="120" w:line="360" w:lineRule="auto"/>
        <w:ind w:firstLineChars="0"/>
        <w:rPr>
          <w:rFonts w:hint="eastAsia" w:ascii="仿宋" w:hAnsi="仿宋" w:eastAsia="仿宋"/>
          <w:sz w:val="28"/>
          <w:szCs w:val="28"/>
        </w:rPr>
      </w:pPr>
      <w:r>
        <w:rPr>
          <w:rFonts w:hint="eastAsia" w:ascii="宋体" w:hAnsi="宋体" w:cs="宋体"/>
          <w:sz w:val="20"/>
          <w:szCs w:val="20"/>
        </w:rPr>
        <w:t>★</w:t>
      </w:r>
      <w:r>
        <w:rPr>
          <w:rFonts w:hint="eastAsia" w:ascii="仿宋" w:hAnsi="仿宋" w:eastAsia="仿宋"/>
          <w:sz w:val="28"/>
          <w:szCs w:val="28"/>
        </w:rPr>
        <w:t>技术负责人（团队核心成员）须具备本科及以上学历，计算机、通信、信息安全或相关专业；</w:t>
      </w:r>
    </w:p>
    <w:p>
      <w:pPr>
        <w:pStyle w:val="29"/>
        <w:numPr>
          <w:ilvl w:val="0"/>
          <w:numId w:val="8"/>
        </w:numPr>
        <w:spacing w:after="120" w:line="360" w:lineRule="auto"/>
        <w:ind w:firstLineChars="0"/>
        <w:rPr>
          <w:rFonts w:hint="eastAsia" w:ascii="仿宋" w:hAnsi="仿宋" w:eastAsia="仿宋"/>
          <w:sz w:val="28"/>
          <w:szCs w:val="28"/>
        </w:rPr>
      </w:pPr>
      <w:r>
        <w:rPr>
          <w:rFonts w:hint="eastAsia" w:ascii="宋体" w:hAnsi="宋体" w:cs="宋体"/>
          <w:sz w:val="20"/>
          <w:szCs w:val="20"/>
        </w:rPr>
        <w:t>★</w:t>
      </w:r>
      <w:r>
        <w:rPr>
          <w:rFonts w:hint="eastAsia" w:ascii="仿宋" w:hAnsi="仿宋" w:eastAsia="仿宋"/>
          <w:sz w:val="28"/>
          <w:szCs w:val="28"/>
        </w:rPr>
        <w:t>具有 5 年及以上企业级邮件系统或信息系统运维、实施、技术支持经验</w:t>
      </w:r>
      <w:r>
        <w:rPr>
          <w:rFonts w:hint="eastAsia" w:ascii="仿宋" w:hAnsi="仿宋" w:eastAsia="仿宋"/>
          <w:sz w:val="28"/>
          <w:szCs w:val="28"/>
          <w:lang w:eastAsia="zh-CN"/>
        </w:rPr>
        <w:t>（</w:t>
      </w:r>
      <w:r>
        <w:rPr>
          <w:rFonts w:hint="eastAsia" w:ascii="仿宋" w:hAnsi="仿宋" w:eastAsia="仿宋"/>
          <w:sz w:val="28"/>
          <w:szCs w:val="28"/>
          <w:lang w:val="en-US" w:eastAsia="zh-CN"/>
        </w:rPr>
        <w:t>提供相应的简历</w:t>
      </w:r>
      <w:r>
        <w:rPr>
          <w:rFonts w:hint="eastAsia" w:ascii="仿宋" w:hAnsi="仿宋" w:eastAsia="仿宋"/>
          <w:sz w:val="28"/>
          <w:szCs w:val="28"/>
          <w:lang w:eastAsia="zh-CN"/>
        </w:rPr>
        <w:t>）</w:t>
      </w:r>
      <w:r>
        <w:rPr>
          <w:rFonts w:hint="eastAsia" w:ascii="仿宋" w:hAnsi="仿宋" w:eastAsia="仿宋"/>
          <w:sz w:val="28"/>
          <w:szCs w:val="28"/>
        </w:rPr>
        <w:t>；</w:t>
      </w:r>
    </w:p>
    <w:p>
      <w:pPr>
        <w:pStyle w:val="29"/>
        <w:numPr>
          <w:ilvl w:val="0"/>
          <w:numId w:val="8"/>
        </w:numPr>
        <w:spacing w:after="120" w:line="360" w:lineRule="auto"/>
        <w:ind w:firstLineChars="0"/>
        <w:rPr>
          <w:rFonts w:hint="eastAsia" w:ascii="仿宋" w:hAnsi="仿宋" w:eastAsia="仿宋"/>
          <w:sz w:val="28"/>
          <w:szCs w:val="28"/>
        </w:rPr>
      </w:pPr>
      <w:r>
        <w:rPr>
          <w:rFonts w:hint="eastAsia" w:ascii="仿宋" w:hAnsi="仿宋" w:eastAsia="仿宋"/>
          <w:sz w:val="28"/>
          <w:szCs w:val="28"/>
        </w:rPr>
        <w:t>熟悉主流邮件系统架构、协议（SMTP/POP3/IMAP/ActiveSync）、安全防护及高可用设计；</w:t>
      </w:r>
    </w:p>
    <w:p>
      <w:pPr>
        <w:pStyle w:val="29"/>
        <w:numPr>
          <w:ilvl w:val="0"/>
          <w:numId w:val="8"/>
        </w:numPr>
        <w:spacing w:after="120" w:line="360" w:lineRule="auto"/>
        <w:ind w:firstLineChars="0"/>
        <w:rPr>
          <w:rFonts w:hint="eastAsia" w:ascii="仿宋" w:hAnsi="仿宋" w:eastAsia="仿宋"/>
          <w:sz w:val="28"/>
          <w:szCs w:val="28"/>
        </w:rPr>
      </w:pPr>
      <w:r>
        <w:rPr>
          <w:rFonts w:hint="eastAsia" w:ascii="仿宋" w:hAnsi="仿宋" w:eastAsia="仿宋"/>
          <w:sz w:val="28"/>
          <w:szCs w:val="28"/>
        </w:rPr>
        <w:t>具备良好的沟通协调、文档编写、培训授课及应急处置能力；</w:t>
      </w:r>
    </w:p>
    <w:p>
      <w:pPr>
        <w:pStyle w:val="29"/>
        <w:numPr>
          <w:ilvl w:val="0"/>
          <w:numId w:val="8"/>
        </w:numPr>
        <w:spacing w:after="120" w:line="360" w:lineRule="auto"/>
        <w:ind w:firstLineChars="0"/>
        <w:rPr>
          <w:rFonts w:hint="eastAsia" w:ascii="仿宋" w:hAnsi="仿宋" w:eastAsia="仿宋"/>
          <w:sz w:val="28"/>
          <w:szCs w:val="28"/>
        </w:rPr>
      </w:pPr>
      <w:r>
        <w:rPr>
          <w:rFonts w:hint="eastAsia" w:ascii="仿宋" w:hAnsi="仿宋" w:eastAsia="仿宋"/>
          <w:sz w:val="28"/>
          <w:szCs w:val="28"/>
        </w:rPr>
        <w:t>现场服务人员须通过采购人背景审查、保密培训及安全考试后方可提供服务。</w:t>
      </w:r>
    </w:p>
    <w:p>
      <w:pPr>
        <w:pStyle w:val="3"/>
        <w:spacing w:before="156" w:after="156"/>
        <w:ind w:firstLine="0" w:firstLineChars="0"/>
        <w:rPr>
          <w:rFonts w:hint="eastAsia" w:ascii="仿宋" w:hAnsi="仿宋" w:eastAsia="仿宋"/>
          <w:bCs/>
          <w:sz w:val="32"/>
          <w:szCs w:val="32"/>
        </w:rPr>
      </w:pPr>
      <w:r>
        <w:rPr>
          <w:rFonts w:hint="eastAsia" w:ascii="仿宋" w:hAnsi="仿宋" w:eastAsia="仿宋"/>
          <w:bCs/>
          <w:sz w:val="32"/>
          <w:szCs w:val="32"/>
        </w:rPr>
        <w:t>六、服务及验收标准</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spacing w:line="360" w:lineRule="auto"/>
        <w:ind w:firstLine="560" w:firstLineChars="200"/>
        <w:rPr>
          <w:rFonts w:hint="eastAsia" w:ascii="仿宋" w:hAnsi="仿宋" w:eastAsia="仿宋"/>
          <w:sz w:val="28"/>
          <w:szCs w:val="28"/>
        </w:rPr>
      </w:pPr>
      <w:bookmarkStart w:id="110" w:name="_Toc96693315"/>
      <w:bookmarkStart w:id="111" w:name="_Toc28551"/>
      <w:bookmarkStart w:id="112" w:name="_Toc24047"/>
      <w:bookmarkStart w:id="113" w:name="_Toc10330"/>
      <w:bookmarkStart w:id="114" w:name="_Toc31350"/>
      <w:bookmarkStart w:id="115" w:name="_Toc13683"/>
      <w:bookmarkStart w:id="116" w:name="_Toc28978"/>
      <w:bookmarkStart w:id="117" w:name="_Toc10421"/>
      <w:bookmarkStart w:id="118" w:name="_Toc9415"/>
      <w:bookmarkStart w:id="119" w:name="_Toc19151"/>
      <w:bookmarkStart w:id="120" w:name="_Toc23812"/>
      <w:bookmarkStart w:id="121" w:name="_Toc9764"/>
      <w:bookmarkStart w:id="122" w:name="_Toc94256649"/>
      <w:r>
        <w:rPr>
          <w:rFonts w:hint="eastAsia" w:ascii="仿宋" w:hAnsi="仿宋" w:eastAsia="仿宋"/>
          <w:sz w:val="28"/>
          <w:szCs w:val="28"/>
        </w:rPr>
        <w:t>1、交付成果</w:t>
      </w:r>
      <w:bookmarkEnd w:id="110"/>
      <w:bookmarkEnd w:id="111"/>
      <w:bookmarkEnd w:id="112"/>
      <w:bookmarkEnd w:id="113"/>
      <w:bookmarkEnd w:id="114"/>
      <w:bookmarkEnd w:id="115"/>
      <w:bookmarkEnd w:id="116"/>
      <w:bookmarkEnd w:id="117"/>
      <w:bookmarkEnd w:id="118"/>
      <w:bookmarkEnd w:id="119"/>
      <w:bookmarkEnd w:id="120"/>
      <w:bookmarkEnd w:id="121"/>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（1）月度/季度/年度运维报告；</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（2）系统巡检报告及整改记录；</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（3）故障处理记录及根因分析报告；</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（4）变更实施记录及验证报告；</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（5）备份与恢复演练报告；</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（6）技术培训课件、签到表及培训总结；</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（7）邮件系统运维手册、应急预案、知识库；</w:t>
      </w:r>
    </w:p>
    <w:p>
      <w:pPr>
        <w:spacing w:line="360" w:lineRule="auto"/>
        <w:ind w:firstLine="560" w:firstLineChars="200"/>
        <w:rPr>
          <w:rFonts w:hint="eastAsia"/>
        </w:rPr>
      </w:pPr>
      <w:r>
        <w:rPr>
          <w:rFonts w:hint="eastAsia" w:ascii="仿宋" w:hAnsi="仿宋" w:eastAsia="仿宋"/>
          <w:sz w:val="28"/>
          <w:szCs w:val="28"/>
        </w:rPr>
        <w:t>（8）最终验收申请及验收报告（纸质版及电子版）</w:t>
      </w:r>
      <w:r>
        <w:rPr>
          <w:rFonts w:hint="eastAsia" w:ascii="宋体" w:hAnsi="宋体" w:eastAsia="宋体"/>
          <w:color w:val="000000"/>
        </w:rPr>
        <w:t>。</w:t>
      </w:r>
    </w:p>
    <w:p>
      <w:pPr>
        <w:spacing w:line="360" w:lineRule="auto"/>
        <w:ind w:firstLine="560" w:firstLineChars="200"/>
        <w:rPr>
          <w:rFonts w:hint="eastAsia" w:ascii="仿宋" w:hAnsi="仿宋" w:eastAsia="仿宋"/>
          <w:sz w:val="28"/>
          <w:szCs w:val="28"/>
        </w:rPr>
      </w:pPr>
      <w:bookmarkStart w:id="123" w:name="_Toc22372"/>
      <w:bookmarkStart w:id="124" w:name="_Toc603"/>
      <w:bookmarkStart w:id="125" w:name="_Toc9667"/>
      <w:bookmarkStart w:id="126" w:name="_Toc17310"/>
      <w:bookmarkStart w:id="127" w:name="_Toc20633"/>
      <w:bookmarkStart w:id="128" w:name="_Toc7457"/>
      <w:bookmarkStart w:id="129" w:name="_Toc1336"/>
      <w:bookmarkStart w:id="130" w:name="_Toc25637"/>
      <w:bookmarkStart w:id="131" w:name="_Toc804"/>
      <w:bookmarkStart w:id="132" w:name="_Toc96693316"/>
      <w:bookmarkStart w:id="133" w:name="_Toc4719"/>
      <w:bookmarkStart w:id="134" w:name="_Toc3863"/>
      <w:r>
        <w:rPr>
          <w:rFonts w:hint="eastAsia" w:ascii="仿宋" w:hAnsi="仿宋" w:eastAsia="仿宋"/>
          <w:sz w:val="28"/>
          <w:szCs w:val="28"/>
        </w:rPr>
        <w:t>2</w:t>
      </w:r>
      <w:r>
        <w:rPr>
          <w:rFonts w:ascii="仿宋" w:hAnsi="仿宋" w:eastAsia="仿宋"/>
          <w:sz w:val="28"/>
          <w:szCs w:val="28"/>
        </w:rPr>
        <w:t>、验收</w:t>
      </w:r>
      <w:r>
        <w:rPr>
          <w:rFonts w:hint="eastAsia" w:ascii="仿宋" w:hAnsi="仿宋" w:eastAsia="仿宋"/>
          <w:sz w:val="28"/>
          <w:szCs w:val="28"/>
        </w:rPr>
        <w:t>形式</w:t>
      </w:r>
      <w:bookmarkEnd w:id="122"/>
      <w:bookmarkEnd w:id="123"/>
      <w:bookmarkEnd w:id="124"/>
      <w:bookmarkEnd w:id="125"/>
      <w:bookmarkEnd w:id="126"/>
      <w:bookmarkEnd w:id="127"/>
      <w:bookmarkEnd w:id="128"/>
      <w:bookmarkEnd w:id="129"/>
      <w:bookmarkEnd w:id="130"/>
      <w:bookmarkEnd w:id="131"/>
      <w:bookmarkEnd w:id="132"/>
      <w:bookmarkEnd w:id="133"/>
      <w:bookmarkEnd w:id="134"/>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乙方完成服务和成果后，应向甲方提交验收申请，双方项目经理应组织内部评审对工作成果及相关过程文档进行检验，并由甲方验收合格后，双方代表签署验收报告。</w:t>
      </w:r>
    </w:p>
    <w:p>
      <w:pPr>
        <w:spacing w:line="360" w:lineRule="auto"/>
        <w:ind w:firstLine="560" w:firstLineChars="200"/>
        <w:rPr>
          <w:rFonts w:hint="eastAsia" w:ascii="仿宋" w:hAnsi="仿宋" w:eastAsia="仿宋"/>
          <w:sz w:val="28"/>
          <w:szCs w:val="28"/>
        </w:rPr>
      </w:pPr>
      <w:bookmarkStart w:id="135" w:name="_Toc499"/>
      <w:bookmarkStart w:id="136" w:name="_Toc2902"/>
      <w:bookmarkStart w:id="137" w:name="_Toc29316"/>
      <w:bookmarkStart w:id="138" w:name="_Toc94256650"/>
      <w:bookmarkStart w:id="139" w:name="_Toc3754"/>
      <w:bookmarkStart w:id="140" w:name="_Toc17629"/>
      <w:bookmarkStart w:id="141" w:name="_Toc12207"/>
      <w:bookmarkStart w:id="142" w:name="_Toc22895"/>
      <w:bookmarkStart w:id="143" w:name="_Toc14919"/>
      <w:bookmarkStart w:id="144" w:name="_Toc3861"/>
      <w:bookmarkStart w:id="145" w:name="_Toc96693317"/>
      <w:bookmarkStart w:id="146" w:name="_Toc11873"/>
      <w:bookmarkStart w:id="147" w:name="_Toc20558"/>
      <w:r>
        <w:rPr>
          <w:rFonts w:hint="eastAsia" w:ascii="仿宋" w:hAnsi="仿宋" w:eastAsia="仿宋"/>
          <w:sz w:val="28"/>
          <w:szCs w:val="28"/>
        </w:rPr>
        <w:t>3、验收标准</w:t>
      </w:r>
      <w:bookmarkEnd w:id="135"/>
      <w:bookmarkEnd w:id="136"/>
      <w:bookmarkEnd w:id="137"/>
      <w:bookmarkEnd w:id="138"/>
      <w:bookmarkEnd w:id="139"/>
      <w:bookmarkEnd w:id="140"/>
      <w:bookmarkEnd w:id="141"/>
      <w:bookmarkEnd w:id="142"/>
      <w:bookmarkEnd w:id="143"/>
      <w:bookmarkEnd w:id="144"/>
      <w:bookmarkEnd w:id="145"/>
      <w:bookmarkEnd w:id="146"/>
      <w:bookmarkEnd w:id="147"/>
    </w:p>
    <w:p>
      <w:pPr>
        <w:spacing w:line="360" w:lineRule="auto"/>
        <w:ind w:firstLine="560" w:firstLineChars="200"/>
        <w:rPr>
          <w:rFonts w:hint="eastAsia" w:ascii="仿宋" w:hAnsi="仿宋" w:eastAsia="仿宋"/>
          <w:sz w:val="28"/>
          <w:szCs w:val="28"/>
        </w:rPr>
      </w:pPr>
      <w:bookmarkStart w:id="148" w:name="_Toc31409"/>
      <w:bookmarkStart w:id="149" w:name="_Toc29821"/>
      <w:bookmarkStart w:id="150" w:name="_Toc16438"/>
      <w:bookmarkStart w:id="151" w:name="_Toc149317279"/>
      <w:bookmarkStart w:id="152" w:name="_Toc17041"/>
      <w:bookmarkStart w:id="153" w:name="_Toc8492"/>
      <w:bookmarkStart w:id="154" w:name="_Toc11979"/>
      <w:bookmarkStart w:id="155" w:name="_Toc6924"/>
      <w:bookmarkStart w:id="156" w:name="_Toc18920"/>
      <w:bookmarkStart w:id="157" w:name="_Toc11929"/>
      <w:bookmarkStart w:id="158" w:name="_Toc96693320"/>
      <w:bookmarkStart w:id="159" w:name="_Toc22262"/>
      <w:bookmarkStart w:id="160" w:name="_Toc26198"/>
      <w:bookmarkStart w:id="161" w:name="_Toc29238"/>
      <w:r>
        <w:rPr>
          <w:rFonts w:hint="eastAsia" w:ascii="仿宋" w:hAnsi="仿宋" w:eastAsia="仿宋"/>
          <w:sz w:val="28"/>
          <w:szCs w:val="28"/>
        </w:rPr>
        <w:t>（1）邮件系统年度可用性≥99.9%；</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（2）常规故障响应时间≤30 分钟，重大故障响应时间≤15 分钟；</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（3）邮件收发成功率≥99.9%，垃圾邮件误判率≤0.1%；</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（4）安全事件零重大及以上等级事故；</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（5）账号全生命周期管理准确率 100%，台账更新及时率 100%。</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（6）钓鱼/病毒/垃圾邮件拦截率≥99.5%，重大及以上安全事件为零。</w:t>
      </w:r>
    </w:p>
    <w:p>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（7）公务资料归档合规率 100%，到期档案合规处置率 100%。</w:t>
      </w:r>
    </w:p>
    <w:p>
      <w:pPr>
        <w:pStyle w:val="10"/>
        <w:spacing w:before="156" w:beforeLines="50"/>
        <w:ind w:left="0"/>
        <w:outlineLvl w:val="0"/>
        <w:rPr>
          <w:rFonts w:hint="eastAsia" w:ascii="仿宋" w:hAnsi="仿宋" w:eastAsia="仿宋"/>
          <w:bCs/>
          <w:sz w:val="32"/>
          <w:szCs w:val="32"/>
        </w:rPr>
      </w:pPr>
      <w:r>
        <w:rPr>
          <w:rFonts w:hint="eastAsia" w:ascii="仿宋" w:hAnsi="仿宋" w:eastAsia="仿宋"/>
          <w:bCs/>
          <w:sz w:val="32"/>
          <w:szCs w:val="32"/>
        </w:rPr>
        <w:t>七、</w:t>
      </w:r>
      <w:bookmarkEnd w:id="148"/>
      <w:bookmarkEnd w:id="149"/>
      <w:bookmarkEnd w:id="150"/>
      <w:bookmarkEnd w:id="151"/>
      <w:bookmarkEnd w:id="152"/>
      <w:bookmarkEnd w:id="153"/>
      <w:bookmarkEnd w:id="154"/>
      <w:bookmarkEnd w:id="155"/>
      <w:bookmarkEnd w:id="156"/>
      <w:bookmarkEnd w:id="157"/>
      <w:r>
        <w:rPr>
          <w:rFonts w:hint="eastAsia" w:ascii="仿宋" w:hAnsi="仿宋" w:eastAsia="仿宋"/>
          <w:bCs/>
          <w:sz w:val="32"/>
          <w:szCs w:val="32"/>
        </w:rPr>
        <w:t>其他要求</w:t>
      </w:r>
    </w:p>
    <w:p>
      <w:pPr>
        <w:numPr>
          <w:ilvl w:val="0"/>
          <w:numId w:val="0"/>
        </w:numPr>
        <w:spacing w:line="360" w:lineRule="auto"/>
        <w:ind w:leftChars="0" w:firstLine="560" w:firstLineChars="200"/>
        <w:rPr>
          <w:rFonts w:hint="eastAsia" w:ascii="仿宋" w:hAnsi="仿宋" w:eastAsia="仿宋"/>
          <w:sz w:val="28"/>
          <w:szCs w:val="28"/>
        </w:rPr>
      </w:pPr>
      <w:r>
        <w:rPr>
          <w:rFonts w:hint="eastAsia" w:ascii="仿宋" w:hAnsi="仿宋" w:eastAsia="仿宋"/>
          <w:sz w:val="28"/>
          <w:szCs w:val="28"/>
        </w:rPr>
        <w:t>技术负责人：刘军 021-22833030</w:t>
      </w:r>
    </w:p>
    <w:bookmarkEnd w:id="79"/>
    <w:bookmarkEnd w:id="80"/>
    <w:bookmarkEnd w:id="158"/>
    <w:bookmarkEnd w:id="159"/>
    <w:bookmarkEnd w:id="160"/>
    <w:bookmarkEnd w:id="161"/>
    <w:p>
      <w:pPr>
        <w:spacing w:line="360" w:lineRule="auto"/>
        <w:ind w:left="425"/>
        <w:rPr>
          <w:rFonts w:hint="eastAsia" w:ascii="仿宋" w:hAnsi="仿宋" w:eastAsia="仿宋"/>
          <w:sz w:val="28"/>
          <w:szCs w:val="28"/>
        </w:rPr>
      </w:pPr>
    </w:p>
    <w:sectPr>
      <w:footerReference r:id="rId4" w:type="first"/>
      <w:footerReference r:id="rId3" w:type="default"/>
      <w:pgSz w:w="11906" w:h="16838"/>
      <w:pgMar w:top="1440" w:right="1800" w:bottom="1440" w:left="1800" w:header="851" w:footer="992" w:gutter="0"/>
      <w:pgNumType w:chapStyle="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9058328"/>
    </w:sdtPr>
    <w:sdtContent>
      <w:p>
        <w:pPr>
          <w:pStyle w:val="12"/>
          <w:jc w:val="center"/>
          <w:rPr>
            <w:rFonts w:hint="eastAsia"/>
          </w:rPr>
        </w:pPr>
        <w:r>
          <w:fldChar w:fldCharType="begin"/>
        </w:r>
        <w:r>
          <w:instrText xml:space="preserve">PAGE   \* MERGEFORMAT</w:instrText>
        </w:r>
        <w:r>
          <w:fldChar w:fldCharType="separate"/>
        </w:r>
        <w:r>
          <w:rPr>
            <w:lang w:val="zh-CN"/>
          </w:rPr>
          <w:t>20</w:t>
        </w:r>
        <w:r>
          <w:fldChar w:fldCharType="end"/>
        </w:r>
      </w:p>
    </w:sdtContent>
  </w:sdt>
  <w:p>
    <w:pPr>
      <w:pStyle w:val="12"/>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p>
  <w:p>
    <w:pPr>
      <w:pStyle w:val="12"/>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40410B"/>
    <w:multiLevelType w:val="singleLevel"/>
    <w:tmpl w:val="A440410B"/>
    <w:lvl w:ilvl="0" w:tentative="0">
      <w:start w:val="4"/>
      <w:numFmt w:val="chineseCounting"/>
      <w:suff w:val="nothing"/>
      <w:lvlText w:val="%1、"/>
      <w:lvlJc w:val="left"/>
      <w:rPr>
        <w:rFonts w:hint="eastAsia"/>
      </w:rPr>
    </w:lvl>
  </w:abstractNum>
  <w:abstractNum w:abstractNumId="1">
    <w:nsid w:val="12FF7049"/>
    <w:multiLevelType w:val="multilevel"/>
    <w:tmpl w:val="12FF7049"/>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2873C81"/>
    <w:multiLevelType w:val="multilevel"/>
    <w:tmpl w:val="22873C81"/>
    <w:lvl w:ilvl="0" w:tentative="0">
      <w:start w:val="5"/>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B5F9D92"/>
    <w:multiLevelType w:val="singleLevel"/>
    <w:tmpl w:val="4B5F9D92"/>
    <w:lvl w:ilvl="0" w:tentative="0">
      <w:start w:val="1"/>
      <w:numFmt w:val="decimal"/>
      <w:lvlText w:val="%1)"/>
      <w:lvlJc w:val="left"/>
      <w:pPr>
        <w:ind w:left="425" w:hanging="425"/>
      </w:pPr>
      <w:rPr>
        <w:rFonts w:hint="default"/>
      </w:rPr>
    </w:lvl>
  </w:abstractNum>
  <w:abstractNum w:abstractNumId="4">
    <w:nsid w:val="634C25EB"/>
    <w:multiLevelType w:val="multilevel"/>
    <w:tmpl w:val="634C25EB"/>
    <w:lvl w:ilvl="0" w:tentative="0">
      <w:start w:val="1"/>
      <w:numFmt w:val="decimal"/>
      <w:lvlText w:val="(%1)"/>
      <w:lvlJc w:val="left"/>
      <w:pPr>
        <w:ind w:left="1000" w:hanging="44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5">
    <w:nsid w:val="6E3D65F0"/>
    <w:multiLevelType w:val="multilevel"/>
    <w:tmpl w:val="6E3D65F0"/>
    <w:lvl w:ilvl="0" w:tentative="0">
      <w:start w:val="1"/>
      <w:numFmt w:val="decimal"/>
      <w:lvlText w:val="(%1)"/>
      <w:lvlJc w:val="left"/>
      <w:pPr>
        <w:ind w:left="1000" w:hanging="44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6">
    <w:nsid w:val="700B1DD4"/>
    <w:multiLevelType w:val="multilevel"/>
    <w:tmpl w:val="700B1DD4"/>
    <w:lvl w:ilvl="0" w:tentative="0">
      <w:start w:val="1"/>
      <w:numFmt w:val="bullet"/>
      <w:pStyle w:val="38"/>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702B6542"/>
    <w:multiLevelType w:val="multilevel"/>
    <w:tmpl w:val="702B6542"/>
    <w:lvl w:ilvl="0" w:tentative="0">
      <w:start w:val="1"/>
      <w:numFmt w:val="decimal"/>
      <w:lvlText w:val="(%1)"/>
      <w:lvlJc w:val="left"/>
      <w:pPr>
        <w:ind w:left="1000" w:hanging="44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6"/>
  </w:num>
  <w:num w:numId="2">
    <w:abstractNumId w:val="0"/>
  </w:num>
  <w:num w:numId="3">
    <w:abstractNumId w:val="3"/>
  </w:num>
  <w:num w:numId="4">
    <w:abstractNumId w:val="5"/>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g5MTBmMzExNWM3YzQ5N2JkOTEyYTdkZDQyMDY4NGEifQ=="/>
  </w:docVars>
  <w:rsids>
    <w:rsidRoot w:val="00E438DF"/>
    <w:rsid w:val="00000F2E"/>
    <w:rsid w:val="00006B6E"/>
    <w:rsid w:val="00023D69"/>
    <w:rsid w:val="00024A83"/>
    <w:rsid w:val="000315F7"/>
    <w:rsid w:val="0003463F"/>
    <w:rsid w:val="00035926"/>
    <w:rsid w:val="0003668A"/>
    <w:rsid w:val="00046B9D"/>
    <w:rsid w:val="00047B30"/>
    <w:rsid w:val="00050E88"/>
    <w:rsid w:val="00051FD8"/>
    <w:rsid w:val="000552FE"/>
    <w:rsid w:val="0005768E"/>
    <w:rsid w:val="00060D69"/>
    <w:rsid w:val="00061192"/>
    <w:rsid w:val="000643DD"/>
    <w:rsid w:val="00074E92"/>
    <w:rsid w:val="00080209"/>
    <w:rsid w:val="0008635D"/>
    <w:rsid w:val="00086AF5"/>
    <w:rsid w:val="00086D86"/>
    <w:rsid w:val="00095A85"/>
    <w:rsid w:val="000A0A44"/>
    <w:rsid w:val="000A38F3"/>
    <w:rsid w:val="000B22FC"/>
    <w:rsid w:val="000B3582"/>
    <w:rsid w:val="000D1605"/>
    <w:rsid w:val="000D7A9D"/>
    <w:rsid w:val="000E34D0"/>
    <w:rsid w:val="000F147A"/>
    <w:rsid w:val="000F2BA9"/>
    <w:rsid w:val="000F3098"/>
    <w:rsid w:val="00106C5E"/>
    <w:rsid w:val="0011105E"/>
    <w:rsid w:val="00112470"/>
    <w:rsid w:val="001126FE"/>
    <w:rsid w:val="00130E97"/>
    <w:rsid w:val="00133657"/>
    <w:rsid w:val="001458CF"/>
    <w:rsid w:val="001517CF"/>
    <w:rsid w:val="001536F5"/>
    <w:rsid w:val="001544EF"/>
    <w:rsid w:val="001674C2"/>
    <w:rsid w:val="00173D9E"/>
    <w:rsid w:val="00175283"/>
    <w:rsid w:val="00175C1A"/>
    <w:rsid w:val="00180DE2"/>
    <w:rsid w:val="00181E8F"/>
    <w:rsid w:val="00190150"/>
    <w:rsid w:val="001964C3"/>
    <w:rsid w:val="001A2464"/>
    <w:rsid w:val="001A5562"/>
    <w:rsid w:val="001B1820"/>
    <w:rsid w:val="001B21B6"/>
    <w:rsid w:val="001B532B"/>
    <w:rsid w:val="001C4772"/>
    <w:rsid w:val="001D1B1A"/>
    <w:rsid w:val="001D429A"/>
    <w:rsid w:val="002030DF"/>
    <w:rsid w:val="002250C9"/>
    <w:rsid w:val="00242C47"/>
    <w:rsid w:val="00246904"/>
    <w:rsid w:val="00251BBB"/>
    <w:rsid w:val="0025449C"/>
    <w:rsid w:val="00254C50"/>
    <w:rsid w:val="002617DB"/>
    <w:rsid w:val="00263EBF"/>
    <w:rsid w:val="0026491D"/>
    <w:rsid w:val="00264E54"/>
    <w:rsid w:val="00272306"/>
    <w:rsid w:val="00272634"/>
    <w:rsid w:val="002736A1"/>
    <w:rsid w:val="002743AA"/>
    <w:rsid w:val="00276103"/>
    <w:rsid w:val="00276967"/>
    <w:rsid w:val="00291E13"/>
    <w:rsid w:val="002A1B69"/>
    <w:rsid w:val="002B0FA0"/>
    <w:rsid w:val="002B3762"/>
    <w:rsid w:val="002B5A34"/>
    <w:rsid w:val="002B7E8E"/>
    <w:rsid w:val="002C016A"/>
    <w:rsid w:val="002C20D8"/>
    <w:rsid w:val="002D21F1"/>
    <w:rsid w:val="002D3E28"/>
    <w:rsid w:val="002D675E"/>
    <w:rsid w:val="002E3A34"/>
    <w:rsid w:val="002E3D6E"/>
    <w:rsid w:val="002E7361"/>
    <w:rsid w:val="002F280C"/>
    <w:rsid w:val="002F2F9F"/>
    <w:rsid w:val="002F43F2"/>
    <w:rsid w:val="002F44A7"/>
    <w:rsid w:val="00304596"/>
    <w:rsid w:val="00305D7F"/>
    <w:rsid w:val="00306AE4"/>
    <w:rsid w:val="00312CFF"/>
    <w:rsid w:val="00313472"/>
    <w:rsid w:val="003139E3"/>
    <w:rsid w:val="00323369"/>
    <w:rsid w:val="00330BE3"/>
    <w:rsid w:val="003312C0"/>
    <w:rsid w:val="003333C2"/>
    <w:rsid w:val="00344BD0"/>
    <w:rsid w:val="00346BB9"/>
    <w:rsid w:val="00351277"/>
    <w:rsid w:val="00351F6D"/>
    <w:rsid w:val="0035417B"/>
    <w:rsid w:val="00360499"/>
    <w:rsid w:val="0036252E"/>
    <w:rsid w:val="00370A92"/>
    <w:rsid w:val="0037774B"/>
    <w:rsid w:val="00381722"/>
    <w:rsid w:val="003912F2"/>
    <w:rsid w:val="00393DEE"/>
    <w:rsid w:val="0039660D"/>
    <w:rsid w:val="003A0E23"/>
    <w:rsid w:val="003A7854"/>
    <w:rsid w:val="003B0464"/>
    <w:rsid w:val="003B17FB"/>
    <w:rsid w:val="003B3855"/>
    <w:rsid w:val="003B3F5A"/>
    <w:rsid w:val="003C0978"/>
    <w:rsid w:val="003C0CE9"/>
    <w:rsid w:val="003C1F59"/>
    <w:rsid w:val="003D326E"/>
    <w:rsid w:val="003D5107"/>
    <w:rsid w:val="003E0393"/>
    <w:rsid w:val="003F137C"/>
    <w:rsid w:val="00414D9E"/>
    <w:rsid w:val="00414FA0"/>
    <w:rsid w:val="0041753B"/>
    <w:rsid w:val="00422597"/>
    <w:rsid w:val="00427272"/>
    <w:rsid w:val="00427285"/>
    <w:rsid w:val="004340FF"/>
    <w:rsid w:val="00434258"/>
    <w:rsid w:val="00434B6E"/>
    <w:rsid w:val="004379D9"/>
    <w:rsid w:val="00442061"/>
    <w:rsid w:val="004439D7"/>
    <w:rsid w:val="00443D27"/>
    <w:rsid w:val="00453BB0"/>
    <w:rsid w:val="00466F0C"/>
    <w:rsid w:val="004700DA"/>
    <w:rsid w:val="004729AC"/>
    <w:rsid w:val="00481030"/>
    <w:rsid w:val="00483CA5"/>
    <w:rsid w:val="00484E41"/>
    <w:rsid w:val="00485ADC"/>
    <w:rsid w:val="00487486"/>
    <w:rsid w:val="00492E32"/>
    <w:rsid w:val="004952D7"/>
    <w:rsid w:val="004A09CD"/>
    <w:rsid w:val="004A12C7"/>
    <w:rsid w:val="004A3B78"/>
    <w:rsid w:val="004B4A2F"/>
    <w:rsid w:val="004B4EC5"/>
    <w:rsid w:val="004C1B47"/>
    <w:rsid w:val="004E0CD7"/>
    <w:rsid w:val="004E220F"/>
    <w:rsid w:val="004E6954"/>
    <w:rsid w:val="004E7C38"/>
    <w:rsid w:val="004F4C75"/>
    <w:rsid w:val="004F5D6C"/>
    <w:rsid w:val="004F6167"/>
    <w:rsid w:val="004F66EC"/>
    <w:rsid w:val="004F6C0A"/>
    <w:rsid w:val="005044C8"/>
    <w:rsid w:val="00506A61"/>
    <w:rsid w:val="00510610"/>
    <w:rsid w:val="005148E9"/>
    <w:rsid w:val="005179C3"/>
    <w:rsid w:val="005235FC"/>
    <w:rsid w:val="005276FE"/>
    <w:rsid w:val="00542B5C"/>
    <w:rsid w:val="00543192"/>
    <w:rsid w:val="00543324"/>
    <w:rsid w:val="00555755"/>
    <w:rsid w:val="0055617F"/>
    <w:rsid w:val="00557ECF"/>
    <w:rsid w:val="00557F45"/>
    <w:rsid w:val="00564A86"/>
    <w:rsid w:val="00573340"/>
    <w:rsid w:val="00573C30"/>
    <w:rsid w:val="00577617"/>
    <w:rsid w:val="00580CFA"/>
    <w:rsid w:val="00586108"/>
    <w:rsid w:val="0059630A"/>
    <w:rsid w:val="005A2E50"/>
    <w:rsid w:val="005A7B91"/>
    <w:rsid w:val="005B078C"/>
    <w:rsid w:val="005B18DF"/>
    <w:rsid w:val="005B4D76"/>
    <w:rsid w:val="005B5713"/>
    <w:rsid w:val="005C1CA2"/>
    <w:rsid w:val="005C61EA"/>
    <w:rsid w:val="005C77C1"/>
    <w:rsid w:val="005D23C5"/>
    <w:rsid w:val="005E24FB"/>
    <w:rsid w:val="005E6D93"/>
    <w:rsid w:val="005F67F3"/>
    <w:rsid w:val="00601D01"/>
    <w:rsid w:val="00602521"/>
    <w:rsid w:val="00621010"/>
    <w:rsid w:val="00634495"/>
    <w:rsid w:val="00637620"/>
    <w:rsid w:val="00647770"/>
    <w:rsid w:val="00651E48"/>
    <w:rsid w:val="00652758"/>
    <w:rsid w:val="0066225D"/>
    <w:rsid w:val="006636D5"/>
    <w:rsid w:val="00667E70"/>
    <w:rsid w:val="00675E99"/>
    <w:rsid w:val="006815EC"/>
    <w:rsid w:val="006817FF"/>
    <w:rsid w:val="0068353C"/>
    <w:rsid w:val="00686B74"/>
    <w:rsid w:val="00687379"/>
    <w:rsid w:val="006A261D"/>
    <w:rsid w:val="006A3A68"/>
    <w:rsid w:val="006A3F0C"/>
    <w:rsid w:val="006A5EA0"/>
    <w:rsid w:val="006B1E8B"/>
    <w:rsid w:val="006B26D2"/>
    <w:rsid w:val="006B2B70"/>
    <w:rsid w:val="006B3F4D"/>
    <w:rsid w:val="006C0008"/>
    <w:rsid w:val="006C7026"/>
    <w:rsid w:val="006D4A69"/>
    <w:rsid w:val="007007F7"/>
    <w:rsid w:val="00700A2D"/>
    <w:rsid w:val="0070673F"/>
    <w:rsid w:val="007116A9"/>
    <w:rsid w:val="00711EB2"/>
    <w:rsid w:val="007156E8"/>
    <w:rsid w:val="007215BB"/>
    <w:rsid w:val="007247BF"/>
    <w:rsid w:val="0073622C"/>
    <w:rsid w:val="00742D8E"/>
    <w:rsid w:val="007527FA"/>
    <w:rsid w:val="00754B79"/>
    <w:rsid w:val="007557C7"/>
    <w:rsid w:val="00756BBA"/>
    <w:rsid w:val="007571CF"/>
    <w:rsid w:val="007659BE"/>
    <w:rsid w:val="00766EEE"/>
    <w:rsid w:val="00771712"/>
    <w:rsid w:val="007721F5"/>
    <w:rsid w:val="00774290"/>
    <w:rsid w:val="00774BAA"/>
    <w:rsid w:val="0078010B"/>
    <w:rsid w:val="00784FDB"/>
    <w:rsid w:val="007852FE"/>
    <w:rsid w:val="007B14AE"/>
    <w:rsid w:val="007B3B46"/>
    <w:rsid w:val="007B4AB9"/>
    <w:rsid w:val="007B5155"/>
    <w:rsid w:val="007C54C7"/>
    <w:rsid w:val="007C702B"/>
    <w:rsid w:val="007D4A0D"/>
    <w:rsid w:val="007E4CAE"/>
    <w:rsid w:val="007F0C27"/>
    <w:rsid w:val="007F2C0F"/>
    <w:rsid w:val="007F314D"/>
    <w:rsid w:val="007F3FA0"/>
    <w:rsid w:val="008062B0"/>
    <w:rsid w:val="008067D9"/>
    <w:rsid w:val="0081516B"/>
    <w:rsid w:val="00831DF3"/>
    <w:rsid w:val="008329B6"/>
    <w:rsid w:val="00835BCD"/>
    <w:rsid w:val="008553E4"/>
    <w:rsid w:val="00856B84"/>
    <w:rsid w:val="008641A0"/>
    <w:rsid w:val="0087107D"/>
    <w:rsid w:val="00872AAE"/>
    <w:rsid w:val="0089243A"/>
    <w:rsid w:val="008957F4"/>
    <w:rsid w:val="00895EE4"/>
    <w:rsid w:val="00897926"/>
    <w:rsid w:val="008A56D8"/>
    <w:rsid w:val="008A59A4"/>
    <w:rsid w:val="008B1916"/>
    <w:rsid w:val="008B6D5D"/>
    <w:rsid w:val="008C0F65"/>
    <w:rsid w:val="008C13AB"/>
    <w:rsid w:val="008D28E8"/>
    <w:rsid w:val="008D4F48"/>
    <w:rsid w:val="008D57CC"/>
    <w:rsid w:val="0090097D"/>
    <w:rsid w:val="009121B9"/>
    <w:rsid w:val="009144E7"/>
    <w:rsid w:val="00915710"/>
    <w:rsid w:val="00921B29"/>
    <w:rsid w:val="00930238"/>
    <w:rsid w:val="00931552"/>
    <w:rsid w:val="00931ED2"/>
    <w:rsid w:val="00932D4A"/>
    <w:rsid w:val="00934E08"/>
    <w:rsid w:val="00935B24"/>
    <w:rsid w:val="00937A09"/>
    <w:rsid w:val="00941D9D"/>
    <w:rsid w:val="009434F0"/>
    <w:rsid w:val="00945C37"/>
    <w:rsid w:val="00951CF4"/>
    <w:rsid w:val="00954EFE"/>
    <w:rsid w:val="00960320"/>
    <w:rsid w:val="009605C0"/>
    <w:rsid w:val="00961F68"/>
    <w:rsid w:val="00962C5E"/>
    <w:rsid w:val="009703B3"/>
    <w:rsid w:val="0097217E"/>
    <w:rsid w:val="00982E79"/>
    <w:rsid w:val="0098545C"/>
    <w:rsid w:val="009879B7"/>
    <w:rsid w:val="009904F6"/>
    <w:rsid w:val="0099061C"/>
    <w:rsid w:val="009925B4"/>
    <w:rsid w:val="009A361A"/>
    <w:rsid w:val="009A46C1"/>
    <w:rsid w:val="009B2F7D"/>
    <w:rsid w:val="009B51AC"/>
    <w:rsid w:val="009B6B96"/>
    <w:rsid w:val="009C15F6"/>
    <w:rsid w:val="009E2761"/>
    <w:rsid w:val="009E3FDB"/>
    <w:rsid w:val="009E499C"/>
    <w:rsid w:val="00A12C91"/>
    <w:rsid w:val="00A13248"/>
    <w:rsid w:val="00A21A45"/>
    <w:rsid w:val="00A254C6"/>
    <w:rsid w:val="00A34336"/>
    <w:rsid w:val="00A44EF6"/>
    <w:rsid w:val="00A44F60"/>
    <w:rsid w:val="00A53791"/>
    <w:rsid w:val="00A64542"/>
    <w:rsid w:val="00A6750A"/>
    <w:rsid w:val="00A67DC8"/>
    <w:rsid w:val="00A73AE2"/>
    <w:rsid w:val="00A743FD"/>
    <w:rsid w:val="00A83E50"/>
    <w:rsid w:val="00A8441E"/>
    <w:rsid w:val="00A87A67"/>
    <w:rsid w:val="00A9140F"/>
    <w:rsid w:val="00A91FDB"/>
    <w:rsid w:val="00A9646D"/>
    <w:rsid w:val="00AB0DD0"/>
    <w:rsid w:val="00AC55EF"/>
    <w:rsid w:val="00AD31B7"/>
    <w:rsid w:val="00AD6CB0"/>
    <w:rsid w:val="00AE3626"/>
    <w:rsid w:val="00AE4E0A"/>
    <w:rsid w:val="00AE65C5"/>
    <w:rsid w:val="00AF09B6"/>
    <w:rsid w:val="00AF17F1"/>
    <w:rsid w:val="00AF1AC8"/>
    <w:rsid w:val="00AF3B09"/>
    <w:rsid w:val="00AF5783"/>
    <w:rsid w:val="00AF6BEC"/>
    <w:rsid w:val="00AF6CDE"/>
    <w:rsid w:val="00B114F9"/>
    <w:rsid w:val="00B158FD"/>
    <w:rsid w:val="00B22550"/>
    <w:rsid w:val="00B2588C"/>
    <w:rsid w:val="00B30726"/>
    <w:rsid w:val="00B31DA5"/>
    <w:rsid w:val="00B522D1"/>
    <w:rsid w:val="00B568FC"/>
    <w:rsid w:val="00B67F0F"/>
    <w:rsid w:val="00B70E9A"/>
    <w:rsid w:val="00B74BAB"/>
    <w:rsid w:val="00B8164A"/>
    <w:rsid w:val="00B81F62"/>
    <w:rsid w:val="00B93BC4"/>
    <w:rsid w:val="00B943CA"/>
    <w:rsid w:val="00B94EF3"/>
    <w:rsid w:val="00BA0397"/>
    <w:rsid w:val="00BA1643"/>
    <w:rsid w:val="00BB1DEB"/>
    <w:rsid w:val="00BB4CEB"/>
    <w:rsid w:val="00BB5C24"/>
    <w:rsid w:val="00BB7D1A"/>
    <w:rsid w:val="00BC1A8D"/>
    <w:rsid w:val="00BD229F"/>
    <w:rsid w:val="00BD72C4"/>
    <w:rsid w:val="00BE76DB"/>
    <w:rsid w:val="00BF5DAD"/>
    <w:rsid w:val="00C01051"/>
    <w:rsid w:val="00C04F48"/>
    <w:rsid w:val="00C075B0"/>
    <w:rsid w:val="00C11271"/>
    <w:rsid w:val="00C13111"/>
    <w:rsid w:val="00C22071"/>
    <w:rsid w:val="00C3222A"/>
    <w:rsid w:val="00C3607E"/>
    <w:rsid w:val="00C43C8E"/>
    <w:rsid w:val="00C45348"/>
    <w:rsid w:val="00C51C23"/>
    <w:rsid w:val="00C52795"/>
    <w:rsid w:val="00C5519F"/>
    <w:rsid w:val="00C63C7B"/>
    <w:rsid w:val="00C74A74"/>
    <w:rsid w:val="00C808ED"/>
    <w:rsid w:val="00C81893"/>
    <w:rsid w:val="00C85A87"/>
    <w:rsid w:val="00C85F84"/>
    <w:rsid w:val="00C87858"/>
    <w:rsid w:val="00C90D03"/>
    <w:rsid w:val="00C92067"/>
    <w:rsid w:val="00CA2DF0"/>
    <w:rsid w:val="00CA7D03"/>
    <w:rsid w:val="00CB5828"/>
    <w:rsid w:val="00CC2FAA"/>
    <w:rsid w:val="00CC483D"/>
    <w:rsid w:val="00CC4BA9"/>
    <w:rsid w:val="00CC5373"/>
    <w:rsid w:val="00CC7989"/>
    <w:rsid w:val="00CC7C10"/>
    <w:rsid w:val="00CD435A"/>
    <w:rsid w:val="00CD6E58"/>
    <w:rsid w:val="00CE7884"/>
    <w:rsid w:val="00CE7AEC"/>
    <w:rsid w:val="00CE7CC7"/>
    <w:rsid w:val="00CF16AC"/>
    <w:rsid w:val="00CF72CD"/>
    <w:rsid w:val="00D151AA"/>
    <w:rsid w:val="00D159F0"/>
    <w:rsid w:val="00D2112F"/>
    <w:rsid w:val="00D250F9"/>
    <w:rsid w:val="00D25FAB"/>
    <w:rsid w:val="00D30699"/>
    <w:rsid w:val="00D30CF3"/>
    <w:rsid w:val="00D314C0"/>
    <w:rsid w:val="00D4121C"/>
    <w:rsid w:val="00D4277F"/>
    <w:rsid w:val="00D43554"/>
    <w:rsid w:val="00D43BF7"/>
    <w:rsid w:val="00D44D52"/>
    <w:rsid w:val="00D45E9D"/>
    <w:rsid w:val="00D523C6"/>
    <w:rsid w:val="00D537DA"/>
    <w:rsid w:val="00D540E1"/>
    <w:rsid w:val="00D61084"/>
    <w:rsid w:val="00D632D9"/>
    <w:rsid w:val="00D642C6"/>
    <w:rsid w:val="00D64506"/>
    <w:rsid w:val="00D64AC4"/>
    <w:rsid w:val="00D74B8B"/>
    <w:rsid w:val="00D76EF7"/>
    <w:rsid w:val="00D830BE"/>
    <w:rsid w:val="00D905DD"/>
    <w:rsid w:val="00DB6144"/>
    <w:rsid w:val="00DB70FC"/>
    <w:rsid w:val="00DC7326"/>
    <w:rsid w:val="00DC76C7"/>
    <w:rsid w:val="00DD352B"/>
    <w:rsid w:val="00DD3CAF"/>
    <w:rsid w:val="00DD51DB"/>
    <w:rsid w:val="00DD6517"/>
    <w:rsid w:val="00DE7EDC"/>
    <w:rsid w:val="00DF05A6"/>
    <w:rsid w:val="00DF104E"/>
    <w:rsid w:val="00DF4346"/>
    <w:rsid w:val="00DF5C62"/>
    <w:rsid w:val="00E0155E"/>
    <w:rsid w:val="00E05B14"/>
    <w:rsid w:val="00E078A3"/>
    <w:rsid w:val="00E10A03"/>
    <w:rsid w:val="00E10AA9"/>
    <w:rsid w:val="00E11A24"/>
    <w:rsid w:val="00E2369D"/>
    <w:rsid w:val="00E413F4"/>
    <w:rsid w:val="00E438DF"/>
    <w:rsid w:val="00E45DA8"/>
    <w:rsid w:val="00E46890"/>
    <w:rsid w:val="00E46B17"/>
    <w:rsid w:val="00E60A61"/>
    <w:rsid w:val="00E61AF5"/>
    <w:rsid w:val="00E644BB"/>
    <w:rsid w:val="00E705BC"/>
    <w:rsid w:val="00E71EFA"/>
    <w:rsid w:val="00E73AE5"/>
    <w:rsid w:val="00E740DA"/>
    <w:rsid w:val="00E80AA0"/>
    <w:rsid w:val="00E90D2A"/>
    <w:rsid w:val="00E91BDA"/>
    <w:rsid w:val="00E92F8B"/>
    <w:rsid w:val="00E93925"/>
    <w:rsid w:val="00EA182F"/>
    <w:rsid w:val="00EC6723"/>
    <w:rsid w:val="00ED1851"/>
    <w:rsid w:val="00ED2E48"/>
    <w:rsid w:val="00ED32E4"/>
    <w:rsid w:val="00ED5579"/>
    <w:rsid w:val="00ED72D9"/>
    <w:rsid w:val="00EF05E1"/>
    <w:rsid w:val="00F038C8"/>
    <w:rsid w:val="00F248F8"/>
    <w:rsid w:val="00F26597"/>
    <w:rsid w:val="00F32278"/>
    <w:rsid w:val="00F3739A"/>
    <w:rsid w:val="00F41FA8"/>
    <w:rsid w:val="00F50FE9"/>
    <w:rsid w:val="00F563E7"/>
    <w:rsid w:val="00F56F8F"/>
    <w:rsid w:val="00F6107E"/>
    <w:rsid w:val="00F62D8A"/>
    <w:rsid w:val="00F65B06"/>
    <w:rsid w:val="00F66AC0"/>
    <w:rsid w:val="00F70155"/>
    <w:rsid w:val="00F70627"/>
    <w:rsid w:val="00F91F5E"/>
    <w:rsid w:val="00F95F61"/>
    <w:rsid w:val="00F96886"/>
    <w:rsid w:val="00FA251D"/>
    <w:rsid w:val="00FA2F07"/>
    <w:rsid w:val="00FB2D3D"/>
    <w:rsid w:val="00FB4527"/>
    <w:rsid w:val="00FB6F07"/>
    <w:rsid w:val="00FC3BAD"/>
    <w:rsid w:val="00FC4396"/>
    <w:rsid w:val="00FD65D6"/>
    <w:rsid w:val="00FE01E4"/>
    <w:rsid w:val="00FE1887"/>
    <w:rsid w:val="00FE6E87"/>
    <w:rsid w:val="00FF08BE"/>
    <w:rsid w:val="00FF15B7"/>
    <w:rsid w:val="00FF4263"/>
    <w:rsid w:val="02B70580"/>
    <w:rsid w:val="04C049ED"/>
    <w:rsid w:val="07BA5A49"/>
    <w:rsid w:val="08674270"/>
    <w:rsid w:val="092C1016"/>
    <w:rsid w:val="0CB16402"/>
    <w:rsid w:val="0D224EB8"/>
    <w:rsid w:val="0DD91E7B"/>
    <w:rsid w:val="0DF13A98"/>
    <w:rsid w:val="0E0B38F0"/>
    <w:rsid w:val="0FC75E0A"/>
    <w:rsid w:val="106F0518"/>
    <w:rsid w:val="129A27F9"/>
    <w:rsid w:val="12FA67E4"/>
    <w:rsid w:val="1417204A"/>
    <w:rsid w:val="16230240"/>
    <w:rsid w:val="17F1195B"/>
    <w:rsid w:val="18553EFB"/>
    <w:rsid w:val="189A5F9C"/>
    <w:rsid w:val="189C0EF6"/>
    <w:rsid w:val="19CC528A"/>
    <w:rsid w:val="1C6721DD"/>
    <w:rsid w:val="1C6E5776"/>
    <w:rsid w:val="1CAB4C1C"/>
    <w:rsid w:val="1FE23576"/>
    <w:rsid w:val="20232748"/>
    <w:rsid w:val="20FB10B0"/>
    <w:rsid w:val="23B20361"/>
    <w:rsid w:val="23C1125D"/>
    <w:rsid w:val="23DA54E1"/>
    <w:rsid w:val="24FA59C2"/>
    <w:rsid w:val="26914E82"/>
    <w:rsid w:val="28343B01"/>
    <w:rsid w:val="28D6243E"/>
    <w:rsid w:val="2B226D21"/>
    <w:rsid w:val="2CEC56CA"/>
    <w:rsid w:val="2DC07527"/>
    <w:rsid w:val="2DE51610"/>
    <w:rsid w:val="2ECD6EB3"/>
    <w:rsid w:val="2F6B5254"/>
    <w:rsid w:val="312B6BF1"/>
    <w:rsid w:val="31427F67"/>
    <w:rsid w:val="31AB0298"/>
    <w:rsid w:val="33717185"/>
    <w:rsid w:val="35D43649"/>
    <w:rsid w:val="372E0887"/>
    <w:rsid w:val="37E3695C"/>
    <w:rsid w:val="38BB41AF"/>
    <w:rsid w:val="3A461688"/>
    <w:rsid w:val="3B0A474A"/>
    <w:rsid w:val="3B5D2FF1"/>
    <w:rsid w:val="3D840E45"/>
    <w:rsid w:val="3DDC4AD4"/>
    <w:rsid w:val="3EC76C7E"/>
    <w:rsid w:val="3F5617F6"/>
    <w:rsid w:val="42B70C0A"/>
    <w:rsid w:val="44616D9A"/>
    <w:rsid w:val="44CC45BA"/>
    <w:rsid w:val="459F0946"/>
    <w:rsid w:val="45EE241C"/>
    <w:rsid w:val="465B7ECA"/>
    <w:rsid w:val="48082A82"/>
    <w:rsid w:val="48120AD6"/>
    <w:rsid w:val="4A007BF5"/>
    <w:rsid w:val="4BEE55CF"/>
    <w:rsid w:val="4C9D6279"/>
    <w:rsid w:val="4D50664E"/>
    <w:rsid w:val="4E0745A6"/>
    <w:rsid w:val="4E116DA4"/>
    <w:rsid w:val="4EE07773"/>
    <w:rsid w:val="4F1D69F0"/>
    <w:rsid w:val="4F485E82"/>
    <w:rsid w:val="4FD317B8"/>
    <w:rsid w:val="4FD35314"/>
    <w:rsid w:val="505102A4"/>
    <w:rsid w:val="510C10F8"/>
    <w:rsid w:val="52175DCC"/>
    <w:rsid w:val="52B24E14"/>
    <w:rsid w:val="53BA4BE6"/>
    <w:rsid w:val="544F49E2"/>
    <w:rsid w:val="56006741"/>
    <w:rsid w:val="56136256"/>
    <w:rsid w:val="56A90608"/>
    <w:rsid w:val="572411B5"/>
    <w:rsid w:val="576B140C"/>
    <w:rsid w:val="57802D51"/>
    <w:rsid w:val="583E3BFD"/>
    <w:rsid w:val="5973252E"/>
    <w:rsid w:val="5AFE4D7C"/>
    <w:rsid w:val="5B4362A5"/>
    <w:rsid w:val="5B56346D"/>
    <w:rsid w:val="5B7227F2"/>
    <w:rsid w:val="5B7D3FF5"/>
    <w:rsid w:val="5C7354D0"/>
    <w:rsid w:val="5DC9601A"/>
    <w:rsid w:val="5E98735C"/>
    <w:rsid w:val="5F896DA3"/>
    <w:rsid w:val="60777114"/>
    <w:rsid w:val="61303685"/>
    <w:rsid w:val="61857480"/>
    <w:rsid w:val="647372DB"/>
    <w:rsid w:val="65C90389"/>
    <w:rsid w:val="663E0BF4"/>
    <w:rsid w:val="68A37B22"/>
    <w:rsid w:val="69076D4A"/>
    <w:rsid w:val="69564E57"/>
    <w:rsid w:val="6A995019"/>
    <w:rsid w:val="6AC03CA6"/>
    <w:rsid w:val="6AC902A1"/>
    <w:rsid w:val="6CC75C8E"/>
    <w:rsid w:val="6CD3474E"/>
    <w:rsid w:val="70FE623D"/>
    <w:rsid w:val="731E2BC7"/>
    <w:rsid w:val="7419338E"/>
    <w:rsid w:val="74207B19"/>
    <w:rsid w:val="74543A34"/>
    <w:rsid w:val="74BC48E1"/>
    <w:rsid w:val="75DD27F6"/>
    <w:rsid w:val="77396498"/>
    <w:rsid w:val="77EF1CE8"/>
    <w:rsid w:val="77F21348"/>
    <w:rsid w:val="79752E15"/>
    <w:rsid w:val="79826B35"/>
    <w:rsid w:val="79952891"/>
    <w:rsid w:val="79F1109C"/>
    <w:rsid w:val="7AF66C22"/>
    <w:rsid w:val="7B66335D"/>
    <w:rsid w:val="7C9607BA"/>
    <w:rsid w:val="7DC22D8C"/>
    <w:rsid w:val="7E65225B"/>
    <w:rsid w:val="7EFD730B"/>
    <w:rsid w:val="7F271629"/>
    <w:rsid w:val="7F721BA4"/>
    <w:rsid w:val="7F7B2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2">
    <w:name w:val="heading 2"/>
    <w:basedOn w:val="1"/>
    <w:next w:val="3"/>
    <w:link w:val="24"/>
    <w:qFormat/>
    <w:uiPriority w:val="1"/>
    <w:pPr>
      <w:spacing w:line="479" w:lineRule="exact"/>
      <w:jc w:val="left"/>
      <w:outlineLvl w:val="1"/>
    </w:pPr>
    <w:rPr>
      <w:rFonts w:ascii="Microsoft YaHei UI" w:hAnsi="Microsoft YaHei UI" w:eastAsia="Microsoft YaHei UI"/>
      <w:spacing w:val="2"/>
      <w:kern w:val="0"/>
      <w:sz w:val="32"/>
      <w:szCs w:val="32"/>
    </w:rPr>
  </w:style>
  <w:style w:type="paragraph" w:styleId="5">
    <w:name w:val="heading 3"/>
    <w:basedOn w:val="1"/>
    <w:next w:val="1"/>
    <w:link w:val="30"/>
    <w:unhideWhenUsed/>
    <w:qFormat/>
    <w:uiPriority w:val="9"/>
    <w:pPr>
      <w:keepNext/>
      <w:keepLines/>
      <w:spacing w:before="260" w:after="260" w:line="416" w:lineRule="auto"/>
      <w:jc w:val="left"/>
      <w:outlineLvl w:val="2"/>
    </w:pPr>
    <w:rPr>
      <w:b/>
      <w:bCs/>
      <w:kern w:val="0"/>
      <w:sz w:val="32"/>
      <w:szCs w:val="32"/>
      <w:lang w:eastAsia="en-US"/>
    </w:rPr>
  </w:style>
  <w:style w:type="paragraph" w:styleId="6">
    <w:name w:val="heading 4"/>
    <w:basedOn w:val="1"/>
    <w:next w:val="1"/>
    <w:link w:val="31"/>
    <w:unhideWhenUsed/>
    <w:qFormat/>
    <w:uiPriority w:val="9"/>
    <w:pPr>
      <w:keepNext/>
      <w:keepLines/>
      <w:spacing w:before="280" w:after="290" w:line="376" w:lineRule="auto"/>
      <w:jc w:val="left"/>
      <w:outlineLvl w:val="3"/>
    </w:pPr>
    <w:rPr>
      <w:rFonts w:asciiTheme="majorHAnsi" w:hAnsiTheme="majorHAnsi" w:eastAsiaTheme="majorEastAsia" w:cstheme="majorBidi"/>
      <w:b/>
      <w:bCs/>
      <w:kern w:val="0"/>
      <w:sz w:val="28"/>
      <w:szCs w:val="28"/>
      <w:lang w:eastAsia="en-US"/>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3">
    <w:name w:val="FC正文"/>
    <w:basedOn w:val="1"/>
    <w:qFormat/>
    <w:uiPriority w:val="0"/>
    <w:pPr>
      <w:snapToGrid w:val="0"/>
      <w:spacing w:beforeLines="50" w:afterLines="50" w:line="360" w:lineRule="auto"/>
      <w:ind w:firstLine="200" w:firstLineChars="200"/>
      <w:contextualSpacing/>
    </w:pPr>
    <w:rPr>
      <w:rFonts w:ascii="宋体" w:hAnsi="宋体" w:cs="宋体"/>
      <w:sz w:val="24"/>
    </w:rPr>
  </w:style>
  <w:style w:type="paragraph" w:styleId="7">
    <w:name w:val="Normal Indent"/>
    <w:basedOn w:val="1"/>
    <w:link w:val="46"/>
    <w:qFormat/>
    <w:uiPriority w:val="0"/>
    <w:pPr>
      <w:ind w:firstLine="420" w:firstLineChars="200"/>
    </w:pPr>
    <w:rPr>
      <w:szCs w:val="24"/>
    </w:rPr>
  </w:style>
  <w:style w:type="paragraph" w:styleId="8">
    <w:name w:val="annotation text"/>
    <w:basedOn w:val="1"/>
    <w:link w:val="35"/>
    <w:unhideWhenUsed/>
    <w:qFormat/>
    <w:uiPriority w:val="99"/>
    <w:pPr>
      <w:jc w:val="left"/>
    </w:pPr>
  </w:style>
  <w:style w:type="paragraph" w:styleId="9">
    <w:name w:val="Body Text"/>
    <w:basedOn w:val="1"/>
    <w:link w:val="25"/>
    <w:qFormat/>
    <w:uiPriority w:val="1"/>
    <w:pPr>
      <w:ind w:firstLine="200" w:firstLineChars="200"/>
    </w:pPr>
    <w:rPr>
      <w:rFonts w:ascii="Microsoft YaHei UI" w:hAnsi="Microsoft YaHei UI" w:eastAsia="Microsoft YaHei UI"/>
      <w:kern w:val="0"/>
      <w:szCs w:val="21"/>
      <w:lang w:eastAsia="en-US"/>
    </w:rPr>
  </w:style>
  <w:style w:type="paragraph" w:styleId="10">
    <w:name w:val="toc 3"/>
    <w:basedOn w:val="1"/>
    <w:next w:val="1"/>
    <w:unhideWhenUsed/>
    <w:qFormat/>
    <w:uiPriority w:val="39"/>
    <w:pPr>
      <w:widowControl/>
      <w:spacing w:after="100" w:line="259" w:lineRule="auto"/>
      <w:ind w:left="440"/>
      <w:jc w:val="left"/>
    </w:pPr>
    <w:rPr>
      <w:rFonts w:cs="Times New Roman"/>
      <w:kern w:val="0"/>
      <w:sz w:val="22"/>
    </w:rPr>
  </w:style>
  <w:style w:type="paragraph" w:styleId="11">
    <w:name w:val="Balloon Text"/>
    <w:basedOn w:val="1"/>
    <w:link w:val="36"/>
    <w:semiHidden/>
    <w:unhideWhenUsed/>
    <w:qFormat/>
    <w:uiPriority w:val="99"/>
    <w:rPr>
      <w:sz w:val="18"/>
      <w:szCs w:val="18"/>
    </w:rPr>
  </w:style>
  <w:style w:type="paragraph" w:styleId="12">
    <w:name w:val="footer"/>
    <w:basedOn w:val="1"/>
    <w:link w:val="28"/>
    <w:unhideWhenUsed/>
    <w:qFormat/>
    <w:uiPriority w:val="99"/>
    <w:pPr>
      <w:tabs>
        <w:tab w:val="center" w:pos="4153"/>
        <w:tab w:val="right" w:pos="8306"/>
      </w:tabs>
      <w:snapToGrid w:val="0"/>
      <w:jc w:val="left"/>
    </w:pPr>
    <w:rPr>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tabs>
        <w:tab w:val="right" w:leader="dot" w:pos="8296"/>
      </w:tabs>
      <w:jc w:val="center"/>
    </w:pPr>
    <w:rPr>
      <w:rFonts w:ascii="微软雅黑" w:hAnsi="微软雅黑" w:eastAsia="微软雅黑"/>
      <w:b/>
      <w:sz w:val="32"/>
      <w:szCs w:val="32"/>
    </w:rPr>
  </w:style>
  <w:style w:type="paragraph" w:styleId="15">
    <w:name w:val="toc 2"/>
    <w:basedOn w:val="1"/>
    <w:next w:val="1"/>
    <w:unhideWhenUsed/>
    <w:qFormat/>
    <w:uiPriority w:val="39"/>
    <w:pPr>
      <w:ind w:left="420" w:leftChars="200"/>
    </w:pPr>
  </w:style>
  <w:style w:type="paragraph" w:styleId="16">
    <w:name w:val="Title"/>
    <w:basedOn w:val="1"/>
    <w:next w:val="1"/>
    <w:link w:val="37"/>
    <w:qFormat/>
    <w:uiPriority w:val="0"/>
    <w:pPr>
      <w:widowControl/>
      <w:spacing w:before="240" w:after="60"/>
      <w:jc w:val="center"/>
      <w:outlineLvl w:val="0"/>
    </w:pPr>
    <w:rPr>
      <w:rFonts w:ascii="Cambria" w:hAnsi="Cambria" w:eastAsia="宋体" w:cs="Times New Roman"/>
      <w:b/>
      <w:bCs/>
      <w:sz w:val="32"/>
      <w:szCs w:val="32"/>
    </w:rPr>
  </w:style>
  <w:style w:type="paragraph" w:styleId="17">
    <w:name w:val="annotation subject"/>
    <w:basedOn w:val="8"/>
    <w:next w:val="8"/>
    <w:link w:val="45"/>
    <w:semiHidden/>
    <w:unhideWhenUsed/>
    <w:qFormat/>
    <w:uiPriority w:val="99"/>
    <w:rPr>
      <w:b/>
      <w:bCs/>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character" w:customStyle="1" w:styleId="24">
    <w:name w:val="标题 2 字符"/>
    <w:basedOn w:val="20"/>
    <w:link w:val="2"/>
    <w:qFormat/>
    <w:uiPriority w:val="1"/>
    <w:rPr>
      <w:rFonts w:ascii="Microsoft YaHei UI" w:hAnsi="Microsoft YaHei UI" w:eastAsia="Microsoft YaHei UI"/>
      <w:spacing w:val="2"/>
      <w:kern w:val="0"/>
      <w:sz w:val="32"/>
      <w:szCs w:val="32"/>
    </w:rPr>
  </w:style>
  <w:style w:type="character" w:customStyle="1" w:styleId="25">
    <w:name w:val="正文文本 字符"/>
    <w:basedOn w:val="20"/>
    <w:link w:val="9"/>
    <w:qFormat/>
    <w:uiPriority w:val="1"/>
    <w:rPr>
      <w:rFonts w:ascii="Microsoft YaHei UI" w:hAnsi="Microsoft YaHei UI" w:eastAsia="Microsoft YaHei UI"/>
      <w:kern w:val="0"/>
      <w:szCs w:val="21"/>
      <w:lang w:eastAsia="en-US"/>
    </w:rPr>
  </w:style>
  <w:style w:type="paragraph" w:customStyle="1" w:styleId="2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7">
    <w:name w:val="页眉 字符"/>
    <w:basedOn w:val="20"/>
    <w:link w:val="13"/>
    <w:qFormat/>
    <w:uiPriority w:val="99"/>
    <w:rPr>
      <w:sz w:val="18"/>
      <w:szCs w:val="18"/>
    </w:rPr>
  </w:style>
  <w:style w:type="character" w:customStyle="1" w:styleId="28">
    <w:name w:val="页脚 字符"/>
    <w:basedOn w:val="20"/>
    <w:link w:val="12"/>
    <w:qFormat/>
    <w:uiPriority w:val="99"/>
    <w:rPr>
      <w:sz w:val="18"/>
      <w:szCs w:val="18"/>
    </w:rPr>
  </w:style>
  <w:style w:type="paragraph" w:styleId="29">
    <w:name w:val="List Paragraph"/>
    <w:basedOn w:val="1"/>
    <w:link w:val="34"/>
    <w:qFormat/>
    <w:uiPriority w:val="34"/>
    <w:pPr>
      <w:ind w:firstLine="420" w:firstLineChars="200"/>
    </w:pPr>
  </w:style>
  <w:style w:type="character" w:customStyle="1" w:styleId="30">
    <w:name w:val="标题 3 字符"/>
    <w:basedOn w:val="20"/>
    <w:link w:val="5"/>
    <w:qFormat/>
    <w:uiPriority w:val="9"/>
    <w:rPr>
      <w:b/>
      <w:bCs/>
      <w:kern w:val="0"/>
      <w:sz w:val="32"/>
      <w:szCs w:val="32"/>
      <w:lang w:eastAsia="en-US"/>
    </w:rPr>
  </w:style>
  <w:style w:type="character" w:customStyle="1" w:styleId="31">
    <w:name w:val="标题 4 字符"/>
    <w:basedOn w:val="20"/>
    <w:link w:val="6"/>
    <w:qFormat/>
    <w:uiPriority w:val="9"/>
    <w:rPr>
      <w:rFonts w:asciiTheme="majorHAnsi" w:hAnsiTheme="majorHAnsi" w:eastAsiaTheme="majorEastAsia" w:cstheme="majorBidi"/>
      <w:b/>
      <w:bCs/>
      <w:kern w:val="0"/>
      <w:sz w:val="28"/>
      <w:szCs w:val="28"/>
      <w:lang w:eastAsia="en-US"/>
    </w:rPr>
  </w:style>
  <w:style w:type="paragraph" w:customStyle="1" w:styleId="32">
    <w:name w:val="中文正文、"/>
    <w:basedOn w:val="1"/>
    <w:qFormat/>
    <w:uiPriority w:val="0"/>
    <w:pPr>
      <w:spacing w:line="440" w:lineRule="exact"/>
      <w:ind w:firstLine="200" w:firstLineChars="200"/>
      <w:jc w:val="left"/>
    </w:pPr>
    <w:rPr>
      <w:rFonts w:ascii="Calibri" w:hAnsi="Calibri" w:eastAsia="仿宋" w:cs="Times New Roman"/>
      <w:sz w:val="24"/>
      <w:szCs w:val="21"/>
    </w:rPr>
  </w:style>
  <w:style w:type="character" w:customStyle="1" w:styleId="33">
    <w:name w:val="标题 1 字符"/>
    <w:basedOn w:val="20"/>
    <w:link w:val="4"/>
    <w:qFormat/>
    <w:uiPriority w:val="9"/>
    <w:rPr>
      <w:b/>
      <w:bCs/>
      <w:kern w:val="44"/>
      <w:sz w:val="44"/>
      <w:szCs w:val="44"/>
    </w:rPr>
  </w:style>
  <w:style w:type="character" w:customStyle="1" w:styleId="34">
    <w:name w:val="列表段落 字符"/>
    <w:link w:val="29"/>
    <w:qFormat/>
    <w:uiPriority w:val="34"/>
  </w:style>
  <w:style w:type="character" w:customStyle="1" w:styleId="35">
    <w:name w:val="批注文字 字符"/>
    <w:basedOn w:val="20"/>
    <w:link w:val="8"/>
    <w:qFormat/>
    <w:uiPriority w:val="99"/>
  </w:style>
  <w:style w:type="character" w:customStyle="1" w:styleId="36">
    <w:name w:val="批注框文本 字符"/>
    <w:basedOn w:val="20"/>
    <w:link w:val="11"/>
    <w:semiHidden/>
    <w:qFormat/>
    <w:uiPriority w:val="99"/>
    <w:rPr>
      <w:sz w:val="18"/>
      <w:szCs w:val="18"/>
    </w:rPr>
  </w:style>
  <w:style w:type="character" w:customStyle="1" w:styleId="37">
    <w:name w:val="标题 字符"/>
    <w:basedOn w:val="20"/>
    <w:link w:val="16"/>
    <w:qFormat/>
    <w:uiPriority w:val="0"/>
    <w:rPr>
      <w:rFonts w:ascii="Cambria" w:hAnsi="Cambria" w:eastAsia="宋体" w:cs="Times New Roman"/>
      <w:b/>
      <w:bCs/>
      <w:sz w:val="32"/>
      <w:szCs w:val="32"/>
    </w:rPr>
  </w:style>
  <w:style w:type="paragraph" w:customStyle="1" w:styleId="38">
    <w:name w:val="球球要点"/>
    <w:basedOn w:val="29"/>
    <w:link w:val="40"/>
    <w:qFormat/>
    <w:uiPriority w:val="0"/>
    <w:pPr>
      <w:widowControl/>
      <w:numPr>
        <w:ilvl w:val="0"/>
        <w:numId w:val="1"/>
      </w:numPr>
      <w:tabs>
        <w:tab w:val="left" w:pos="377"/>
      </w:tabs>
      <w:spacing w:line="360" w:lineRule="auto"/>
      <w:ind w:firstLine="0" w:firstLineChars="0"/>
    </w:pPr>
    <w:rPr>
      <w:rFonts w:ascii="仿宋_GB2312" w:hAnsi="Calibri" w:eastAsia="仿宋_GB2312" w:cs="Times New Roman"/>
      <w:iCs/>
      <w:sz w:val="24"/>
      <w:szCs w:val="24"/>
    </w:rPr>
  </w:style>
  <w:style w:type="paragraph" w:customStyle="1" w:styleId="39">
    <w:name w:val="正文~"/>
    <w:basedOn w:val="1"/>
    <w:link w:val="41"/>
    <w:qFormat/>
    <w:uiPriority w:val="0"/>
    <w:pPr>
      <w:spacing w:line="360" w:lineRule="auto"/>
      <w:ind w:firstLine="480" w:firstLineChars="200"/>
    </w:pPr>
    <w:rPr>
      <w:rFonts w:ascii="仿宋_GB2312" w:hAnsi="仿宋" w:eastAsia="仿宋_GB2312" w:cs="Times New Roman"/>
      <w:sz w:val="24"/>
      <w:szCs w:val="24"/>
    </w:rPr>
  </w:style>
  <w:style w:type="character" w:customStyle="1" w:styleId="40">
    <w:name w:val="球球要点 Char"/>
    <w:basedOn w:val="20"/>
    <w:link w:val="38"/>
    <w:qFormat/>
    <w:uiPriority w:val="0"/>
    <w:rPr>
      <w:rFonts w:ascii="仿宋_GB2312" w:hAnsi="Calibri" w:eastAsia="仿宋_GB2312" w:cs="Times New Roman"/>
      <w:iCs/>
      <w:sz w:val="24"/>
      <w:szCs w:val="24"/>
    </w:rPr>
  </w:style>
  <w:style w:type="character" w:customStyle="1" w:styleId="41">
    <w:name w:val="正文~ Char"/>
    <w:basedOn w:val="20"/>
    <w:link w:val="39"/>
    <w:qFormat/>
    <w:uiPriority w:val="0"/>
    <w:rPr>
      <w:rFonts w:ascii="仿宋_GB2312" w:hAnsi="仿宋" w:eastAsia="仿宋_GB2312" w:cs="Times New Roman"/>
      <w:sz w:val="24"/>
      <w:szCs w:val="24"/>
    </w:rPr>
  </w:style>
  <w:style w:type="paragraph" w:customStyle="1" w:styleId="4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3">
    <w:name w:val="my正文"/>
    <w:basedOn w:val="1"/>
    <w:link w:val="44"/>
    <w:qFormat/>
    <w:uiPriority w:val="0"/>
    <w:pPr>
      <w:spacing w:line="360" w:lineRule="auto"/>
      <w:ind w:firstLine="480" w:firstLineChars="200"/>
    </w:pPr>
    <w:rPr>
      <w:rFonts w:ascii="Times New Roman" w:hAnsi="Times New Roman" w:eastAsia="宋体" w:cs="Times New Roman"/>
      <w:sz w:val="24"/>
      <w:szCs w:val="24"/>
      <w:lang w:val="zh-CN"/>
    </w:rPr>
  </w:style>
  <w:style w:type="character" w:customStyle="1" w:styleId="44">
    <w:name w:val="my正文 Char"/>
    <w:link w:val="43"/>
    <w:qFormat/>
    <w:uiPriority w:val="0"/>
    <w:rPr>
      <w:kern w:val="2"/>
      <w:sz w:val="24"/>
      <w:szCs w:val="24"/>
      <w:lang w:val="zh-CN" w:eastAsia="zh-CN"/>
    </w:rPr>
  </w:style>
  <w:style w:type="character" w:customStyle="1" w:styleId="45">
    <w:name w:val="批注主题 字符"/>
    <w:basedOn w:val="35"/>
    <w:link w:val="17"/>
    <w:semiHidden/>
    <w:qFormat/>
    <w:uiPriority w:val="99"/>
    <w:rPr>
      <w:rFonts w:asciiTheme="minorHAnsi" w:hAnsiTheme="minorHAnsi" w:eastAsiaTheme="minorEastAsia" w:cstheme="minorBidi"/>
      <w:b/>
      <w:bCs/>
      <w:kern w:val="2"/>
      <w:sz w:val="21"/>
      <w:szCs w:val="22"/>
    </w:rPr>
  </w:style>
  <w:style w:type="character" w:customStyle="1" w:styleId="46">
    <w:name w:val="正文缩进 字符"/>
    <w:link w:val="7"/>
    <w:qFormat/>
    <w:locked/>
    <w:uiPriority w:val="0"/>
    <w:rPr>
      <w:rFonts w:asciiTheme="minorHAnsi" w:hAnsiTheme="minorHAnsi" w:eastAsiaTheme="minorEastAsia" w:cstheme="minorBidi"/>
      <w:kern w:val="2"/>
      <w:sz w:val="21"/>
      <w:szCs w:val="24"/>
    </w:rPr>
  </w:style>
  <w:style w:type="paragraph" w:customStyle="1" w:styleId="47">
    <w:name w:val="修订2"/>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48">
    <w:name w:val="font11"/>
    <w:basedOn w:val="20"/>
    <w:qFormat/>
    <w:uiPriority w:val="0"/>
    <w:rPr>
      <w:rFonts w:hint="eastAsia" w:ascii="微软雅黑" w:hAnsi="微软雅黑" w:eastAsia="微软雅黑" w:cs="微软雅黑"/>
      <w:b/>
      <w:bCs/>
      <w:color w:val="000000"/>
      <w:sz w:val="18"/>
      <w:szCs w:val="18"/>
      <w:u w:val="none"/>
    </w:rPr>
  </w:style>
  <w:style w:type="character" w:customStyle="1" w:styleId="49">
    <w:name w:val="font21"/>
    <w:basedOn w:val="20"/>
    <w:qFormat/>
    <w:uiPriority w:val="0"/>
    <w:rPr>
      <w:rFonts w:hint="eastAsia" w:ascii="微软雅黑" w:hAnsi="微软雅黑" w:eastAsia="微软雅黑" w:cs="微软雅黑"/>
      <w:color w:val="000000"/>
      <w:sz w:val="18"/>
      <w:szCs w:val="18"/>
      <w:u w:val="none"/>
    </w:rPr>
  </w:style>
  <w:style w:type="paragraph" w:customStyle="1" w:styleId="50">
    <w:name w:val="Normal_1"/>
    <w:qFormat/>
    <w:uiPriority w:val="1"/>
    <w:pPr>
      <w:widowControl w:val="0"/>
    </w:pPr>
    <w:rPr>
      <w:rFonts w:ascii="宋体" w:hAnsi="宋体" w:eastAsia="宋体" w:cs="宋体"/>
      <w:sz w:val="22"/>
      <w:szCs w:val="22"/>
      <w:lang w:val="en-US" w:eastAsia="en-US" w:bidi="ar-SA"/>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Table Text"/>
    <w:basedOn w:val="1"/>
    <w:semiHidden/>
    <w:qFormat/>
    <w:uiPriority w:val="0"/>
    <w:rPr>
      <w:rFonts w:ascii="Arial" w:hAnsi="Arial" w:eastAsia="Arial" w:cs="Arial"/>
      <w:szCs w:val="21"/>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shendu</Company>
  <Pages>10</Pages>
  <Words>3664</Words>
  <Characters>3914</Characters>
  <Lines>29</Lines>
  <Paragraphs>8</Paragraphs>
  <TotalTime>1</TotalTime>
  <ScaleCrop>false</ScaleCrop>
  <LinksUpToDate>false</LinksUpToDate>
  <CharactersWithSpaces>4022</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2022-10-20T00:57:00Z</dcterms:created>
  <dc:creator>王勇</dc:creator>
  <cp:lastModifiedBy>user</cp:lastModifiedBy>
  <cp:lastPrinted>2023-03-07T08:46:00Z</cp:lastPrinted>
  <dcterms:modified xsi:type="dcterms:W3CDTF">2026-09-18T06:26:04Z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469EA07E1B6141758D68E5C7B5F82359</vt:lpwstr>
  </property>
  <property fmtid="{D5CDD505-2E9C-101B-9397-08002B2CF9AE}" pid="4" name="KSOTemplateDocerSaveRecord">
    <vt:lpwstr>eyJoZGlkIjoiNTBhZDA5OGEzNjBmNmNjMDBkMmZjZjkwMjJkZjJkNjIiLCJ1c2VySWQiOiIzOTc3NjY5NjIifQ==</vt:lpwstr>
  </property>
</Properties>
</file>