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 w:val="left" w:pos="420"/>
          <w:tab w:val="center" w:pos="4153"/>
        </w:tabs>
        <w:autoSpaceDE w:val="0"/>
        <w:autoSpaceDN w:val="0"/>
        <w:adjustRightInd w:val="0"/>
        <w:spacing w:line="560" w:lineRule="exact"/>
        <w:jc w:val="center"/>
        <w:outlineLvl w:val="0"/>
        <w:rPr>
          <w:rFonts w:ascii="Times New Roman" w:hAnsi="Times New Roman" w:eastAsia="方正小标宋简体" w:cs="Times New Roman"/>
          <w:bCs/>
          <w:kern w:val="44"/>
          <w:sz w:val="44"/>
          <w:szCs w:val="44"/>
        </w:rPr>
      </w:pPr>
      <w:r>
        <w:rPr>
          <w:rFonts w:ascii="Times New Roman" w:hAnsi="Times New Roman" w:eastAsia="方正小标宋简体" w:cs="Times New Roman"/>
          <w:bCs/>
          <w:kern w:val="44"/>
          <w:sz w:val="44"/>
          <w:szCs w:val="44"/>
        </w:rPr>
        <w:t>采办计划公告</w:t>
      </w:r>
    </w:p>
    <w:p>
      <w:pPr>
        <w:spacing w:line="560" w:lineRule="exact"/>
        <w:rPr>
          <w:rFonts w:ascii="Times New Roman" w:hAnsi="Times New Roman" w:eastAsia="等线" w:cs="Times New Roman"/>
          <w:sz w:val="32"/>
        </w:rPr>
      </w:pPr>
    </w:p>
    <w:p>
      <w:pPr>
        <w:tabs>
          <w:tab w:val="left" w:pos="993"/>
          <w:tab w:val="left" w:pos="1134"/>
          <w:tab w:val="left" w:pos="1418"/>
        </w:tabs>
        <w:spacing w:line="560" w:lineRule="exact"/>
        <w:ind w:left="319" w:leftChars="152" w:firstLine="320" w:firstLineChars="100"/>
        <w:rPr>
          <w:rFonts w:ascii="Times New Roman" w:hAnsi="Times New Roman" w:eastAsia="仿宋_GB2312" w:cs="Times New Roman"/>
          <w:sz w:val="32"/>
          <w:szCs w:val="32"/>
        </w:rPr>
      </w:pPr>
      <w:r>
        <w:rPr>
          <w:rFonts w:ascii="Times New Roman" w:hAnsi="Times New Roman" w:eastAsia="仿宋_GB2312" w:cs="Times New Roman"/>
          <w:sz w:val="32"/>
          <w:szCs w:val="32"/>
        </w:rPr>
        <w:t>为便于供应商及时了解项目采办信息，现将</w:t>
      </w:r>
      <w:r>
        <w:rPr>
          <w:rFonts w:hint="eastAsia" w:ascii="Times New Roman" w:hAnsi="Times New Roman" w:eastAsia="仿宋_GB2312" w:cs="Times New Roman"/>
          <w:sz w:val="32"/>
          <w:szCs w:val="32"/>
          <w:u w:val="single"/>
          <w:lang w:val="en-US" w:eastAsia="zh-CN"/>
        </w:rPr>
        <w:t xml:space="preserve">HY921 生活污水处理装置修理 </w:t>
      </w:r>
      <w:r>
        <w:rPr>
          <w:rFonts w:ascii="Times New Roman" w:hAnsi="Times New Roman" w:eastAsia="仿宋_GB2312" w:cs="Times New Roman"/>
          <w:sz w:val="32"/>
          <w:szCs w:val="32"/>
        </w:rPr>
        <w:t>的采办计划公开如下：</w:t>
      </w:r>
    </w:p>
    <w:tbl>
      <w:tblPr>
        <w:tblStyle w:val="6"/>
        <w:tblW w:w="907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528"/>
        <w:gridCol w:w="1530"/>
        <w:gridCol w:w="1110"/>
        <w:gridCol w:w="4830"/>
        <w:gridCol w:w="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pPr>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序号</w:t>
            </w:r>
          </w:p>
        </w:tc>
        <w:tc>
          <w:tcPr>
            <w:tcW w:w="528" w:type="dxa"/>
            <w:vAlign w:val="center"/>
          </w:tcPr>
          <w:p>
            <w:pPr>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采办包</w:t>
            </w:r>
          </w:p>
          <w:p>
            <w:pPr>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名称</w:t>
            </w:r>
          </w:p>
        </w:tc>
        <w:tc>
          <w:tcPr>
            <w:tcW w:w="1530" w:type="dxa"/>
            <w:vAlign w:val="center"/>
          </w:tcPr>
          <w:p>
            <w:pPr>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采购范围与主要技术指标</w:t>
            </w:r>
          </w:p>
        </w:tc>
        <w:tc>
          <w:tcPr>
            <w:tcW w:w="1110" w:type="dxa"/>
            <w:vAlign w:val="center"/>
          </w:tcPr>
          <w:p>
            <w:pPr>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预计发标时间</w:t>
            </w:r>
          </w:p>
          <w:p>
            <w:pPr>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（填写到月）</w:t>
            </w:r>
          </w:p>
        </w:tc>
        <w:tc>
          <w:tcPr>
            <w:tcW w:w="4830" w:type="dxa"/>
            <w:vAlign w:val="center"/>
          </w:tcPr>
          <w:p>
            <w:pPr>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供应商资质基本要求</w:t>
            </w:r>
          </w:p>
        </w:tc>
        <w:tc>
          <w:tcPr>
            <w:tcW w:w="507" w:type="dxa"/>
            <w:vAlign w:val="center"/>
          </w:tcPr>
          <w:p>
            <w:pPr>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568" w:type="dxa"/>
            <w:vAlign w:val="center"/>
          </w:tcPr>
          <w:p>
            <w:pPr>
              <w:ind w:firstLine="480" w:firstLineChars="200"/>
              <w:rPr>
                <w:rFonts w:ascii="Times New Roman" w:hAnsi="Times New Roman" w:eastAsia="仿宋" w:cs="Times New Roman"/>
                <w:kern w:val="0"/>
                <w:sz w:val="24"/>
                <w:szCs w:val="24"/>
              </w:rPr>
            </w:pPr>
          </w:p>
        </w:tc>
        <w:tc>
          <w:tcPr>
            <w:tcW w:w="528" w:type="dxa"/>
            <w:vAlign w:val="center"/>
          </w:tcPr>
          <w:p>
            <w:pPr>
              <w:rPr>
                <w:rFonts w:hint="default" w:ascii="Times New Roman" w:hAnsi="Times New Roman" w:eastAsia="仿宋" w:cs="Times New Roman"/>
                <w:kern w:val="0"/>
                <w:sz w:val="24"/>
                <w:szCs w:val="24"/>
                <w:u w:val="single"/>
                <w:lang w:val="en-US" w:eastAsia="zh-CN"/>
              </w:rPr>
            </w:pPr>
            <w:r>
              <w:rPr>
                <w:rFonts w:hint="eastAsia" w:ascii="Times New Roman" w:hAnsi="Times New Roman" w:eastAsia="仿宋" w:cs="Times New Roman"/>
                <w:kern w:val="0"/>
                <w:sz w:val="24"/>
                <w:szCs w:val="24"/>
                <w:u w:val="single"/>
                <w:lang w:val="en-US" w:eastAsia="zh-CN"/>
              </w:rPr>
              <w:t>HY921 生活污水处理装置修理</w:t>
            </w:r>
          </w:p>
        </w:tc>
        <w:tc>
          <w:tcPr>
            <w:tcW w:w="1530" w:type="dxa"/>
            <w:vAlign w:val="center"/>
          </w:tcPr>
          <w:p>
            <w:pPr>
              <w:rPr>
                <w:rFonts w:hint="eastAsia" w:ascii="Times New Roman" w:hAnsi="Times New Roman" w:eastAsia="仿宋" w:cs="Times New Roman"/>
                <w:kern w:val="0"/>
                <w:sz w:val="24"/>
                <w:szCs w:val="24"/>
                <w:u w:val="single"/>
              </w:rPr>
            </w:pPr>
            <w:r>
              <w:rPr>
                <w:rFonts w:hint="eastAsia" w:ascii="Times New Roman" w:hAnsi="Times New Roman" w:eastAsia="仿宋" w:cs="Times New Roman"/>
                <w:kern w:val="0"/>
                <w:sz w:val="24"/>
                <w:szCs w:val="24"/>
                <w:u w:val="single"/>
              </w:rPr>
              <w:t>（</w:t>
            </w:r>
            <w:r>
              <w:rPr>
                <w:rFonts w:hint="eastAsia" w:ascii="Times New Roman" w:hAnsi="Times New Roman" w:eastAsia="仿宋" w:cs="Times New Roman"/>
                <w:kern w:val="0"/>
                <w:sz w:val="24"/>
                <w:szCs w:val="24"/>
                <w:u w:val="single"/>
                <w:lang w:val="en-US" w:eastAsia="zh-CN"/>
              </w:rPr>
              <w:t>HY921 生活污水处理装置修理项目，主要技术指</w:t>
            </w:r>
            <w:r>
              <w:rPr>
                <w:rFonts w:hint="eastAsia" w:ascii="Times New Roman" w:hAnsi="Times New Roman" w:eastAsia="仿宋" w:cs="Times New Roman"/>
                <w:kern w:val="0"/>
                <w:sz w:val="24"/>
                <w:szCs w:val="24"/>
                <w:u w:val="single"/>
              </w:rPr>
              <w:t>标、质量、服务、安全、时限等要求，详见“</w:t>
            </w:r>
            <w:r>
              <w:rPr>
                <w:rFonts w:hint="eastAsia" w:ascii="Times New Roman" w:hAnsi="Times New Roman" w:eastAsia="仿宋" w:cs="Times New Roman"/>
                <w:kern w:val="0"/>
                <w:sz w:val="24"/>
                <w:szCs w:val="24"/>
                <w:u w:val="single"/>
                <w:lang w:val="en-US" w:eastAsia="zh-CN"/>
              </w:rPr>
              <w:t>HY921 生活污水处理装置修理技术规格书”</w:t>
            </w:r>
            <w:r>
              <w:rPr>
                <w:rFonts w:hint="eastAsia" w:ascii="Times New Roman" w:hAnsi="Times New Roman" w:eastAsia="仿宋" w:cs="Times New Roman"/>
                <w:kern w:val="0"/>
                <w:sz w:val="24"/>
                <w:szCs w:val="24"/>
                <w:u w:val="single"/>
              </w:rPr>
              <w:t>）</w:t>
            </w:r>
          </w:p>
          <w:p>
            <w:pPr>
              <w:rPr>
                <w:rFonts w:ascii="Times New Roman" w:hAnsi="Times New Roman" w:cs="Times New Roman"/>
                <w:kern w:val="0"/>
                <w:sz w:val="24"/>
                <w:szCs w:val="24"/>
                <w:u w:val="single"/>
              </w:rPr>
            </w:pPr>
          </w:p>
        </w:tc>
        <w:tc>
          <w:tcPr>
            <w:tcW w:w="1110" w:type="dxa"/>
            <w:vAlign w:val="center"/>
          </w:tcPr>
          <w:p>
            <w:pPr>
              <w:rPr>
                <w:rFonts w:ascii="Times New Roman" w:hAnsi="Times New Roman" w:eastAsia="仿宋" w:cs="Times New Roman"/>
                <w:kern w:val="0"/>
                <w:sz w:val="24"/>
                <w:szCs w:val="24"/>
                <w:u w:val="single"/>
              </w:rPr>
            </w:pPr>
            <w:r>
              <w:rPr>
                <w:rFonts w:hint="eastAsia" w:ascii="Times New Roman" w:hAnsi="Times New Roman" w:eastAsia="仿宋" w:cs="Times New Roman"/>
                <w:kern w:val="0"/>
                <w:sz w:val="24"/>
                <w:szCs w:val="24"/>
                <w:u w:val="single"/>
              </w:rPr>
              <w:t>（202</w:t>
            </w:r>
            <w:r>
              <w:rPr>
                <w:rFonts w:hint="eastAsia" w:ascii="Times New Roman" w:hAnsi="Times New Roman" w:eastAsia="仿宋" w:cs="Times New Roman"/>
                <w:kern w:val="0"/>
                <w:sz w:val="24"/>
                <w:szCs w:val="24"/>
                <w:u w:val="single"/>
                <w:lang w:val="en-US" w:eastAsia="zh-CN"/>
              </w:rPr>
              <w:t>6年5</w:t>
            </w:r>
            <w:r>
              <w:rPr>
                <w:rFonts w:hint="eastAsia" w:ascii="Times New Roman" w:hAnsi="Times New Roman" w:eastAsia="仿宋" w:cs="Times New Roman"/>
                <w:kern w:val="0"/>
                <w:sz w:val="24"/>
                <w:szCs w:val="24"/>
                <w:u w:val="single"/>
              </w:rPr>
              <w:t>月）</w:t>
            </w:r>
          </w:p>
        </w:tc>
        <w:tc>
          <w:tcPr>
            <w:tcW w:w="4830" w:type="dxa"/>
            <w:vAlign w:val="center"/>
          </w:tcPr>
          <w:p>
            <w:pPr>
              <w:pStyle w:val="27"/>
              <w:numPr>
                <w:ilvl w:val="0"/>
                <w:numId w:val="1"/>
              </w:numPr>
              <w:snapToGrid w:val="0"/>
              <w:ind w:left="630" w:firstLineChars="0"/>
              <w:jc w:val="left"/>
              <w:rPr>
                <w:rFonts w:ascii="华文仿宋" w:hAnsi="华文仿宋" w:eastAsia="华文仿宋"/>
                <w:sz w:val="28"/>
              </w:rPr>
            </w:pPr>
            <w:r>
              <w:rPr>
                <w:rFonts w:hint="eastAsia" w:ascii="华文仿宋" w:hAnsi="华文仿宋" w:eastAsia="华文仿宋"/>
                <w:sz w:val="28"/>
              </w:rPr>
              <w:t>1）申请人须是中华人民共和国境内注册的独立法人单位，具有合法有效的企业法人营业执照、税务登记证及组织机构代码证或证照合一的营业执照；2）申请人须是中华人民共和国境内具有独立承担民事责任能力的法人，或具备国家认可经营资格的其他组织。</w:t>
            </w:r>
          </w:p>
          <w:p>
            <w:pPr>
              <w:pStyle w:val="27"/>
              <w:numPr>
                <w:ilvl w:val="0"/>
                <w:numId w:val="1"/>
              </w:numPr>
              <w:snapToGrid w:val="0"/>
              <w:ind w:left="630" w:firstLineChars="0"/>
              <w:jc w:val="left"/>
              <w:rPr>
                <w:rFonts w:ascii="华文仿宋" w:hAnsi="华文仿宋" w:eastAsia="华文仿宋"/>
                <w:sz w:val="28"/>
              </w:rPr>
            </w:pPr>
            <w:r>
              <w:rPr>
                <w:rFonts w:hint="eastAsia" w:ascii="华文仿宋" w:hAnsi="华文仿宋" w:eastAsia="华文仿宋"/>
                <w:sz w:val="28"/>
              </w:rPr>
              <w:t>信誉要求：1）申请人不得是最高人民法院在“信用中国”网站（www.creditchina.gov.cn）或“中国执行信息公开网” (http://zxgk.court.gov.cn)列入失信被执行人名单。（应附查询结果复印件并加盖单位章）；2）近三年（20</w:t>
            </w:r>
            <w:r>
              <w:rPr>
                <w:rFonts w:hint="eastAsia" w:ascii="华文仿宋" w:hAnsi="华文仿宋" w:eastAsia="华文仿宋"/>
                <w:sz w:val="28"/>
                <w:lang w:val="en-US" w:eastAsia="zh-CN"/>
              </w:rPr>
              <w:t>23</w:t>
            </w:r>
            <w:r>
              <w:rPr>
                <w:rFonts w:hint="eastAsia" w:ascii="华文仿宋" w:hAnsi="华文仿宋" w:eastAsia="华文仿宋"/>
                <w:sz w:val="28"/>
              </w:rPr>
              <w:t>年1月1日起）内申请人或其法定代表人、拟委任的项目负责人不得有行贿犯罪行为（可在中国裁判文书网（http://wenshu.court.gov.cn）查询，并附查询结果复印件并加盖单位章）；3）申请人不得被工商行政管理机关在全国企业信用信息公示系统（http://www.gsxt.gov.cn）中列入严重违法失信企业名（应附查询结果复印件并加盖单位章）；</w:t>
            </w:r>
          </w:p>
          <w:p>
            <w:pPr>
              <w:pStyle w:val="27"/>
              <w:numPr>
                <w:ilvl w:val="0"/>
                <w:numId w:val="1"/>
              </w:numPr>
              <w:snapToGrid w:val="0"/>
              <w:ind w:left="630" w:firstLineChars="0"/>
              <w:jc w:val="left"/>
              <w:rPr>
                <w:rFonts w:hint="eastAsia" w:ascii="华文仿宋" w:hAnsi="华文仿宋" w:eastAsia="华文仿宋"/>
                <w:sz w:val="28"/>
              </w:rPr>
            </w:pPr>
            <w:r>
              <w:rPr>
                <w:rFonts w:hint="eastAsia" w:ascii="华文仿宋" w:hAnsi="华文仿宋" w:eastAsia="华文仿宋"/>
                <w:sz w:val="28"/>
              </w:rPr>
              <w:t>如申请人与本项目其他申请人存在控股关系或管理关系、单位负责人为同一人情形等关联关系，申请人反馈均视为无效并被否决。</w:t>
            </w:r>
          </w:p>
          <w:p>
            <w:pPr>
              <w:pStyle w:val="27"/>
              <w:numPr>
                <w:ilvl w:val="0"/>
                <w:numId w:val="1"/>
              </w:numPr>
              <w:snapToGrid w:val="0"/>
              <w:ind w:left="630" w:firstLineChars="0"/>
              <w:jc w:val="left"/>
              <w:rPr>
                <w:rFonts w:hint="eastAsia" w:ascii="华文仿宋" w:hAnsi="华文仿宋" w:eastAsia="华文仿宋"/>
                <w:sz w:val="28"/>
              </w:rPr>
            </w:pPr>
            <w:r>
              <w:rPr>
                <w:rFonts w:hint="eastAsia" w:ascii="华文仿宋" w:hAnsi="华文仿宋" w:eastAsia="华文仿宋"/>
                <w:sz w:val="28"/>
              </w:rPr>
              <w:t>申请人应是《中国海洋石油集团有限公司采办业务管理与交易系统》系统的注册供应商或合格供应商，工商注册超过3年且不处于冻结状态。</w:t>
            </w:r>
          </w:p>
          <w:p>
            <w:pPr>
              <w:pStyle w:val="27"/>
              <w:numPr>
                <w:ilvl w:val="0"/>
                <w:numId w:val="1"/>
              </w:numPr>
              <w:snapToGrid w:val="0"/>
              <w:ind w:left="630" w:firstLineChars="0"/>
              <w:jc w:val="left"/>
              <w:rPr>
                <w:rFonts w:hint="eastAsia" w:ascii="华文仿宋" w:hAnsi="华文仿宋" w:eastAsia="华文仿宋" w:cs="华文仿宋"/>
                <w:color w:val="auto"/>
                <w:kern w:val="2"/>
                <w:sz w:val="28"/>
                <w:szCs w:val="28"/>
              </w:rPr>
            </w:pPr>
            <w:r>
              <w:rPr>
                <w:rFonts w:hint="eastAsia" w:ascii="华文仿宋" w:hAnsi="华文仿宋" w:eastAsia="华文仿宋" w:cs="华文仿宋"/>
                <w:color w:val="auto"/>
                <w:kern w:val="2"/>
                <w:sz w:val="28"/>
                <w:szCs w:val="28"/>
                <w:lang w:val="en-US" w:eastAsia="zh-CN"/>
              </w:rPr>
              <w:t>资格条件</w:t>
            </w:r>
            <w:r>
              <w:rPr>
                <w:rFonts w:hint="eastAsia" w:ascii="华文仿宋" w:hAnsi="华文仿宋" w:eastAsia="华文仿宋" w:cs="华文仿宋"/>
                <w:color w:val="auto"/>
                <w:kern w:val="2"/>
                <w:sz w:val="28"/>
                <w:szCs w:val="28"/>
              </w:rPr>
              <w:t>：</w:t>
            </w:r>
          </w:p>
          <w:p>
            <w:pPr>
              <w:pStyle w:val="27"/>
              <w:keepNext w:val="0"/>
              <w:keepLines w:val="0"/>
              <w:numPr>
                <w:ilvl w:val="0"/>
                <w:numId w:val="0"/>
              </w:numPr>
              <w:suppressLineNumbers w:val="0"/>
              <w:snapToGrid w:val="0"/>
              <w:spacing w:before="0" w:beforeAutospacing="0" w:after="0" w:afterAutospacing="0"/>
              <w:ind w:left="640" w:leftChars="0" w:right="0" w:rightChars="0"/>
              <w:jc w:val="left"/>
              <w:rPr>
                <w:rFonts w:hint="default" w:ascii="华文仿宋" w:hAnsi="华文仿宋" w:eastAsia="华文仿宋"/>
                <w:color w:val="FF0000"/>
                <w:sz w:val="28"/>
                <w:lang w:val="en-US" w:eastAsia="zh-CN"/>
              </w:rPr>
            </w:pPr>
            <w:r>
              <w:rPr>
                <w:rFonts w:hint="eastAsia" w:ascii="华文仿宋" w:hAnsi="华文仿宋" w:eastAsia="华文仿宋"/>
                <w:color w:val="FF0000"/>
                <w:sz w:val="28"/>
                <w:lang w:val="en-US" w:eastAsia="zh-CN"/>
              </w:rPr>
              <w:t>1）现场施工作业的焊工必须持有CCS船级社或国家授权单位认可的6G等级或以上证书；</w:t>
            </w:r>
          </w:p>
          <w:p>
            <w:pPr>
              <w:pStyle w:val="27"/>
              <w:keepNext w:val="0"/>
              <w:keepLines w:val="0"/>
              <w:numPr>
                <w:ilvl w:val="0"/>
                <w:numId w:val="0"/>
              </w:numPr>
              <w:suppressLineNumbers w:val="0"/>
              <w:snapToGrid w:val="0"/>
              <w:spacing w:before="0" w:beforeAutospacing="0" w:after="0" w:afterAutospacing="0"/>
              <w:ind w:left="640" w:leftChars="0" w:right="0" w:rightChars="0"/>
              <w:jc w:val="left"/>
              <w:rPr>
                <w:rFonts w:hint="default" w:ascii="华文仿宋" w:hAnsi="华文仿宋" w:eastAsia="华文仿宋" w:cstheme="minorBidi"/>
                <w:color w:val="auto"/>
                <w:kern w:val="2"/>
                <w:sz w:val="28"/>
                <w:szCs w:val="22"/>
                <w:lang w:val="en-US" w:eastAsia="zh-CN" w:bidi="ar-SA"/>
              </w:rPr>
            </w:pPr>
            <w:r>
              <w:rPr>
                <w:rFonts w:hint="default" w:ascii="华文仿宋" w:hAnsi="华文仿宋" w:eastAsia="华文仿宋" w:cstheme="minorBidi"/>
                <w:color w:val="auto"/>
                <w:kern w:val="2"/>
                <w:sz w:val="28"/>
                <w:szCs w:val="22"/>
                <w:lang w:val="en-US" w:eastAsia="zh-CN" w:bidi="ar-SA"/>
              </w:rPr>
              <w:t>并保证在参与投标阶段和中标后合同执行阶段均有效。</w:t>
            </w:r>
          </w:p>
          <w:p>
            <w:pPr>
              <w:pStyle w:val="27"/>
              <w:keepNext w:val="0"/>
              <w:keepLines w:val="0"/>
              <w:numPr>
                <w:ilvl w:val="0"/>
                <w:numId w:val="0"/>
              </w:numPr>
              <w:suppressLineNumbers w:val="0"/>
              <w:snapToGrid w:val="0"/>
              <w:spacing w:before="0" w:beforeAutospacing="0" w:after="0" w:afterAutospacing="0"/>
              <w:ind w:left="640" w:leftChars="0" w:right="0" w:rightChars="0"/>
              <w:jc w:val="left"/>
              <w:rPr>
                <w:rFonts w:hint="default" w:ascii="华文仿宋" w:hAnsi="华文仿宋" w:eastAsia="华文仿宋" w:cstheme="minorBidi"/>
                <w:color w:val="auto"/>
                <w:kern w:val="2"/>
                <w:sz w:val="28"/>
                <w:szCs w:val="22"/>
                <w:lang w:val="en-US" w:eastAsia="zh-CN" w:bidi="ar-SA"/>
              </w:rPr>
            </w:pPr>
          </w:p>
          <w:p>
            <w:pPr>
              <w:pStyle w:val="27"/>
              <w:keepNext w:val="0"/>
              <w:keepLines w:val="0"/>
              <w:numPr>
                <w:ilvl w:val="0"/>
                <w:numId w:val="0"/>
              </w:numPr>
              <w:suppressLineNumbers w:val="0"/>
              <w:snapToGrid w:val="0"/>
              <w:spacing w:before="0" w:beforeAutospacing="0" w:after="0" w:afterAutospacing="0"/>
              <w:ind w:right="0" w:rightChars="0"/>
              <w:jc w:val="left"/>
              <w:rPr>
                <w:rFonts w:hint="default" w:ascii="华文仿宋" w:hAnsi="华文仿宋" w:eastAsia="华文仿宋"/>
                <w:color w:val="auto"/>
                <w:sz w:val="28"/>
                <w:lang w:val="en-US" w:eastAsia="zh-CN"/>
              </w:rPr>
            </w:pPr>
            <w:r>
              <w:rPr>
                <w:rFonts w:hint="eastAsia" w:ascii="华文仿宋" w:hAnsi="华文仿宋" w:eastAsia="华文仿宋"/>
                <w:color w:val="auto"/>
                <w:sz w:val="28"/>
                <w:lang w:val="en-US" w:eastAsia="zh-CN"/>
              </w:rPr>
              <w:t>6、</w:t>
            </w:r>
            <w:r>
              <w:rPr>
                <w:rFonts w:hint="default" w:ascii="华文仿宋" w:hAnsi="华文仿宋" w:eastAsia="华文仿宋"/>
                <w:color w:val="auto"/>
                <w:sz w:val="28"/>
                <w:lang w:val="en-US" w:eastAsia="zh-CN"/>
              </w:rPr>
              <w:t>QHSE管理要求：</w:t>
            </w:r>
          </w:p>
          <w:p>
            <w:pPr>
              <w:pStyle w:val="27"/>
              <w:keepNext w:val="0"/>
              <w:keepLines w:val="0"/>
              <w:numPr>
                <w:ilvl w:val="0"/>
                <w:numId w:val="0"/>
              </w:numPr>
              <w:suppressLineNumbers w:val="0"/>
              <w:snapToGrid w:val="0"/>
              <w:spacing w:before="0" w:beforeAutospacing="0" w:after="0" w:afterAutospacing="0"/>
              <w:ind w:left="640" w:leftChars="0" w:right="0" w:rightChars="0"/>
              <w:jc w:val="left"/>
              <w:rPr>
                <w:rFonts w:hint="default" w:ascii="华文仿宋" w:hAnsi="华文仿宋" w:eastAsia="华文仿宋"/>
                <w:color w:val="auto"/>
                <w:sz w:val="28"/>
                <w:lang w:val="en-US" w:eastAsia="zh-CN"/>
              </w:rPr>
            </w:pPr>
            <w:r>
              <w:rPr>
                <w:rFonts w:hint="default" w:ascii="华文仿宋" w:hAnsi="华文仿宋" w:eastAsia="华文仿宋"/>
                <w:color w:val="auto"/>
                <w:sz w:val="28"/>
                <w:lang w:val="en-US" w:eastAsia="zh-CN"/>
              </w:rPr>
              <w:t>1）出海服务人员须持有出海作业“五小证”、“补差证”、“硫化氢防护证”、“海上交通安全技能培训合格证明”、定位卡等，并经体检合格取得“健康证”后，方可上平台；</w:t>
            </w:r>
          </w:p>
          <w:p>
            <w:pPr>
              <w:pStyle w:val="27"/>
              <w:keepNext w:val="0"/>
              <w:keepLines w:val="0"/>
              <w:numPr>
                <w:ilvl w:val="0"/>
                <w:numId w:val="0"/>
              </w:numPr>
              <w:suppressLineNumbers w:val="0"/>
              <w:snapToGrid w:val="0"/>
              <w:spacing w:before="0" w:beforeAutospacing="0" w:after="0" w:afterAutospacing="0"/>
              <w:ind w:left="640" w:leftChars="0" w:right="0" w:rightChars="0"/>
              <w:jc w:val="left"/>
              <w:rPr>
                <w:rFonts w:hint="default" w:ascii="华文仿宋" w:hAnsi="华文仿宋" w:eastAsia="华文仿宋"/>
                <w:color w:val="auto"/>
                <w:sz w:val="28"/>
                <w:lang w:val="en-US" w:eastAsia="zh-CN"/>
              </w:rPr>
            </w:pPr>
            <w:r>
              <w:rPr>
                <w:rFonts w:hint="default" w:ascii="华文仿宋" w:hAnsi="华文仿宋" w:eastAsia="华文仿宋"/>
                <w:color w:val="auto"/>
                <w:sz w:val="28"/>
                <w:lang w:val="en-US" w:eastAsia="zh-CN"/>
              </w:rPr>
              <w:t>2）动火作业需有有动火监督证件人员进行看火；</w:t>
            </w:r>
          </w:p>
          <w:p>
            <w:pPr>
              <w:pStyle w:val="27"/>
              <w:keepNext w:val="0"/>
              <w:keepLines w:val="0"/>
              <w:numPr>
                <w:ilvl w:val="0"/>
                <w:numId w:val="0"/>
              </w:numPr>
              <w:suppressLineNumbers w:val="0"/>
              <w:snapToGrid w:val="0"/>
              <w:spacing w:before="0" w:beforeAutospacing="0" w:after="0" w:afterAutospacing="0"/>
              <w:ind w:left="640" w:leftChars="0" w:right="0" w:rightChars="0"/>
              <w:jc w:val="left"/>
              <w:rPr>
                <w:rFonts w:hint="eastAsia" w:ascii="华文仿宋" w:hAnsi="华文仿宋" w:eastAsia="华文仿宋" w:cs="华文仿宋"/>
                <w:color w:val="FF0000"/>
                <w:kern w:val="2"/>
                <w:sz w:val="28"/>
                <w:szCs w:val="28"/>
                <w:lang w:val="en-US" w:eastAsia="zh-CN"/>
              </w:rPr>
            </w:pPr>
            <w:r>
              <w:rPr>
                <w:rFonts w:hint="default" w:ascii="华文仿宋" w:hAnsi="华文仿宋" w:eastAsia="华文仿宋"/>
                <w:color w:val="auto"/>
                <w:sz w:val="28"/>
                <w:lang w:val="en-US" w:eastAsia="zh-CN"/>
              </w:rPr>
              <w:t>3）领队需具有中海油培训班组长证；</w:t>
            </w:r>
          </w:p>
          <w:p>
            <w:pPr>
              <w:pStyle w:val="27"/>
              <w:numPr>
                <w:numId w:val="0"/>
              </w:numPr>
              <w:snapToGrid w:val="0"/>
              <w:jc w:val="left"/>
              <w:rPr>
                <w:rFonts w:ascii="Times New Roman" w:hAnsi="Times New Roman" w:eastAsia="仿宋" w:cs="Times New Roman"/>
                <w:kern w:val="0"/>
                <w:sz w:val="24"/>
                <w:szCs w:val="24"/>
              </w:rPr>
            </w:pPr>
            <w:r>
              <w:rPr>
                <w:rFonts w:hint="eastAsia" w:ascii="华文仿宋" w:hAnsi="华文仿宋" w:eastAsia="华文仿宋"/>
                <w:sz w:val="28"/>
                <w:lang w:val="en-US" w:eastAsia="zh-CN"/>
              </w:rPr>
              <w:t>7、</w:t>
            </w:r>
            <w:r>
              <w:rPr>
                <w:rFonts w:hint="eastAsia" w:ascii="华文仿宋" w:hAnsi="华文仿宋" w:eastAsia="华文仿宋"/>
                <w:sz w:val="28"/>
              </w:rPr>
              <w:t>业绩要求：</w:t>
            </w:r>
            <w:r>
              <w:rPr>
                <w:rFonts w:hint="eastAsia" w:ascii="华文仿宋" w:hAnsi="华文仿宋" w:eastAsia="华文仿宋"/>
                <w:sz w:val="28"/>
                <w:lang w:val="en-US" w:eastAsia="zh-CN"/>
              </w:rPr>
              <w:t>3年内</w:t>
            </w:r>
            <w:r>
              <w:rPr>
                <w:rFonts w:hint="eastAsia" w:ascii="华文仿宋" w:hAnsi="华文仿宋" w:eastAsia="华文仿宋"/>
                <w:sz w:val="28"/>
              </w:rPr>
              <w:t>具有</w:t>
            </w:r>
            <w:r>
              <w:rPr>
                <w:rFonts w:hint="eastAsia" w:ascii="华文仿宋" w:hAnsi="华文仿宋" w:eastAsia="华文仿宋"/>
                <w:sz w:val="28"/>
                <w:lang w:val="en-US" w:eastAsia="zh-CN"/>
              </w:rPr>
              <w:t>同类修理</w:t>
            </w:r>
            <w:r>
              <w:rPr>
                <w:rFonts w:hint="default" w:ascii="华文仿宋" w:hAnsi="华文仿宋" w:eastAsia="华文仿宋"/>
                <w:sz w:val="28"/>
              </w:rPr>
              <w:t>业绩</w:t>
            </w:r>
            <w:r>
              <w:rPr>
                <w:rFonts w:hint="eastAsia" w:ascii="华文仿宋" w:hAnsi="华文仿宋" w:eastAsia="华文仿宋"/>
                <w:sz w:val="28"/>
              </w:rPr>
              <w:t>。投标人应对提交的业绩进行汇总，并注明业务的合同签署时间、维修项目名称、技术要求</w:t>
            </w:r>
            <w:r>
              <w:rPr>
                <w:rFonts w:hint="eastAsia" w:ascii="华文仿宋" w:hAnsi="华文仿宋" w:eastAsia="华文仿宋"/>
                <w:sz w:val="28"/>
                <w:lang w:eastAsia="zh-CN"/>
              </w:rPr>
              <w:t>、</w:t>
            </w:r>
            <w:r>
              <w:rPr>
                <w:rFonts w:hint="eastAsia" w:ascii="华文仿宋" w:hAnsi="华文仿宋" w:eastAsia="华文仿宋"/>
                <w:sz w:val="28"/>
                <w:lang w:val="en-US" w:eastAsia="zh-CN"/>
              </w:rPr>
              <w:t>完工验收资料</w:t>
            </w:r>
            <w:r>
              <w:rPr>
                <w:rFonts w:hint="eastAsia" w:ascii="华文仿宋" w:hAnsi="华文仿宋" w:eastAsia="华文仿宋"/>
                <w:sz w:val="28"/>
              </w:rPr>
              <w:t>和对方的联系方式等信息，并附上扫描件等相关证明材料。</w:t>
            </w:r>
          </w:p>
        </w:tc>
        <w:tc>
          <w:tcPr>
            <w:tcW w:w="507" w:type="dxa"/>
            <w:vAlign w:val="center"/>
          </w:tcPr>
          <w:p>
            <w:pPr>
              <w:rPr>
                <w:rFonts w:ascii="Times New Roman" w:hAnsi="Times New Roman" w:eastAsia="仿宋" w:cs="Times New Roman"/>
                <w:kern w:val="0"/>
                <w:sz w:val="24"/>
                <w:szCs w:val="24"/>
                <w:u w:val="single"/>
              </w:rPr>
            </w:pPr>
          </w:p>
        </w:tc>
      </w:tr>
    </w:tbl>
    <w:p>
      <w:pPr>
        <w:numPr>
          <w:ilvl w:val="0"/>
          <w:numId w:val="2"/>
        </w:numPr>
        <w:snapToGrid w:val="0"/>
        <w:jc w:val="left"/>
        <w:rPr>
          <w:rFonts w:ascii="华文仿宋" w:hAnsi="华文仿宋" w:eastAsia="华文仿宋"/>
          <w:sz w:val="28"/>
        </w:rPr>
      </w:pPr>
      <w:r>
        <w:rPr>
          <w:rFonts w:hint="eastAsia" w:ascii="华文仿宋" w:hAnsi="华文仿宋" w:eastAsia="华文仿宋"/>
          <w:sz w:val="28"/>
        </w:rPr>
        <w:t>本次公开的采办计划公告是本项目采办工作的初步安排，实际采购应以相关采购公告和采购文件等为准，所有提供和反馈的信息只作为项目采办参考。</w:t>
      </w:r>
    </w:p>
    <w:p>
      <w:pPr>
        <w:tabs>
          <w:tab w:val="left" w:pos="993"/>
          <w:tab w:val="left" w:pos="1134"/>
          <w:tab w:val="left" w:pos="1418"/>
        </w:tabs>
        <w:spacing w:line="560" w:lineRule="exact"/>
        <w:ind w:firstLine="560" w:firstLineChars="200"/>
        <w:rPr>
          <w:rFonts w:ascii="Times New Roman" w:hAnsi="Times New Roman" w:eastAsia="仿宋_GB2312" w:cs="Times New Roman"/>
          <w:sz w:val="32"/>
          <w:szCs w:val="32"/>
        </w:rPr>
      </w:pPr>
      <w:r>
        <w:rPr>
          <w:rFonts w:hint="eastAsia" w:ascii="华文仿宋" w:hAnsi="华文仿宋" w:eastAsia="华文仿宋"/>
          <w:sz w:val="28"/>
        </w:rPr>
        <w:t>本次公告有效期是（</w:t>
      </w:r>
      <w:r>
        <w:rPr>
          <w:rFonts w:ascii="华文仿宋" w:hAnsi="华文仿宋" w:eastAsia="华文仿宋"/>
          <w:sz w:val="28"/>
        </w:rPr>
        <w:t>202</w:t>
      </w:r>
      <w:r>
        <w:rPr>
          <w:rFonts w:hint="eastAsia" w:ascii="华文仿宋" w:hAnsi="华文仿宋" w:eastAsia="华文仿宋"/>
          <w:sz w:val="28"/>
          <w:lang w:val="en-US" w:eastAsia="zh-CN"/>
        </w:rPr>
        <w:t>6</w:t>
      </w:r>
      <w:r>
        <w:rPr>
          <w:rFonts w:ascii="华文仿宋" w:hAnsi="华文仿宋" w:eastAsia="华文仿宋"/>
          <w:sz w:val="28"/>
        </w:rPr>
        <w:t>年</w:t>
      </w:r>
      <w:r>
        <w:rPr>
          <w:rFonts w:hint="eastAsia" w:ascii="华文仿宋" w:hAnsi="华文仿宋" w:eastAsia="华文仿宋"/>
          <w:b/>
          <w:bCs/>
          <w:color w:val="FF0000"/>
          <w:sz w:val="28"/>
          <w:lang w:val="en-US" w:eastAsia="zh-CN"/>
        </w:rPr>
        <w:t>5</w:t>
      </w:r>
      <w:r>
        <w:rPr>
          <w:rFonts w:ascii="华文仿宋" w:hAnsi="华文仿宋" w:eastAsia="华文仿宋"/>
          <w:sz w:val="28"/>
        </w:rPr>
        <w:t>月</w:t>
      </w:r>
      <w:r>
        <w:rPr>
          <w:rFonts w:hint="eastAsia" w:ascii="华文仿宋" w:hAnsi="华文仿宋" w:eastAsia="华文仿宋"/>
          <w:b/>
          <w:bCs/>
          <w:color w:val="FF0000"/>
          <w:sz w:val="28"/>
          <w:lang w:val="en-US" w:eastAsia="zh-CN"/>
        </w:rPr>
        <w:t>19</w:t>
      </w:r>
      <w:r>
        <w:rPr>
          <w:rFonts w:ascii="华文仿宋" w:hAnsi="华文仿宋" w:eastAsia="华文仿宋"/>
          <w:sz w:val="28"/>
        </w:rPr>
        <w:t>日）至（202</w:t>
      </w:r>
      <w:r>
        <w:rPr>
          <w:rFonts w:hint="eastAsia" w:ascii="华文仿宋" w:hAnsi="华文仿宋" w:eastAsia="华文仿宋"/>
          <w:sz w:val="28"/>
          <w:lang w:val="en-US" w:eastAsia="zh-CN"/>
        </w:rPr>
        <w:t>6</w:t>
      </w:r>
      <w:r>
        <w:rPr>
          <w:rFonts w:ascii="华文仿宋" w:hAnsi="华文仿宋" w:eastAsia="华文仿宋"/>
          <w:sz w:val="28"/>
        </w:rPr>
        <w:t>年</w:t>
      </w:r>
      <w:r>
        <w:rPr>
          <w:rFonts w:hint="eastAsia" w:ascii="华文仿宋" w:hAnsi="华文仿宋" w:eastAsia="华文仿宋"/>
          <w:b/>
          <w:bCs/>
          <w:color w:val="FF0000"/>
          <w:sz w:val="28"/>
          <w:lang w:val="en-US" w:eastAsia="zh-CN"/>
        </w:rPr>
        <w:t>5</w:t>
      </w:r>
      <w:r>
        <w:rPr>
          <w:rFonts w:ascii="华文仿宋" w:hAnsi="华文仿宋" w:eastAsia="华文仿宋"/>
          <w:sz w:val="28"/>
        </w:rPr>
        <w:t>月</w:t>
      </w:r>
      <w:r>
        <w:rPr>
          <w:rFonts w:hint="eastAsia" w:ascii="华文仿宋" w:hAnsi="华文仿宋" w:eastAsia="华文仿宋"/>
          <w:b/>
          <w:bCs/>
          <w:color w:val="FF0000"/>
          <w:sz w:val="28"/>
          <w:lang w:val="en-US" w:eastAsia="zh-CN"/>
        </w:rPr>
        <w:t>25</w:t>
      </w:r>
      <w:r>
        <w:rPr>
          <w:rFonts w:ascii="华文仿宋" w:hAnsi="华文仿宋" w:eastAsia="华文仿宋"/>
          <w:sz w:val="28"/>
        </w:rPr>
        <w:t>日）止。在此期间，有意参与该项目的系统用户可在集团公司采办系统中提交以上证明材料。</w:t>
      </w:r>
    </w:p>
    <w:p>
      <w:pPr>
        <w:tabs>
          <w:tab w:val="left" w:pos="993"/>
          <w:tab w:val="left" w:pos="1134"/>
          <w:tab w:val="left" w:pos="1418"/>
        </w:tabs>
        <w:spacing w:line="600" w:lineRule="exact"/>
        <w:rPr>
          <w:rFonts w:ascii="Times New Roman" w:hAnsi="Times New Roman" w:eastAsia="仿宋" w:cs="Times New Roman"/>
          <w:sz w:val="28"/>
          <w:szCs w:val="28"/>
        </w:rPr>
      </w:pPr>
    </w:p>
    <w:p>
      <w:pPr>
        <w:tabs>
          <w:tab w:val="left" w:pos="993"/>
          <w:tab w:val="left" w:pos="1134"/>
          <w:tab w:val="left" w:pos="1418"/>
        </w:tabs>
        <w:spacing w:line="600" w:lineRule="exact"/>
        <w:ind w:right="320" w:firstLine="960" w:firstLineChars="300"/>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中海油田服务股份有限公司</w:t>
      </w:r>
    </w:p>
    <w:p>
      <w:pPr>
        <w:tabs>
          <w:tab w:val="left" w:pos="993"/>
          <w:tab w:val="left" w:pos="1134"/>
          <w:tab w:val="left" w:pos="1418"/>
        </w:tabs>
        <w:spacing w:line="600" w:lineRule="exact"/>
        <w:ind w:right="320" w:firstLine="960" w:firstLineChars="300"/>
        <w:jc w:val="right"/>
        <w:rPr>
          <w:rFonts w:ascii="Times New Roman" w:hAnsi="Times New Roman" w:eastAsia="仿宋_GB2312" w:cs="Times New Roman"/>
          <w:sz w:val="32"/>
          <w:szCs w:val="32"/>
        </w:rPr>
      </w:pPr>
      <w:bookmarkStart w:id="0" w:name="_GoBack"/>
      <w:bookmarkEnd w:id="0"/>
      <w:r>
        <w:rPr>
          <w:rFonts w:hint="eastAsia" w:ascii="Times New Roman" w:hAnsi="Times New Roman" w:eastAsia="仿宋_GB2312" w:cs="Times New Roman"/>
          <w:sz w:val="32"/>
          <w:szCs w:val="32"/>
        </w:rPr>
        <w:t>采办天津分中心</w:t>
      </w:r>
    </w:p>
    <w:p>
      <w:pPr>
        <w:tabs>
          <w:tab w:val="left" w:pos="993"/>
          <w:tab w:val="left" w:pos="1134"/>
          <w:tab w:val="left" w:pos="1418"/>
        </w:tabs>
        <w:spacing w:line="600" w:lineRule="exact"/>
        <w:ind w:right="480" w:firstLine="960" w:firstLineChars="300"/>
        <w:jc w:val="right"/>
        <w:rPr>
          <w:rFonts w:ascii="Times New Roman" w:hAnsi="Times New Roman" w:eastAsia="仿宋_GB2312" w:cs="Times New Roman"/>
          <w:b/>
          <w:sz w:val="32"/>
          <w:szCs w:val="32"/>
        </w:rPr>
      </w:pPr>
      <w:r>
        <w:rPr>
          <w:rFonts w:hint="eastAsia"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19</w:t>
      </w:r>
      <w:r>
        <w:rPr>
          <w:rFonts w:ascii="Times New Roman" w:hAnsi="Times New Roman" w:eastAsia="仿宋_GB2312" w:cs="Times New Roman"/>
          <w:sz w:val="32"/>
          <w:szCs w:val="32"/>
        </w:rPr>
        <w:t xml:space="preserve">日  </w:t>
      </w:r>
    </w:p>
    <w:p>
      <w:pPr>
        <w:rPr>
          <w:rFonts w:hint="eastAsia" w:ascii="华文仿宋" w:hAnsi="华文仿宋" w:eastAsia="华文仿宋" w:cstheme="minorBidi"/>
          <w:kern w:val="2"/>
          <w:sz w:val="28"/>
          <w:szCs w:val="2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9765C7"/>
    <w:multiLevelType w:val="multilevel"/>
    <w:tmpl w:val="589765C7"/>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39A9A3B"/>
    <w:multiLevelType w:val="singleLevel"/>
    <w:tmpl w:val="639A9A3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1NGNmN2E5OTRhMGQ0ODBmNTM2ZWUwOTE5MWYzNDIifQ=="/>
  </w:docVars>
  <w:rsids>
    <w:rsidRoot w:val="00AE20AB"/>
    <w:rsid w:val="00005367"/>
    <w:rsid w:val="002E3C4A"/>
    <w:rsid w:val="004029A6"/>
    <w:rsid w:val="00AE20AB"/>
    <w:rsid w:val="00B728B4"/>
    <w:rsid w:val="00BE19D5"/>
    <w:rsid w:val="00ED277A"/>
    <w:rsid w:val="02690DD7"/>
    <w:rsid w:val="02BC5BB1"/>
    <w:rsid w:val="05FB5CDC"/>
    <w:rsid w:val="07041D8E"/>
    <w:rsid w:val="07103BCF"/>
    <w:rsid w:val="09F80AC8"/>
    <w:rsid w:val="0B3D08FD"/>
    <w:rsid w:val="0D476545"/>
    <w:rsid w:val="0D982E74"/>
    <w:rsid w:val="0E606290"/>
    <w:rsid w:val="0F5266D6"/>
    <w:rsid w:val="0FD135D3"/>
    <w:rsid w:val="1198380E"/>
    <w:rsid w:val="11DE2A4A"/>
    <w:rsid w:val="13571275"/>
    <w:rsid w:val="13F15486"/>
    <w:rsid w:val="141D2D31"/>
    <w:rsid w:val="14430BF0"/>
    <w:rsid w:val="14573B53"/>
    <w:rsid w:val="15433F92"/>
    <w:rsid w:val="17E21C40"/>
    <w:rsid w:val="1BE3305D"/>
    <w:rsid w:val="1D6A42D9"/>
    <w:rsid w:val="20042EF4"/>
    <w:rsid w:val="202C378C"/>
    <w:rsid w:val="21061B75"/>
    <w:rsid w:val="233A36B3"/>
    <w:rsid w:val="2764404B"/>
    <w:rsid w:val="2A6156C7"/>
    <w:rsid w:val="2B7426DA"/>
    <w:rsid w:val="2E072F48"/>
    <w:rsid w:val="2FCB6E81"/>
    <w:rsid w:val="358D75EC"/>
    <w:rsid w:val="36133E93"/>
    <w:rsid w:val="37435730"/>
    <w:rsid w:val="37975FE8"/>
    <w:rsid w:val="38614477"/>
    <w:rsid w:val="38D01F9E"/>
    <w:rsid w:val="3D0F1DCD"/>
    <w:rsid w:val="3D9E3CB6"/>
    <w:rsid w:val="3E4703A8"/>
    <w:rsid w:val="3EF13413"/>
    <w:rsid w:val="402D7F6F"/>
    <w:rsid w:val="41255064"/>
    <w:rsid w:val="41B62A0E"/>
    <w:rsid w:val="473A5539"/>
    <w:rsid w:val="49FB52EA"/>
    <w:rsid w:val="4AAF6613"/>
    <w:rsid w:val="4BF17F84"/>
    <w:rsid w:val="4E0171FD"/>
    <w:rsid w:val="4E485EDC"/>
    <w:rsid w:val="4E640EAA"/>
    <w:rsid w:val="4FB07009"/>
    <w:rsid w:val="50BE0F29"/>
    <w:rsid w:val="51574706"/>
    <w:rsid w:val="51FB3D22"/>
    <w:rsid w:val="59906ABD"/>
    <w:rsid w:val="59EA31FC"/>
    <w:rsid w:val="59FD6BD3"/>
    <w:rsid w:val="5A056DC1"/>
    <w:rsid w:val="5AC565C8"/>
    <w:rsid w:val="5AE165AE"/>
    <w:rsid w:val="5B0477AA"/>
    <w:rsid w:val="5B8833F6"/>
    <w:rsid w:val="5F4232DE"/>
    <w:rsid w:val="5FDE6BF3"/>
    <w:rsid w:val="622F7F27"/>
    <w:rsid w:val="63DA1B20"/>
    <w:rsid w:val="68194906"/>
    <w:rsid w:val="6BF038FF"/>
    <w:rsid w:val="6F1F4266"/>
    <w:rsid w:val="6F1F77B2"/>
    <w:rsid w:val="70AB291F"/>
    <w:rsid w:val="72972E06"/>
    <w:rsid w:val="72BC7A9E"/>
    <w:rsid w:val="7432580B"/>
    <w:rsid w:val="74DB3BE3"/>
    <w:rsid w:val="75051C98"/>
    <w:rsid w:val="78ED582F"/>
    <w:rsid w:val="7BA658D2"/>
    <w:rsid w:val="7E317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1"/>
    <w:unhideWhenUsed/>
    <w:qFormat/>
    <w:uiPriority w:val="99"/>
    <w:pPr>
      <w:tabs>
        <w:tab w:val="center" w:pos="4153"/>
        <w:tab w:val="right" w:pos="8306"/>
      </w:tabs>
      <w:snapToGrid w:val="0"/>
      <w:jc w:val="left"/>
    </w:pPr>
    <w:rPr>
      <w:sz w:val="18"/>
      <w:szCs w:val="18"/>
    </w:rPr>
  </w:style>
  <w:style w:type="paragraph" w:styleId="3">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rPr>
      <w:sz w:val="24"/>
    </w:rPr>
  </w:style>
  <w:style w:type="table" w:styleId="6">
    <w:name w:val="Table Grid"/>
    <w:basedOn w:val="5"/>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FollowedHyperlink"/>
    <w:basedOn w:val="7"/>
    <w:semiHidden/>
    <w:unhideWhenUsed/>
    <w:qFormat/>
    <w:uiPriority w:val="99"/>
    <w:rPr>
      <w:color w:val="333333"/>
      <w:u w:val="none"/>
    </w:rPr>
  </w:style>
  <w:style w:type="character" w:styleId="10">
    <w:name w:val="Emphasis"/>
    <w:basedOn w:val="7"/>
    <w:qFormat/>
    <w:uiPriority w:val="20"/>
    <w:rPr>
      <w:b/>
      <w:bCs/>
    </w:rPr>
  </w:style>
  <w:style w:type="character" w:styleId="11">
    <w:name w:val="HTML Definition"/>
    <w:basedOn w:val="7"/>
    <w:semiHidden/>
    <w:unhideWhenUsed/>
    <w:qFormat/>
    <w:uiPriority w:val="99"/>
  </w:style>
  <w:style w:type="character" w:styleId="12">
    <w:name w:val="HTML Typewriter"/>
    <w:basedOn w:val="7"/>
    <w:semiHidden/>
    <w:unhideWhenUsed/>
    <w:qFormat/>
    <w:uiPriority w:val="99"/>
    <w:rPr>
      <w:rFonts w:hint="default" w:ascii="monospace" w:hAnsi="monospace" w:eastAsia="monospace" w:cs="monospace"/>
      <w:sz w:val="20"/>
    </w:rPr>
  </w:style>
  <w:style w:type="character" w:styleId="13">
    <w:name w:val="HTML Acronym"/>
    <w:basedOn w:val="7"/>
    <w:semiHidden/>
    <w:unhideWhenUsed/>
    <w:qFormat/>
    <w:uiPriority w:val="99"/>
  </w:style>
  <w:style w:type="character" w:styleId="14">
    <w:name w:val="HTML Variable"/>
    <w:basedOn w:val="7"/>
    <w:semiHidden/>
    <w:unhideWhenUsed/>
    <w:qFormat/>
    <w:uiPriority w:val="99"/>
    <w:rPr>
      <w:sz w:val="0"/>
      <w:szCs w:val="0"/>
    </w:rPr>
  </w:style>
  <w:style w:type="character" w:styleId="15">
    <w:name w:val="Hyperlink"/>
    <w:basedOn w:val="7"/>
    <w:semiHidden/>
    <w:unhideWhenUsed/>
    <w:qFormat/>
    <w:uiPriority w:val="99"/>
    <w:rPr>
      <w:color w:val="333333"/>
      <w:u w:val="none"/>
    </w:rPr>
  </w:style>
  <w:style w:type="character" w:styleId="16">
    <w:name w:val="HTML Code"/>
    <w:basedOn w:val="7"/>
    <w:semiHidden/>
    <w:unhideWhenUsed/>
    <w:qFormat/>
    <w:uiPriority w:val="99"/>
    <w:rPr>
      <w:rFonts w:hint="default" w:ascii="monospace" w:hAnsi="monospace" w:eastAsia="monospace" w:cs="monospace"/>
      <w:sz w:val="20"/>
    </w:rPr>
  </w:style>
  <w:style w:type="character" w:styleId="17">
    <w:name w:val="HTML Cite"/>
    <w:basedOn w:val="7"/>
    <w:semiHidden/>
    <w:unhideWhenUsed/>
    <w:qFormat/>
    <w:uiPriority w:val="99"/>
  </w:style>
  <w:style w:type="character" w:styleId="18">
    <w:name w:val="HTML Keyboard"/>
    <w:basedOn w:val="7"/>
    <w:semiHidden/>
    <w:unhideWhenUsed/>
    <w:qFormat/>
    <w:uiPriority w:val="99"/>
    <w:rPr>
      <w:rFonts w:hint="default" w:ascii="monospace" w:hAnsi="monospace" w:eastAsia="monospace" w:cs="monospace"/>
      <w:sz w:val="20"/>
    </w:rPr>
  </w:style>
  <w:style w:type="character" w:styleId="19">
    <w:name w:val="HTML Sample"/>
    <w:basedOn w:val="7"/>
    <w:semiHidden/>
    <w:unhideWhenUsed/>
    <w:qFormat/>
    <w:uiPriority w:val="99"/>
    <w:rPr>
      <w:rFonts w:ascii="monospace" w:hAnsi="monospace" w:eastAsia="monospace" w:cs="monospace"/>
    </w:rPr>
  </w:style>
  <w:style w:type="character" w:customStyle="1" w:styleId="20">
    <w:name w:val="页眉 字符"/>
    <w:basedOn w:val="7"/>
    <w:link w:val="3"/>
    <w:qFormat/>
    <w:uiPriority w:val="99"/>
    <w:rPr>
      <w:sz w:val="18"/>
      <w:szCs w:val="18"/>
    </w:rPr>
  </w:style>
  <w:style w:type="character" w:customStyle="1" w:styleId="21">
    <w:name w:val="页脚 字符"/>
    <w:basedOn w:val="7"/>
    <w:link w:val="2"/>
    <w:qFormat/>
    <w:uiPriority w:val="99"/>
    <w:rPr>
      <w:sz w:val="18"/>
      <w:szCs w:val="18"/>
    </w:rPr>
  </w:style>
  <w:style w:type="character" w:customStyle="1" w:styleId="22">
    <w:name w:val="comboiconspan"/>
    <w:basedOn w:val="7"/>
    <w:qFormat/>
    <w:uiPriority w:val="0"/>
  </w:style>
  <w:style w:type="character" w:customStyle="1" w:styleId="23">
    <w:name w:val="clear"/>
    <w:basedOn w:val="7"/>
    <w:qFormat/>
    <w:uiPriority w:val="0"/>
  </w:style>
  <w:style w:type="character" w:customStyle="1" w:styleId="24">
    <w:name w:val="select"/>
    <w:basedOn w:val="7"/>
    <w:qFormat/>
    <w:uiPriority w:val="0"/>
  </w:style>
  <w:style w:type="character" w:customStyle="1" w:styleId="25">
    <w:name w:val="ui-icon42"/>
    <w:basedOn w:val="7"/>
    <w:qFormat/>
    <w:uiPriority w:val="0"/>
  </w:style>
  <w:style w:type="character" w:customStyle="1" w:styleId="26">
    <w:name w:val="comboiconspanclear"/>
    <w:basedOn w:val="7"/>
    <w:qFormat/>
    <w:uiPriority w:val="0"/>
  </w:style>
  <w:style w:type="paragraph" w:styleId="27">
    <w:name w:val="List Paragraph"/>
    <w:basedOn w:val="1"/>
    <w:qFormat/>
    <w:uiPriority w:val="34"/>
    <w:pPr>
      <w:ind w:firstLine="420" w:firstLineChars="200"/>
    </w:pPr>
  </w:style>
  <w:style w:type="character" w:customStyle="1" w:styleId="28">
    <w:name w:val="ui-icon47"/>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185</Words>
  <Characters>1055</Characters>
  <Lines>8</Lines>
  <Paragraphs>2</Paragraphs>
  <TotalTime>10</TotalTime>
  <ScaleCrop>false</ScaleCrop>
  <LinksUpToDate>false</LinksUpToDate>
  <CharactersWithSpaces>1238</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2021-04-29T03:47:00Z</dcterms:created>
  <dc:creator>季云峰/采办项目组/集团公司机关</dc:creator>
  <cp:lastModifiedBy>王珍</cp:lastModifiedBy>
  <dcterms:modified xsi:type="dcterms:W3CDTF">2026-05-19T06:36:01Z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C7829E47535145939CDCDE6C75263436</vt:lpwstr>
  </property>
</Properties>
</file>