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1"/>
        </w:numPr>
        <w:kinsoku/>
        <w:wordWrap/>
        <w:overflowPunct/>
        <w:topLinePunct w:val="0"/>
        <w:autoSpaceDE w:val="0"/>
        <w:autoSpaceDN w:val="0"/>
        <w:bidi w:val="0"/>
        <w:adjustRightInd/>
        <w:snapToGrid w:val="0"/>
        <w:spacing w:line="360" w:lineRule="auto"/>
        <w:jc w:val="center"/>
        <w:textAlignment w:val="auto"/>
        <w:rPr>
          <w:rFonts w:hint="eastAsia" w:ascii="黑体" w:hAnsi="黑体" w:eastAsia="黑体"/>
          <w:b/>
          <w:color w:val="auto"/>
          <w:sz w:val="30"/>
          <w:szCs w:val="30"/>
          <w:highlight w:val="none"/>
          <w:lang w:eastAsia="zh-CN"/>
        </w:rPr>
      </w:pPr>
      <w:r>
        <w:rPr>
          <w:rFonts w:hint="eastAsia" w:ascii="黑体" w:hAnsi="黑体" w:eastAsia="黑体"/>
          <w:b/>
          <w:color w:val="auto"/>
          <w:sz w:val="30"/>
          <w:szCs w:val="30"/>
          <w:highlight w:val="none"/>
          <w:lang w:eastAsia="zh-CN"/>
        </w:rPr>
        <w:t>技术要求</w:t>
      </w:r>
    </w:p>
    <w:p>
      <w:pPr>
        <w:jc w:val="center"/>
        <w:rPr>
          <w:rFonts w:ascii="微软雅黑" w:hAnsi="微软雅黑" w:eastAsia="微软雅黑" w:cs="Times New Roman"/>
          <w:b/>
          <w:color w:val="auto"/>
          <w:kern w:val="2"/>
          <w:sz w:val="32"/>
          <w:szCs w:val="32"/>
          <w:highlight w:val="none"/>
          <w:lang w:eastAsia="zh-CN"/>
        </w:rPr>
      </w:pPr>
      <w:r>
        <w:rPr>
          <w:rFonts w:hint="eastAsia" w:ascii="微软雅黑" w:hAnsi="微软雅黑" w:eastAsia="微软雅黑" w:cs="Times New Roman"/>
          <w:b/>
          <w:color w:val="auto"/>
          <w:kern w:val="2"/>
          <w:sz w:val="32"/>
          <w:szCs w:val="32"/>
          <w:highlight w:val="none"/>
          <w:lang w:eastAsia="zh-CN"/>
        </w:rPr>
        <w:t>202</w:t>
      </w:r>
      <w:r>
        <w:rPr>
          <w:rFonts w:hint="eastAsia" w:ascii="微软雅黑" w:hAnsi="微软雅黑" w:eastAsia="微软雅黑" w:cs="Times New Roman"/>
          <w:b/>
          <w:color w:val="auto"/>
          <w:kern w:val="2"/>
          <w:sz w:val="32"/>
          <w:szCs w:val="32"/>
          <w:highlight w:val="none"/>
          <w:lang w:val="en-US" w:eastAsia="zh-CN"/>
        </w:rPr>
        <w:t>5</w:t>
      </w:r>
      <w:r>
        <w:rPr>
          <w:rFonts w:hint="eastAsia" w:ascii="微软雅黑" w:hAnsi="微软雅黑" w:eastAsia="微软雅黑" w:cs="Times New Roman"/>
          <w:b/>
          <w:color w:val="auto"/>
          <w:kern w:val="2"/>
          <w:sz w:val="32"/>
          <w:szCs w:val="32"/>
          <w:highlight w:val="none"/>
          <w:lang w:eastAsia="zh-CN"/>
        </w:rPr>
        <w:t>-202</w:t>
      </w:r>
      <w:r>
        <w:rPr>
          <w:rFonts w:hint="eastAsia" w:ascii="微软雅黑" w:hAnsi="微软雅黑" w:eastAsia="微软雅黑" w:cs="Times New Roman"/>
          <w:b/>
          <w:color w:val="auto"/>
          <w:kern w:val="2"/>
          <w:sz w:val="32"/>
          <w:szCs w:val="32"/>
          <w:highlight w:val="none"/>
          <w:lang w:val="en-US" w:eastAsia="zh-CN"/>
        </w:rPr>
        <w:t>7</w:t>
      </w:r>
      <w:r>
        <w:rPr>
          <w:rFonts w:hint="eastAsia" w:ascii="微软雅黑" w:hAnsi="微软雅黑" w:eastAsia="微软雅黑" w:cs="Times New Roman"/>
          <w:b/>
          <w:color w:val="auto"/>
          <w:kern w:val="2"/>
          <w:sz w:val="32"/>
          <w:szCs w:val="32"/>
          <w:highlight w:val="none"/>
          <w:lang w:eastAsia="zh-CN"/>
        </w:rPr>
        <w:t>年度东海海域平台场址及管缆路由勘察数据服务</w:t>
      </w:r>
    </w:p>
    <w:p>
      <w:pPr>
        <w:jc w:val="center"/>
        <w:rPr>
          <w:rFonts w:ascii="微软雅黑" w:hAnsi="微软雅黑" w:eastAsia="微软雅黑" w:cs="Times New Roman"/>
          <w:b/>
          <w:color w:val="auto"/>
          <w:kern w:val="2"/>
          <w:sz w:val="32"/>
          <w:szCs w:val="32"/>
          <w:highlight w:val="none"/>
          <w:lang w:eastAsia="zh-CN"/>
        </w:rPr>
      </w:pPr>
      <w:r>
        <w:rPr>
          <w:rFonts w:hint="eastAsia" w:ascii="微软雅黑" w:hAnsi="微软雅黑" w:eastAsia="微软雅黑" w:cs="Times New Roman"/>
          <w:b/>
          <w:color w:val="auto"/>
          <w:kern w:val="2"/>
          <w:sz w:val="32"/>
          <w:szCs w:val="32"/>
          <w:highlight w:val="none"/>
          <w:lang w:eastAsia="zh-CN"/>
        </w:rPr>
        <w:t>——工作范围及技术</w:t>
      </w:r>
      <w:r>
        <w:rPr>
          <w:rFonts w:ascii="微软雅黑" w:hAnsi="微软雅黑" w:eastAsia="微软雅黑" w:cs="Times New Roman"/>
          <w:b/>
          <w:color w:val="auto"/>
          <w:kern w:val="2"/>
          <w:sz w:val="32"/>
          <w:szCs w:val="32"/>
          <w:highlight w:val="none"/>
          <w:lang w:eastAsia="zh-CN"/>
        </w:rPr>
        <w:t>要求</w:t>
      </w:r>
    </w:p>
    <w:p>
      <w:pPr>
        <w:jc w:val="center"/>
        <w:rPr>
          <w:rFonts w:ascii="微软雅黑" w:hAnsi="微软雅黑" w:eastAsia="微软雅黑"/>
          <w:b/>
          <w:color w:val="auto"/>
          <w:sz w:val="24"/>
          <w:szCs w:val="24"/>
          <w:highlight w:val="none"/>
        </w:rPr>
      </w:pPr>
      <w:bookmarkStart w:id="0" w:name="SubjectName1"/>
      <w:bookmarkStart w:id="1" w:name="_Toc256000225"/>
    </w:p>
    <w:p>
      <w:pPr>
        <w:pageBreakBefore w:val="0"/>
        <w:kinsoku/>
        <w:wordWrap/>
        <w:overflowPunct/>
        <w:topLinePunct w:val="0"/>
        <w:autoSpaceDE/>
        <w:autoSpaceDN/>
        <w:bidi w:val="0"/>
        <w:adjustRightInd/>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 xml:space="preserve">1 </w:t>
      </w:r>
      <w:r>
        <w:rPr>
          <w:rFonts w:hint="eastAsia" w:ascii="宋体" w:hAnsi="宋体" w:eastAsia="宋体" w:cs="宋体"/>
          <w:b/>
          <w:bCs/>
          <w:color w:val="auto"/>
          <w:sz w:val="28"/>
          <w:szCs w:val="28"/>
          <w:highlight w:val="none"/>
          <w:lang w:val="en-US" w:eastAsia="zh-CN"/>
        </w:rPr>
        <w:t>工作范围</w:t>
      </w:r>
    </w:p>
    <w:p>
      <w:pPr>
        <w:pageBreakBefore w:val="0"/>
        <w:numPr>
          <w:ilvl w:val="0"/>
          <w:numId w:val="2"/>
        </w:numPr>
        <w:kinsoku/>
        <w:wordWrap/>
        <w:overflowPunct/>
        <w:topLinePunct w:val="0"/>
        <w:autoSpaceDE/>
        <w:autoSpaceDN/>
        <w:bidi w:val="0"/>
        <w:adjustRightInd/>
        <w:spacing w:line="360" w:lineRule="auto"/>
        <w:ind w:firstLine="42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购买东海海域新建油气田项目</w:t>
      </w:r>
      <w:r>
        <w:rPr>
          <w:rFonts w:hint="eastAsia" w:ascii="宋体" w:hAnsi="宋体" w:cs="宋体"/>
          <w:color w:val="auto"/>
          <w:sz w:val="24"/>
          <w:szCs w:val="24"/>
          <w:highlight w:val="none"/>
          <w:lang w:val="en-US" w:eastAsia="zh-CN"/>
        </w:rPr>
        <w:t>平台</w:t>
      </w:r>
      <w:r>
        <w:rPr>
          <w:rFonts w:hint="eastAsia" w:ascii="宋体" w:hAnsi="宋体" w:eastAsia="宋体" w:cs="宋体"/>
          <w:color w:val="auto"/>
          <w:sz w:val="24"/>
          <w:szCs w:val="24"/>
          <w:highlight w:val="none"/>
          <w:lang w:val="en-US" w:eastAsia="zh-CN"/>
        </w:rPr>
        <w:t>场址工程勘察数据，包括但不限于：</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新建平台场</w:t>
      </w:r>
      <w:r>
        <w:rPr>
          <w:rFonts w:hint="eastAsia" w:ascii="宋体" w:hAnsi="宋体" w:cs="宋体"/>
          <w:color w:val="auto"/>
          <w:kern w:val="0"/>
          <w:sz w:val="24"/>
          <w:szCs w:val="24"/>
          <w:highlight w:val="none"/>
          <w:lang w:val="en-US" w:eastAsia="zh-CN"/>
        </w:rPr>
        <w:t>址</w:t>
      </w:r>
      <w:r>
        <w:rPr>
          <w:rFonts w:hint="eastAsia" w:ascii="宋体" w:hAnsi="宋体" w:eastAsia="宋体" w:cs="宋体"/>
          <w:color w:val="auto"/>
          <w:kern w:val="0"/>
          <w:sz w:val="24"/>
          <w:szCs w:val="24"/>
          <w:highlight w:val="none"/>
        </w:rPr>
        <w:t>工程物探</w:t>
      </w:r>
      <w:r>
        <w:rPr>
          <w:rFonts w:hint="eastAsia" w:ascii="宋体" w:hAnsi="宋体" w:eastAsia="宋体" w:cs="宋体"/>
          <w:color w:val="auto"/>
          <w:kern w:val="0"/>
          <w:sz w:val="24"/>
          <w:szCs w:val="24"/>
          <w:highlight w:val="none"/>
          <w:lang w:val="en-US" w:eastAsia="zh-CN"/>
        </w:rPr>
        <w:t>数据</w:t>
      </w:r>
      <w:r>
        <w:rPr>
          <w:rFonts w:hint="eastAsia" w:ascii="宋体" w:hAnsi="宋体" w:eastAsia="宋体" w:cs="宋体"/>
          <w:color w:val="auto"/>
          <w:kern w:val="0"/>
          <w:sz w:val="24"/>
          <w:szCs w:val="24"/>
          <w:highlight w:val="none"/>
        </w:rPr>
        <w:t>；</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新建平台场</w:t>
      </w:r>
      <w:r>
        <w:rPr>
          <w:rFonts w:hint="eastAsia" w:ascii="宋体" w:hAnsi="宋体" w:cs="宋体"/>
          <w:color w:val="auto"/>
          <w:kern w:val="0"/>
          <w:sz w:val="24"/>
          <w:szCs w:val="24"/>
          <w:highlight w:val="none"/>
          <w:lang w:val="en-US" w:eastAsia="zh-CN"/>
        </w:rPr>
        <w:t>址</w:t>
      </w:r>
      <w:r>
        <w:rPr>
          <w:rFonts w:hint="eastAsia" w:ascii="宋体" w:hAnsi="宋体" w:eastAsia="宋体" w:cs="宋体"/>
          <w:color w:val="auto"/>
          <w:kern w:val="0"/>
          <w:sz w:val="24"/>
          <w:szCs w:val="24"/>
          <w:highlight w:val="none"/>
        </w:rPr>
        <w:t>工程地质</w:t>
      </w:r>
      <w:r>
        <w:rPr>
          <w:rFonts w:hint="eastAsia" w:ascii="宋体" w:hAnsi="宋体" w:eastAsia="宋体" w:cs="宋体"/>
          <w:color w:val="auto"/>
          <w:kern w:val="0"/>
          <w:sz w:val="24"/>
          <w:szCs w:val="24"/>
          <w:highlight w:val="none"/>
          <w:lang w:val="en-US" w:eastAsia="zh-CN"/>
        </w:rPr>
        <w:t>数据</w:t>
      </w:r>
      <w:r>
        <w:rPr>
          <w:rFonts w:hint="eastAsia" w:ascii="宋体" w:hAnsi="宋体" w:eastAsia="宋体" w:cs="宋体"/>
          <w:color w:val="auto"/>
          <w:kern w:val="0"/>
          <w:sz w:val="24"/>
          <w:szCs w:val="24"/>
          <w:highlight w:val="none"/>
        </w:rPr>
        <w:t>；</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新建</w:t>
      </w:r>
      <w:r>
        <w:rPr>
          <w:rFonts w:hint="eastAsia" w:ascii="宋体" w:hAnsi="宋体" w:cs="宋体"/>
          <w:color w:val="auto"/>
          <w:kern w:val="0"/>
          <w:sz w:val="24"/>
          <w:szCs w:val="24"/>
          <w:highlight w:val="none"/>
          <w:lang w:val="en-US" w:eastAsia="zh-CN"/>
        </w:rPr>
        <w:t>平台</w:t>
      </w:r>
      <w:r>
        <w:rPr>
          <w:rFonts w:hint="eastAsia" w:ascii="宋体" w:hAnsi="宋体" w:eastAsia="宋体" w:cs="宋体"/>
          <w:color w:val="auto"/>
          <w:kern w:val="0"/>
          <w:sz w:val="24"/>
          <w:szCs w:val="24"/>
          <w:highlight w:val="none"/>
        </w:rPr>
        <w:t>场</w:t>
      </w:r>
      <w:r>
        <w:rPr>
          <w:rFonts w:hint="eastAsia" w:ascii="宋体" w:hAnsi="宋体" w:cs="宋体"/>
          <w:color w:val="auto"/>
          <w:kern w:val="0"/>
          <w:sz w:val="24"/>
          <w:szCs w:val="24"/>
          <w:highlight w:val="none"/>
          <w:lang w:val="en-US" w:eastAsia="zh-CN"/>
        </w:rPr>
        <w:t>址井场调查数据</w:t>
      </w:r>
      <w:r>
        <w:rPr>
          <w:rFonts w:hint="eastAsia" w:ascii="宋体" w:hAnsi="宋体" w:eastAsia="宋体" w:cs="宋体"/>
          <w:color w:val="auto"/>
          <w:kern w:val="0"/>
          <w:sz w:val="24"/>
          <w:szCs w:val="24"/>
          <w:highlight w:val="none"/>
          <w:lang w:val="en-US" w:eastAsia="zh-CN"/>
        </w:rPr>
        <w:t>。</w:t>
      </w:r>
    </w:p>
    <w:p>
      <w:pPr>
        <w:widowControl/>
        <w:numPr>
          <w:ilvl w:val="0"/>
          <w:numId w:val="3"/>
        </w:numPr>
        <w:tabs>
          <w:tab w:val="left" w:pos="870"/>
        </w:tabs>
        <w:autoSpaceDE/>
        <w:autoSpaceDN/>
        <w:adjustRightInd/>
        <w:snapToGrid w:val="0"/>
        <w:spacing w:before="156" w:beforeLines="50"/>
        <w:ind w:left="873" w:hanging="272"/>
        <w:jc w:val="left"/>
        <w:rPr>
          <w:rFonts w:hint="eastAsia"/>
          <w:color w:val="auto"/>
          <w:highlight w:val="none"/>
          <w:lang w:val="en-US" w:eastAsia="zh-CN"/>
        </w:rPr>
      </w:pPr>
      <w:r>
        <w:rPr>
          <w:rFonts w:hint="eastAsia" w:ascii="宋体" w:hAnsi="宋体" w:eastAsia="宋体" w:cs="宋体"/>
          <w:color w:val="auto"/>
          <w:kern w:val="0"/>
          <w:sz w:val="24"/>
          <w:szCs w:val="24"/>
          <w:highlight w:val="none"/>
        </w:rPr>
        <w:t>新建</w:t>
      </w:r>
      <w:r>
        <w:rPr>
          <w:rFonts w:hint="eastAsia" w:ascii="宋体" w:hAnsi="宋体" w:cs="宋体"/>
          <w:color w:val="auto"/>
          <w:kern w:val="0"/>
          <w:sz w:val="24"/>
          <w:szCs w:val="24"/>
          <w:highlight w:val="none"/>
          <w:lang w:val="en-US" w:eastAsia="zh-CN"/>
        </w:rPr>
        <w:t>平台</w:t>
      </w:r>
      <w:r>
        <w:rPr>
          <w:rFonts w:hint="eastAsia" w:ascii="宋体" w:hAnsi="宋体" w:eastAsia="宋体" w:cs="宋体"/>
          <w:color w:val="auto"/>
          <w:kern w:val="0"/>
          <w:sz w:val="24"/>
          <w:szCs w:val="24"/>
          <w:highlight w:val="none"/>
        </w:rPr>
        <w:t>场</w:t>
      </w:r>
      <w:r>
        <w:rPr>
          <w:rFonts w:hint="eastAsia" w:ascii="宋体" w:hAnsi="宋体" w:cs="宋体"/>
          <w:color w:val="auto"/>
          <w:kern w:val="0"/>
          <w:sz w:val="24"/>
          <w:szCs w:val="24"/>
          <w:highlight w:val="none"/>
          <w:lang w:val="en-US" w:eastAsia="zh-CN"/>
        </w:rPr>
        <w:t>址</w:t>
      </w:r>
      <w:r>
        <w:rPr>
          <w:rFonts w:hint="eastAsia" w:ascii="宋体" w:hAnsi="宋体" w:eastAsia="宋体" w:cs="宋体"/>
          <w:color w:val="auto"/>
          <w:kern w:val="0"/>
          <w:sz w:val="24"/>
          <w:szCs w:val="24"/>
          <w:highlight w:val="none"/>
        </w:rPr>
        <w:t>海洋环境</w:t>
      </w:r>
      <w:r>
        <w:rPr>
          <w:rFonts w:hint="eastAsia" w:ascii="宋体" w:hAnsi="宋体" w:eastAsia="宋体" w:cs="宋体"/>
          <w:color w:val="auto"/>
          <w:kern w:val="0"/>
          <w:sz w:val="24"/>
          <w:szCs w:val="24"/>
          <w:highlight w:val="none"/>
          <w:lang w:val="en-US" w:eastAsia="zh-CN"/>
        </w:rPr>
        <w:t>资料。</w:t>
      </w:r>
    </w:p>
    <w:p>
      <w:pPr>
        <w:pageBreakBefore w:val="0"/>
        <w:numPr>
          <w:ilvl w:val="0"/>
          <w:numId w:val="2"/>
        </w:numPr>
        <w:kinsoku/>
        <w:wordWrap/>
        <w:overflowPunct/>
        <w:topLinePunct w:val="0"/>
        <w:autoSpaceDE/>
        <w:autoSpaceDN/>
        <w:bidi w:val="0"/>
        <w:adjustRightInd/>
        <w:spacing w:line="360" w:lineRule="auto"/>
        <w:ind w:left="0" w:leftChars="0" w:firstLine="42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购买东海海域管缆路由勘察数据（包括水深、地形、岩性、环境等），包括但不限于：</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新建海底</w:t>
      </w:r>
      <w:r>
        <w:rPr>
          <w:rFonts w:hint="eastAsia" w:ascii="宋体" w:hAnsi="宋体" w:eastAsia="宋体" w:cs="宋体"/>
          <w:color w:val="auto"/>
          <w:kern w:val="0"/>
          <w:sz w:val="24"/>
          <w:szCs w:val="24"/>
          <w:highlight w:val="none"/>
          <w:lang w:val="en-US" w:eastAsia="zh-CN"/>
        </w:rPr>
        <w:t>管缆</w:t>
      </w:r>
      <w:r>
        <w:rPr>
          <w:rFonts w:hint="eastAsia" w:ascii="宋体" w:hAnsi="宋体" w:eastAsia="宋体" w:cs="宋体"/>
          <w:color w:val="auto"/>
          <w:kern w:val="0"/>
          <w:sz w:val="24"/>
          <w:szCs w:val="24"/>
          <w:highlight w:val="none"/>
        </w:rPr>
        <w:t>路由工程物探</w:t>
      </w:r>
      <w:r>
        <w:rPr>
          <w:rFonts w:hint="eastAsia" w:ascii="宋体" w:hAnsi="宋体" w:eastAsia="宋体" w:cs="宋体"/>
          <w:color w:val="auto"/>
          <w:kern w:val="0"/>
          <w:sz w:val="24"/>
          <w:szCs w:val="24"/>
          <w:highlight w:val="none"/>
          <w:lang w:val="en-US" w:eastAsia="zh-CN"/>
        </w:rPr>
        <w:t>数据</w:t>
      </w:r>
      <w:r>
        <w:rPr>
          <w:rFonts w:hint="eastAsia" w:ascii="宋体" w:hAnsi="宋体" w:eastAsia="宋体" w:cs="宋体"/>
          <w:color w:val="auto"/>
          <w:kern w:val="0"/>
          <w:sz w:val="24"/>
          <w:szCs w:val="24"/>
          <w:highlight w:val="none"/>
        </w:rPr>
        <w:t>；</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新建海底</w:t>
      </w:r>
      <w:r>
        <w:rPr>
          <w:rFonts w:hint="eastAsia" w:ascii="宋体" w:hAnsi="宋体" w:eastAsia="宋体" w:cs="宋体"/>
          <w:color w:val="auto"/>
          <w:kern w:val="0"/>
          <w:sz w:val="24"/>
          <w:szCs w:val="24"/>
          <w:highlight w:val="none"/>
          <w:lang w:val="en-US" w:eastAsia="zh-CN"/>
        </w:rPr>
        <w:t>管缆</w:t>
      </w:r>
      <w:r>
        <w:rPr>
          <w:rFonts w:hint="eastAsia" w:ascii="宋体" w:hAnsi="宋体" w:eastAsia="宋体" w:cs="宋体"/>
          <w:color w:val="auto"/>
          <w:kern w:val="0"/>
          <w:sz w:val="24"/>
          <w:szCs w:val="24"/>
          <w:highlight w:val="none"/>
        </w:rPr>
        <w:t>路由工程地质</w:t>
      </w:r>
      <w:r>
        <w:rPr>
          <w:rFonts w:hint="eastAsia" w:ascii="宋体" w:hAnsi="宋体" w:eastAsia="宋体" w:cs="宋体"/>
          <w:color w:val="auto"/>
          <w:kern w:val="0"/>
          <w:sz w:val="24"/>
          <w:szCs w:val="24"/>
          <w:highlight w:val="none"/>
          <w:lang w:val="en-US" w:eastAsia="zh-CN"/>
        </w:rPr>
        <w:t>数据</w:t>
      </w:r>
      <w:r>
        <w:rPr>
          <w:rFonts w:hint="eastAsia" w:ascii="宋体" w:hAnsi="宋体" w:eastAsia="宋体" w:cs="宋体"/>
          <w:color w:val="auto"/>
          <w:kern w:val="0"/>
          <w:sz w:val="24"/>
          <w:szCs w:val="24"/>
          <w:highlight w:val="none"/>
        </w:rPr>
        <w:t>；</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新建海底</w:t>
      </w:r>
      <w:r>
        <w:rPr>
          <w:rFonts w:hint="eastAsia" w:ascii="宋体" w:hAnsi="宋体" w:eastAsia="宋体" w:cs="宋体"/>
          <w:color w:val="auto"/>
          <w:kern w:val="0"/>
          <w:sz w:val="24"/>
          <w:szCs w:val="24"/>
          <w:highlight w:val="none"/>
          <w:lang w:val="en-US" w:eastAsia="zh-CN"/>
        </w:rPr>
        <w:t>管缆</w:t>
      </w:r>
      <w:r>
        <w:rPr>
          <w:rFonts w:hint="eastAsia" w:ascii="宋体" w:hAnsi="宋体" w:eastAsia="宋体" w:cs="宋体"/>
          <w:color w:val="auto"/>
          <w:kern w:val="0"/>
          <w:sz w:val="24"/>
          <w:szCs w:val="24"/>
          <w:highlight w:val="none"/>
        </w:rPr>
        <w:t>路由海洋环境</w:t>
      </w:r>
      <w:r>
        <w:rPr>
          <w:rFonts w:hint="eastAsia" w:ascii="宋体" w:hAnsi="宋体" w:eastAsia="宋体" w:cs="宋体"/>
          <w:color w:val="auto"/>
          <w:kern w:val="0"/>
          <w:sz w:val="24"/>
          <w:szCs w:val="24"/>
          <w:highlight w:val="none"/>
          <w:lang w:val="en-US" w:eastAsia="zh-CN"/>
        </w:rPr>
        <w:t>资料</w:t>
      </w:r>
      <w:r>
        <w:rPr>
          <w:rFonts w:hint="eastAsia" w:ascii="宋体" w:hAnsi="宋体" w:eastAsia="宋体" w:cs="宋体"/>
          <w:color w:val="auto"/>
          <w:kern w:val="0"/>
          <w:sz w:val="24"/>
          <w:szCs w:val="24"/>
          <w:highlight w:val="none"/>
        </w:rPr>
        <w:t>；</w:t>
      </w:r>
    </w:p>
    <w:p>
      <w:pPr>
        <w:pageBreakBefore w:val="0"/>
        <w:numPr>
          <w:ilvl w:val="0"/>
          <w:numId w:val="0"/>
        </w:numPr>
        <w:kinsoku/>
        <w:wordWrap/>
        <w:overflowPunct/>
        <w:topLinePunct w:val="0"/>
        <w:autoSpaceDE/>
        <w:autoSpaceDN/>
        <w:bidi w:val="0"/>
        <w:adjustRightInd/>
        <w:spacing w:line="360" w:lineRule="auto"/>
        <w:ind w:left="420" w:leftChars="0"/>
        <w:jc w:val="left"/>
        <w:rPr>
          <w:rFonts w:hint="eastAsia" w:ascii="宋体" w:hAnsi="宋体" w:eastAsia="宋体" w:cs="宋体"/>
          <w:color w:val="auto"/>
          <w:sz w:val="24"/>
          <w:szCs w:val="24"/>
          <w:highlight w:val="none"/>
          <w:lang w:val="en-US" w:eastAsia="zh-CN"/>
        </w:rPr>
      </w:pPr>
    </w:p>
    <w:p>
      <w:pPr>
        <w:pageBreakBefore w:val="0"/>
        <w:kinsoku/>
        <w:wordWrap/>
        <w:overflowPunct/>
        <w:topLinePunct w:val="0"/>
        <w:autoSpaceDE/>
        <w:autoSpaceDN/>
        <w:bidi w:val="0"/>
        <w:adjustRightInd/>
        <w:spacing w:line="360" w:lineRule="auto"/>
        <w:ind w:firstLine="42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编制</w:t>
      </w:r>
      <w:r>
        <w:rPr>
          <w:rFonts w:hint="eastAsia" w:ascii="宋体" w:hAnsi="宋体" w:eastAsia="宋体" w:cs="宋体"/>
          <w:color w:val="auto"/>
          <w:sz w:val="24"/>
          <w:szCs w:val="24"/>
          <w:highlight w:val="none"/>
          <w:lang w:val="en-US" w:eastAsia="zh-CN"/>
        </w:rPr>
        <w:t>东海海域管缆路由选择依据说明材料，包括但不限于：</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新建海底管</w:t>
      </w:r>
      <w:r>
        <w:rPr>
          <w:rFonts w:hint="eastAsia" w:ascii="宋体" w:hAnsi="宋体" w:eastAsia="宋体" w:cs="宋体"/>
          <w:color w:val="auto"/>
          <w:kern w:val="0"/>
          <w:sz w:val="24"/>
          <w:szCs w:val="24"/>
          <w:highlight w:val="none"/>
          <w:lang w:val="en-US" w:eastAsia="zh-CN"/>
        </w:rPr>
        <w:t>缆</w:t>
      </w:r>
      <w:r>
        <w:rPr>
          <w:rFonts w:hint="eastAsia" w:ascii="宋体" w:hAnsi="宋体" w:eastAsia="宋体" w:cs="宋体"/>
          <w:color w:val="auto"/>
          <w:kern w:val="0"/>
          <w:sz w:val="24"/>
          <w:szCs w:val="24"/>
          <w:highlight w:val="none"/>
        </w:rPr>
        <w:t>路由研究及路由方案比选；</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路由区域自然环境、开发现状和相关规划、红线区、功能区域、航道等资料收集和分析；</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协助完成相关报批审查等工作</w:t>
      </w:r>
      <w:r>
        <w:rPr>
          <w:rFonts w:hint="eastAsia" w:ascii="宋体" w:hAnsi="宋体" w:eastAsia="宋体" w:cs="宋体"/>
          <w:color w:val="auto"/>
          <w:sz w:val="24"/>
          <w:szCs w:val="24"/>
          <w:highlight w:val="none"/>
          <w:lang w:val="en-US" w:eastAsia="zh-CN"/>
        </w:rPr>
        <w:t>。</w:t>
      </w:r>
    </w:p>
    <w:p>
      <w:pPr>
        <w:pStyle w:val="3"/>
        <w:tabs>
          <w:tab w:val="left" w:pos="1175"/>
        </w:tabs>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4、编制东海海域海洋观测站（点）评估报告、海洋观测站（点）备案报告，包括但不限于：</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包括但不限于站点位置分析、观测要素确定、设备选型建议、环境影响评估、经济效益与社会效益预测等；</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涵盖站点基本情况、建设方案、观测计划、管理制度、安全保障措施、环境保护方案等；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技术要求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平台场址及管缆路由勘察数据要求</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lang w:val="en-US" w:eastAsia="zh-CN"/>
        </w:rPr>
        <w:t>根据各项目不同，勘察数据会做相应改变。</w:t>
      </w:r>
      <w:r>
        <w:rPr>
          <w:rFonts w:hint="eastAsia" w:ascii="宋体" w:hAnsi="宋体" w:eastAsia="宋体" w:cs="宋体"/>
          <w:bCs/>
          <w:color w:val="auto"/>
          <w:kern w:val="0"/>
          <w:sz w:val="24"/>
          <w:szCs w:val="24"/>
          <w:highlight w:val="none"/>
        </w:rPr>
        <w:t>全部勘察</w:t>
      </w:r>
      <w:r>
        <w:rPr>
          <w:rFonts w:hint="eastAsia" w:ascii="宋体" w:hAnsi="宋体" w:eastAsia="宋体" w:cs="宋体"/>
          <w:bCs/>
          <w:color w:val="auto"/>
          <w:kern w:val="0"/>
          <w:sz w:val="24"/>
          <w:szCs w:val="24"/>
          <w:highlight w:val="none"/>
          <w:lang w:val="en-US" w:eastAsia="zh-CN"/>
        </w:rPr>
        <w:t>数据</w:t>
      </w:r>
      <w:r>
        <w:rPr>
          <w:rFonts w:hint="eastAsia" w:ascii="宋体" w:hAnsi="宋体" w:eastAsia="宋体" w:cs="宋体"/>
          <w:bCs/>
          <w:color w:val="auto"/>
          <w:kern w:val="0"/>
          <w:sz w:val="24"/>
          <w:szCs w:val="24"/>
          <w:highlight w:val="none"/>
        </w:rPr>
        <w:t>汇总如下表</w:t>
      </w:r>
      <w:r>
        <w:rPr>
          <w:rFonts w:hint="eastAsia" w:ascii="宋体" w:hAnsi="宋体" w:eastAsia="宋体" w:cs="宋体"/>
          <w:bCs/>
          <w:color w:val="auto"/>
          <w:kern w:val="0"/>
          <w:sz w:val="24"/>
          <w:szCs w:val="24"/>
          <w:highlight w:val="none"/>
          <w:lang w:eastAsia="zh-CN"/>
        </w:rPr>
        <w:t>：</w:t>
      </w:r>
    </w:p>
    <w:p>
      <w:pPr>
        <w:pageBreakBefore w:val="0"/>
        <w:widowControl/>
        <w:kinsoku/>
        <w:wordWrap/>
        <w:overflowPunct/>
        <w:topLinePunct w:val="0"/>
        <w:autoSpaceDE/>
        <w:autoSpaceDN/>
        <w:bidi w:val="0"/>
        <w:adjustRightInd/>
        <w:snapToGrid w:val="0"/>
        <w:spacing w:before="156" w:beforeLines="50" w:line="360" w:lineRule="auto"/>
        <w:ind w:firstLine="597" w:firstLineChars="249"/>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表2.1 勘察</w:t>
      </w:r>
      <w:r>
        <w:rPr>
          <w:rFonts w:hint="eastAsia" w:ascii="宋体" w:hAnsi="宋体" w:eastAsia="宋体" w:cs="宋体"/>
          <w:color w:val="auto"/>
          <w:kern w:val="0"/>
          <w:sz w:val="24"/>
          <w:szCs w:val="24"/>
          <w:highlight w:val="none"/>
          <w:lang w:val="en-US" w:eastAsia="zh-CN"/>
        </w:rPr>
        <w:t>数据</w:t>
      </w:r>
      <w:r>
        <w:rPr>
          <w:rFonts w:hint="eastAsia" w:ascii="宋体" w:hAnsi="宋体" w:eastAsia="宋体" w:cs="宋体"/>
          <w:color w:val="auto"/>
          <w:kern w:val="0"/>
          <w:sz w:val="24"/>
          <w:szCs w:val="24"/>
          <w:highlight w:val="none"/>
        </w:rPr>
        <w:t>汇总表</w:t>
      </w:r>
    </w:p>
    <w:tbl>
      <w:tblPr>
        <w:tblStyle w:val="5"/>
        <w:tblW w:w="823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8"/>
        <w:gridCol w:w="4123"/>
        <w:gridCol w:w="31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4"/>
                <w:szCs w:val="24"/>
                <w:highlight w:val="none"/>
                <w:u w:val="none"/>
              </w:rPr>
            </w:pPr>
            <w:bookmarkStart w:id="2" w:name="_Toc363478086"/>
            <w:r>
              <w:rPr>
                <w:rFonts w:hint="eastAsia" w:ascii="宋体" w:hAnsi="宋体" w:eastAsia="宋体" w:cs="宋体"/>
                <w:b/>
                <w:bCs/>
                <w:i w:val="0"/>
                <w:iCs w:val="0"/>
                <w:color w:val="auto"/>
                <w:kern w:val="0"/>
                <w:sz w:val="24"/>
                <w:szCs w:val="24"/>
                <w:highlight w:val="none"/>
                <w:u w:val="none"/>
                <w:lang w:val="en-US" w:eastAsia="zh-CN" w:bidi="ar"/>
              </w:rPr>
              <w:t>序号</w:t>
            </w:r>
          </w:p>
        </w:tc>
        <w:tc>
          <w:tcPr>
            <w:tcW w:w="4123" w:type="dxa"/>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作业类别</w:t>
            </w:r>
          </w:p>
        </w:tc>
        <w:tc>
          <w:tcPr>
            <w:tcW w:w="3138" w:type="dxa"/>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1.1</w:t>
            </w:r>
          </w:p>
        </w:tc>
        <w:tc>
          <w:tcPr>
            <w:tcW w:w="7261" w:type="dxa"/>
            <w:gridSpan w:val="2"/>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工程物探：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(1)新建平台周边及路由区水深调查：</w:t>
            </w:r>
          </w:p>
        </w:tc>
        <w:tc>
          <w:tcPr>
            <w:tcW w:w="3138" w:type="dxa"/>
            <w:tcBorders>
              <w:top w:val="nil"/>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110</w:t>
            </w:r>
            <w:r>
              <w:rPr>
                <w:rFonts w:hint="eastAsia" w:ascii="宋体" w:hAnsi="宋体" w:eastAsia="宋体" w:cs="宋体"/>
                <w:i w:val="0"/>
                <w:iCs w:val="0"/>
                <w:color w:val="auto"/>
                <w:kern w:val="0"/>
                <w:sz w:val="24"/>
                <w:szCs w:val="24"/>
                <w:highlight w:val="none"/>
                <w:u w:val="none"/>
                <w:lang w:val="en-US" w:eastAsia="zh-CN" w:bidi="ar"/>
              </w:rPr>
              <w:t>km²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(2)新建平台周边物探模拟、数字地震调查：</w:t>
            </w:r>
          </w:p>
        </w:tc>
        <w:tc>
          <w:tcPr>
            <w:tcW w:w="3138"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11</w:t>
            </w:r>
            <w:r>
              <w:rPr>
                <w:rFonts w:hint="eastAsia" w:ascii="宋体" w:hAnsi="宋体" w:eastAsia="宋体" w:cs="宋体"/>
                <w:i w:val="0"/>
                <w:iCs w:val="0"/>
                <w:color w:val="auto"/>
                <w:kern w:val="0"/>
                <w:sz w:val="24"/>
                <w:szCs w:val="24"/>
                <w:highlight w:val="none"/>
                <w:u w:val="none"/>
                <w:lang w:val="en-US" w:eastAsia="zh-CN" w:bidi="ar"/>
              </w:rPr>
              <w:t>km²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(3)新建海底管缆路由物探模拟调查</w:t>
            </w:r>
          </w:p>
        </w:tc>
        <w:tc>
          <w:tcPr>
            <w:tcW w:w="3138" w:type="dxa"/>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2100</w:t>
            </w:r>
            <w:r>
              <w:rPr>
                <w:rFonts w:hint="eastAsia" w:ascii="宋体" w:hAnsi="宋体" w:eastAsia="宋体" w:cs="宋体"/>
                <w:i w:val="0"/>
                <w:iCs w:val="0"/>
                <w:color w:val="auto"/>
                <w:kern w:val="0"/>
                <w:sz w:val="24"/>
                <w:szCs w:val="24"/>
                <w:highlight w:val="none"/>
                <w:u w:val="none"/>
                <w:lang w:val="en-US" w:eastAsia="zh-CN" w:bidi="ar"/>
              </w:rPr>
              <w:t>km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(4)新建海底管缆路由区已有交越点检测。</w:t>
            </w:r>
          </w:p>
        </w:tc>
        <w:tc>
          <w:tcPr>
            <w:tcW w:w="3138"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t>处交越点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1.2</w:t>
            </w:r>
          </w:p>
        </w:tc>
        <w:tc>
          <w:tcPr>
            <w:tcW w:w="7261" w:type="dxa"/>
            <w:gridSpan w:val="2"/>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工程地质：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(1)新建平台场址：钻孔、CPT</w:t>
            </w:r>
          </w:p>
        </w:tc>
        <w:tc>
          <w:tcPr>
            <w:tcW w:w="3138"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color w:val="auto"/>
                <w:highlight w:val="none"/>
                <w:lang w:val="en-US" w:eastAsia="zh-CN"/>
              </w:rPr>
            </w:pPr>
            <w:r>
              <w:rPr>
                <w:rFonts w:hint="eastAsia"/>
                <w:color w:val="auto"/>
                <w:highlight w:val="none"/>
                <w:lang w:val="en-US" w:eastAsia="zh-CN"/>
              </w:rPr>
              <w:t>2个120m钻孔；2个120mCPT</w:t>
            </w:r>
          </w:p>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color w:val="auto"/>
                <w:highlight w:val="none"/>
                <w:lang w:val="en-US" w:eastAsia="zh-CN"/>
              </w:rPr>
            </w:pPr>
            <w:r>
              <w:rPr>
                <w:rFonts w:hint="eastAsia"/>
                <w:color w:val="auto"/>
                <w:highlight w:val="none"/>
                <w:lang w:val="en-US" w:eastAsia="zh-CN"/>
              </w:rPr>
              <w:t>2个140m钻孔；4个140mCPT</w:t>
            </w:r>
          </w:p>
          <w:p>
            <w:pPr>
              <w:pStyle w:val="3"/>
              <w:tabs>
                <w:tab w:val="left" w:pos="1175"/>
              </w:tabs>
              <w:rPr>
                <w:rFonts w:hint="default"/>
                <w:color w:val="auto"/>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12个40米钻孔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(2)新建海底管缆路由：钻孔、CPT   </w:t>
            </w:r>
          </w:p>
        </w:tc>
        <w:tc>
          <w:tcPr>
            <w:tcW w:w="3138" w:type="dxa"/>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个5m钻孔；2</w:t>
            </w: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eastAsia="宋体" w:cs="宋体"/>
                <w:i w:val="0"/>
                <w:iCs w:val="0"/>
                <w:color w:val="auto"/>
                <w:kern w:val="0"/>
                <w:sz w:val="24"/>
                <w:szCs w:val="24"/>
                <w:highlight w:val="none"/>
                <w:u w:val="none"/>
                <w:lang w:val="en-US" w:eastAsia="zh-CN" w:bidi="ar"/>
              </w:rPr>
              <w:t>个5mCPT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(3)新建平台场址：柱状采样站位</w:t>
            </w:r>
          </w:p>
        </w:tc>
        <w:tc>
          <w:tcPr>
            <w:tcW w:w="3138"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9个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(4)新建路由区：海底表层取样           </w:t>
            </w:r>
          </w:p>
        </w:tc>
        <w:tc>
          <w:tcPr>
            <w:tcW w:w="3138" w:type="dxa"/>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68</w:t>
            </w:r>
            <w:r>
              <w:rPr>
                <w:rFonts w:hint="eastAsia" w:ascii="宋体" w:hAnsi="宋体" w:eastAsia="宋体" w:cs="宋体"/>
                <w:i w:val="0"/>
                <w:iCs w:val="0"/>
                <w:color w:val="auto"/>
                <w:kern w:val="0"/>
                <w:sz w:val="24"/>
                <w:szCs w:val="24"/>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(5)桩基础计算，1个/平台</w:t>
            </w:r>
          </w:p>
        </w:tc>
        <w:tc>
          <w:tcPr>
            <w:tcW w:w="3138"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eastAsia="宋体" w:cs="宋体"/>
                <w:i w:val="0"/>
                <w:iCs w:val="0"/>
                <w:color w:val="auto"/>
                <w:kern w:val="0"/>
                <w:sz w:val="24"/>
                <w:szCs w:val="24"/>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(6)群桩分析，1个/平台</w:t>
            </w:r>
          </w:p>
        </w:tc>
        <w:tc>
          <w:tcPr>
            <w:tcW w:w="3138" w:type="dxa"/>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eastAsia="宋体" w:cs="宋体"/>
                <w:i w:val="0"/>
                <w:iCs w:val="0"/>
                <w:color w:val="auto"/>
                <w:kern w:val="0"/>
                <w:sz w:val="24"/>
                <w:szCs w:val="24"/>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4"/>
                <w:szCs w:val="24"/>
                <w:highlight w:val="none"/>
                <w:u w:val="none"/>
              </w:rPr>
            </w:pPr>
          </w:p>
        </w:tc>
        <w:tc>
          <w:tcPr>
            <w:tcW w:w="4123"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(7)地震安全性评价，1个/平台</w:t>
            </w:r>
          </w:p>
        </w:tc>
        <w:tc>
          <w:tcPr>
            <w:tcW w:w="3138"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eastAsia="宋体" w:cs="宋体"/>
                <w:i w:val="0"/>
                <w:iCs w:val="0"/>
                <w:color w:val="auto"/>
                <w:kern w:val="0"/>
                <w:sz w:val="24"/>
                <w:szCs w:val="24"/>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1.3</w:t>
            </w:r>
          </w:p>
        </w:tc>
        <w:tc>
          <w:tcPr>
            <w:tcW w:w="7261" w:type="dxa"/>
            <w:gridSpan w:val="2"/>
            <w:tcBorders>
              <w:top w:val="single" w:color="000000" w:sz="8" w:space="0"/>
              <w:left w:val="single" w:color="000000" w:sz="8" w:space="0"/>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海洋环境：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  验潮、测流。</w:t>
            </w:r>
          </w:p>
        </w:tc>
        <w:tc>
          <w:tcPr>
            <w:tcW w:w="3138" w:type="dxa"/>
            <w:tcBorders>
              <w:top w:val="nil"/>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潮位</w:t>
            </w:r>
            <w:r>
              <w:rPr>
                <w:rFonts w:hint="eastAsia" w:ascii="宋体" w:hAnsi="宋体" w:cs="宋体"/>
                <w:i w:val="0"/>
                <w:iCs w:val="0"/>
                <w:color w:val="auto"/>
                <w:kern w:val="0"/>
                <w:sz w:val="24"/>
                <w:szCs w:val="24"/>
                <w:highlight w:val="none"/>
                <w:u w:val="none"/>
                <w:lang w:val="en-US" w:eastAsia="zh-CN" w:bidi="ar"/>
              </w:rPr>
              <w:t>13</w:t>
            </w:r>
            <w:r>
              <w:rPr>
                <w:rFonts w:hint="eastAsia" w:ascii="宋体" w:hAnsi="宋体" w:eastAsia="宋体" w:cs="宋体"/>
                <w:i w:val="0"/>
                <w:iCs w:val="0"/>
                <w:color w:val="auto"/>
                <w:kern w:val="0"/>
                <w:sz w:val="24"/>
                <w:szCs w:val="24"/>
                <w:highlight w:val="none"/>
                <w:u w:val="none"/>
                <w:lang w:val="en-US" w:eastAsia="zh-CN" w:bidi="ar"/>
              </w:rPr>
              <w:t>个，测流</w:t>
            </w:r>
            <w:r>
              <w:rPr>
                <w:rFonts w:hint="eastAsia" w:ascii="宋体" w:hAnsi="宋体" w:cs="宋体"/>
                <w:i w:val="0"/>
                <w:iCs w:val="0"/>
                <w:color w:val="auto"/>
                <w:kern w:val="0"/>
                <w:sz w:val="24"/>
                <w:szCs w:val="24"/>
                <w:highlight w:val="none"/>
                <w:u w:val="none"/>
                <w:lang w:val="en-US" w:eastAsia="zh-CN" w:bidi="ar"/>
              </w:rPr>
              <w:t>19</w:t>
            </w:r>
            <w:r>
              <w:rPr>
                <w:rFonts w:hint="eastAsia" w:ascii="宋体" w:hAnsi="宋体" w:eastAsia="宋体" w:cs="宋体"/>
                <w:i w:val="0"/>
                <w:iCs w:val="0"/>
                <w:color w:val="auto"/>
                <w:kern w:val="0"/>
                <w:sz w:val="24"/>
                <w:szCs w:val="24"/>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(2) 水温、泥温。            </w:t>
            </w:r>
          </w:p>
        </w:tc>
        <w:tc>
          <w:tcPr>
            <w:tcW w:w="3138" w:type="dxa"/>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18</w:t>
            </w:r>
            <w:r>
              <w:rPr>
                <w:rFonts w:hint="eastAsia" w:ascii="宋体" w:hAnsi="宋体" w:eastAsia="宋体" w:cs="宋体"/>
                <w:i w:val="0"/>
                <w:iCs w:val="0"/>
                <w:color w:val="auto"/>
                <w:kern w:val="0"/>
                <w:sz w:val="24"/>
                <w:szCs w:val="24"/>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4"/>
                <w:szCs w:val="24"/>
                <w:highlight w:val="none"/>
                <w:u w:val="none"/>
              </w:rPr>
            </w:pPr>
          </w:p>
        </w:tc>
        <w:tc>
          <w:tcPr>
            <w:tcW w:w="4123"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(3) 海水、沉积物腐蚀调查。    </w:t>
            </w:r>
          </w:p>
        </w:tc>
        <w:tc>
          <w:tcPr>
            <w:tcW w:w="3138" w:type="dxa"/>
            <w:tcBorders>
              <w:top w:val="nil"/>
              <w:left w:val="nil"/>
              <w:bottom w:val="nil"/>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18</w:t>
            </w:r>
            <w:r>
              <w:rPr>
                <w:rFonts w:hint="eastAsia" w:ascii="宋体" w:hAnsi="宋体" w:eastAsia="宋体" w:cs="宋体"/>
                <w:i w:val="0"/>
                <w:iCs w:val="0"/>
                <w:color w:val="auto"/>
                <w:kern w:val="0"/>
                <w:sz w:val="24"/>
                <w:szCs w:val="24"/>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78" w:type="dxa"/>
            <w:tcBorders>
              <w:top w:val="nil"/>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center"/>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1.4</w:t>
            </w:r>
          </w:p>
        </w:tc>
        <w:tc>
          <w:tcPr>
            <w:tcW w:w="7261" w:type="dxa"/>
            <w:gridSpan w:val="2"/>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left"/>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环境监测：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4"/>
                <w:szCs w:val="24"/>
                <w:highlight w:val="none"/>
                <w:u w:val="none"/>
              </w:rPr>
            </w:pPr>
          </w:p>
        </w:tc>
        <w:tc>
          <w:tcPr>
            <w:tcW w:w="4123" w:type="dxa"/>
            <w:tcBorders>
              <w:top w:val="single" w:color="000000" w:sz="8" w:space="0"/>
              <w:left w:val="single" w:color="000000" w:sz="8" w:space="0"/>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（1）水质监测</w:t>
            </w:r>
          </w:p>
        </w:tc>
        <w:tc>
          <w:tcPr>
            <w:tcW w:w="3138" w:type="dxa"/>
            <w:tcBorders>
              <w:top w:val="single" w:color="000000" w:sz="8" w:space="0"/>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default"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（2）沉积物监测</w:t>
            </w:r>
          </w:p>
        </w:tc>
        <w:tc>
          <w:tcPr>
            <w:tcW w:w="3138" w:type="dxa"/>
            <w:tcBorders>
              <w:top w:val="single" w:color="000000" w:sz="8" w:space="0"/>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default"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78" w:type="dxa"/>
            <w:tcBorders>
              <w:top w:val="nil"/>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4"/>
                <w:szCs w:val="24"/>
                <w:highlight w:val="none"/>
                <w:u w:val="none"/>
              </w:rPr>
            </w:pPr>
          </w:p>
        </w:tc>
        <w:tc>
          <w:tcPr>
            <w:tcW w:w="4123" w:type="dxa"/>
            <w:tcBorders>
              <w:top w:val="nil"/>
              <w:left w:val="nil"/>
              <w:bottom w:val="single" w:color="000000" w:sz="8" w:space="0"/>
              <w:right w:val="single" w:color="000000" w:sz="8" w:space="0"/>
            </w:tcBorders>
            <w:noWrap/>
            <w:vAlign w:val="top"/>
          </w:tcPr>
          <w:p>
            <w:pPr>
              <w:keepNext w:val="0"/>
              <w:keepLines w:val="0"/>
              <w:pageBreakBefore w:val="0"/>
              <w:widowControl/>
              <w:suppressLineNumbers w:val="0"/>
              <w:kinsoku/>
              <w:wordWrap/>
              <w:overflowPunct/>
              <w:topLinePunct w:val="0"/>
              <w:autoSpaceDE/>
              <w:autoSpaceDN/>
              <w:bidi w:val="0"/>
              <w:adjustRightInd/>
              <w:spacing w:line="360" w:lineRule="auto"/>
              <w:jc w:val="both"/>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（3）生物监测</w:t>
            </w:r>
          </w:p>
        </w:tc>
        <w:tc>
          <w:tcPr>
            <w:tcW w:w="3138" w:type="dxa"/>
            <w:tcBorders>
              <w:top w:val="single" w:color="000000" w:sz="8" w:space="0"/>
              <w:left w:val="single" w:color="000000" w:sz="8" w:space="0"/>
              <w:bottom w:val="single" w:color="000000" w:sz="8" w:space="0"/>
              <w:right w:val="single" w:color="000000" w:sz="8" w:space="0"/>
            </w:tcBorders>
            <w:noWrap/>
            <w:vAlign w:val="top"/>
          </w:tcPr>
          <w:p>
            <w:pPr>
              <w:pageBreakBefore w:val="0"/>
              <w:kinsoku/>
              <w:wordWrap/>
              <w:overflowPunct/>
              <w:topLinePunct w:val="0"/>
              <w:autoSpaceDE/>
              <w:autoSpaceDN/>
              <w:bidi w:val="0"/>
              <w:adjustRightInd/>
              <w:spacing w:line="360" w:lineRule="auto"/>
              <w:jc w:val="center"/>
              <w:rPr>
                <w:rFonts w:hint="default"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12</w:t>
            </w:r>
          </w:p>
        </w:tc>
      </w:tr>
    </w:tbl>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2.1.</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工程物探</w:t>
      </w:r>
      <w:r>
        <w:rPr>
          <w:rFonts w:hint="eastAsia" w:ascii="宋体" w:hAnsi="宋体" w:eastAsia="宋体" w:cs="宋体"/>
          <w:color w:val="auto"/>
          <w:kern w:val="0"/>
          <w:sz w:val="24"/>
          <w:szCs w:val="24"/>
          <w:highlight w:val="none"/>
          <w:lang w:val="en-US" w:eastAsia="zh-CN"/>
        </w:rPr>
        <w:t>勘察数据要求</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2.1.</w:t>
      </w:r>
      <w:r>
        <w:rPr>
          <w:rFonts w:hint="eastAsia" w:ascii="宋体" w:hAnsi="宋体" w:eastAsia="宋体" w:cs="宋体"/>
          <w:color w:val="auto"/>
          <w:kern w:val="0"/>
          <w:sz w:val="24"/>
          <w:szCs w:val="24"/>
          <w:highlight w:val="none"/>
          <w:lang w:val="en-US" w:eastAsia="zh-CN"/>
        </w:rPr>
        <w:t xml:space="preserve">1.1 </w:t>
      </w:r>
      <w:r>
        <w:rPr>
          <w:rFonts w:hint="eastAsia" w:ascii="宋体" w:hAnsi="宋体" w:eastAsia="宋体" w:cs="宋体"/>
          <w:color w:val="auto"/>
          <w:kern w:val="0"/>
          <w:sz w:val="24"/>
          <w:szCs w:val="24"/>
          <w:highlight w:val="none"/>
        </w:rPr>
        <w:t>工程物探</w:t>
      </w:r>
      <w:r>
        <w:rPr>
          <w:rFonts w:hint="eastAsia" w:ascii="宋体" w:hAnsi="宋体" w:eastAsia="宋体" w:cs="宋体"/>
          <w:color w:val="auto"/>
          <w:kern w:val="0"/>
          <w:sz w:val="24"/>
          <w:szCs w:val="24"/>
          <w:highlight w:val="none"/>
          <w:lang w:val="en-US" w:eastAsia="zh-CN"/>
        </w:rPr>
        <w:t>勘察数据总体要求</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数据应能</w:t>
      </w:r>
      <w:r>
        <w:rPr>
          <w:rFonts w:hint="eastAsia" w:ascii="宋体" w:hAnsi="宋体" w:eastAsia="宋体" w:cs="宋体"/>
          <w:bCs/>
          <w:color w:val="auto"/>
          <w:kern w:val="0"/>
          <w:sz w:val="24"/>
          <w:szCs w:val="24"/>
          <w:highlight w:val="none"/>
        </w:rPr>
        <w:t>提供作业海区地形地貌，海底及海底地层中地质灾害的分布，综合分析并评价其对工程项目的影响。</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对工程设施场地的物探调查数据，乙方应能够</w:t>
      </w:r>
      <w:r>
        <w:rPr>
          <w:rFonts w:hint="eastAsia" w:ascii="宋体" w:hAnsi="宋体" w:eastAsia="宋体" w:cs="宋体"/>
          <w:bCs/>
          <w:color w:val="auto"/>
          <w:kern w:val="0"/>
          <w:sz w:val="24"/>
          <w:szCs w:val="24"/>
          <w:highlight w:val="none"/>
          <w:lang w:val="en-US" w:eastAsia="zh-CN"/>
        </w:rPr>
        <w:t>满足以下要求</w:t>
      </w:r>
      <w:r>
        <w:rPr>
          <w:rFonts w:hint="eastAsia" w:ascii="宋体" w:hAnsi="宋体" w:eastAsia="宋体" w:cs="宋体"/>
          <w:bCs/>
          <w:color w:val="auto"/>
          <w:kern w:val="0"/>
          <w:sz w:val="24"/>
          <w:szCs w:val="24"/>
          <w:highlight w:val="none"/>
        </w:rPr>
        <w:t>：</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给出调查区域已建海底光缆、电缆、管道等设施的位置信息；</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绘制水深图（海底地形图）；</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勾画角度</w:t>
      </w:r>
      <w:r>
        <w:rPr>
          <w:rFonts w:hint="eastAsia" w:ascii="宋体" w:hAnsi="宋体" w:eastAsia="宋体" w:cs="宋体"/>
          <w:color w:val="auto"/>
          <w:kern w:val="0"/>
          <w:sz w:val="24"/>
          <w:szCs w:val="24"/>
          <w:highlight w:val="none"/>
        </w:rPr>
        <w:sym w:font="Symbol" w:char="F0B3"/>
      </w:r>
      <w:r>
        <w:rPr>
          <w:rFonts w:hint="eastAsia" w:ascii="宋体" w:hAnsi="宋体" w:eastAsia="宋体" w:cs="宋体"/>
          <w:color w:val="auto"/>
          <w:kern w:val="0"/>
          <w:sz w:val="24"/>
          <w:szCs w:val="24"/>
          <w:highlight w:val="none"/>
        </w:rPr>
        <w:t>5度的陡坡或潜在的不稳定斜坡；</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勾画具有不规则特征和局部地形起伏的地貌（海底特征图）；</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评估结构物就位海底的障碍物；</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确定沉积物的属性（海底表层及海底以下的中深层沉积物的岩性图）；</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确定并描绘调查区任何潜在的地质灾害；</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勾画调查深度范围内的断层，现代和古代的滑坡；</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勾画浅层气的水平范围和气顶高度；</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对海底管道路由调查的结果应使乙方能够：</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绘制水深图（海底地形图）；</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评估任何海底表层或之下的妨碍管线铺设的障碍物；</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确定与管线铺设相关的土壤属性（如表层沉积物岩性图）；</w:t>
      </w:r>
    </w:p>
    <w:p>
      <w:pPr>
        <w:pageBreakBefore w:val="0"/>
        <w:widowControl/>
        <w:numPr>
          <w:ilvl w:val="0"/>
          <w:numId w:val="3"/>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推荐供替代的管线路由，以避开根据物探调查数据分析所确定的海底或海底之下的障碍物。这些应尽量在调查船只及人员复员之前，与甲方人员一起在海上磋商完成，以保证充分的调查采集范围。</w:t>
      </w:r>
    </w:p>
    <w:p>
      <w:pPr>
        <w:keepNext/>
        <w:pageBreakBefore w:val="0"/>
        <w:widowControl/>
        <w:tabs>
          <w:tab w:val="left" w:pos="284"/>
        </w:tabs>
        <w:kinsoku/>
        <w:wordWrap/>
        <w:overflowPunct/>
        <w:topLinePunct w:val="0"/>
        <w:autoSpaceDE/>
        <w:autoSpaceDN/>
        <w:bidi w:val="0"/>
        <w:adjustRightInd/>
        <w:spacing w:before="240" w:after="240" w:line="360" w:lineRule="auto"/>
        <w:ind w:left="284"/>
        <w:jc w:val="left"/>
        <w:outlineLvl w:val="3"/>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Cs/>
          <w:color w:val="auto"/>
          <w:kern w:val="0"/>
          <w:sz w:val="24"/>
          <w:szCs w:val="24"/>
          <w:highlight w:val="none"/>
        </w:rPr>
        <w:t>2.1.</w:t>
      </w:r>
      <w:r>
        <w:rPr>
          <w:rFonts w:hint="eastAsia" w:ascii="宋体" w:hAnsi="宋体" w:eastAsia="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.2</w:t>
      </w:r>
      <w:r>
        <w:rPr>
          <w:rFonts w:hint="eastAsia" w:ascii="宋体" w:hAnsi="宋体" w:eastAsia="宋体" w:cs="宋体"/>
          <w:bCs/>
          <w:color w:val="auto"/>
          <w:kern w:val="0"/>
          <w:sz w:val="24"/>
          <w:szCs w:val="24"/>
          <w:highlight w:val="none"/>
          <w:lang w:val="en-US" w:eastAsia="zh-CN"/>
        </w:rPr>
        <w:t>提交</w:t>
      </w:r>
      <w:r>
        <w:rPr>
          <w:rFonts w:hint="eastAsia" w:ascii="宋体" w:hAnsi="宋体" w:eastAsia="宋体" w:cs="宋体"/>
          <w:b w:val="0"/>
          <w:bCs/>
          <w:color w:val="auto"/>
          <w:kern w:val="0"/>
          <w:sz w:val="24"/>
          <w:szCs w:val="24"/>
          <w:highlight w:val="none"/>
          <w:lang w:val="en-US" w:eastAsia="zh-CN"/>
        </w:rPr>
        <w:t>工程物探调查数据要求</w:t>
      </w:r>
    </w:p>
    <w:p>
      <w:pPr>
        <w:pStyle w:val="7"/>
        <w:pageBreakBefore w:val="0"/>
        <w:widowControl/>
        <w:numPr>
          <w:ilvl w:val="0"/>
          <w:numId w:val="4"/>
        </w:numPr>
        <w:kinsoku/>
        <w:wordWrap/>
        <w:overflowPunct/>
        <w:topLinePunct w:val="0"/>
        <w:autoSpaceDE/>
        <w:autoSpaceDN/>
        <w:bidi w:val="0"/>
        <w:adjustRightInd/>
        <w:snapToGrid w:val="0"/>
        <w:spacing w:before="156" w:beforeLines="50" w:line="360" w:lineRule="auto"/>
        <w:ind w:firstLineChars="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场址模拟调查（船载）</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调查内容包括水深、地形地貌、中浅地层剖面。</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调查作业测线布设原则为：水深</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多波束测深</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rPr>
        <w:t>、地形地貌调查满足调查范围全覆盖，主测线之间应保证重叠20%。</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乙方需与甲方充分沟通后在调查实施方案中优化测线布置并在调查前提供甲方确认后实施。</w:t>
      </w:r>
    </w:p>
    <w:p>
      <w:pPr>
        <w:pStyle w:val="7"/>
        <w:pageBreakBefore w:val="0"/>
        <w:widowControl/>
        <w:numPr>
          <w:ilvl w:val="0"/>
          <w:numId w:val="4"/>
        </w:numPr>
        <w:kinsoku/>
        <w:wordWrap/>
        <w:overflowPunct/>
        <w:topLinePunct w:val="0"/>
        <w:autoSpaceDE/>
        <w:autoSpaceDN/>
        <w:bidi w:val="0"/>
        <w:adjustRightInd/>
        <w:snapToGrid w:val="0"/>
        <w:spacing w:before="156" w:beforeLines="50" w:line="360" w:lineRule="auto"/>
        <w:ind w:firstLineChars="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场址数字地震调查（船载）</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乙方需与甲方充分沟通后在调查实施方案中优化测线布置并在调查前提供甲方确认后实施。</w:t>
      </w:r>
    </w:p>
    <w:p>
      <w:pPr>
        <w:pStyle w:val="7"/>
        <w:pageBreakBefore w:val="0"/>
        <w:widowControl/>
        <w:numPr>
          <w:ilvl w:val="0"/>
          <w:numId w:val="4"/>
        </w:numPr>
        <w:kinsoku/>
        <w:wordWrap/>
        <w:overflowPunct/>
        <w:topLinePunct w:val="0"/>
        <w:autoSpaceDE/>
        <w:autoSpaceDN/>
        <w:bidi w:val="0"/>
        <w:adjustRightInd/>
        <w:snapToGrid w:val="0"/>
        <w:spacing w:before="156" w:beforeLines="50" w:line="360" w:lineRule="auto"/>
        <w:ind w:firstLineChars="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路由踏勘调查（船载）</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调查内容包括水深、地形、地貌、中浅地层剖面。</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路由测区宽度应以预定路由线为中心线，水深、地形、地貌调查的主测线之间应有至少20%的重叠。</w:t>
      </w:r>
    </w:p>
    <w:p>
      <w:pPr>
        <w:pStyle w:val="7"/>
        <w:pageBreakBefore w:val="0"/>
        <w:widowControl/>
        <w:numPr>
          <w:ilvl w:val="0"/>
          <w:numId w:val="4"/>
        </w:numPr>
        <w:kinsoku/>
        <w:wordWrap/>
        <w:overflowPunct/>
        <w:topLinePunct w:val="0"/>
        <w:autoSpaceDE/>
        <w:autoSpaceDN/>
        <w:bidi w:val="0"/>
        <w:adjustRightInd/>
        <w:snapToGrid w:val="0"/>
        <w:spacing w:before="156" w:beforeLines="50" w:line="360" w:lineRule="auto"/>
        <w:ind w:firstLineChars="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新建平台周边已有海底管缆调查</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根据已有海底管缆信息，综合多种调查方法，对新建平台周边已建海底管缆进行在位状态和位置调查，调查范围需要覆盖已建海底管道至少2km长度。</w:t>
      </w:r>
    </w:p>
    <w:p>
      <w:pPr>
        <w:pStyle w:val="7"/>
        <w:pageBreakBefore w:val="0"/>
        <w:widowControl/>
        <w:numPr>
          <w:ilvl w:val="0"/>
          <w:numId w:val="4"/>
        </w:numPr>
        <w:kinsoku/>
        <w:wordWrap/>
        <w:overflowPunct/>
        <w:topLinePunct w:val="0"/>
        <w:autoSpaceDE/>
        <w:autoSpaceDN/>
        <w:bidi w:val="0"/>
        <w:adjustRightInd/>
        <w:snapToGrid w:val="0"/>
        <w:spacing w:before="156" w:beforeLines="50" w:line="360" w:lineRule="auto"/>
        <w:ind w:firstLineChars="0"/>
        <w:jc w:val="left"/>
        <w:rPr>
          <w:rFonts w:hint="eastAsia" w:ascii="宋体" w:hAnsi="宋体" w:eastAsia="宋体" w:cs="宋体"/>
          <w:b/>
          <w:bCs/>
          <w:color w:val="auto"/>
          <w:kern w:val="0"/>
          <w:sz w:val="24"/>
          <w:szCs w:val="24"/>
          <w:highlight w:val="none"/>
        </w:rPr>
      </w:pPr>
      <w:r>
        <w:rPr>
          <w:rFonts w:hint="eastAsia" w:ascii="宋体" w:hAnsi="宋体" w:eastAsia="宋体" w:cs="宋体"/>
          <w:b w:val="0"/>
          <w:bCs/>
          <w:color w:val="auto"/>
          <w:kern w:val="0"/>
          <w:sz w:val="24"/>
          <w:szCs w:val="24"/>
          <w:highlight w:val="none"/>
        </w:rPr>
        <w:t>新</w:t>
      </w:r>
      <w:r>
        <w:rPr>
          <w:rFonts w:hint="eastAsia" w:ascii="宋体" w:hAnsi="宋体" w:eastAsia="宋体" w:cs="宋体"/>
          <w:b w:val="0"/>
          <w:bCs/>
          <w:color w:val="auto"/>
          <w:kern w:val="0"/>
          <w:sz w:val="24"/>
          <w:szCs w:val="24"/>
          <w:highlight w:val="none"/>
          <w:lang w:val="en-US" w:eastAsia="zh-CN"/>
        </w:rPr>
        <w:t>建海底管缆路由区已有交越点检测</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根</w:t>
      </w:r>
      <w:r>
        <w:rPr>
          <w:rFonts w:hint="eastAsia" w:ascii="宋体" w:hAnsi="宋体" w:eastAsia="宋体" w:cs="宋体"/>
          <w:bCs/>
          <w:color w:val="auto"/>
          <w:kern w:val="0"/>
          <w:sz w:val="24"/>
          <w:szCs w:val="24"/>
          <w:highlight w:val="none"/>
          <w:lang w:val="en-US" w:eastAsia="zh-CN"/>
        </w:rPr>
        <w:t>据已有海底管缆信息，综合多种调查方法，对新建海底管缆与已有管缆交越点周</w:t>
      </w:r>
      <w:r>
        <w:rPr>
          <w:rFonts w:hint="eastAsia" w:ascii="宋体" w:hAnsi="宋体" w:eastAsia="宋体" w:cs="宋体"/>
          <w:bCs/>
          <w:color w:val="auto"/>
          <w:kern w:val="0"/>
          <w:sz w:val="24"/>
          <w:szCs w:val="24"/>
          <w:highlight w:val="none"/>
        </w:rPr>
        <w:t>边进行调查，确定与已建管缆交越点位置</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精度控制在5米以内</w:t>
      </w:r>
      <w:r>
        <w:rPr>
          <w:rFonts w:hint="eastAsia" w:ascii="宋体" w:hAnsi="宋体" w:eastAsia="宋体" w:cs="宋体"/>
          <w:bCs/>
          <w:color w:val="auto"/>
          <w:kern w:val="0"/>
          <w:sz w:val="24"/>
          <w:szCs w:val="24"/>
          <w:highlight w:val="none"/>
        </w:rPr>
        <w:t>。</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rPr>
      </w:pPr>
      <w:bookmarkStart w:id="3" w:name="_Toc363478087"/>
      <w:r>
        <w:rPr>
          <w:rFonts w:hint="eastAsia" w:ascii="宋体" w:hAnsi="宋体" w:eastAsia="宋体" w:cs="宋体"/>
          <w:color w:val="auto"/>
          <w:kern w:val="0"/>
          <w:sz w:val="24"/>
          <w:szCs w:val="24"/>
          <w:highlight w:val="none"/>
        </w:rPr>
        <w:t>2.1.</w:t>
      </w:r>
      <w:r>
        <w:rPr>
          <w:rFonts w:hint="eastAsia" w:ascii="宋体" w:hAnsi="宋体" w:eastAsia="宋体" w:cs="宋体"/>
          <w:color w:val="auto"/>
          <w:kern w:val="0"/>
          <w:sz w:val="24"/>
          <w:szCs w:val="24"/>
          <w:highlight w:val="none"/>
          <w:lang w:val="en-US" w:eastAsia="zh-CN"/>
        </w:rPr>
        <w:t>2</w:t>
      </w:r>
      <w:bookmarkEnd w:id="3"/>
      <w:r>
        <w:rPr>
          <w:rFonts w:hint="eastAsia" w:ascii="宋体" w:hAnsi="宋体" w:eastAsia="宋体" w:cs="宋体"/>
          <w:color w:val="auto"/>
          <w:kern w:val="0"/>
          <w:sz w:val="24"/>
          <w:szCs w:val="24"/>
          <w:highlight w:val="none"/>
        </w:rPr>
        <w:t>工程</w:t>
      </w:r>
      <w:r>
        <w:rPr>
          <w:rFonts w:hint="eastAsia" w:ascii="宋体" w:hAnsi="宋体" w:eastAsia="宋体" w:cs="宋体"/>
          <w:color w:val="auto"/>
          <w:kern w:val="0"/>
          <w:sz w:val="24"/>
          <w:szCs w:val="24"/>
          <w:highlight w:val="none"/>
          <w:lang w:val="en-US" w:eastAsia="zh-CN"/>
        </w:rPr>
        <w:t>地质勘察数据要求</w:t>
      </w:r>
    </w:p>
    <w:p>
      <w:pPr>
        <w:keepNext/>
        <w:pageBreakBefore w:val="0"/>
        <w:widowControl/>
        <w:tabs>
          <w:tab w:val="left" w:pos="284"/>
        </w:tabs>
        <w:kinsoku/>
        <w:wordWrap/>
        <w:overflowPunct/>
        <w:topLinePunct w:val="0"/>
        <w:autoSpaceDE/>
        <w:autoSpaceDN/>
        <w:bidi w:val="0"/>
        <w:adjustRightInd/>
        <w:spacing w:before="240" w:after="240" w:line="360" w:lineRule="auto"/>
        <w:ind w:left="284"/>
        <w:jc w:val="left"/>
        <w:outlineLvl w:val="3"/>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2.1.</w:t>
      </w:r>
      <w:r>
        <w:rPr>
          <w:rFonts w:hint="eastAsia" w:ascii="宋体" w:hAnsi="宋体" w:eastAsia="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rPr>
        <w:t>.1</w:t>
      </w:r>
      <w:r>
        <w:rPr>
          <w:rFonts w:hint="eastAsia" w:ascii="宋体" w:hAnsi="宋体" w:eastAsia="宋体" w:cs="宋体"/>
          <w:color w:val="auto"/>
          <w:kern w:val="0"/>
          <w:sz w:val="24"/>
          <w:szCs w:val="24"/>
          <w:highlight w:val="none"/>
        </w:rPr>
        <w:t>工程</w:t>
      </w:r>
      <w:r>
        <w:rPr>
          <w:rFonts w:hint="eastAsia" w:ascii="宋体" w:hAnsi="宋体" w:eastAsia="宋体" w:cs="宋体"/>
          <w:color w:val="auto"/>
          <w:kern w:val="0"/>
          <w:sz w:val="24"/>
          <w:szCs w:val="24"/>
          <w:highlight w:val="none"/>
          <w:lang w:val="en-US" w:eastAsia="zh-CN"/>
        </w:rPr>
        <w:t>地质勘察数据总体要求</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数据能够</w:t>
      </w:r>
      <w:r>
        <w:rPr>
          <w:rFonts w:hint="eastAsia" w:ascii="宋体" w:hAnsi="宋体" w:eastAsia="宋体" w:cs="宋体"/>
          <w:bCs/>
          <w:color w:val="auto"/>
          <w:kern w:val="0"/>
          <w:sz w:val="24"/>
          <w:szCs w:val="24"/>
          <w:highlight w:val="none"/>
        </w:rPr>
        <w:t>提供作业海区沉积物分布情况，沉积土的物理力学性质，以及平台场址影响桩的基础承载能力和海底管线路由影响海床基础承载力的土层物理力学性质，并进行工程分析。</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工程地质调查站位的布设</w:t>
      </w:r>
      <w:r>
        <w:rPr>
          <w:rFonts w:hint="eastAsia" w:ascii="宋体" w:hAnsi="宋体" w:eastAsia="宋体" w:cs="宋体"/>
          <w:bCs/>
          <w:color w:val="auto"/>
          <w:kern w:val="0"/>
          <w:sz w:val="24"/>
          <w:szCs w:val="24"/>
          <w:highlight w:val="none"/>
          <w:lang w:val="en-US" w:eastAsia="zh-CN"/>
        </w:rPr>
        <w:t>如在已有海底管缆附近，</w:t>
      </w:r>
      <w:r>
        <w:rPr>
          <w:rFonts w:hint="eastAsia" w:ascii="宋体" w:hAnsi="宋体" w:eastAsia="宋体" w:cs="宋体"/>
          <w:bCs/>
          <w:color w:val="auto"/>
          <w:kern w:val="0"/>
          <w:sz w:val="24"/>
          <w:szCs w:val="24"/>
          <w:highlight w:val="none"/>
        </w:rPr>
        <w:t>必须根据物探</w:t>
      </w:r>
      <w:r>
        <w:rPr>
          <w:rFonts w:hint="eastAsia" w:ascii="宋体" w:hAnsi="宋体" w:eastAsia="宋体" w:cs="宋体"/>
          <w:bCs/>
          <w:color w:val="auto"/>
          <w:kern w:val="0"/>
          <w:sz w:val="24"/>
          <w:szCs w:val="24"/>
          <w:highlight w:val="none"/>
          <w:lang w:val="en-US" w:eastAsia="zh-CN"/>
        </w:rPr>
        <w:t>或</w:t>
      </w:r>
      <w:r>
        <w:rPr>
          <w:rFonts w:hint="eastAsia" w:ascii="宋体" w:hAnsi="宋体" w:eastAsia="宋体" w:cs="宋体"/>
          <w:bCs/>
          <w:color w:val="auto"/>
          <w:kern w:val="0"/>
          <w:sz w:val="24"/>
          <w:szCs w:val="24"/>
          <w:highlight w:val="none"/>
        </w:rPr>
        <w:t>海底管缆调查成果确定，在充分保证海底管缆等已建设施的安全前提下开展作业。</w:t>
      </w:r>
    </w:p>
    <w:p>
      <w:pPr>
        <w:keepNext/>
        <w:pageBreakBefore w:val="0"/>
        <w:widowControl/>
        <w:tabs>
          <w:tab w:val="left" w:pos="284"/>
        </w:tabs>
        <w:kinsoku/>
        <w:wordWrap/>
        <w:overflowPunct/>
        <w:topLinePunct w:val="0"/>
        <w:autoSpaceDE/>
        <w:autoSpaceDN/>
        <w:bidi w:val="0"/>
        <w:adjustRightInd/>
        <w:spacing w:before="240" w:after="240" w:line="360" w:lineRule="auto"/>
        <w:ind w:left="284"/>
        <w:jc w:val="left"/>
        <w:outlineLvl w:val="3"/>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2.1.</w:t>
      </w:r>
      <w:r>
        <w:rPr>
          <w:rFonts w:hint="eastAsia" w:ascii="宋体" w:hAnsi="宋体" w:eastAsia="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rPr>
        <w:t>.2</w:t>
      </w:r>
      <w:r>
        <w:rPr>
          <w:rFonts w:hint="eastAsia" w:ascii="宋体" w:hAnsi="宋体" w:eastAsia="宋体" w:cs="宋体"/>
          <w:bCs/>
          <w:color w:val="auto"/>
          <w:kern w:val="0"/>
          <w:sz w:val="24"/>
          <w:szCs w:val="24"/>
          <w:highlight w:val="none"/>
          <w:lang w:val="en-US" w:eastAsia="zh-CN"/>
        </w:rPr>
        <w:t>提交工程地质调查数据要求</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1）钻孔取样、CPT、重力/箱式/振动取样</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参见表2.1 勘察</w:t>
      </w:r>
      <w:r>
        <w:rPr>
          <w:rFonts w:hint="eastAsia" w:ascii="宋体" w:hAnsi="宋体" w:eastAsia="宋体" w:cs="宋体"/>
          <w:bCs/>
          <w:color w:val="auto"/>
          <w:kern w:val="0"/>
          <w:sz w:val="24"/>
          <w:szCs w:val="24"/>
          <w:highlight w:val="none"/>
          <w:lang w:val="en-US" w:eastAsia="zh-CN"/>
        </w:rPr>
        <w:t>数据</w:t>
      </w:r>
      <w:r>
        <w:rPr>
          <w:rFonts w:hint="eastAsia" w:ascii="宋体" w:hAnsi="宋体" w:eastAsia="宋体" w:cs="宋体"/>
          <w:bCs/>
          <w:color w:val="auto"/>
          <w:kern w:val="0"/>
          <w:sz w:val="24"/>
          <w:szCs w:val="24"/>
          <w:highlight w:val="none"/>
        </w:rPr>
        <w:t>汇总表</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 xml:space="preserve">2）土样试验   </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对采集的土质样品进行实验室试验，提供土样的测试、试验、化验及数据分析结果，供工程设计及稳定性分析与评价使用，执行标准ASTM。</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 w:val="0"/>
          <w:bCs/>
          <w:color w:val="auto"/>
          <w:kern w:val="0"/>
          <w:sz w:val="24"/>
          <w:szCs w:val="24"/>
          <w:highlight w:val="none"/>
        </w:rPr>
      </w:pPr>
      <w:r>
        <w:rPr>
          <w:rFonts w:hint="eastAsia" w:ascii="宋体" w:hAnsi="宋体" w:eastAsia="宋体" w:cs="宋体"/>
          <w:bCs/>
          <w:color w:val="auto"/>
          <w:kern w:val="0"/>
          <w:sz w:val="24"/>
          <w:szCs w:val="24"/>
          <w:highlight w:val="none"/>
        </w:rPr>
        <w:t>除开展常规土工试验外，需要开展非常规土工试验，主要试验内容分述如下，具体的测试点深度将根据现场土层的实际情况确定。</w:t>
      </w:r>
    </w:p>
    <w:p>
      <w:pPr>
        <w:pStyle w:val="7"/>
        <w:pageBreakBefore w:val="0"/>
        <w:numPr>
          <w:ilvl w:val="0"/>
          <w:numId w:val="5"/>
        </w:numPr>
        <w:kinsoku/>
        <w:wordWrap/>
        <w:overflowPunct/>
        <w:topLinePunct w:val="0"/>
        <w:autoSpaceDE/>
        <w:autoSpaceDN/>
        <w:bidi w:val="0"/>
        <w:adjustRightInd/>
        <w:spacing w:before="156" w:beforeLines="50" w:line="360" w:lineRule="auto"/>
        <w:ind w:firstLineChars="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常规试验内容如下，包括但不限于：</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含水量、容重</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液限、塑限</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钙质含量、有机质含量</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级配、比重</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袖珍贯入仪PP</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微型电动十字板MV（原状土、扰动土）</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不固结不排水三轴压缩试验UU（原状土、扰动土）</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固结试验</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渗透试验</w:t>
      </w:r>
    </w:p>
    <w:p>
      <w:pPr>
        <w:pStyle w:val="7"/>
        <w:pageBreakBefore w:val="0"/>
        <w:numPr>
          <w:ilvl w:val="0"/>
          <w:numId w:val="7"/>
        </w:numPr>
        <w:kinsoku/>
        <w:wordWrap/>
        <w:overflowPunct/>
        <w:topLinePunct w:val="0"/>
        <w:autoSpaceDE/>
        <w:autoSpaceDN/>
        <w:bidi w:val="0"/>
        <w:adjustRightInd/>
        <w:spacing w:before="156" w:beforeLines="50" w:line="360" w:lineRule="auto"/>
        <w:ind w:firstLineChars="0"/>
        <w:rPr>
          <w:rFonts w:hint="eastAsia" w:ascii="宋体" w:hAnsi="宋体" w:eastAsia="宋体" w:cs="宋体"/>
          <w:b/>
          <w:color w:val="auto"/>
          <w:sz w:val="24"/>
          <w:szCs w:val="24"/>
          <w:highlight w:val="none"/>
        </w:rPr>
      </w:pPr>
      <w:r>
        <w:rPr>
          <w:rFonts w:hint="eastAsia" w:ascii="宋体" w:hAnsi="宋体" w:eastAsia="宋体" w:cs="宋体"/>
          <w:b w:val="0"/>
          <w:bCs/>
          <w:color w:val="auto"/>
          <w:sz w:val="24"/>
          <w:szCs w:val="24"/>
          <w:highlight w:val="none"/>
        </w:rPr>
        <w:t>特殊试验</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剪切波速试验（从钻孔中分层选择土样进行试验）</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动三轴液化试验（对水下设施场址可液化土层）</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模量和阻尼比试验（从钻孔中分层选择土样进行试验）</w:t>
      </w:r>
    </w:p>
    <w:p>
      <w:pPr>
        <w:pageBreakBefore w:val="0"/>
        <w:widowControl/>
        <w:numPr>
          <w:ilvl w:val="0"/>
          <w:numId w:val="8"/>
        </w:numPr>
        <w:tabs>
          <w:tab w:val="left" w:pos="870"/>
        </w:tabs>
        <w:kinsoku/>
        <w:wordWrap/>
        <w:overflowPunct/>
        <w:topLinePunct w:val="0"/>
        <w:autoSpaceDE/>
        <w:autoSpaceDN/>
        <w:bidi w:val="0"/>
        <w:adjustRightInd/>
        <w:snapToGrid w:val="0"/>
        <w:spacing w:before="156" w:beforeLines="50" w:line="360" w:lineRule="auto"/>
        <w:ind w:left="601" w:leftChars="0"/>
        <w:jc w:val="left"/>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地震安全性评价</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地震安全性分析的相关地震加速度等参数是新建平台抗震设计的基础，根据地质调查结果，综合该区域天然地震情况计算分析，出具地震安全性评价报告。</w:t>
      </w:r>
    </w:p>
    <w:p>
      <w:pPr>
        <w:pStyle w:val="3"/>
        <w:tabs>
          <w:tab w:val="left" w:pos="1175"/>
        </w:tabs>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2.1.</w:t>
      </w:r>
      <w:r>
        <w:rPr>
          <w:rFonts w:hint="eastAsia" w:ascii="宋体" w:hAnsi="宋体" w:eastAsia="宋体" w:cs="宋体"/>
          <w:color w:val="auto"/>
          <w:kern w:val="0"/>
          <w:sz w:val="24"/>
          <w:szCs w:val="24"/>
          <w:highlight w:val="none"/>
          <w:lang w:val="en-US" w:eastAsia="zh-CN"/>
        </w:rPr>
        <w:t>3平台</w:t>
      </w:r>
      <w:r>
        <w:rPr>
          <w:rFonts w:hint="eastAsia" w:ascii="宋体" w:hAnsi="宋体" w:eastAsia="宋体" w:cs="宋体"/>
          <w:color w:val="auto"/>
          <w:kern w:val="0"/>
          <w:sz w:val="24"/>
          <w:szCs w:val="24"/>
          <w:highlight w:val="none"/>
        </w:rPr>
        <w:t>场</w:t>
      </w:r>
      <w:r>
        <w:rPr>
          <w:rFonts w:hint="eastAsia" w:ascii="宋体" w:hAnsi="宋体" w:eastAsia="宋体" w:cs="宋体"/>
          <w:color w:val="auto"/>
          <w:kern w:val="0"/>
          <w:sz w:val="24"/>
          <w:szCs w:val="24"/>
          <w:highlight w:val="none"/>
          <w:lang w:val="en-US" w:eastAsia="zh-CN"/>
        </w:rPr>
        <w:t>址井场调查数据要求</w:t>
      </w:r>
    </w:p>
    <w:p>
      <w:pPr>
        <w:pStyle w:val="7"/>
        <w:pageBreakBefore w:val="0"/>
        <w:numPr>
          <w:ilvl w:val="0"/>
          <w:numId w:val="7"/>
        </w:numPr>
        <w:kinsoku/>
        <w:wordWrap/>
        <w:overflowPunct/>
        <w:topLinePunct w:val="0"/>
        <w:autoSpaceDE/>
        <w:autoSpaceDN/>
        <w:bidi w:val="0"/>
        <w:adjustRightInd/>
        <w:spacing w:before="156" w:beforeLines="50" w:line="360" w:lineRule="auto"/>
        <w:ind w:firstLineChars="0"/>
        <w:rPr>
          <w:rFonts w:hint="eastAsia" w:ascii="宋体" w:hAnsi="宋体" w:eastAsia="宋体" w:cs="宋体"/>
          <w:b/>
          <w:color w:val="auto"/>
          <w:sz w:val="24"/>
          <w:szCs w:val="24"/>
          <w:highlight w:val="none"/>
        </w:rPr>
      </w:pPr>
      <w:r>
        <w:rPr>
          <w:rFonts w:hint="eastAsia" w:ascii="宋体" w:hAnsi="宋体" w:cs="宋体"/>
          <w:b w:val="0"/>
          <w:bCs/>
          <w:color w:val="auto"/>
          <w:sz w:val="24"/>
          <w:szCs w:val="24"/>
          <w:highlight w:val="none"/>
          <w:lang w:val="en-US" w:eastAsia="zh-CN"/>
        </w:rPr>
        <w:t>取样要求</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采用孔内锤击绳索取芯工艺，钻探取样/CPT孔位不少于3个，深度不小于40m</w:t>
      </w:r>
      <w:r>
        <w:rPr>
          <w:rFonts w:hint="eastAsia" w:ascii="宋体" w:hAnsi="宋体" w:eastAsia="宋体" w:cs="宋体"/>
          <w:color w:val="auto"/>
          <w:kern w:val="0"/>
          <w:sz w:val="24"/>
          <w:szCs w:val="24"/>
          <w:highlight w:val="none"/>
          <w:lang w:eastAsia="zh-CN"/>
        </w:rPr>
        <w:t>。</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工程地质浅钻偏离设计位置不超过20m。</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取样间隔要求：孔深0~15m连续取样，15~40m每1.5米取一原状土样</w:t>
      </w:r>
      <w:r>
        <w:rPr>
          <w:rFonts w:hint="eastAsia" w:ascii="宋体" w:hAnsi="宋体" w:eastAsia="宋体" w:cs="宋体"/>
          <w:color w:val="auto"/>
          <w:kern w:val="0"/>
          <w:sz w:val="24"/>
          <w:szCs w:val="24"/>
          <w:highlight w:val="none"/>
          <w:lang w:eastAsia="zh-CN"/>
        </w:rPr>
        <w:t>。</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取率要求：粘性土不低于85%，砂质土不低于65%，砂砾、砾石层不低于50%。钻探施工过程中，应定时测量水深，以便校准进尺深度，终孔时，孔深误差不大于1%。取样完成后，需进行外业简易土工试验，包括物理性质试验（天然含水率和天然密度)和不排水抗剪强度试验（手动十字板剪切试验、微型十字板剪切试验以及袖珍贯入仪试验试验袖珍十字板剪切，微型贯人等)，并获取准确的数据</w:t>
      </w:r>
      <w:r>
        <w:rPr>
          <w:rFonts w:hint="eastAsia" w:ascii="宋体" w:hAnsi="宋体" w:eastAsia="宋体" w:cs="宋体"/>
          <w:color w:val="auto"/>
          <w:kern w:val="0"/>
          <w:sz w:val="24"/>
          <w:szCs w:val="24"/>
          <w:highlight w:val="none"/>
          <w:lang w:eastAsia="zh-CN"/>
        </w:rPr>
        <w:t>。</w:t>
      </w:r>
    </w:p>
    <w:p>
      <w:pPr>
        <w:pStyle w:val="7"/>
        <w:pageBreakBefore w:val="0"/>
        <w:numPr>
          <w:ilvl w:val="0"/>
          <w:numId w:val="7"/>
        </w:numPr>
        <w:kinsoku/>
        <w:wordWrap/>
        <w:overflowPunct/>
        <w:topLinePunct w:val="0"/>
        <w:autoSpaceDE/>
        <w:autoSpaceDN/>
        <w:bidi w:val="0"/>
        <w:adjustRightInd/>
        <w:spacing w:before="156" w:beforeLines="50" w:line="360" w:lineRule="auto"/>
        <w:ind w:firstLineChars="0"/>
        <w:rPr>
          <w:rFonts w:hint="eastAsia" w:ascii="宋体" w:hAnsi="宋体" w:eastAsia="宋体" w:cs="宋体"/>
          <w:b/>
          <w:color w:val="auto"/>
          <w:sz w:val="24"/>
          <w:szCs w:val="24"/>
          <w:highlight w:val="none"/>
        </w:rPr>
      </w:pPr>
      <w:r>
        <w:rPr>
          <w:rFonts w:hint="eastAsia" w:ascii="宋体" w:hAnsi="宋体" w:cs="宋体"/>
          <w:b w:val="0"/>
          <w:bCs/>
          <w:color w:val="auto"/>
          <w:sz w:val="24"/>
          <w:szCs w:val="24"/>
          <w:highlight w:val="none"/>
          <w:lang w:val="en-US" w:eastAsia="zh-CN"/>
        </w:rPr>
        <w:t>室内土工试验要求</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进行室内土工试验，测定土体样品的物理性质和力学性质。根据需要，需提交相应试验成果</w:t>
      </w:r>
      <w:r>
        <w:rPr>
          <w:rFonts w:hint="eastAsia" w:ascii="宋体" w:hAnsi="宋体" w:eastAsia="宋体" w:cs="宋体"/>
          <w:color w:val="auto"/>
          <w:kern w:val="0"/>
          <w:sz w:val="24"/>
          <w:szCs w:val="24"/>
          <w:highlight w:val="none"/>
          <w:lang w:eastAsia="zh-CN"/>
        </w:rPr>
        <w:t>。</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土的物理性质：土质分类及物理性质，液限/塑限，渗流性等</w:t>
      </w:r>
      <w:r>
        <w:rPr>
          <w:rFonts w:hint="eastAsia" w:ascii="宋体" w:hAnsi="宋体" w:eastAsia="宋体" w:cs="宋体"/>
          <w:color w:val="auto"/>
          <w:kern w:val="0"/>
          <w:sz w:val="24"/>
          <w:szCs w:val="24"/>
          <w:highlight w:val="none"/>
          <w:lang w:eastAsia="zh-CN"/>
        </w:rPr>
        <w:t>。</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土的力学性质：静力学性质，动单剪、动三轴、环剪等动力学性质等</w:t>
      </w:r>
      <w:r>
        <w:rPr>
          <w:rFonts w:hint="eastAsia" w:ascii="宋体" w:hAnsi="宋体" w:eastAsia="宋体" w:cs="宋体"/>
          <w:color w:val="auto"/>
          <w:kern w:val="0"/>
          <w:sz w:val="24"/>
          <w:szCs w:val="24"/>
          <w:highlight w:val="none"/>
          <w:lang w:eastAsia="zh-CN"/>
        </w:rPr>
        <w:t>。</w:t>
      </w:r>
    </w:p>
    <w:p>
      <w:pPr>
        <w:pageBreakBefore w:val="0"/>
        <w:widowControl/>
        <w:numPr>
          <w:ilvl w:val="0"/>
          <w:numId w:val="6"/>
        </w:numPr>
        <w:tabs>
          <w:tab w:val="left" w:pos="870"/>
        </w:tabs>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岩石的物理力学性质：岩矿鉴定、密度、吸水率、饱和吸水率、点荷载试验、饱和极限无侧限抗压强度等</w:t>
      </w:r>
      <w:r>
        <w:rPr>
          <w:rFonts w:hint="eastAsia" w:ascii="宋体" w:hAnsi="宋体" w:eastAsia="宋体" w:cs="宋体"/>
          <w:color w:val="auto"/>
          <w:kern w:val="0"/>
          <w:sz w:val="24"/>
          <w:szCs w:val="24"/>
          <w:highlight w:val="none"/>
          <w:lang w:eastAsia="zh-CN"/>
        </w:rPr>
        <w:t>。</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海洋工程环境</w:t>
      </w:r>
      <w:r>
        <w:rPr>
          <w:rFonts w:hint="eastAsia" w:ascii="宋体" w:hAnsi="宋体" w:eastAsia="宋体" w:cs="宋体"/>
          <w:color w:val="auto"/>
          <w:kern w:val="0"/>
          <w:sz w:val="24"/>
          <w:szCs w:val="24"/>
          <w:highlight w:val="none"/>
          <w:lang w:val="en-US" w:eastAsia="zh-CN"/>
        </w:rPr>
        <w:t>数据要求</w:t>
      </w:r>
    </w:p>
    <w:p>
      <w:pPr>
        <w:keepNext/>
        <w:pageBreakBefore w:val="0"/>
        <w:widowControl/>
        <w:tabs>
          <w:tab w:val="left" w:pos="284"/>
        </w:tabs>
        <w:kinsoku/>
        <w:wordWrap/>
        <w:overflowPunct/>
        <w:topLinePunct w:val="0"/>
        <w:autoSpaceDE/>
        <w:autoSpaceDN/>
        <w:bidi w:val="0"/>
        <w:adjustRightInd/>
        <w:spacing w:before="240" w:after="240" w:line="360" w:lineRule="auto"/>
        <w:ind w:left="284"/>
        <w:jc w:val="left"/>
        <w:outlineLvl w:val="3"/>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2.1.</w:t>
      </w:r>
      <w:r>
        <w:rPr>
          <w:rFonts w:hint="eastAsia" w:ascii="宋体" w:hAnsi="宋体" w:cs="宋体"/>
          <w:bCs/>
          <w:color w:val="auto"/>
          <w:kern w:val="0"/>
          <w:sz w:val="24"/>
          <w:szCs w:val="24"/>
          <w:highlight w:val="none"/>
          <w:lang w:val="en-US" w:eastAsia="zh-CN"/>
        </w:rPr>
        <w:t>4</w:t>
      </w:r>
      <w:r>
        <w:rPr>
          <w:rFonts w:hint="eastAsia" w:ascii="宋体" w:hAnsi="宋体" w:eastAsia="宋体" w:cs="宋体"/>
          <w:bCs/>
          <w:color w:val="auto"/>
          <w:kern w:val="0"/>
          <w:sz w:val="24"/>
          <w:szCs w:val="24"/>
          <w:highlight w:val="none"/>
        </w:rPr>
        <w:t>.1验潮和测流</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根据以往在附近海域的测流验潮站的位置分布，设置验潮站，测流站，观测时间覆盖26</w:t>
      </w:r>
      <w:r>
        <w:rPr>
          <w:rFonts w:hint="eastAsia" w:ascii="宋体" w:hAnsi="宋体" w:eastAsia="宋体" w:cs="宋体"/>
          <w:color w:val="auto"/>
          <w:kern w:val="0"/>
          <w:sz w:val="24"/>
          <w:szCs w:val="24"/>
          <w:highlight w:val="none"/>
          <w:lang w:val="en-US" w:eastAsia="zh-CN"/>
        </w:rPr>
        <w:t>小</w:t>
      </w:r>
      <w:r>
        <w:rPr>
          <w:rFonts w:hint="eastAsia" w:ascii="宋体" w:hAnsi="宋体" w:eastAsia="宋体" w:cs="宋体"/>
          <w:color w:val="auto"/>
          <w:kern w:val="0"/>
          <w:sz w:val="24"/>
          <w:szCs w:val="24"/>
          <w:highlight w:val="none"/>
        </w:rPr>
        <w:t>时，并满足水深校正的要求。海流观测应观测包括表、中、底的剖面海流（底层海流观测位置应在海底以上1～2m）。乙方需清楚说明海流剖面仪的性能。</w:t>
      </w:r>
    </w:p>
    <w:p>
      <w:pPr>
        <w:keepNext/>
        <w:pageBreakBefore w:val="0"/>
        <w:widowControl/>
        <w:tabs>
          <w:tab w:val="left" w:pos="284"/>
        </w:tabs>
        <w:kinsoku/>
        <w:wordWrap/>
        <w:overflowPunct/>
        <w:topLinePunct w:val="0"/>
        <w:autoSpaceDE/>
        <w:autoSpaceDN/>
        <w:bidi w:val="0"/>
        <w:adjustRightInd/>
        <w:spacing w:before="240" w:after="240" w:line="360" w:lineRule="auto"/>
        <w:ind w:left="284"/>
        <w:jc w:val="left"/>
        <w:outlineLvl w:val="3"/>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2.1.</w:t>
      </w:r>
      <w:r>
        <w:rPr>
          <w:rFonts w:hint="eastAsia" w:ascii="宋体" w:hAnsi="宋体" w:cs="宋体"/>
          <w:bCs/>
          <w:color w:val="auto"/>
          <w:kern w:val="0"/>
          <w:sz w:val="24"/>
          <w:szCs w:val="24"/>
          <w:highlight w:val="none"/>
          <w:lang w:val="en-US" w:eastAsia="zh-CN"/>
        </w:rPr>
        <w:t>4</w:t>
      </w:r>
      <w:r>
        <w:rPr>
          <w:rFonts w:hint="eastAsia" w:ascii="宋体" w:hAnsi="宋体" w:eastAsia="宋体" w:cs="宋体"/>
          <w:bCs/>
          <w:color w:val="auto"/>
          <w:kern w:val="0"/>
          <w:sz w:val="24"/>
          <w:szCs w:val="24"/>
          <w:highlight w:val="none"/>
        </w:rPr>
        <w:t>.2海水、海床沉积物腐蚀调查</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调查工程区域海水、海床沉积物的腐蚀要素，提出钢结构防腐设计参数。</w:t>
      </w:r>
    </w:p>
    <w:p>
      <w:pPr>
        <w:keepNext/>
        <w:pageBreakBefore w:val="0"/>
        <w:widowControl/>
        <w:tabs>
          <w:tab w:val="left" w:pos="284"/>
        </w:tabs>
        <w:kinsoku/>
        <w:wordWrap/>
        <w:overflowPunct/>
        <w:topLinePunct w:val="0"/>
        <w:autoSpaceDE/>
        <w:autoSpaceDN/>
        <w:bidi w:val="0"/>
        <w:adjustRightInd/>
        <w:spacing w:before="240" w:after="240" w:line="360" w:lineRule="auto"/>
        <w:ind w:left="284"/>
        <w:jc w:val="left"/>
        <w:outlineLvl w:val="3"/>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2.1.</w:t>
      </w:r>
      <w:r>
        <w:rPr>
          <w:rFonts w:hint="eastAsia" w:ascii="宋体" w:hAnsi="宋体" w:cs="宋体"/>
          <w:bCs/>
          <w:color w:val="auto"/>
          <w:kern w:val="0"/>
          <w:sz w:val="24"/>
          <w:szCs w:val="24"/>
          <w:highlight w:val="none"/>
          <w:lang w:val="en-US" w:eastAsia="zh-CN"/>
        </w:rPr>
        <w:t>4</w:t>
      </w:r>
      <w:r>
        <w:rPr>
          <w:rFonts w:hint="eastAsia" w:ascii="宋体" w:hAnsi="宋体" w:eastAsia="宋体" w:cs="宋体"/>
          <w:bCs/>
          <w:color w:val="auto"/>
          <w:kern w:val="0"/>
          <w:sz w:val="24"/>
          <w:szCs w:val="24"/>
          <w:highlight w:val="none"/>
        </w:rPr>
        <w:t>.3水温、泥温</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设水温、泥温测点；测量表、中、底层（离海底0.5 m）水温，给出海水温度分析结果；测量海床以下（0.5m、1m、1.5m、2m、3m）泥温，给出各测点海泥温度及分析统计结果。按照全年分别给出水温和泥温最大、最小和平均值。</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按照数据格式规范，针对本合同的数据采集、试验和调查解释成果，进行数据库数据的准备和提交。数据格式规范由甲方提供。</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 xml:space="preserve"> 环境监测数据要求</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根据甲方要求，在指定区域布设监测站位。</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.1 水质监测</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水质监测包括水色、悬浮物、营养盐（包括无机氮、活性磷酸盐）、COD、重金属（包括汞、砷、总铬、铜、镉、铅、锌）、石油类、硫化物、挥发性酚；水质监测做4层。</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.2 沉积物监测</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沉积物监测包括重金属（包括汞、砷、总铬、铜、镉、铅、锌）和石油类、有机碳和硫化物。</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.3 生物监测</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生物监测包括叶绿素a、浮游植物、浮游动物和底栖生物、鱼卵、仔稚鱼。</w:t>
      </w:r>
    </w:p>
    <w:p>
      <w:pPr>
        <w:pageBreakBefore w:val="0"/>
        <w:kinsoku/>
        <w:wordWrap/>
        <w:overflowPunct/>
        <w:topLinePunct w:val="0"/>
        <w:autoSpaceDE/>
        <w:autoSpaceDN/>
        <w:bidi w:val="0"/>
        <w:adjustRightInd/>
        <w:spacing w:line="360" w:lineRule="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2.2材料编制要求</w:t>
      </w:r>
    </w:p>
    <w:p>
      <w:pPr>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路由选择依据说明材料编制要求</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1）路由预选的任务是根据工程方案需求开展新增海管路由研究，应提出两个以上路由方案进行比选。</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2）路由预选应遵循选择相对安全可靠、经济合理、便于施工和维护的原则。</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路由预选时要尽可能搜集路由区已有的地形地貌、地质、地震、水文、气象等自然环境资料，尤其要收集灾害地质因素资料，如裸露基岩、陡崖、沟槽、古河谷、浅层气、浊流、活动性沙波、活动断层等，预选路由应尽可能避开这些灾害地质因素分布区。</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4) 路由预选时要尽可能收集路由区已有的腐蚀性环境参数，并评估它们对海底管道的腐蚀性。</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5)路由预选时要尽可能收集路由区的海洋规划、生态红线、开发活动，主要有：</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渔业：包括路由区渔船数量、捕捞方式、捕捞作业季节、休渔区、休渔期、浅海和滩涂养殖区等；</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矿产资源开发：包括海洋油气田和砂矿区等的分布、资源开发规划与开采现状、海上平台和输油气管道的位置等；</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交通运输：包括主要航线（包括定线制、习惯航路以及规划航路等）及船只类型（所使用的锚型）、密度、航道疏浚及抛泥等；以及航道、抛锚区、禁航区等限制区；</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通信：海底通信电缆；</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电力：海底输电电缆；</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海洋自然保护区：各种海洋自然保护区分布状况；</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生态红线区;</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海底人为废弃物：如沉船、集装箱、锚等；</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军事：各种军事用海、军事活动区等；</w:t>
      </w:r>
    </w:p>
    <w:p>
      <w:pPr>
        <w:pageBreakBefore w:val="0"/>
        <w:widowControl/>
        <w:numPr>
          <w:ilvl w:val="0"/>
          <w:numId w:val="9"/>
        </w:numPr>
        <w:kinsoku/>
        <w:wordWrap/>
        <w:overflowPunct/>
        <w:topLinePunct w:val="0"/>
        <w:autoSpaceDE/>
        <w:autoSpaceDN/>
        <w:bidi w:val="0"/>
        <w:adjustRightInd/>
        <w:snapToGrid w:val="0"/>
        <w:spacing w:before="156" w:beforeLines="50" w:line="360" w:lineRule="auto"/>
        <w:ind w:left="1134" w:hanging="425"/>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其他：如旅游区、倾废区、科学研究试验区等。</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6)收集已建海底管道故障史，分析故障原因，为新建海底管道的设计、施工及维护提供有益经验。</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7)预选路由应尽可能避开海洋油气田、含油气构造、砂矿开采区、输油气管道、码头、锚地、自然保护区、军事用海区、人为废弃物等区域，应尽可能与航线垂直穿越，避免与海底电缆管道交越，确需交越时，尽可能垂直交越。</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lang w:val="en-US" w:eastAsia="zh-CN"/>
        </w:rPr>
        <w:t>海洋观测站（点）评估、备案材料要求</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1）法律法规与政策掌握：确保服务团队对《中华人民共和国海洋环境保护法》、《海洋观测预报管理条例》等相关法律法规，以及自然资源部、东海局发布的最新政策文件有深入理解和准确把握。</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2）专业资料收集与分析：充分利用自然资源部东海局及国内外相关机构的数据资源，收集并分析海洋观测站（点）的历史数据、科研成果及最新技术动态，为评估与备案提供坚实的数据支撑。</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3）环境友好与可持续发展：在评估与备案过程中，充分考虑环境保护与可持续发展要求，提出科学合理的环境保护方案，确保海洋观测活动对海洋生态环境的影响降到最低。</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color w:val="auto"/>
          <w:highlight w:val="none"/>
        </w:rPr>
      </w:pPr>
      <w:r>
        <w:rPr>
          <w:rFonts w:hint="eastAsia" w:ascii="宋体" w:hAnsi="宋体" w:eastAsia="宋体" w:cs="宋体"/>
          <w:bCs/>
          <w:color w:val="auto"/>
          <w:kern w:val="0"/>
          <w:sz w:val="24"/>
          <w:szCs w:val="24"/>
          <w:highlight w:val="none"/>
          <w:lang w:val="en-US" w:eastAsia="zh-CN"/>
        </w:rPr>
        <w:t>4）服务流程优化：不断优化服务流程，提高服务效率。同时，建立健全的服务质量监控体系，确保服务质量的稳定性和可靠性。</w:t>
      </w:r>
    </w:p>
    <w:bookmarkEnd w:id="2"/>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p>
    <w:p>
      <w:pPr>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rPr>
      </w:pPr>
      <w:bookmarkStart w:id="4" w:name="_Toc363478094"/>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报告</w:t>
      </w:r>
      <w:bookmarkEnd w:id="4"/>
      <w:r>
        <w:rPr>
          <w:rFonts w:hint="eastAsia" w:ascii="宋体" w:hAnsi="宋体" w:eastAsia="宋体" w:cs="宋体"/>
          <w:color w:val="auto"/>
          <w:sz w:val="24"/>
          <w:szCs w:val="24"/>
          <w:highlight w:val="none"/>
        </w:rPr>
        <w:t>要求</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路由选择依据说明材料</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提交通过专家审查的海底管</w:t>
      </w:r>
      <w:r>
        <w:rPr>
          <w:rFonts w:hint="eastAsia" w:ascii="宋体" w:hAnsi="宋体" w:eastAsia="宋体" w:cs="宋体"/>
          <w:color w:val="auto"/>
          <w:kern w:val="0"/>
          <w:sz w:val="24"/>
          <w:szCs w:val="24"/>
          <w:highlight w:val="none"/>
          <w:lang w:val="en-US" w:eastAsia="zh-CN"/>
        </w:rPr>
        <w:t>缆</w:t>
      </w:r>
      <w:r>
        <w:rPr>
          <w:rFonts w:hint="eastAsia" w:ascii="宋体" w:hAnsi="宋体" w:eastAsia="宋体" w:cs="宋体"/>
          <w:color w:val="auto"/>
          <w:kern w:val="0"/>
          <w:sz w:val="24"/>
          <w:szCs w:val="24"/>
          <w:highlight w:val="none"/>
        </w:rPr>
        <w:t>预选路由选择依据说明材</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主要内容大纲参考如下</w:t>
      </w:r>
      <w:r>
        <w:rPr>
          <w:rFonts w:hint="eastAsia" w:ascii="宋体" w:hAnsi="宋体" w:eastAsia="宋体" w:cs="宋体"/>
          <w:color w:val="auto"/>
          <w:kern w:val="0"/>
          <w:sz w:val="24"/>
          <w:szCs w:val="24"/>
          <w:highlight w:val="none"/>
          <w:lang w:eastAsia="zh-CN"/>
        </w:rPr>
        <w:t>：</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 概述</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1.1  任务由来与工程背景</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1.2  预选路由海区范围</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1.3  路由预选技术依据</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1.4  工作过程</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 路由区工程地质条件</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2.1  区域地质背景</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2.2  海底地形与地貌特征</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2.3  海底底质及其工程特性</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2.4  海床冲淤活动性</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 路由区海洋水文气象要素</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3.1  气象</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3.2  海洋水文</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 路由区海底腐蚀性环境</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 路由区海洋开发活动</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5.1  海洋功能区划及规划</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5.2  渔业活动</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5.3  海上交通</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5.4  已建海底电缆管道工程</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5.5  海底矿产资源开发活动</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5.6  水利工程</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5.7  海洋自然保护区</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5.8  倾废区</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5.9  旅游区</w:t>
      </w:r>
    </w:p>
    <w:p>
      <w:pPr>
        <w:pageBreakBefore w:val="0"/>
        <w:widowControl/>
        <w:kinsoku/>
        <w:wordWrap/>
        <w:overflowPunct/>
        <w:topLinePunct w:val="0"/>
        <w:autoSpaceDE/>
        <w:autoSpaceDN/>
        <w:bidi w:val="0"/>
        <w:adjustRightInd/>
        <w:snapToGrid w:val="0"/>
        <w:spacing w:line="360" w:lineRule="auto"/>
        <w:ind w:firstLine="720" w:firstLineChars="3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5.10 军事用海</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5.11 其他</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 预选路由条件评价及建议</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7.1  预选路由方案</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7.2  预选路由条件综合评价</w:t>
      </w:r>
    </w:p>
    <w:p>
      <w:pPr>
        <w:pageBreakBefore w:val="0"/>
        <w:widowControl/>
        <w:kinsoku/>
        <w:wordWrap/>
        <w:overflowPunct/>
        <w:topLinePunct w:val="0"/>
        <w:autoSpaceDE/>
        <w:autoSpaceDN/>
        <w:bidi w:val="0"/>
        <w:adjustRightInd/>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7.3  结论与建议</w:t>
      </w:r>
    </w:p>
    <w:p>
      <w:pPr>
        <w:pageBreakBefore w:val="0"/>
        <w:widowControl/>
        <w:kinsoku/>
        <w:wordWrap/>
        <w:overflowPunct/>
        <w:topLinePunct w:val="0"/>
        <w:autoSpaceDE/>
        <w:autoSpaceDN/>
        <w:bidi w:val="0"/>
        <w:adjustRightInd/>
        <w:snapToGrid w:val="0"/>
        <w:spacing w:line="360" w:lineRule="auto"/>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海洋观测站（点）评估、备案</w:t>
      </w:r>
      <w:r>
        <w:rPr>
          <w:rFonts w:hint="eastAsia" w:ascii="宋体" w:hAnsi="宋体" w:cs="宋体"/>
          <w:color w:val="auto"/>
          <w:kern w:val="0"/>
          <w:sz w:val="24"/>
          <w:szCs w:val="24"/>
          <w:highlight w:val="none"/>
          <w:lang w:val="en-US" w:eastAsia="zh-CN"/>
        </w:rPr>
        <w:t>报告</w:t>
      </w:r>
    </w:p>
    <w:p>
      <w:pPr>
        <w:widowControl/>
        <w:snapToGrid w:val="0"/>
        <w:spacing w:before="156" w:beforeLines="50" w:line="360" w:lineRule="auto"/>
        <w:ind w:firstLine="480" w:firstLineChars="200"/>
        <w:jc w:val="left"/>
        <w:rPr>
          <w:rFonts w:hint="eastAsia"/>
          <w:bCs/>
          <w:color w:val="auto"/>
          <w:kern w:val="0"/>
          <w:sz w:val="24"/>
          <w:highlight w:val="none"/>
          <w:lang w:val="en-US" w:eastAsia="zh-CN"/>
        </w:rPr>
      </w:pPr>
      <w:r>
        <w:rPr>
          <w:rFonts w:hint="eastAsia"/>
          <w:bCs/>
          <w:color w:val="auto"/>
          <w:kern w:val="0"/>
          <w:sz w:val="24"/>
          <w:highlight w:val="none"/>
          <w:lang w:val="en-US" w:eastAsia="zh-CN"/>
        </w:rPr>
        <w:t>2.3.2.1海洋观测站（点）评估报告</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bCs/>
          <w:color w:val="auto"/>
          <w:kern w:val="0"/>
          <w:sz w:val="24"/>
          <w:highlight w:val="none"/>
          <w:lang w:val="en-US" w:eastAsia="zh-CN"/>
        </w:rPr>
        <w:t>内容包括：包括但不限于站点位置分析、观测要素确定、设备选型建议、环境影响评估、经济效益与社会效益预测等。</w:t>
      </w:r>
    </w:p>
    <w:p>
      <w:pPr>
        <w:widowControl/>
        <w:snapToGrid w:val="0"/>
        <w:spacing w:before="156" w:beforeLines="50" w:line="360" w:lineRule="auto"/>
        <w:ind w:firstLine="480" w:firstLineChars="200"/>
        <w:jc w:val="left"/>
        <w:rPr>
          <w:rFonts w:hint="eastAsia"/>
          <w:color w:val="auto"/>
          <w:kern w:val="0"/>
          <w:sz w:val="24"/>
          <w:highlight w:val="none"/>
          <w:lang w:val="en-US" w:eastAsia="zh-CN"/>
        </w:rPr>
      </w:pPr>
      <w:r>
        <w:rPr>
          <w:rFonts w:hint="eastAsia"/>
          <w:color w:val="auto"/>
          <w:kern w:val="0"/>
          <w:sz w:val="24"/>
          <w:highlight w:val="none"/>
          <w:lang w:val="en-US" w:eastAsia="zh-CN"/>
        </w:rPr>
        <w:t>2.3.2.2海洋观测站（点）备案报告</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color w:val="auto"/>
          <w:kern w:val="0"/>
          <w:sz w:val="24"/>
          <w:highlight w:val="none"/>
          <w:lang w:val="en-US" w:eastAsia="zh-CN"/>
        </w:rPr>
        <w:t>内容包括：涵盖站点基本情况、建设方案、观测计划、管理制度、安全保障措施、环境保护方案等。</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工程物探</w:t>
      </w:r>
      <w:r>
        <w:rPr>
          <w:rFonts w:hint="eastAsia" w:ascii="宋体" w:hAnsi="宋体" w:eastAsia="宋体" w:cs="宋体"/>
          <w:color w:val="auto"/>
          <w:kern w:val="0"/>
          <w:sz w:val="24"/>
          <w:szCs w:val="24"/>
          <w:highlight w:val="none"/>
          <w:lang w:val="en-US" w:eastAsia="zh-CN"/>
        </w:rPr>
        <w:t>报告</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报告应至少包括三方面的内容：地质条件分析、地质条件评价和图件、所有文件都要提供相应格式的电子版本，介质为光盘。</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地质条件分析 </w:t>
      </w:r>
      <w:r>
        <w:rPr>
          <w:rFonts w:hint="eastAsia" w:ascii="宋体" w:hAnsi="宋体" w:eastAsia="宋体" w:cs="宋体"/>
          <w:color w:val="auto"/>
          <w:kern w:val="0"/>
          <w:sz w:val="24"/>
          <w:szCs w:val="24"/>
          <w:highlight w:val="none"/>
        </w:rPr>
        <w:t>包括但不限于以下内容：</w:t>
      </w:r>
    </w:p>
    <w:p>
      <w:pPr>
        <w:pageBreakBefore w:val="0"/>
        <w:widowControl/>
        <w:numPr>
          <w:ilvl w:val="0"/>
          <w:numId w:val="10"/>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描述平台场址区海域水深变化及海底地形起伏；</w:t>
      </w:r>
    </w:p>
    <w:p>
      <w:pPr>
        <w:pageBreakBefore w:val="0"/>
        <w:widowControl/>
        <w:numPr>
          <w:ilvl w:val="0"/>
          <w:numId w:val="10"/>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描述并分析海底地貌及海底障碍物；</w:t>
      </w:r>
    </w:p>
    <w:p>
      <w:pPr>
        <w:pageBreakBefore w:val="0"/>
        <w:widowControl/>
        <w:numPr>
          <w:ilvl w:val="0"/>
          <w:numId w:val="10"/>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中、浅地层的反射界面，各层层厚及沉积相变化的描述；</w:t>
      </w:r>
    </w:p>
    <w:p>
      <w:pPr>
        <w:pageBreakBefore w:val="0"/>
        <w:widowControl/>
        <w:numPr>
          <w:ilvl w:val="0"/>
          <w:numId w:val="10"/>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海底各种不稳定地质因素的描述及灾害分析；</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地质条件评价 </w:t>
      </w:r>
      <w:r>
        <w:rPr>
          <w:rFonts w:hint="eastAsia" w:ascii="宋体" w:hAnsi="宋体" w:eastAsia="宋体" w:cs="宋体"/>
          <w:color w:val="auto"/>
          <w:kern w:val="0"/>
          <w:sz w:val="24"/>
          <w:szCs w:val="24"/>
          <w:highlight w:val="none"/>
        </w:rPr>
        <w:t>包括但不限于以下内容：</w:t>
      </w:r>
    </w:p>
    <w:p>
      <w:pPr>
        <w:pageBreakBefore w:val="0"/>
        <w:widowControl/>
        <w:numPr>
          <w:ilvl w:val="0"/>
          <w:numId w:val="11"/>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作业海区海底地貌条件，工程评价及限制；</w:t>
      </w:r>
    </w:p>
    <w:p>
      <w:pPr>
        <w:pageBreakBefore w:val="0"/>
        <w:widowControl/>
        <w:numPr>
          <w:ilvl w:val="0"/>
          <w:numId w:val="11"/>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海底中、浅地层工程地质评价；</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图件 </w:t>
      </w:r>
      <w:r>
        <w:rPr>
          <w:rFonts w:hint="eastAsia" w:ascii="宋体" w:hAnsi="宋体" w:eastAsia="宋体" w:cs="宋体"/>
          <w:color w:val="auto"/>
          <w:kern w:val="0"/>
          <w:sz w:val="24"/>
          <w:szCs w:val="24"/>
          <w:highlight w:val="none"/>
        </w:rPr>
        <w:t>包括但不限于下列图件。</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定位航迹图；</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海底光缆/电缆/管道等已建设施位置信息图</w:t>
      </w:r>
      <w:r>
        <w:rPr>
          <w:rFonts w:hint="eastAsia" w:ascii="宋体" w:hAnsi="宋体" w:eastAsia="宋体" w:cs="宋体"/>
          <w:color w:val="auto"/>
          <w:kern w:val="0"/>
          <w:sz w:val="24"/>
          <w:szCs w:val="24"/>
          <w:highlight w:val="none"/>
          <w:lang w:eastAsia="zh-CN"/>
        </w:rPr>
        <w:t>；</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地层划分及其对比图；</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剖面图及剖面纵视图，纵比例为1:250；</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水深地形图，提供三维水深地形图（TDS），对于复杂地形，分辨率要求不大于5m；</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海底地貌图；</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地层埋深图；</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地层等厚度图；</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海底表面灾害地质类型图；</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浅地层中的灾害地质类型图；</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乙方应提交最终调查图的电子数据文件（测深数据文件应单独提供），这些文件可使甲方得以用AUTOCAD来存储和检索调查图。文件格式在.dwg的文件中提供。</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图件的比例：</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平台区域图件的比例为1：5000；</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水深图等深线间隔为0.5m。</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图表包括：</w:t>
      </w:r>
    </w:p>
    <w:p>
      <w:pPr>
        <w:pageBreakBefore w:val="0"/>
        <w:widowControl/>
        <w:numPr>
          <w:ilvl w:val="0"/>
          <w:numId w:val="12"/>
        </w:numPr>
        <w:kinsoku/>
        <w:wordWrap/>
        <w:overflowPunct/>
        <w:topLinePunct w:val="0"/>
        <w:autoSpaceDE/>
        <w:autoSpaceDN/>
        <w:bidi w:val="0"/>
        <w:adjustRightInd/>
        <w:snapToGrid w:val="0"/>
        <w:spacing w:before="156" w:beforeLines="50" w:line="360" w:lineRule="auto"/>
        <w:ind w:left="873" w:hanging="27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各取样站综合剖面图。</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工程地质</w:t>
      </w:r>
      <w:r>
        <w:rPr>
          <w:rFonts w:hint="eastAsia" w:ascii="宋体" w:hAnsi="宋体" w:eastAsia="宋体" w:cs="宋体"/>
          <w:color w:val="auto"/>
          <w:kern w:val="0"/>
          <w:sz w:val="24"/>
          <w:szCs w:val="24"/>
          <w:highlight w:val="none"/>
          <w:lang w:val="en-US" w:eastAsia="zh-CN"/>
        </w:rPr>
        <w:t>报告</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初步报告</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主要提供作业海区的海底沉积土的分布情况，及海底沉积土物理力学特性。各土层的物理力学特性及初步工程参数。</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最终报告</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至少但不限于以下内容：</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深水平台海底土的分布；</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各层土的工程物理力学性质描述；</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海底基础稳定性分析（包括液化分析、冲刷等）；</w:t>
      </w:r>
    </w:p>
    <w:p>
      <w:pPr>
        <w:pageBreakBefore w:val="0"/>
        <w:widowControl/>
        <w:kinsoku/>
        <w:wordWrap/>
        <w:overflowPunct/>
        <w:topLinePunct w:val="0"/>
        <w:autoSpaceDE/>
        <w:autoSpaceDN/>
        <w:bidi w:val="0"/>
        <w:adjustRightInd/>
        <w:snapToGrid w:val="0"/>
        <w:spacing w:before="156" w:beforeLines="50" w:line="360" w:lineRule="auto"/>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图表包括：</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各取样站的钻孔的柱状图及综合剖面图；</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工程设计参数表；</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土层工程性质特征图。</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乙方应至少但不限于提供以下资料，其中桩基础承载能力应按相关标准要求，对不同桩径（尺寸待澄清）、桩壁厚大于1.5英寸（待澄清）进行评价，报告中应包括完整的分析方法和说明。</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海底以下钻孔深度范围内土的柱状图；</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各土层工程地质分析；</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建议的各土层的设计参数表；</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桩的轴向荷载-位移分析（Q-Z、T-Z曲线）；</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桩的横向荷载-位移分析（P-Y曲线）；</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打桩分析；</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防沉板设计；</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提出</w:t>
      </w:r>
      <w:r>
        <w:rPr>
          <w:rFonts w:hint="eastAsia" w:ascii="宋体" w:hAnsi="宋体" w:eastAsia="宋体" w:cs="宋体"/>
          <w:color w:val="auto"/>
          <w:kern w:val="0"/>
          <w:sz w:val="24"/>
          <w:szCs w:val="24"/>
          <w:highlight w:val="none"/>
        </w:rPr>
        <w:t>减轻工程地质灾害和侵害的方法、措施，如基础底部的冲刷分析等。</w:t>
      </w:r>
    </w:p>
    <w:p>
      <w:pPr>
        <w:pageBreakBefore w:val="0"/>
        <w:widowControl/>
        <w:numPr>
          <w:ilvl w:val="0"/>
          <w:numId w:val="12"/>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群桩</w:t>
      </w:r>
      <w:r>
        <w:rPr>
          <w:rFonts w:hint="eastAsia" w:ascii="宋体" w:hAnsi="宋体" w:eastAsia="宋体" w:cs="宋体"/>
          <w:color w:val="auto"/>
          <w:kern w:val="0"/>
          <w:sz w:val="24"/>
          <w:szCs w:val="24"/>
          <w:highlight w:val="none"/>
        </w:rPr>
        <w:t>分析。</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环境调查</w:t>
      </w:r>
      <w:r>
        <w:rPr>
          <w:rFonts w:hint="eastAsia" w:ascii="宋体" w:hAnsi="宋体" w:eastAsia="宋体" w:cs="宋体"/>
          <w:color w:val="auto"/>
          <w:kern w:val="0"/>
          <w:sz w:val="24"/>
          <w:szCs w:val="24"/>
          <w:highlight w:val="none"/>
          <w:lang w:val="en-US" w:eastAsia="zh-CN"/>
        </w:rPr>
        <w:t>报告</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收集同期和历史附近海洋台站水位、海流资料进行综合分析，提交水位实测资料和潮汐曲线变化图、工程水位设计参数；</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分别给出表、中、底层涨落潮期间最大流速、平均流速（流向）和平均历时。</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给出观测期间最高潮位、最低潮位、平均潮位、最高天文潮、最低天文潮数据及与平均海平面、海图基准面的互关系图；</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进行余流分析；</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绘制典型的潮流矢量图；</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实测海流资料以及结合物探、钻探资料，对海底稳定性进行分析评价；</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推算年最高、最低泥温、水温值，给出泥温、水温的垂直廓线，给出水温、泥温设计参数；</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给出海水、海床沉积物腐蚀的各要素值。</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en-US" w:eastAsia="zh-CN"/>
        </w:rPr>
        <w:t>地震安全性评价报告</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按照地震安全性评价的</w:t>
      </w:r>
      <w:r>
        <w:rPr>
          <w:rFonts w:hint="eastAsia" w:ascii="宋体" w:hAnsi="宋体" w:eastAsia="宋体" w:cs="宋体"/>
          <w:color w:val="auto"/>
          <w:sz w:val="24"/>
          <w:szCs w:val="24"/>
          <w:highlight w:val="none"/>
        </w:rPr>
        <w:t>国家有关规定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规范进行。</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lang w:val="en-US" w:eastAsia="zh-CN"/>
        </w:rPr>
        <w:t>环境监测报告</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leftChars="0" w:hanging="244"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监测</w:t>
      </w:r>
      <w:r>
        <w:rPr>
          <w:rFonts w:hint="eastAsia" w:ascii="宋体" w:hAnsi="宋体" w:eastAsia="宋体" w:cs="宋体"/>
          <w:color w:val="auto"/>
          <w:sz w:val="24"/>
          <w:szCs w:val="24"/>
          <w:highlight w:val="none"/>
          <w:lang w:val="en-US" w:eastAsia="zh-CN"/>
        </w:rPr>
        <w:t>报告应</w:t>
      </w:r>
      <w:r>
        <w:rPr>
          <w:rFonts w:hint="eastAsia" w:ascii="宋体" w:hAnsi="宋体" w:eastAsia="宋体" w:cs="宋体"/>
          <w:color w:val="auto"/>
          <w:sz w:val="24"/>
          <w:szCs w:val="24"/>
          <w:highlight w:val="none"/>
        </w:rPr>
        <w:t>按照国家有关规定、监测技术规范和有关质量控制手册进行。</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leftChars="0" w:hanging="244"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报告中包含</w:t>
      </w:r>
      <w:r>
        <w:rPr>
          <w:rFonts w:hint="eastAsia" w:ascii="宋体" w:hAnsi="宋体" w:eastAsia="宋体" w:cs="宋体"/>
          <w:color w:val="auto"/>
          <w:sz w:val="24"/>
          <w:szCs w:val="24"/>
          <w:highlight w:val="none"/>
        </w:rPr>
        <w:t>监测人员</w:t>
      </w:r>
      <w:r>
        <w:rPr>
          <w:rFonts w:hint="eastAsia" w:ascii="宋体" w:hAnsi="宋体" w:eastAsia="宋体" w:cs="宋体"/>
          <w:color w:val="auto"/>
          <w:sz w:val="24"/>
          <w:szCs w:val="24"/>
          <w:highlight w:val="none"/>
          <w:lang w:val="en-US" w:eastAsia="zh-CN"/>
        </w:rPr>
        <w:t>及所</w:t>
      </w:r>
      <w:r>
        <w:rPr>
          <w:rFonts w:hint="eastAsia" w:ascii="宋体" w:hAnsi="宋体" w:eastAsia="宋体" w:cs="宋体"/>
          <w:color w:val="auto"/>
          <w:sz w:val="24"/>
          <w:szCs w:val="24"/>
          <w:highlight w:val="none"/>
        </w:rPr>
        <w:t>持证</w:t>
      </w:r>
      <w:r>
        <w:rPr>
          <w:rFonts w:hint="eastAsia" w:ascii="宋体" w:hAnsi="宋体" w:eastAsia="宋体" w:cs="宋体"/>
          <w:color w:val="auto"/>
          <w:sz w:val="24"/>
          <w:szCs w:val="24"/>
          <w:highlight w:val="none"/>
          <w:lang w:val="en-US" w:eastAsia="zh-CN"/>
        </w:rPr>
        <w:t>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在有效期内的</w:t>
      </w:r>
      <w:r>
        <w:rPr>
          <w:rFonts w:hint="eastAsia" w:ascii="宋体" w:hAnsi="宋体" w:eastAsia="宋体" w:cs="宋体"/>
          <w:color w:val="auto"/>
          <w:sz w:val="24"/>
          <w:szCs w:val="24"/>
          <w:highlight w:val="none"/>
        </w:rPr>
        <w:t>监测与检验仪器</w:t>
      </w:r>
      <w:r>
        <w:rPr>
          <w:rFonts w:hint="eastAsia" w:ascii="宋体" w:hAnsi="宋体" w:eastAsia="宋体" w:cs="宋体"/>
          <w:color w:val="auto"/>
          <w:sz w:val="24"/>
          <w:szCs w:val="24"/>
          <w:highlight w:val="none"/>
          <w:lang w:val="en-US" w:eastAsia="zh-CN"/>
        </w:rPr>
        <w:t>证书</w:t>
      </w:r>
      <w:r>
        <w:rPr>
          <w:rFonts w:hint="eastAsia" w:ascii="宋体" w:hAnsi="宋体" w:eastAsia="宋体" w:cs="宋体"/>
          <w:color w:val="auto"/>
          <w:sz w:val="24"/>
          <w:szCs w:val="24"/>
          <w:highlight w:val="none"/>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leftChars="0" w:hanging="244"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报告中包含</w:t>
      </w:r>
      <w:r>
        <w:rPr>
          <w:rFonts w:hint="eastAsia" w:ascii="宋体" w:hAnsi="宋体" w:eastAsia="宋体" w:cs="宋体"/>
          <w:color w:val="auto"/>
          <w:sz w:val="24"/>
          <w:szCs w:val="24"/>
          <w:highlight w:val="none"/>
        </w:rPr>
        <w:t>监测期间发生的各种异常情况记录，</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rPr>
        <w:t>未能按方案进行现场采样和监测的原因应予详细说明。</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leftChars="0" w:hanging="244" w:firstLine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在某些站位和层次采集双平行样，双平行样数占样品总数的的10%。</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leftChars="0" w:hanging="244" w:firstLine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监测的采样记录及分析、平行样分析结果，按有关标准和监测技术规范要求进行数据处理和填报，监测数据与监测报告执行三级审核制度。</w:t>
      </w:r>
    </w:p>
    <w:p>
      <w:pPr>
        <w:keepNext/>
        <w:keepLines/>
        <w:pageBreakBefore w:val="0"/>
        <w:widowControl/>
        <w:tabs>
          <w:tab w:val="left" w:pos="1434"/>
        </w:tabs>
        <w:kinsoku/>
        <w:wordWrap/>
        <w:overflowPunct/>
        <w:topLinePunct w:val="0"/>
        <w:autoSpaceDE/>
        <w:autoSpaceDN/>
        <w:bidi w:val="0"/>
        <w:adjustRightInd/>
        <w:spacing w:before="240" w:after="240" w:line="360" w:lineRule="auto"/>
        <w:ind w:left="1434" w:hanging="1434"/>
        <w:jc w:val="left"/>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w:t>
      </w:r>
      <w:r>
        <w:rPr>
          <w:rFonts w:hint="eastAsia" w:ascii="宋体" w:hAnsi="宋体" w:cs="宋体"/>
          <w:color w:val="auto"/>
          <w:kern w:val="0"/>
          <w:sz w:val="24"/>
          <w:szCs w:val="24"/>
          <w:highlight w:val="none"/>
          <w:lang w:val="en-US" w:eastAsia="zh-CN"/>
        </w:rPr>
        <w:t>8井场调查</w:t>
      </w:r>
      <w:r>
        <w:rPr>
          <w:rFonts w:hint="eastAsia" w:ascii="宋体" w:hAnsi="宋体" w:eastAsia="宋体" w:cs="宋体"/>
          <w:color w:val="auto"/>
          <w:kern w:val="0"/>
          <w:sz w:val="24"/>
          <w:szCs w:val="24"/>
          <w:highlight w:val="none"/>
          <w:lang w:val="en-US" w:eastAsia="zh-CN"/>
        </w:rPr>
        <w:t>报告</w:t>
      </w:r>
    </w:p>
    <w:p>
      <w:pPr>
        <w:keepNext/>
        <w:keepLines/>
        <w:pageBreakBefore w:val="0"/>
        <w:widowControl/>
        <w:tabs>
          <w:tab w:val="left" w:pos="1434"/>
        </w:tabs>
        <w:kinsoku/>
        <w:wordWrap/>
        <w:overflowPunct/>
        <w:topLinePunct w:val="0"/>
        <w:autoSpaceDE/>
        <w:autoSpaceDN/>
        <w:bidi w:val="0"/>
        <w:adjustRightInd/>
        <w:snapToGrid/>
        <w:spacing w:before="240" w:beforeLines="0" w:after="240" w:line="360" w:lineRule="auto"/>
        <w:ind w:left="1434" w:hanging="1434"/>
        <w:jc w:val="left"/>
        <w:outlineLvl w:val="2"/>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最终报告</w:t>
      </w:r>
      <w:r>
        <w:rPr>
          <w:rFonts w:hint="eastAsia" w:ascii="宋体" w:hAnsi="宋体" w:cs="宋体"/>
          <w:color w:val="auto"/>
          <w:kern w:val="0"/>
          <w:sz w:val="24"/>
          <w:szCs w:val="24"/>
          <w:highlight w:val="none"/>
          <w:u w:val="single"/>
          <w:lang w:eastAsia="zh-CN"/>
        </w:rPr>
        <w:t>：</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项目提交的最后成果为井场调查报告，报告中要评价井场区有可能对钻井活动造成影响的地质灾害因素，同时对钻井平台基础的稳定性进行评价（对自升式平台插桩点区域内地基土承载力、插桩深度及有无刺穿风险作出评价；对半潜式平台锚泊点区域内的锚固力进行评价)</w:t>
      </w:r>
    </w:p>
    <w:p>
      <w:pPr>
        <w:keepNext/>
        <w:keepLines/>
        <w:pageBreakBefore w:val="0"/>
        <w:widowControl/>
        <w:tabs>
          <w:tab w:val="left" w:pos="1434"/>
        </w:tabs>
        <w:kinsoku/>
        <w:wordWrap/>
        <w:overflowPunct/>
        <w:topLinePunct w:val="0"/>
        <w:autoSpaceDE/>
        <w:autoSpaceDN/>
        <w:bidi w:val="0"/>
        <w:adjustRightInd/>
        <w:snapToGrid/>
        <w:spacing w:before="240" w:beforeLines="0" w:after="240" w:line="360" w:lineRule="auto"/>
        <w:ind w:left="1434" w:hanging="1434"/>
        <w:jc w:val="left"/>
        <w:outlineLvl w:val="2"/>
        <w:rPr>
          <w:rFonts w:hint="eastAsia" w:ascii="宋体" w:hAnsi="宋体" w:eastAsia="宋体" w:cs="宋体"/>
          <w:color w:val="auto"/>
          <w:kern w:val="0"/>
          <w:sz w:val="24"/>
          <w:highlight w:val="none"/>
          <w:u w:val="single"/>
          <w:lang w:eastAsia="zh-CN"/>
        </w:rPr>
      </w:pPr>
      <w:r>
        <w:rPr>
          <w:rFonts w:hint="eastAsia" w:ascii="宋体" w:hAnsi="宋体" w:cs="宋体"/>
          <w:color w:val="auto"/>
          <w:kern w:val="0"/>
          <w:sz w:val="24"/>
          <w:highlight w:val="none"/>
          <w:u w:val="single"/>
        </w:rPr>
        <w:t>成果图件</w:t>
      </w:r>
      <w:r>
        <w:rPr>
          <w:rFonts w:hint="eastAsia" w:ascii="宋体" w:hAnsi="宋体" w:cs="宋体"/>
          <w:color w:val="auto"/>
          <w:kern w:val="0"/>
          <w:sz w:val="24"/>
          <w:highlight w:val="none"/>
          <w:u w:val="single"/>
          <w:lang w:eastAsia="zh-CN"/>
        </w:rPr>
        <w:t>：</w:t>
      </w:r>
    </w:p>
    <w:p>
      <w:pPr>
        <w:keepNext/>
        <w:keepLines/>
        <w:pageBreakBefore w:val="0"/>
        <w:widowControl/>
        <w:tabs>
          <w:tab w:val="left" w:pos="1434"/>
        </w:tabs>
        <w:kinsoku/>
        <w:wordWrap/>
        <w:overflowPunct/>
        <w:topLinePunct w:val="0"/>
        <w:autoSpaceDE/>
        <w:autoSpaceDN/>
        <w:bidi w:val="0"/>
        <w:adjustRightInd/>
        <w:snapToGrid/>
        <w:spacing w:before="240" w:beforeLines="0" w:after="240" w:line="360" w:lineRule="auto"/>
        <w:ind w:left="1479" w:leftChars="256" w:hanging="916" w:hangingChars="382"/>
        <w:jc w:val="left"/>
        <w:outlineLvl w:val="2"/>
        <w:rPr>
          <w:rFonts w:hint="eastAsia" w:ascii="宋体" w:hAnsi="宋体" w:eastAsia="宋体" w:cs="宋体"/>
          <w:color w:val="auto"/>
          <w:kern w:val="0"/>
          <w:sz w:val="24"/>
          <w:szCs w:val="24"/>
          <w:highlight w:val="none"/>
          <w:u w:val="none"/>
        </w:rPr>
      </w:pPr>
      <w:r>
        <w:rPr>
          <w:rFonts w:hint="eastAsia" w:ascii="宋体" w:hAnsi="宋体" w:cs="宋体"/>
          <w:color w:val="auto"/>
          <w:kern w:val="0"/>
          <w:sz w:val="24"/>
          <w:highlight w:val="none"/>
        </w:rPr>
        <w:t>包括下列各项（可根据实际情况和需要，进行合并、增减）</w:t>
      </w:r>
      <w:r>
        <w:rPr>
          <w:rFonts w:hint="eastAsia" w:ascii="宋体" w:hAnsi="宋体" w:eastAsia="宋体" w:cs="宋体"/>
          <w:color w:val="auto"/>
          <w:kern w:val="0"/>
          <w:sz w:val="24"/>
          <w:szCs w:val="24"/>
          <w:highlight w:val="none"/>
          <w:u w:val="none"/>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highlight w:val="none"/>
        </w:rPr>
        <w:t>水深测量、表层取样、工程地质浅钻实际材料图(1：5000)</w:t>
      </w:r>
      <w:r>
        <w:rPr>
          <w:rFonts w:hint="eastAsia" w:ascii="宋体" w:hAnsi="宋体" w:cs="宋体"/>
          <w:color w:val="auto"/>
          <w:sz w:val="24"/>
          <w:highlight w:val="none"/>
          <w:lang w:eastAsia="zh-CN"/>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highlight w:val="none"/>
        </w:rPr>
        <w:t>浅地层剖面航迹图(1：5000)</w:t>
      </w:r>
      <w:r>
        <w:rPr>
          <w:rFonts w:hint="eastAsia" w:ascii="宋体" w:hAnsi="宋体" w:cs="宋体"/>
          <w:color w:val="auto"/>
          <w:sz w:val="24"/>
          <w:highlight w:val="none"/>
          <w:lang w:eastAsia="zh-CN"/>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highlight w:val="none"/>
        </w:rPr>
        <w:t>旁侧声纳航迹图(1：5000)</w:t>
      </w:r>
      <w:r>
        <w:rPr>
          <w:rFonts w:hint="eastAsia" w:ascii="宋体" w:hAnsi="宋体" w:cs="宋体"/>
          <w:color w:val="auto"/>
          <w:sz w:val="24"/>
          <w:highlight w:val="none"/>
          <w:lang w:eastAsia="zh-CN"/>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highlight w:val="none"/>
        </w:rPr>
        <w:t>地形地貌图（包括海底障碍物）(海图深度基准面面，1：5000</w:t>
      </w:r>
      <w:r>
        <w:rPr>
          <w:rFonts w:hint="eastAsia" w:ascii="宋体" w:hAnsi="宋体" w:cs="宋体"/>
          <w:color w:val="auto"/>
          <w:sz w:val="24"/>
          <w:highlight w:val="none"/>
          <w:lang w:eastAsia="zh-CN"/>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after="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highlight w:val="none"/>
        </w:rPr>
        <w:t>沉积物类型图（1：5000)</w:t>
      </w:r>
      <w:r>
        <w:rPr>
          <w:rFonts w:hint="eastAsia" w:ascii="宋体" w:hAnsi="宋体" w:cs="宋体"/>
          <w:color w:val="auto"/>
          <w:sz w:val="24"/>
          <w:highlight w:val="none"/>
          <w:lang w:eastAsia="zh-CN"/>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highlight w:val="none"/>
        </w:rPr>
        <w:t>反射层组等厚度图(1：5000)</w:t>
      </w:r>
      <w:r>
        <w:rPr>
          <w:rFonts w:hint="eastAsia" w:ascii="宋体" w:hAnsi="宋体" w:cs="宋体"/>
          <w:color w:val="auto"/>
          <w:sz w:val="24"/>
          <w:highlight w:val="none"/>
          <w:lang w:eastAsia="zh-CN"/>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highlight w:val="none"/>
        </w:rPr>
        <w:t>反射界面埋深图(1：5000)</w:t>
      </w:r>
      <w:r>
        <w:rPr>
          <w:rFonts w:hint="eastAsia" w:ascii="宋体" w:hAnsi="宋体" w:cs="宋体"/>
          <w:color w:val="auto"/>
          <w:sz w:val="24"/>
          <w:highlight w:val="none"/>
          <w:lang w:eastAsia="zh-CN"/>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highlight w:val="none"/>
        </w:rPr>
        <w:t>钻孔综合柱状图(1：100)</w:t>
      </w:r>
      <w:r>
        <w:rPr>
          <w:rFonts w:hint="eastAsia" w:ascii="宋体" w:hAnsi="宋体" w:cs="宋体"/>
          <w:color w:val="auto"/>
          <w:sz w:val="24"/>
          <w:highlight w:val="none"/>
          <w:lang w:eastAsia="zh-CN"/>
        </w:rPr>
        <w:t>。</w:t>
      </w:r>
    </w:p>
    <w:p>
      <w:pPr>
        <w:pageBreakBefore w:val="0"/>
        <w:widowControl/>
        <w:numPr>
          <w:ilvl w:val="0"/>
          <w:numId w:val="13"/>
        </w:numPr>
        <w:tabs>
          <w:tab w:val="clear" w:pos="870"/>
        </w:tabs>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highlight w:val="none"/>
        </w:rPr>
        <w:t>综合成果图(1：5000)</w:t>
      </w:r>
      <w:r>
        <w:rPr>
          <w:rFonts w:hint="eastAsia" w:ascii="宋体" w:hAnsi="宋体" w:cs="宋体"/>
          <w:color w:val="auto"/>
          <w:sz w:val="24"/>
          <w:highlight w:val="none"/>
          <w:lang w:eastAsia="zh-CN"/>
        </w:rPr>
        <w:t>。</w:t>
      </w:r>
    </w:p>
    <w:p>
      <w:pPr>
        <w:pageBreakBefore w:val="0"/>
        <w:widowControl/>
        <w:numPr>
          <w:ilvl w:val="0"/>
          <w:numId w:val="0"/>
        </w:numPr>
        <w:kinsoku/>
        <w:wordWrap/>
        <w:overflowPunct/>
        <w:topLinePunct w:val="0"/>
        <w:autoSpaceDE/>
        <w:autoSpaceDN/>
        <w:bidi w:val="0"/>
        <w:adjustRightInd/>
        <w:spacing w:before="156" w:beforeLines="50" w:line="360" w:lineRule="auto"/>
        <w:jc w:val="left"/>
        <w:rPr>
          <w:rFonts w:hint="eastAsia" w:ascii="宋体" w:hAnsi="宋体" w:eastAsia="宋体" w:cs="宋体"/>
          <w:color w:val="auto"/>
          <w:sz w:val="24"/>
          <w:szCs w:val="24"/>
          <w:highlight w:val="none"/>
        </w:rPr>
      </w:pPr>
    </w:p>
    <w:p>
      <w:pPr>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rPr>
      </w:pPr>
      <w:bookmarkStart w:id="5" w:name="_Toc363478095"/>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协助报批</w:t>
      </w:r>
      <w:bookmarkEnd w:id="5"/>
      <w:r>
        <w:rPr>
          <w:rFonts w:hint="eastAsia" w:ascii="宋体" w:hAnsi="宋体" w:eastAsia="宋体" w:cs="宋体"/>
          <w:color w:val="auto"/>
          <w:sz w:val="24"/>
          <w:szCs w:val="24"/>
          <w:highlight w:val="none"/>
        </w:rPr>
        <w:t>要求</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乙方应按照政府主管部门对于路由调查的相关管理要求（若需要），协助甲方进行所涉及的路由选择材料</w:t>
      </w:r>
      <w:r>
        <w:rPr>
          <w:rFonts w:hint="eastAsia" w:ascii="宋体" w:hAnsi="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rPr>
        <w:t>勘测申请书</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海洋观测站点评估、备案材料；</w:t>
      </w:r>
      <w:r>
        <w:rPr>
          <w:rFonts w:hint="eastAsia" w:ascii="宋体" w:hAnsi="宋体" w:eastAsia="宋体" w:cs="宋体"/>
          <w:bCs/>
          <w:color w:val="auto"/>
          <w:kern w:val="0"/>
          <w:sz w:val="24"/>
          <w:szCs w:val="24"/>
          <w:highlight w:val="none"/>
        </w:rPr>
        <w:t>路由调查方案</w:t>
      </w:r>
      <w:r>
        <w:rPr>
          <w:rFonts w:hint="eastAsia" w:ascii="宋体" w:hAnsi="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rPr>
        <w:t>路由调查报告等的编制、送审、参会审查</w:t>
      </w:r>
      <w:r>
        <w:rPr>
          <w:rFonts w:hint="eastAsia" w:ascii="宋体" w:hAnsi="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rPr>
        <w:t>答辩以及会后的报告修改和报批等工作。</w:t>
      </w:r>
    </w:p>
    <w:p>
      <w:pPr>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rPr>
      </w:pPr>
      <w:bookmarkStart w:id="6" w:name="_Toc363478096"/>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质量控制</w:t>
      </w:r>
      <w:bookmarkEnd w:id="6"/>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资料的采集和储存：在整个调查过程中应使用自动数据记录设备来保证完整地记录所有导航和调查数据，要求承包商提供接收和储存多参数调查资料的软件系统以便实时显示、订正和后处理这些调查资料。</w:t>
      </w:r>
    </w:p>
    <w:p>
      <w:pPr>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rPr>
      </w:pPr>
      <w:bookmarkStart w:id="7" w:name="_Toc363478097"/>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定位要求</w:t>
      </w:r>
      <w:bookmarkEnd w:id="7"/>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本次作业及报告要求使用CGCS-2000坐标系，对于特殊要求时，</w:t>
      </w:r>
      <w:r>
        <w:rPr>
          <w:rFonts w:hint="eastAsia" w:ascii="宋体" w:hAnsi="宋体" w:eastAsia="宋体" w:cs="宋体"/>
          <w:bCs/>
          <w:color w:val="auto"/>
          <w:kern w:val="0"/>
          <w:sz w:val="24"/>
          <w:szCs w:val="24"/>
          <w:highlight w:val="none"/>
          <w:lang w:val="en-US" w:eastAsia="zh-CN"/>
        </w:rPr>
        <w:t>甲方提供转换参数，</w:t>
      </w:r>
      <w:r>
        <w:rPr>
          <w:rFonts w:hint="eastAsia" w:ascii="宋体" w:hAnsi="宋体" w:eastAsia="宋体" w:cs="宋体"/>
          <w:bCs/>
          <w:color w:val="auto"/>
          <w:kern w:val="0"/>
          <w:sz w:val="24"/>
          <w:szCs w:val="24"/>
          <w:highlight w:val="none"/>
        </w:rPr>
        <w:t>由乙方协助进行坐标转换。</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为确保调查船作业坐标准确，应使用先进的DGPS定位设备，并保证岸台与船台连续提供和接受信号。其精度为与预定的位置误差不得超过±1.5m。定位仪器应有充足的备件，以便进行应急维修。并配备多台定位显示器，以便将定位作业情况反映到船上所有关部门。</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在物探过程中，要选用标准差数据。导航定位时通过导航软件与测深系统、地层剖面仪、旁扫声纳等连接，实现同步定位。</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导航定位要连续工作、实时定位。导航系统要储存多要素的资料、实时显示，可供资料订正及处理使用，仪器设备应符合海洋调查规范，保证达到精度要求。导航记录的数据应有备份。</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大地基准和坐标系统应包括椭球体、基准和投影信息，如下表所列。</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5"/>
        <w:gridCol w:w="4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Spheroid</w:t>
            </w:r>
            <w:r>
              <w:rPr>
                <w:rFonts w:hint="eastAsia" w:ascii="宋体" w:hAnsi="宋体" w:eastAsia="宋体" w:cs="宋体"/>
                <w:color w:val="auto"/>
                <w:kern w:val="0"/>
                <w:sz w:val="24"/>
                <w:szCs w:val="24"/>
                <w:highlight w:val="none"/>
              </w:rPr>
              <w:t>/椭球体</w:t>
            </w:r>
          </w:p>
        </w:tc>
        <w:tc>
          <w:tcPr>
            <w:tcW w:w="4019" w:type="dxa"/>
            <w:noWrap w:val="0"/>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CGCS2000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Datum</w:t>
            </w:r>
            <w:r>
              <w:rPr>
                <w:rFonts w:hint="eastAsia" w:ascii="宋体" w:hAnsi="宋体" w:eastAsia="宋体" w:cs="宋体"/>
                <w:color w:val="auto"/>
                <w:kern w:val="0"/>
                <w:sz w:val="24"/>
                <w:szCs w:val="24"/>
                <w:highlight w:val="none"/>
              </w:rPr>
              <w:t>/基准</w:t>
            </w:r>
          </w:p>
        </w:tc>
        <w:tc>
          <w:tcPr>
            <w:tcW w:w="4019" w:type="dxa"/>
            <w:noWrap w:val="0"/>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CGCS2000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Semi major axis (a)</w:t>
            </w:r>
            <w:r>
              <w:rPr>
                <w:rFonts w:hint="eastAsia" w:ascii="宋体" w:hAnsi="宋体" w:eastAsia="宋体" w:cs="宋体"/>
                <w:color w:val="auto"/>
                <w:kern w:val="0"/>
                <w:sz w:val="24"/>
                <w:szCs w:val="24"/>
                <w:highlight w:val="none"/>
              </w:rPr>
              <w:t>/半长轴</w:t>
            </w:r>
          </w:p>
        </w:tc>
        <w:tc>
          <w:tcPr>
            <w:tcW w:w="4019" w:type="dxa"/>
            <w:noWrap w:val="0"/>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Semi minor axis (b)</w:t>
            </w:r>
            <w:r>
              <w:rPr>
                <w:rFonts w:hint="eastAsia" w:ascii="宋体" w:hAnsi="宋体" w:eastAsia="宋体" w:cs="宋体"/>
                <w:color w:val="auto"/>
                <w:kern w:val="0"/>
                <w:sz w:val="24"/>
                <w:szCs w:val="24"/>
                <w:highlight w:val="none"/>
              </w:rPr>
              <w:t>半短轴</w:t>
            </w:r>
          </w:p>
        </w:tc>
        <w:tc>
          <w:tcPr>
            <w:tcW w:w="4019" w:type="dxa"/>
            <w:noWrap w:val="0"/>
            <w:vAlign w:val="top"/>
          </w:tcPr>
          <w:p>
            <w:pPr>
              <w:pageBreakBefore w:val="0"/>
              <w:kinsoku/>
              <w:wordWrap/>
              <w:overflowPunct/>
              <w:topLinePunct w:val="0"/>
              <w:autoSpaceDE/>
              <w:autoSpaceDN/>
              <w:bidi w:val="0"/>
              <w:adjustRightInd/>
              <w:spacing w:line="360" w:lineRule="auto"/>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Inverse flattening (1/f)</w:t>
            </w:r>
            <w:r>
              <w:rPr>
                <w:rFonts w:hint="eastAsia" w:ascii="宋体" w:hAnsi="宋体" w:eastAsia="宋体" w:cs="宋体"/>
                <w:color w:val="auto"/>
                <w:kern w:val="0"/>
                <w:sz w:val="24"/>
                <w:szCs w:val="24"/>
                <w:highlight w:val="none"/>
              </w:rPr>
              <w:t>/扁率的倒数</w:t>
            </w:r>
          </w:p>
        </w:tc>
        <w:tc>
          <w:tcPr>
            <w:tcW w:w="4019"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Eccentricity</w:t>
            </w:r>
            <w:r>
              <w:rPr>
                <w:rFonts w:hint="eastAsia" w:ascii="宋体" w:hAnsi="宋体" w:eastAsia="宋体" w:cs="宋体"/>
                <w:color w:val="auto"/>
                <w:kern w:val="0"/>
                <w:sz w:val="24"/>
                <w:szCs w:val="24"/>
                <w:highlight w:val="none"/>
                <w:vertAlign w:val="superscript"/>
                <w:lang w:eastAsia="en-US"/>
              </w:rPr>
              <w:t>2</w:t>
            </w:r>
            <w:r>
              <w:rPr>
                <w:rFonts w:hint="eastAsia" w:ascii="宋体" w:hAnsi="宋体" w:eastAsia="宋体" w:cs="宋体"/>
                <w:color w:val="auto"/>
                <w:kern w:val="0"/>
                <w:sz w:val="24"/>
                <w:szCs w:val="24"/>
                <w:highlight w:val="none"/>
                <w:lang w:eastAsia="en-US"/>
              </w:rPr>
              <w:t xml:space="preserve"> (e</w:t>
            </w:r>
            <w:r>
              <w:rPr>
                <w:rFonts w:hint="eastAsia" w:ascii="宋体" w:hAnsi="宋体" w:eastAsia="宋体" w:cs="宋体"/>
                <w:color w:val="auto"/>
                <w:kern w:val="0"/>
                <w:sz w:val="24"/>
                <w:szCs w:val="24"/>
                <w:highlight w:val="none"/>
                <w:vertAlign w:val="superscript"/>
                <w:lang w:eastAsia="en-US"/>
              </w:rPr>
              <w:t>2</w:t>
            </w:r>
            <w:r>
              <w:rPr>
                <w:rFonts w:hint="eastAsia" w:ascii="宋体" w:hAnsi="宋体" w:eastAsia="宋体" w:cs="宋体"/>
                <w:color w:val="auto"/>
                <w:kern w:val="0"/>
                <w:sz w:val="24"/>
                <w:szCs w:val="24"/>
                <w:highlight w:val="none"/>
                <w:lang w:eastAsia="en-US"/>
              </w:rPr>
              <w:t>)</w:t>
            </w:r>
            <w:r>
              <w:rPr>
                <w:rFonts w:hint="eastAsia" w:ascii="宋体" w:hAnsi="宋体" w:eastAsia="宋体" w:cs="宋体"/>
                <w:color w:val="auto"/>
                <w:kern w:val="0"/>
                <w:sz w:val="24"/>
                <w:szCs w:val="24"/>
                <w:highlight w:val="none"/>
              </w:rPr>
              <w:t>/偏心率</w:t>
            </w:r>
          </w:p>
        </w:tc>
        <w:tc>
          <w:tcPr>
            <w:tcW w:w="4019"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Projection</w:t>
            </w:r>
            <w:r>
              <w:rPr>
                <w:rFonts w:hint="eastAsia" w:ascii="宋体" w:hAnsi="宋体" w:eastAsia="宋体" w:cs="宋体"/>
                <w:color w:val="auto"/>
                <w:kern w:val="0"/>
                <w:sz w:val="24"/>
                <w:szCs w:val="24"/>
                <w:highlight w:val="none"/>
              </w:rPr>
              <w:t>/投影</w:t>
            </w:r>
          </w:p>
        </w:tc>
        <w:tc>
          <w:tcPr>
            <w:tcW w:w="4019" w:type="dxa"/>
            <w:noWrap w:val="0"/>
            <w:vAlign w:val="center"/>
          </w:tcPr>
          <w:p>
            <w:pPr>
              <w:pStyle w:val="4"/>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Zone(s)</w:t>
            </w:r>
            <w:r>
              <w:rPr>
                <w:rFonts w:hint="eastAsia" w:ascii="宋体" w:hAnsi="宋体" w:eastAsia="宋体" w:cs="宋体"/>
                <w:color w:val="auto"/>
                <w:kern w:val="0"/>
                <w:sz w:val="24"/>
                <w:szCs w:val="24"/>
                <w:highlight w:val="none"/>
              </w:rPr>
              <w:t>/带</w:t>
            </w:r>
          </w:p>
        </w:tc>
        <w:tc>
          <w:tcPr>
            <w:tcW w:w="4019"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Central Meridian</w:t>
            </w:r>
            <w:r>
              <w:rPr>
                <w:rFonts w:hint="eastAsia" w:ascii="宋体" w:hAnsi="宋体" w:eastAsia="宋体" w:cs="宋体"/>
                <w:color w:val="auto"/>
                <w:kern w:val="0"/>
                <w:sz w:val="24"/>
                <w:szCs w:val="24"/>
                <w:highlight w:val="none"/>
              </w:rPr>
              <w:t>/中央子午线</w:t>
            </w:r>
          </w:p>
        </w:tc>
        <w:tc>
          <w:tcPr>
            <w:tcW w:w="4019" w:type="dxa"/>
            <w:noWrap w:val="0"/>
            <w:vAlign w:val="center"/>
          </w:tcPr>
          <w:p>
            <w:pPr>
              <w:pStyle w:val="4"/>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Latitude of origin</w:t>
            </w:r>
            <w:r>
              <w:rPr>
                <w:rFonts w:hint="eastAsia" w:ascii="宋体" w:hAnsi="宋体" w:eastAsia="宋体" w:cs="宋体"/>
                <w:color w:val="auto"/>
                <w:kern w:val="0"/>
                <w:sz w:val="24"/>
                <w:szCs w:val="24"/>
                <w:highlight w:val="none"/>
              </w:rPr>
              <w:t>/初始纬线</w:t>
            </w:r>
          </w:p>
        </w:tc>
        <w:tc>
          <w:tcPr>
            <w:tcW w:w="4019" w:type="dxa"/>
            <w:noWrap w:val="0"/>
            <w:vAlign w:val="center"/>
          </w:tcPr>
          <w:p>
            <w:pPr>
              <w:pStyle w:val="4"/>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False Northing/北移假定值</w:t>
            </w:r>
          </w:p>
        </w:tc>
        <w:tc>
          <w:tcPr>
            <w:tcW w:w="4019"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False Easting/东移假定值</w:t>
            </w:r>
          </w:p>
        </w:tc>
        <w:tc>
          <w:tcPr>
            <w:tcW w:w="4019"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Scale factor on CM</w:t>
            </w:r>
            <w:r>
              <w:rPr>
                <w:rFonts w:hint="eastAsia" w:ascii="宋体" w:hAnsi="宋体" w:eastAsia="宋体" w:cs="宋体"/>
                <w:color w:val="auto"/>
                <w:kern w:val="0"/>
                <w:sz w:val="24"/>
                <w:szCs w:val="24"/>
                <w:highlight w:val="none"/>
              </w:rPr>
              <w:t>/比例因子</w:t>
            </w:r>
          </w:p>
        </w:tc>
        <w:tc>
          <w:tcPr>
            <w:tcW w:w="4019"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Unit of measurement</w:t>
            </w:r>
            <w:r>
              <w:rPr>
                <w:rFonts w:hint="eastAsia" w:ascii="宋体" w:hAnsi="宋体" w:eastAsia="宋体" w:cs="宋体"/>
                <w:color w:val="auto"/>
                <w:kern w:val="0"/>
                <w:sz w:val="24"/>
                <w:szCs w:val="24"/>
                <w:highlight w:val="none"/>
              </w:rPr>
              <w:t>/单位</w:t>
            </w:r>
          </w:p>
        </w:tc>
        <w:tc>
          <w:tcPr>
            <w:tcW w:w="4019" w:type="dxa"/>
            <w:noWrap w:val="0"/>
            <w:vAlign w:val="top"/>
          </w:tcPr>
          <w:p>
            <w:pPr>
              <w:pageBreakBefore w:val="0"/>
              <w:widowControl/>
              <w:kinsoku/>
              <w:wordWrap/>
              <w:overflowPunct/>
              <w:topLinePunct w:val="0"/>
              <w:autoSpaceDE/>
              <w:autoSpaceDN/>
              <w:bidi w:val="0"/>
              <w:adjustRightInd/>
              <w:spacing w:line="360" w:lineRule="auto"/>
              <w:jc w:val="center"/>
              <w:rPr>
                <w:rFonts w:hint="eastAsia" w:ascii="宋体" w:hAnsi="宋体" w:eastAsia="宋体" w:cs="宋体"/>
                <w:color w:val="auto"/>
                <w:kern w:val="0"/>
                <w:sz w:val="24"/>
                <w:szCs w:val="24"/>
                <w:highlight w:val="none"/>
              </w:rPr>
            </w:pPr>
          </w:p>
        </w:tc>
      </w:tr>
    </w:tbl>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除甲方要求外，</w:t>
      </w:r>
      <w:r>
        <w:rPr>
          <w:rFonts w:hint="eastAsia" w:ascii="宋体" w:hAnsi="宋体" w:eastAsia="宋体" w:cs="宋体"/>
          <w:bCs/>
          <w:color w:val="auto"/>
          <w:kern w:val="0"/>
          <w:sz w:val="24"/>
          <w:szCs w:val="24"/>
          <w:highlight w:val="none"/>
        </w:rPr>
        <w:t>海上测深和水平测量</w:t>
      </w:r>
      <w:r>
        <w:rPr>
          <w:rFonts w:hint="eastAsia" w:ascii="宋体" w:hAnsi="宋体" w:eastAsia="宋体" w:cs="宋体"/>
          <w:bCs/>
          <w:color w:val="auto"/>
          <w:kern w:val="0"/>
          <w:sz w:val="24"/>
          <w:szCs w:val="24"/>
          <w:highlight w:val="none"/>
          <w:lang w:val="en-US" w:eastAsia="zh-CN"/>
        </w:rPr>
        <w:t>采用</w:t>
      </w:r>
      <w:r>
        <w:rPr>
          <w:rFonts w:hint="eastAsia" w:ascii="宋体" w:hAnsi="宋体" w:eastAsia="宋体" w:cs="宋体"/>
          <w:bCs/>
          <w:color w:val="auto"/>
          <w:kern w:val="0"/>
          <w:sz w:val="24"/>
          <w:szCs w:val="24"/>
          <w:highlight w:val="none"/>
        </w:rPr>
        <w:t>海图深度基准面（理论最低潮面）做为深度基准面。</w:t>
      </w:r>
    </w:p>
    <w:p>
      <w:pPr>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 敏感海域作业要求</w:t>
      </w:r>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本项目处于东海敏感海域，乙方在目标海域勘察作业前，应按照国家法律法规、各级政府职能部门的要求，负责向相关部门申请敏感海域作业申请，获得批复后方可开展相关作业。</w:t>
      </w:r>
    </w:p>
    <w:p>
      <w:pPr>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lang w:val="en-US" w:eastAsia="zh-CN"/>
        </w:rPr>
      </w:pPr>
      <w:bookmarkStart w:id="8" w:name="_Toc363478099"/>
      <w:r>
        <w:rPr>
          <w:rFonts w:hint="eastAsia" w:ascii="宋体" w:hAnsi="宋体" w:eastAsia="宋体" w:cs="宋体"/>
          <w:color w:val="auto"/>
          <w:sz w:val="24"/>
          <w:szCs w:val="24"/>
          <w:highlight w:val="none"/>
          <w:lang w:val="en-US" w:eastAsia="zh-CN"/>
        </w:rPr>
        <w:t>3 要求完成时间</w:t>
      </w:r>
      <w:bookmarkEnd w:id="8"/>
    </w:p>
    <w:p>
      <w:pPr>
        <w:pageBreakBefore w:val="0"/>
        <w:widowControl/>
        <w:kinsoku/>
        <w:wordWrap/>
        <w:overflowPunct/>
        <w:topLinePunct w:val="0"/>
        <w:autoSpaceDE/>
        <w:autoSpaceDN/>
        <w:bidi w:val="0"/>
        <w:adjustRightInd/>
        <w:snapToGrid w:val="0"/>
        <w:spacing w:before="156" w:beforeLines="50" w:line="360" w:lineRule="auto"/>
        <w:ind w:firstLine="420"/>
        <w:jc w:val="left"/>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甲方以订单的形式向乙方发出购买数据的委托，乙方应在收到委托后，4个月内以报告的形式提交所购买的数据</w:t>
      </w:r>
      <w:r>
        <w:rPr>
          <w:rFonts w:hint="eastAsia" w:ascii="宋体" w:hAnsi="宋体" w:cs="宋体"/>
          <w:bCs/>
          <w:color w:val="auto"/>
          <w:kern w:val="0"/>
          <w:sz w:val="24"/>
          <w:szCs w:val="24"/>
          <w:highlight w:val="none"/>
          <w:lang w:val="en-US" w:eastAsia="zh-CN"/>
        </w:rPr>
        <w:t>，</w:t>
      </w:r>
      <w:r>
        <w:rPr>
          <w:rFonts w:hint="eastAsia" w:ascii="宋体" w:hAnsi="宋体" w:eastAsia="宋体" w:cs="宋体"/>
          <w:bCs/>
          <w:color w:val="auto"/>
          <w:kern w:val="0"/>
          <w:sz w:val="24"/>
          <w:szCs w:val="24"/>
          <w:highlight w:val="none"/>
          <w:lang w:val="en-US" w:eastAsia="zh-CN"/>
        </w:rPr>
        <w:t>因特殊原因需延长报告提交时间的，由甲方书面通知延期。</w:t>
      </w:r>
    </w:p>
    <w:p>
      <w:pPr>
        <w:pStyle w:val="3"/>
        <w:tabs>
          <w:tab w:val="left" w:pos="1175"/>
        </w:tabs>
        <w:rPr>
          <w:rFonts w:hint="eastAsia" w:ascii="宋体" w:hAnsi="宋体" w:eastAsia="宋体" w:cs="宋体"/>
          <w:bCs/>
          <w:color w:val="auto"/>
          <w:kern w:val="0"/>
          <w:sz w:val="24"/>
          <w:highlight w:val="none"/>
          <w:lang w:val="en-US" w:eastAsia="zh-CN"/>
        </w:rPr>
      </w:pPr>
      <w:r>
        <w:rPr>
          <w:rFonts w:hint="eastAsia"/>
          <w:color w:val="auto"/>
          <w:highlight w:val="none"/>
          <w:lang w:val="en-US" w:eastAsia="zh-CN"/>
        </w:rPr>
        <w:t xml:space="preserve">   </w:t>
      </w:r>
      <w:r>
        <w:rPr>
          <w:rFonts w:hint="eastAsia" w:ascii="宋体" w:hAnsi="宋体" w:eastAsia="宋体" w:cs="宋体"/>
          <w:bCs/>
          <w:color w:val="auto"/>
          <w:kern w:val="0"/>
          <w:sz w:val="24"/>
          <w:highlight w:val="none"/>
        </w:rPr>
        <w:t>甲方以订单的形式向乙方发出</w:t>
      </w:r>
      <w:r>
        <w:rPr>
          <w:rFonts w:hint="eastAsia" w:ascii="宋体" w:hAnsi="宋体" w:eastAsia="宋体" w:cs="宋体"/>
          <w:bCs/>
          <w:color w:val="auto"/>
          <w:kern w:val="0"/>
          <w:sz w:val="24"/>
          <w:highlight w:val="none"/>
          <w:lang w:val="en-US" w:eastAsia="zh-CN"/>
        </w:rPr>
        <w:t>编制报告</w:t>
      </w:r>
      <w:r>
        <w:rPr>
          <w:rFonts w:hint="eastAsia" w:ascii="宋体" w:hAnsi="宋体" w:eastAsia="宋体" w:cs="宋体"/>
          <w:bCs/>
          <w:color w:val="auto"/>
          <w:kern w:val="0"/>
          <w:sz w:val="24"/>
          <w:highlight w:val="none"/>
        </w:rPr>
        <w:t>的委托，乙方应在收到委托后，</w:t>
      </w:r>
      <w:r>
        <w:rPr>
          <w:rFonts w:hint="eastAsia" w:ascii="宋体" w:hAnsi="宋体" w:eastAsia="宋体" w:cs="宋体"/>
          <w:bCs/>
          <w:color w:val="auto"/>
          <w:kern w:val="0"/>
          <w:sz w:val="24"/>
          <w:highlight w:val="none"/>
          <w:lang w:val="en-US" w:eastAsia="zh-CN"/>
        </w:rPr>
        <w:t>1</w:t>
      </w:r>
      <w:r>
        <w:rPr>
          <w:rFonts w:hint="eastAsia" w:ascii="宋体" w:hAnsi="宋体" w:eastAsia="宋体" w:cs="宋体"/>
          <w:bCs/>
          <w:color w:val="auto"/>
          <w:kern w:val="0"/>
          <w:sz w:val="24"/>
          <w:highlight w:val="none"/>
        </w:rPr>
        <w:t>个月内</w:t>
      </w:r>
      <w:r>
        <w:rPr>
          <w:rFonts w:hint="eastAsia" w:ascii="宋体" w:hAnsi="宋体" w:eastAsia="宋体" w:cs="宋体"/>
          <w:bCs/>
          <w:color w:val="auto"/>
          <w:kern w:val="0"/>
          <w:sz w:val="24"/>
          <w:highlight w:val="none"/>
          <w:lang w:val="en-US" w:eastAsia="zh-CN"/>
        </w:rPr>
        <w:t>提交</w:t>
      </w:r>
      <w:r>
        <w:rPr>
          <w:rFonts w:hint="eastAsia" w:ascii="宋体" w:hAnsi="宋体" w:eastAsia="宋体" w:cs="宋体"/>
          <w:bCs/>
          <w:color w:val="auto"/>
          <w:kern w:val="0"/>
          <w:sz w:val="24"/>
          <w:highlight w:val="none"/>
        </w:rPr>
        <w:t>报告</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rPr>
        <w:t>因特殊原因需延长报告提交时间的，由甲方书面通知延期</w:t>
      </w:r>
      <w:r>
        <w:rPr>
          <w:rFonts w:hint="eastAsia" w:ascii="宋体" w:hAnsi="宋体" w:eastAsia="宋体" w:cs="宋体"/>
          <w:bCs/>
          <w:color w:val="auto"/>
          <w:kern w:val="0"/>
          <w:sz w:val="24"/>
          <w:highlight w:val="none"/>
          <w:lang w:eastAsia="zh-CN"/>
        </w:rPr>
        <w:t>。</w:t>
      </w:r>
    </w:p>
    <w:p>
      <w:pPr>
        <w:pageBreakBefore w:val="0"/>
        <w:widowControl/>
        <w:kinsoku/>
        <w:wordWrap/>
        <w:overflowPunct/>
        <w:topLinePunct w:val="0"/>
        <w:autoSpaceDE/>
        <w:autoSpaceDN/>
        <w:bidi w:val="0"/>
        <w:adjustRightInd/>
        <w:snapToGrid w:val="0"/>
        <w:spacing w:before="156" w:beforeLines="50" w:line="360" w:lineRule="auto"/>
        <w:ind w:firstLine="420"/>
        <w:jc w:val="left"/>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根据甲方要求，乙方应及时提交中间成果，并配合甲方完成相应审查。</w:t>
      </w:r>
    </w:p>
    <w:p>
      <w:pPr>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lang w:val="en-US" w:eastAsia="zh-CN"/>
        </w:rPr>
      </w:pPr>
      <w:bookmarkStart w:id="9" w:name="_Toc363478100"/>
      <w:r>
        <w:rPr>
          <w:rFonts w:hint="eastAsia" w:ascii="宋体" w:hAnsi="宋体" w:eastAsia="宋体" w:cs="宋体"/>
          <w:color w:val="auto"/>
          <w:sz w:val="24"/>
          <w:szCs w:val="24"/>
          <w:highlight w:val="none"/>
          <w:lang w:val="en-US" w:eastAsia="zh-CN"/>
        </w:rPr>
        <w:t>4 应提交的成果</w:t>
      </w:r>
      <w:bookmarkEnd w:id="9"/>
    </w:p>
    <w:p>
      <w:pPr>
        <w:pageBreakBefore w:val="0"/>
        <w:widowControl/>
        <w:kinsoku/>
        <w:wordWrap/>
        <w:overflowPunct/>
        <w:topLinePunct w:val="0"/>
        <w:autoSpaceDE/>
        <w:autoSpaceDN/>
        <w:bidi w:val="0"/>
        <w:adjustRightInd/>
        <w:snapToGrid w:val="0"/>
        <w:spacing w:before="156" w:beforeLines="50"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提交成果包括：预选路由选择依据说明材料报告、海洋观测站（点）评估报告</w:t>
      </w:r>
      <w:r>
        <w:rPr>
          <w:rFonts w:hint="eastAsia" w:ascii="宋体" w:hAnsi="宋体" w:cs="宋体"/>
          <w:bCs/>
          <w:color w:val="auto"/>
          <w:kern w:val="0"/>
          <w:sz w:val="24"/>
          <w:szCs w:val="24"/>
          <w:highlight w:val="none"/>
          <w:lang w:eastAsia="zh-CN"/>
        </w:rPr>
        <w:t>、海洋观测站（点）备案报告、</w:t>
      </w:r>
      <w:r>
        <w:rPr>
          <w:rFonts w:hint="eastAsia" w:ascii="宋体" w:hAnsi="宋体" w:eastAsia="宋体" w:cs="宋体"/>
          <w:bCs/>
          <w:color w:val="auto"/>
          <w:kern w:val="0"/>
          <w:sz w:val="24"/>
          <w:szCs w:val="24"/>
          <w:highlight w:val="none"/>
        </w:rPr>
        <w:t>工程勘察综合报告、工程物探报告、工程地质报告、环境调查报告</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环境跟踪监测报告</w:t>
      </w:r>
      <w:r>
        <w:rPr>
          <w:rFonts w:hint="eastAsia" w:ascii="宋体" w:hAnsi="宋体" w:eastAsia="宋体" w:cs="宋体"/>
          <w:bCs/>
          <w:color w:val="auto"/>
          <w:kern w:val="0"/>
          <w:sz w:val="24"/>
          <w:szCs w:val="24"/>
          <w:highlight w:val="none"/>
        </w:rPr>
        <w:t>及相关的影像资料等。</w:t>
      </w:r>
    </w:p>
    <w:p>
      <w:pPr>
        <w:pageBreakBefore w:val="0"/>
        <w:widowControl/>
        <w:numPr>
          <w:ilvl w:val="0"/>
          <w:numId w:val="14"/>
        </w:numPr>
        <w:kinsoku/>
        <w:wordWrap/>
        <w:overflowPunct/>
        <w:topLinePunct w:val="0"/>
        <w:autoSpaceDE/>
        <w:autoSpaceDN/>
        <w:bidi w:val="0"/>
        <w:adjustRightInd/>
        <w:spacing w:before="156" w:beforeLines="50" w:line="360" w:lineRule="auto"/>
        <w:ind w:left="709" w:hanging="244"/>
        <w:jc w:val="left"/>
        <w:rPr>
          <w:rFonts w:hint="eastAsia"/>
          <w:color w:val="auto"/>
          <w:highlight w:val="none"/>
        </w:rPr>
      </w:pPr>
      <w:r>
        <w:rPr>
          <w:rFonts w:hint="eastAsia" w:ascii="宋体" w:hAnsi="宋体" w:eastAsia="宋体" w:cs="宋体"/>
          <w:color w:val="auto"/>
          <w:sz w:val="24"/>
          <w:szCs w:val="24"/>
          <w:highlight w:val="none"/>
        </w:rPr>
        <w:t>路由桌面审查会后提交报批稿。</w:t>
      </w:r>
    </w:p>
    <w:p>
      <w:pPr>
        <w:pageBreakBefore w:val="0"/>
        <w:widowControl/>
        <w:numPr>
          <w:ilvl w:val="0"/>
          <w:numId w:val="14"/>
        </w:numPr>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数据采集之前，在规定时间内编制海洋观测站（点）评估报告、海洋观测站（点）备案报告至</w:t>
      </w:r>
      <w:r>
        <w:rPr>
          <w:rFonts w:hint="eastAsia" w:ascii="宋体" w:hAnsi="宋体" w:cs="宋体"/>
          <w:color w:val="auto"/>
          <w:kern w:val="2"/>
          <w:sz w:val="24"/>
          <w:szCs w:val="24"/>
          <w:highlight w:val="none"/>
          <w:lang w:val="en-US" w:eastAsia="zh-CN" w:bidi="ar-SA"/>
        </w:rPr>
        <w:t>相关部门备案</w:t>
      </w:r>
      <w:r>
        <w:rPr>
          <w:rFonts w:hint="eastAsia" w:ascii="宋体" w:hAnsi="宋体" w:eastAsia="宋体" w:cs="宋体"/>
          <w:color w:val="auto"/>
          <w:kern w:val="2"/>
          <w:sz w:val="24"/>
          <w:szCs w:val="24"/>
          <w:highlight w:val="none"/>
          <w:lang w:val="en-US" w:eastAsia="zh-CN" w:bidi="ar-SA"/>
        </w:rPr>
        <w:t>。</w:t>
      </w:r>
    </w:p>
    <w:p>
      <w:pPr>
        <w:pageBreakBefore w:val="0"/>
        <w:widowControl/>
        <w:numPr>
          <w:ilvl w:val="0"/>
          <w:numId w:val="14"/>
        </w:numPr>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数据采集</w:t>
      </w:r>
      <w:r>
        <w:rPr>
          <w:rFonts w:hint="eastAsia" w:ascii="宋体" w:hAnsi="宋体" w:eastAsia="宋体" w:cs="宋体"/>
          <w:color w:val="auto"/>
          <w:sz w:val="24"/>
          <w:szCs w:val="24"/>
          <w:highlight w:val="none"/>
        </w:rPr>
        <w:t>完成后规定时间内提交设计所需的中间报告（B版报告）。</w:t>
      </w:r>
    </w:p>
    <w:p>
      <w:pPr>
        <w:pageBreakBefore w:val="0"/>
        <w:widowControl/>
        <w:numPr>
          <w:ilvl w:val="0"/>
          <w:numId w:val="14"/>
        </w:numPr>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数据采集</w:t>
      </w:r>
      <w:r>
        <w:rPr>
          <w:rFonts w:hint="eastAsia" w:ascii="宋体" w:hAnsi="宋体" w:eastAsia="宋体" w:cs="宋体"/>
          <w:color w:val="auto"/>
          <w:sz w:val="24"/>
          <w:szCs w:val="24"/>
          <w:highlight w:val="none"/>
        </w:rPr>
        <w:t>完成后规定时间内提交送审报告（准0版报告）。</w:t>
      </w:r>
    </w:p>
    <w:p>
      <w:pPr>
        <w:pageBreakBefore w:val="0"/>
        <w:widowControl/>
        <w:numPr>
          <w:ilvl w:val="0"/>
          <w:numId w:val="14"/>
        </w:numPr>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最终报告（0版报告）提交纸质版中文</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份，及相应格式的电子版本（光盘</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份），成果表以中、英文形式分别提交。</w:t>
      </w:r>
    </w:p>
    <w:p>
      <w:pPr>
        <w:pageBreakBefore w:val="0"/>
        <w:widowControl/>
        <w:numPr>
          <w:ilvl w:val="0"/>
          <w:numId w:val="14"/>
        </w:numPr>
        <w:kinsoku/>
        <w:wordWrap/>
        <w:overflowPunct/>
        <w:topLinePunct w:val="0"/>
        <w:autoSpaceDE/>
        <w:autoSpaceDN/>
        <w:bidi w:val="0"/>
        <w:adjustRightInd/>
        <w:spacing w:before="156" w:beforeLines="50" w:line="360" w:lineRule="auto"/>
        <w:ind w:left="709" w:hanging="244"/>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环境监测</w:t>
      </w:r>
      <w:r>
        <w:rPr>
          <w:rFonts w:hint="eastAsia" w:ascii="宋体" w:hAnsi="宋体" w:eastAsia="宋体" w:cs="宋体"/>
          <w:color w:val="auto"/>
          <w:kern w:val="0"/>
          <w:sz w:val="24"/>
          <w:szCs w:val="24"/>
          <w:highlight w:val="none"/>
          <w:lang w:val="en-US" w:eastAsia="zh-CN"/>
        </w:rPr>
        <w:t>报告</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应以书面报告、光盘文件及电子文件（中文WORD）的形式分别给出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报告需附CMA监测报告</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书面报告8份,电子版1份。</w:t>
      </w:r>
    </w:p>
    <w:p>
      <w:pPr>
        <w:pageBreakBefore w:val="0"/>
        <w:kinsoku/>
        <w:wordWrap/>
        <w:overflowPunct/>
        <w:topLinePunct w:val="0"/>
        <w:autoSpaceDE/>
        <w:autoSpaceDN/>
        <w:bidi w:val="0"/>
        <w:adjustRightInd/>
        <w:spacing w:line="360" w:lineRule="auto"/>
        <w:rPr>
          <w:rFonts w:hint="eastAsia" w:ascii="宋体" w:hAnsi="宋体" w:eastAsia="宋体" w:cs="宋体"/>
          <w:color w:val="auto"/>
          <w:sz w:val="24"/>
          <w:szCs w:val="24"/>
          <w:highlight w:val="none"/>
          <w:lang w:val="en-US" w:eastAsia="zh-CN"/>
        </w:rPr>
      </w:pPr>
      <w:bookmarkStart w:id="10" w:name="_Toc363478101"/>
      <w:r>
        <w:rPr>
          <w:rFonts w:hint="eastAsia" w:ascii="宋体" w:hAnsi="宋体" w:eastAsia="宋体" w:cs="宋体"/>
          <w:color w:val="auto"/>
          <w:sz w:val="24"/>
          <w:szCs w:val="24"/>
          <w:highlight w:val="none"/>
          <w:lang w:val="en-US" w:eastAsia="zh-CN"/>
        </w:rPr>
        <w:t>5 验收标准与验收方式</w:t>
      </w:r>
      <w:bookmarkEnd w:id="10"/>
    </w:p>
    <w:p>
      <w:pPr>
        <w:bidi w:val="0"/>
        <w:rPr>
          <w:rFonts w:hint="eastAsia"/>
          <w:color w:val="auto"/>
          <w:sz w:val="24"/>
          <w:szCs w:val="24"/>
          <w:highlight w:val="none"/>
        </w:rPr>
      </w:pPr>
      <w:bookmarkStart w:id="11" w:name="_Toc363478102"/>
      <w:r>
        <w:rPr>
          <w:rFonts w:hint="eastAsia"/>
          <w:color w:val="auto"/>
          <w:sz w:val="24"/>
          <w:szCs w:val="24"/>
          <w:highlight w:val="none"/>
        </w:rPr>
        <w:t>报告验收以通过项目专家审查或甲方代表书面确认为准。</w:t>
      </w:r>
      <w:bookmarkEnd w:id="0"/>
      <w:bookmarkEnd w:id="11"/>
    </w:p>
    <w:bookmarkEnd w:id="1"/>
    <w:p>
      <w:pPr>
        <w:pStyle w:val="2"/>
        <w:rPr>
          <w:rFonts w:hint="eastAsia"/>
          <w:highlight w:val="none"/>
          <w:lang w:eastAsia="zh-CN"/>
        </w:rPr>
      </w:pPr>
    </w:p>
    <w:p>
      <w:pPr>
        <w:rPr>
          <w:rFonts w:hint="eastAsia"/>
          <w:highlight w:val="none"/>
          <w:lang w:eastAsia="zh-CN"/>
        </w:rPr>
      </w:pPr>
    </w:p>
    <w:p>
      <w:pPr>
        <w:pStyle w:val="2"/>
        <w:rPr>
          <w:rFonts w:hint="eastAsia"/>
          <w:highlight w:val="none"/>
          <w:lang w:eastAsia="zh-CN"/>
        </w:rPr>
      </w:pPr>
    </w:p>
    <w:p>
      <w:pPr>
        <w:rPr>
          <w:rFonts w:hint="eastAsia"/>
          <w:highlight w:val="none"/>
          <w:lang w:eastAsia="zh-CN"/>
        </w:rPr>
      </w:pPr>
    </w:p>
    <w:p>
      <w:pPr>
        <w:pStyle w:val="2"/>
        <w:rPr>
          <w:rFonts w:hint="eastAsia"/>
          <w:highlight w:val="none"/>
          <w:lang w:eastAsia="zh-CN"/>
        </w:rPr>
      </w:pPr>
    </w:p>
    <w:p>
      <w:pPr>
        <w:rPr>
          <w:rFonts w:hint="eastAsia"/>
          <w:highlight w:val="none"/>
          <w:lang w:eastAsia="zh-CN"/>
        </w:rPr>
      </w:pPr>
    </w:p>
    <w:p>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100F2"/>
    <w:multiLevelType w:val="singleLevel"/>
    <w:tmpl w:val="860100F2"/>
    <w:lvl w:ilvl="0" w:tentative="0">
      <w:start w:val="5"/>
      <w:numFmt w:val="chineseCounting"/>
      <w:lvlText w:val="第%1章"/>
      <w:lvlJc w:val="left"/>
      <w:rPr>
        <w:rFonts w:hint="eastAsia"/>
      </w:rPr>
    </w:lvl>
  </w:abstractNum>
  <w:abstractNum w:abstractNumId="1">
    <w:nsid w:val="13D91388"/>
    <w:multiLevelType w:val="multilevel"/>
    <w:tmpl w:val="13D91388"/>
    <w:lvl w:ilvl="0" w:tentative="0">
      <w:start w:val="1"/>
      <w:numFmt w:val="bullet"/>
      <w:lvlText w:val=""/>
      <w:lvlJc w:val="left"/>
      <w:pPr>
        <w:ind w:left="846" w:hanging="420"/>
      </w:pPr>
      <w:rPr>
        <w:rFonts w:hint="default" w:ascii="Wingdings" w:hAnsi="Wingdings"/>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2">
    <w:nsid w:val="22775BAB"/>
    <w:multiLevelType w:val="multilevel"/>
    <w:tmpl w:val="22775BAB"/>
    <w:lvl w:ilvl="0" w:tentative="0">
      <w:start w:val="1"/>
      <w:numFmt w:val="bullet"/>
      <w:lvlText w:val=""/>
      <w:lvlJc w:val="left"/>
      <w:pPr>
        <w:ind w:left="885" w:hanging="420"/>
      </w:pPr>
      <w:rPr>
        <w:rFonts w:hint="default" w:ascii="Wingdings" w:hAnsi="Wingdings"/>
      </w:rPr>
    </w:lvl>
    <w:lvl w:ilvl="1" w:tentative="0">
      <w:start w:val="1"/>
      <w:numFmt w:val="bullet"/>
      <w:lvlText w:val=""/>
      <w:lvlJc w:val="left"/>
      <w:pPr>
        <w:ind w:left="1305" w:hanging="420"/>
      </w:pPr>
      <w:rPr>
        <w:rFonts w:hint="default" w:ascii="Wingdings" w:hAnsi="Wingdings"/>
      </w:rPr>
    </w:lvl>
    <w:lvl w:ilvl="2" w:tentative="0">
      <w:start w:val="1"/>
      <w:numFmt w:val="bullet"/>
      <w:lvlText w:val=""/>
      <w:lvlJc w:val="left"/>
      <w:pPr>
        <w:ind w:left="1725" w:hanging="420"/>
      </w:pPr>
      <w:rPr>
        <w:rFonts w:hint="default" w:ascii="Wingdings" w:hAnsi="Wingdings"/>
      </w:rPr>
    </w:lvl>
    <w:lvl w:ilvl="3" w:tentative="0">
      <w:start w:val="1"/>
      <w:numFmt w:val="bullet"/>
      <w:lvlText w:val=""/>
      <w:lvlJc w:val="left"/>
      <w:pPr>
        <w:ind w:left="2145" w:hanging="420"/>
      </w:pPr>
      <w:rPr>
        <w:rFonts w:hint="default" w:ascii="Wingdings" w:hAnsi="Wingdings"/>
      </w:rPr>
    </w:lvl>
    <w:lvl w:ilvl="4" w:tentative="0">
      <w:start w:val="1"/>
      <w:numFmt w:val="bullet"/>
      <w:lvlText w:val=""/>
      <w:lvlJc w:val="left"/>
      <w:pPr>
        <w:ind w:left="2565" w:hanging="420"/>
      </w:pPr>
      <w:rPr>
        <w:rFonts w:hint="default" w:ascii="Wingdings" w:hAnsi="Wingdings"/>
      </w:rPr>
    </w:lvl>
    <w:lvl w:ilvl="5" w:tentative="0">
      <w:start w:val="1"/>
      <w:numFmt w:val="bullet"/>
      <w:lvlText w:val=""/>
      <w:lvlJc w:val="left"/>
      <w:pPr>
        <w:ind w:left="2985" w:hanging="420"/>
      </w:pPr>
      <w:rPr>
        <w:rFonts w:hint="default" w:ascii="Wingdings" w:hAnsi="Wingdings"/>
      </w:rPr>
    </w:lvl>
    <w:lvl w:ilvl="6" w:tentative="0">
      <w:start w:val="1"/>
      <w:numFmt w:val="bullet"/>
      <w:lvlText w:val=""/>
      <w:lvlJc w:val="left"/>
      <w:pPr>
        <w:ind w:left="3405" w:hanging="420"/>
      </w:pPr>
      <w:rPr>
        <w:rFonts w:hint="default" w:ascii="Wingdings" w:hAnsi="Wingdings"/>
      </w:rPr>
    </w:lvl>
    <w:lvl w:ilvl="7" w:tentative="0">
      <w:start w:val="1"/>
      <w:numFmt w:val="bullet"/>
      <w:lvlText w:val=""/>
      <w:lvlJc w:val="left"/>
      <w:pPr>
        <w:ind w:left="3825" w:hanging="420"/>
      </w:pPr>
      <w:rPr>
        <w:rFonts w:hint="default" w:ascii="Wingdings" w:hAnsi="Wingdings"/>
      </w:rPr>
    </w:lvl>
    <w:lvl w:ilvl="8" w:tentative="0">
      <w:start w:val="1"/>
      <w:numFmt w:val="bullet"/>
      <w:lvlText w:val=""/>
      <w:lvlJc w:val="left"/>
      <w:pPr>
        <w:ind w:left="4245" w:hanging="420"/>
      </w:pPr>
      <w:rPr>
        <w:rFonts w:hint="default" w:ascii="Wingdings" w:hAnsi="Wingdings"/>
      </w:rPr>
    </w:lvl>
  </w:abstractNum>
  <w:abstractNum w:abstractNumId="3">
    <w:nsid w:val="245471D7"/>
    <w:multiLevelType w:val="multilevel"/>
    <w:tmpl w:val="245471D7"/>
    <w:lvl w:ilvl="0" w:tentative="0">
      <w:start w:val="2"/>
      <w:numFmt w:val="bullet"/>
      <w:lvlText w:val="●"/>
      <w:lvlJc w:val="left"/>
      <w:pPr>
        <w:tabs>
          <w:tab w:val="left" w:pos="870"/>
        </w:tabs>
        <w:ind w:left="870" w:hanging="270"/>
      </w:pPr>
      <w:rPr>
        <w:rFonts w:hint="eastAsia"/>
        <w:sz w:val="18"/>
      </w:rPr>
    </w:lvl>
    <w:lvl w:ilvl="1" w:tentative="0">
      <w:start w:val="1"/>
      <w:numFmt w:val="bullet"/>
      <w:lvlText w:val=""/>
      <w:lvlJc w:val="left"/>
      <w:pPr>
        <w:tabs>
          <w:tab w:val="left" w:pos="840"/>
        </w:tabs>
        <w:ind w:left="840" w:hanging="420"/>
      </w:pPr>
      <w:rPr>
        <w:rFonts w:hint="default" w:ascii="Calibri Light" w:hAnsi="Calibri Light"/>
      </w:rPr>
    </w:lvl>
    <w:lvl w:ilvl="2" w:tentative="0">
      <w:start w:val="1"/>
      <w:numFmt w:val="bullet"/>
      <w:lvlText w:val=""/>
      <w:lvlJc w:val="left"/>
      <w:pPr>
        <w:tabs>
          <w:tab w:val="left" w:pos="1260"/>
        </w:tabs>
        <w:ind w:left="1260" w:hanging="420"/>
      </w:pPr>
      <w:rPr>
        <w:rFonts w:hint="default" w:ascii="Calibri Light" w:hAnsi="Calibri Light"/>
      </w:rPr>
    </w:lvl>
    <w:lvl w:ilvl="3" w:tentative="0">
      <w:start w:val="1"/>
      <w:numFmt w:val="bullet"/>
      <w:lvlText w:val=""/>
      <w:lvlJc w:val="left"/>
      <w:pPr>
        <w:tabs>
          <w:tab w:val="left" w:pos="1680"/>
        </w:tabs>
        <w:ind w:left="1680" w:hanging="420"/>
      </w:pPr>
      <w:rPr>
        <w:rFonts w:hint="default" w:ascii="Calibri Light" w:hAnsi="Calibri Light"/>
      </w:rPr>
    </w:lvl>
    <w:lvl w:ilvl="4" w:tentative="0">
      <w:start w:val="1"/>
      <w:numFmt w:val="bullet"/>
      <w:lvlText w:val=""/>
      <w:lvlJc w:val="left"/>
      <w:pPr>
        <w:tabs>
          <w:tab w:val="left" w:pos="2100"/>
        </w:tabs>
        <w:ind w:left="2100" w:hanging="420"/>
      </w:pPr>
      <w:rPr>
        <w:rFonts w:hint="default" w:ascii="Calibri Light" w:hAnsi="Calibri Light"/>
      </w:rPr>
    </w:lvl>
    <w:lvl w:ilvl="5" w:tentative="0">
      <w:start w:val="1"/>
      <w:numFmt w:val="bullet"/>
      <w:lvlText w:val=""/>
      <w:lvlJc w:val="left"/>
      <w:pPr>
        <w:tabs>
          <w:tab w:val="left" w:pos="2520"/>
        </w:tabs>
        <w:ind w:left="2520" w:hanging="420"/>
      </w:pPr>
      <w:rPr>
        <w:rFonts w:hint="default" w:ascii="Calibri Light" w:hAnsi="Calibri Light"/>
      </w:rPr>
    </w:lvl>
    <w:lvl w:ilvl="6" w:tentative="0">
      <w:start w:val="1"/>
      <w:numFmt w:val="bullet"/>
      <w:lvlText w:val=""/>
      <w:lvlJc w:val="left"/>
      <w:pPr>
        <w:tabs>
          <w:tab w:val="left" w:pos="2940"/>
        </w:tabs>
        <w:ind w:left="2940" w:hanging="420"/>
      </w:pPr>
      <w:rPr>
        <w:rFonts w:hint="default" w:ascii="Calibri Light" w:hAnsi="Calibri Light"/>
      </w:rPr>
    </w:lvl>
    <w:lvl w:ilvl="7" w:tentative="0">
      <w:start w:val="1"/>
      <w:numFmt w:val="bullet"/>
      <w:lvlText w:val=""/>
      <w:lvlJc w:val="left"/>
      <w:pPr>
        <w:tabs>
          <w:tab w:val="left" w:pos="3360"/>
        </w:tabs>
        <w:ind w:left="3360" w:hanging="420"/>
      </w:pPr>
      <w:rPr>
        <w:rFonts w:hint="default" w:ascii="Calibri Light" w:hAnsi="Calibri Light"/>
      </w:rPr>
    </w:lvl>
    <w:lvl w:ilvl="8" w:tentative="0">
      <w:start w:val="1"/>
      <w:numFmt w:val="bullet"/>
      <w:lvlText w:val=""/>
      <w:lvlJc w:val="left"/>
      <w:pPr>
        <w:tabs>
          <w:tab w:val="left" w:pos="3780"/>
        </w:tabs>
        <w:ind w:left="3780" w:hanging="420"/>
      </w:pPr>
      <w:rPr>
        <w:rFonts w:hint="default" w:ascii="Calibri Light" w:hAnsi="Calibri Light"/>
      </w:rPr>
    </w:lvl>
  </w:abstractNum>
  <w:abstractNum w:abstractNumId="4">
    <w:nsid w:val="27494A6B"/>
    <w:multiLevelType w:val="multilevel"/>
    <w:tmpl w:val="27494A6B"/>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2D288B04"/>
    <w:multiLevelType w:val="singleLevel"/>
    <w:tmpl w:val="2D288B04"/>
    <w:lvl w:ilvl="0" w:tentative="0">
      <w:start w:val="1"/>
      <w:numFmt w:val="decimal"/>
      <w:suff w:val="nothing"/>
      <w:lvlText w:val="%1、"/>
      <w:lvlJc w:val="left"/>
    </w:lvl>
  </w:abstractNum>
  <w:abstractNum w:abstractNumId="6">
    <w:nsid w:val="33393CCD"/>
    <w:multiLevelType w:val="multilevel"/>
    <w:tmpl w:val="33393CCD"/>
    <w:lvl w:ilvl="0" w:tentative="0">
      <w:start w:val="1"/>
      <w:numFmt w:val="decimal"/>
      <w:lvlText w:val="%1)"/>
      <w:lvlJc w:val="left"/>
      <w:pPr>
        <w:ind w:left="902" w:hanging="420"/>
      </w:pPr>
      <w:rPr>
        <w:rFonts w:hint="default"/>
        <w:b w:val="0"/>
        <w:bCs w:val="0"/>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7">
    <w:nsid w:val="3AB15453"/>
    <w:multiLevelType w:val="multilevel"/>
    <w:tmpl w:val="3AB15453"/>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4014BF5C"/>
    <w:multiLevelType w:val="singleLevel"/>
    <w:tmpl w:val="4014BF5C"/>
    <w:lvl w:ilvl="0" w:tentative="0">
      <w:start w:val="3"/>
      <w:numFmt w:val="decimal"/>
      <w:suff w:val="nothing"/>
      <w:lvlText w:val="%1）"/>
      <w:lvlJc w:val="left"/>
    </w:lvl>
  </w:abstractNum>
  <w:abstractNum w:abstractNumId="9">
    <w:nsid w:val="54A048F4"/>
    <w:multiLevelType w:val="multilevel"/>
    <w:tmpl w:val="54A048F4"/>
    <w:lvl w:ilvl="0" w:tentative="0">
      <w:start w:val="2"/>
      <w:numFmt w:val="bullet"/>
      <w:lvlText w:val="●"/>
      <w:lvlJc w:val="left"/>
      <w:pPr>
        <w:tabs>
          <w:tab w:val="left" w:pos="870"/>
        </w:tabs>
        <w:ind w:left="870" w:hanging="270"/>
      </w:pPr>
      <w:rPr>
        <w:rFonts w:hint="eastAsia"/>
        <w:sz w:val="18"/>
      </w:rPr>
    </w:lvl>
    <w:lvl w:ilvl="1" w:tentative="0">
      <w:start w:val="1"/>
      <w:numFmt w:val="bullet"/>
      <w:lvlText w:val=""/>
      <w:lvlJc w:val="left"/>
      <w:pPr>
        <w:tabs>
          <w:tab w:val="left" w:pos="840"/>
        </w:tabs>
        <w:ind w:left="840" w:hanging="420"/>
      </w:pPr>
      <w:rPr>
        <w:rFonts w:hint="default" w:ascii="Calibri Light" w:hAnsi="Calibri Light"/>
      </w:rPr>
    </w:lvl>
    <w:lvl w:ilvl="2" w:tentative="0">
      <w:start w:val="1"/>
      <w:numFmt w:val="bullet"/>
      <w:lvlText w:val=""/>
      <w:lvlJc w:val="left"/>
      <w:pPr>
        <w:tabs>
          <w:tab w:val="left" w:pos="1260"/>
        </w:tabs>
        <w:ind w:left="1260" w:hanging="420"/>
      </w:pPr>
      <w:rPr>
        <w:rFonts w:hint="default" w:ascii="Calibri Light" w:hAnsi="Calibri Light"/>
      </w:rPr>
    </w:lvl>
    <w:lvl w:ilvl="3" w:tentative="0">
      <w:start w:val="1"/>
      <w:numFmt w:val="bullet"/>
      <w:lvlText w:val=""/>
      <w:lvlJc w:val="left"/>
      <w:pPr>
        <w:tabs>
          <w:tab w:val="left" w:pos="1680"/>
        </w:tabs>
        <w:ind w:left="1680" w:hanging="420"/>
      </w:pPr>
      <w:rPr>
        <w:rFonts w:hint="default" w:ascii="Calibri Light" w:hAnsi="Calibri Light"/>
      </w:rPr>
    </w:lvl>
    <w:lvl w:ilvl="4" w:tentative="0">
      <w:start w:val="1"/>
      <w:numFmt w:val="bullet"/>
      <w:lvlText w:val=""/>
      <w:lvlJc w:val="left"/>
      <w:pPr>
        <w:tabs>
          <w:tab w:val="left" w:pos="2100"/>
        </w:tabs>
        <w:ind w:left="2100" w:hanging="420"/>
      </w:pPr>
      <w:rPr>
        <w:rFonts w:hint="default" w:ascii="Calibri Light" w:hAnsi="Calibri Light"/>
      </w:rPr>
    </w:lvl>
    <w:lvl w:ilvl="5" w:tentative="0">
      <w:start w:val="1"/>
      <w:numFmt w:val="bullet"/>
      <w:lvlText w:val=""/>
      <w:lvlJc w:val="left"/>
      <w:pPr>
        <w:tabs>
          <w:tab w:val="left" w:pos="2520"/>
        </w:tabs>
        <w:ind w:left="2520" w:hanging="420"/>
      </w:pPr>
      <w:rPr>
        <w:rFonts w:hint="default" w:ascii="Calibri Light" w:hAnsi="Calibri Light"/>
      </w:rPr>
    </w:lvl>
    <w:lvl w:ilvl="6" w:tentative="0">
      <w:start w:val="1"/>
      <w:numFmt w:val="bullet"/>
      <w:lvlText w:val=""/>
      <w:lvlJc w:val="left"/>
      <w:pPr>
        <w:tabs>
          <w:tab w:val="left" w:pos="2940"/>
        </w:tabs>
        <w:ind w:left="2940" w:hanging="420"/>
      </w:pPr>
      <w:rPr>
        <w:rFonts w:hint="default" w:ascii="Calibri Light" w:hAnsi="Calibri Light"/>
      </w:rPr>
    </w:lvl>
    <w:lvl w:ilvl="7" w:tentative="0">
      <w:start w:val="1"/>
      <w:numFmt w:val="bullet"/>
      <w:lvlText w:val=""/>
      <w:lvlJc w:val="left"/>
      <w:pPr>
        <w:tabs>
          <w:tab w:val="left" w:pos="3360"/>
        </w:tabs>
        <w:ind w:left="3360" w:hanging="420"/>
      </w:pPr>
      <w:rPr>
        <w:rFonts w:hint="default" w:ascii="Calibri Light" w:hAnsi="Calibri Light"/>
      </w:rPr>
    </w:lvl>
    <w:lvl w:ilvl="8" w:tentative="0">
      <w:start w:val="1"/>
      <w:numFmt w:val="bullet"/>
      <w:lvlText w:val=""/>
      <w:lvlJc w:val="left"/>
      <w:pPr>
        <w:tabs>
          <w:tab w:val="left" w:pos="3780"/>
        </w:tabs>
        <w:ind w:left="3780" w:hanging="420"/>
      </w:pPr>
      <w:rPr>
        <w:rFonts w:hint="default" w:ascii="Calibri Light" w:hAnsi="Calibri Light"/>
      </w:rPr>
    </w:lvl>
  </w:abstractNum>
  <w:abstractNum w:abstractNumId="10">
    <w:nsid w:val="5B884619"/>
    <w:multiLevelType w:val="multilevel"/>
    <w:tmpl w:val="5B884619"/>
    <w:lvl w:ilvl="0" w:tentative="0">
      <w:start w:val="2"/>
      <w:numFmt w:val="bullet"/>
      <w:lvlText w:val="●"/>
      <w:lvlJc w:val="left"/>
      <w:pPr>
        <w:tabs>
          <w:tab w:val="left" w:pos="870"/>
        </w:tabs>
        <w:ind w:left="870" w:hanging="270"/>
      </w:pPr>
      <w:rPr>
        <w:rFonts w:hint="eastAsia"/>
        <w:sz w:val="18"/>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614F6EAD"/>
    <w:multiLevelType w:val="multilevel"/>
    <w:tmpl w:val="614F6EAD"/>
    <w:lvl w:ilvl="0" w:tentative="0">
      <w:start w:val="1"/>
      <w:numFmt w:val="bullet"/>
      <w:lvlText w:val=""/>
      <w:lvlJc w:val="left"/>
      <w:pPr>
        <w:ind w:left="846" w:hanging="420"/>
      </w:pPr>
      <w:rPr>
        <w:rFonts w:hint="default" w:ascii="Wingdings" w:hAnsi="Wingdings"/>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12">
    <w:nsid w:val="615548ED"/>
    <w:multiLevelType w:val="multilevel"/>
    <w:tmpl w:val="615548ED"/>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abstractNum w:abstractNumId="13">
    <w:nsid w:val="63BF6A93"/>
    <w:multiLevelType w:val="multilevel"/>
    <w:tmpl w:val="63BF6A93"/>
    <w:lvl w:ilvl="0" w:tentative="0">
      <w:start w:val="2"/>
      <w:numFmt w:val="bullet"/>
      <w:lvlText w:val="●"/>
      <w:lvlJc w:val="left"/>
      <w:pPr>
        <w:tabs>
          <w:tab w:val="left" w:pos="870"/>
        </w:tabs>
        <w:ind w:left="870" w:hanging="270"/>
      </w:pPr>
      <w:rPr>
        <w:rFonts w:hint="eastAsia"/>
        <w:sz w:val="18"/>
      </w:rPr>
    </w:lvl>
    <w:lvl w:ilvl="1" w:tentative="0">
      <w:start w:val="1"/>
      <w:numFmt w:val="bullet"/>
      <w:lvlText w:val=""/>
      <w:lvlJc w:val="left"/>
      <w:pPr>
        <w:tabs>
          <w:tab w:val="left" w:pos="840"/>
        </w:tabs>
        <w:ind w:left="840" w:hanging="420"/>
      </w:pPr>
      <w:rPr>
        <w:rFonts w:hint="default" w:ascii="Calibri Light" w:hAnsi="Calibri Light"/>
      </w:rPr>
    </w:lvl>
    <w:lvl w:ilvl="2" w:tentative="0">
      <w:start w:val="1"/>
      <w:numFmt w:val="bullet"/>
      <w:lvlText w:val=""/>
      <w:lvlJc w:val="left"/>
      <w:pPr>
        <w:tabs>
          <w:tab w:val="left" w:pos="1260"/>
        </w:tabs>
        <w:ind w:left="1260" w:hanging="420"/>
      </w:pPr>
      <w:rPr>
        <w:rFonts w:hint="default" w:ascii="Calibri Light" w:hAnsi="Calibri Light"/>
      </w:rPr>
    </w:lvl>
    <w:lvl w:ilvl="3" w:tentative="0">
      <w:start w:val="1"/>
      <w:numFmt w:val="bullet"/>
      <w:lvlText w:val=""/>
      <w:lvlJc w:val="left"/>
      <w:pPr>
        <w:tabs>
          <w:tab w:val="left" w:pos="1680"/>
        </w:tabs>
        <w:ind w:left="1680" w:hanging="420"/>
      </w:pPr>
      <w:rPr>
        <w:rFonts w:hint="default" w:ascii="Calibri Light" w:hAnsi="Calibri Light"/>
      </w:rPr>
    </w:lvl>
    <w:lvl w:ilvl="4" w:tentative="0">
      <w:start w:val="1"/>
      <w:numFmt w:val="bullet"/>
      <w:lvlText w:val=""/>
      <w:lvlJc w:val="left"/>
      <w:pPr>
        <w:tabs>
          <w:tab w:val="left" w:pos="2100"/>
        </w:tabs>
        <w:ind w:left="2100" w:hanging="420"/>
      </w:pPr>
      <w:rPr>
        <w:rFonts w:hint="default" w:ascii="Calibri Light" w:hAnsi="Calibri Light"/>
      </w:rPr>
    </w:lvl>
    <w:lvl w:ilvl="5" w:tentative="0">
      <w:start w:val="1"/>
      <w:numFmt w:val="bullet"/>
      <w:lvlText w:val=""/>
      <w:lvlJc w:val="left"/>
      <w:pPr>
        <w:tabs>
          <w:tab w:val="left" w:pos="2520"/>
        </w:tabs>
        <w:ind w:left="2520" w:hanging="420"/>
      </w:pPr>
      <w:rPr>
        <w:rFonts w:hint="default" w:ascii="Calibri Light" w:hAnsi="Calibri Light"/>
      </w:rPr>
    </w:lvl>
    <w:lvl w:ilvl="6" w:tentative="0">
      <w:start w:val="1"/>
      <w:numFmt w:val="bullet"/>
      <w:lvlText w:val=""/>
      <w:lvlJc w:val="left"/>
      <w:pPr>
        <w:tabs>
          <w:tab w:val="left" w:pos="2940"/>
        </w:tabs>
        <w:ind w:left="2940" w:hanging="420"/>
      </w:pPr>
      <w:rPr>
        <w:rFonts w:hint="default" w:ascii="Calibri Light" w:hAnsi="Calibri Light"/>
      </w:rPr>
    </w:lvl>
    <w:lvl w:ilvl="7" w:tentative="0">
      <w:start w:val="1"/>
      <w:numFmt w:val="bullet"/>
      <w:lvlText w:val=""/>
      <w:lvlJc w:val="left"/>
      <w:pPr>
        <w:tabs>
          <w:tab w:val="left" w:pos="3360"/>
        </w:tabs>
        <w:ind w:left="3360" w:hanging="420"/>
      </w:pPr>
      <w:rPr>
        <w:rFonts w:hint="default" w:ascii="Calibri Light" w:hAnsi="Calibri Light"/>
      </w:rPr>
    </w:lvl>
    <w:lvl w:ilvl="8" w:tentative="0">
      <w:start w:val="1"/>
      <w:numFmt w:val="bullet"/>
      <w:lvlText w:val=""/>
      <w:lvlJc w:val="left"/>
      <w:pPr>
        <w:tabs>
          <w:tab w:val="left" w:pos="3780"/>
        </w:tabs>
        <w:ind w:left="3780" w:hanging="420"/>
      </w:pPr>
      <w:rPr>
        <w:rFonts w:hint="default" w:ascii="Calibri Light" w:hAnsi="Calibri Light"/>
      </w:rPr>
    </w:lvl>
  </w:abstractNum>
  <w:num w:numId="1">
    <w:abstractNumId w:val="0"/>
  </w:num>
  <w:num w:numId="2">
    <w:abstractNumId w:val="5"/>
  </w:num>
  <w:num w:numId="3">
    <w:abstractNumId w:val="2"/>
  </w:num>
  <w:num w:numId="4">
    <w:abstractNumId w:val="6"/>
  </w:num>
  <w:num w:numId="5">
    <w:abstractNumId w:val="11"/>
  </w:num>
  <w:num w:numId="6">
    <w:abstractNumId w:val="12"/>
  </w:num>
  <w:num w:numId="7">
    <w:abstractNumId w:val="1"/>
  </w:num>
  <w:num w:numId="8">
    <w:abstractNumId w:val="8"/>
  </w:num>
  <w:num w:numId="9">
    <w:abstractNumId w:val="7"/>
  </w:num>
  <w:num w:numId="10">
    <w:abstractNumId w:val="13"/>
  </w:num>
  <w:num w:numId="11">
    <w:abstractNumId w:val="9"/>
  </w:num>
  <w:num w:numId="12">
    <w:abstractNumId w:val="3"/>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1A6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zh-CN" w:eastAsia="zh-CN" w:bidi="zh-CN"/>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autoSpaceDE/>
      <w:autoSpaceDN/>
      <w:ind w:firstLine="420" w:firstLineChars="200"/>
      <w:jc w:val="both"/>
    </w:pPr>
    <w:rPr>
      <w:rFonts w:ascii="Times New Roman" w:hAnsi="Times New Roman" w:cs="Times New Roman"/>
      <w:kern w:val="2"/>
      <w:sz w:val="21"/>
      <w:szCs w:val="24"/>
      <w:lang w:val="en-US" w:bidi="ar-SA"/>
    </w:rPr>
  </w:style>
  <w:style w:type="paragraph" w:styleId="3">
    <w:name w:val="Body Text"/>
    <w:basedOn w:val="1"/>
    <w:next w:val="1"/>
    <w:qFormat/>
    <w:uiPriority w:val="0"/>
    <w:rPr>
      <w:sz w:val="21"/>
      <w:szCs w:val="21"/>
    </w:rPr>
  </w:style>
  <w:style w:type="paragraph" w:styleId="4">
    <w:name w:val="List"/>
    <w:basedOn w:val="1"/>
    <w:qFormat/>
    <w:uiPriority w:val="0"/>
    <w:pPr>
      <w:widowControl/>
      <w:snapToGrid w:val="0"/>
      <w:jc w:val="center"/>
    </w:pPr>
    <w:rPr>
      <w:rFonts w:ascii="Arial" w:hAnsi="Arial" w:eastAsia="楷体_GB2312" w:cs="Arial"/>
      <w:kern w:val="28"/>
      <w:sz w:val="28"/>
      <w:szCs w:val="28"/>
    </w:rPr>
  </w:style>
  <w:style w:type="paragraph" w:styleId="7">
    <w:name w:val="List Paragraph"/>
    <w:basedOn w:val="1"/>
    <w:qFormat/>
    <w:uiPriority w:val="0"/>
    <w:pPr>
      <w:ind w:left="340" w:firstLine="419"/>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2025-04-28T05:33:45Z</dcterms:created>
  <dc:creator>ex_chencong2</dc:creator>
  <cp:lastModifiedBy>陈瑽（临时）</cp:lastModifiedBy>
  <dcterms:modified xsi:type="dcterms:W3CDTF">2025-04-28T05:33:46Z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97B6DFD0B4304946B651FEDEDF908914</vt:lpwstr>
  </property>
</Properties>
</file>