
<file path=[Content_Types].xml><?xml version="1.0" encoding="utf-8"?>
<Types xmlns="http://schemas.openxmlformats.org/package/2006/content-types">
  <Default Extension="wmf" ContentType="image/x-w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pacing w:before="120" w:after="120"/>
        <w:ind w:right="-20"/>
        <w:jc w:val="center"/>
        <w:rPr>
          <w:rFonts w:ascii="Arial Unicode MS" w:eastAsia="Arial Unicode MS" w:cs="Arial Unicode MS"/>
          <w:b/>
          <w:spacing w:val="2"/>
          <w:w w:val="99"/>
          <w:sz w:val="52"/>
          <w:szCs w:val="52"/>
        </w:rPr>
      </w:pPr>
      <w:r>
        <w:rPr>
          <w:rFonts w:ascii="Arial Unicode MS" w:eastAsia="Arial Unicode MS" w:cs="Arial Unicode MS"/>
          <w:b/>
          <w:spacing w:val="2"/>
          <w:w w:val="99"/>
          <w:sz w:val="52"/>
          <w:szCs w:val="52"/>
          <w:lang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2009140</wp:posOffset>
            </wp:positionH>
            <wp:positionV relativeFrom="paragraph">
              <wp:posOffset>20320</wp:posOffset>
            </wp:positionV>
            <wp:extent cx="1596390" cy="1438275"/>
            <wp:effectExtent l="0" t="0" r="0" b="0"/>
            <wp:wrapTight wrapText="bothSides">
              <wp:wrapPolygon>
                <wp:start x="7475" y="0"/>
                <wp:lineTo x="2320" y="4577"/>
                <wp:lineTo x="1289" y="6008"/>
                <wp:lineTo x="0" y="8583"/>
                <wp:lineTo x="0" y="15163"/>
                <wp:lineTo x="1289" y="18310"/>
                <wp:lineTo x="1289" y="18882"/>
                <wp:lineTo x="5155" y="21457"/>
                <wp:lineTo x="5928" y="21457"/>
                <wp:lineTo x="11084" y="21457"/>
                <wp:lineTo x="11857" y="21457"/>
                <wp:lineTo x="15465" y="18882"/>
                <wp:lineTo x="15723" y="18310"/>
                <wp:lineTo x="17527" y="13732"/>
                <wp:lineTo x="21394" y="12016"/>
                <wp:lineTo x="21394" y="8869"/>
                <wp:lineTo x="14692" y="4577"/>
                <wp:lineTo x="9537" y="0"/>
                <wp:lineTo x="7475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639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autoSpaceDE w:val="0"/>
        <w:autoSpaceDN w:val="0"/>
        <w:spacing w:before="120" w:after="120"/>
        <w:ind w:right="-20"/>
        <w:jc w:val="center"/>
        <w:rPr>
          <w:rFonts w:ascii="Arial Unicode MS" w:eastAsia="Arial Unicode MS" w:cs="Arial Unicode MS"/>
          <w:b/>
          <w:spacing w:val="2"/>
          <w:w w:val="99"/>
          <w:sz w:val="52"/>
          <w:szCs w:val="52"/>
        </w:rPr>
      </w:pPr>
    </w:p>
    <w:p>
      <w:pPr>
        <w:autoSpaceDE w:val="0"/>
        <w:autoSpaceDN w:val="0"/>
        <w:spacing w:before="120" w:after="120"/>
        <w:ind w:right="-20"/>
        <w:jc w:val="center"/>
        <w:rPr>
          <w:rFonts w:ascii="微软雅黑" w:hAnsi="微软雅黑" w:eastAsia="微软雅黑" w:cs="Arial Unicode MS"/>
          <w:b/>
          <w:spacing w:val="2"/>
          <w:w w:val="99"/>
          <w:sz w:val="52"/>
          <w:szCs w:val="52"/>
        </w:rPr>
      </w:pPr>
    </w:p>
    <w:p>
      <w:pPr>
        <w:jc w:val="center"/>
        <w:rPr>
          <w:rFonts w:ascii="微软雅黑" w:hAnsi="微软雅黑" w:eastAsia="微软雅黑" w:cs="Arial Unicode MS"/>
          <w:color w:val="000000"/>
          <w:spacing w:val="2"/>
          <w:w w:val="99"/>
          <w:sz w:val="52"/>
          <w:szCs w:val="52"/>
          <w:lang w:eastAsia="zh-CN"/>
        </w:rPr>
      </w:pPr>
      <w:r>
        <w:rPr>
          <w:rFonts w:hint="eastAsia" w:ascii="微软雅黑" w:hAnsi="微软雅黑" w:eastAsia="微软雅黑" w:cs="Arial Unicode MS"/>
          <w:color w:val="000000"/>
          <w:spacing w:val="2"/>
          <w:w w:val="99"/>
          <w:sz w:val="52"/>
          <w:szCs w:val="52"/>
          <w:lang w:eastAsia="zh-CN"/>
        </w:rPr>
        <w:t>中海油能源发展股份有限公司</w:t>
      </w:r>
    </w:p>
    <w:p>
      <w:pPr>
        <w:jc w:val="center"/>
        <w:rPr>
          <w:rFonts w:ascii="微软雅黑" w:hAnsi="微软雅黑" w:eastAsia="微软雅黑" w:cs="Arial Unicode MS"/>
          <w:b/>
          <w:spacing w:val="2"/>
          <w:w w:val="99"/>
          <w:sz w:val="52"/>
          <w:szCs w:val="52"/>
          <w:lang w:eastAsia="zh-CN"/>
        </w:rPr>
      </w:pPr>
    </w:p>
    <w:p>
      <w:pPr>
        <w:jc w:val="center"/>
        <w:rPr>
          <w:rFonts w:ascii="微软雅黑" w:hAnsi="微软雅黑" w:eastAsia="微软雅黑" w:cs="Arial Unicode MS"/>
          <w:b/>
          <w:spacing w:val="2"/>
          <w:w w:val="99"/>
          <w:sz w:val="52"/>
          <w:szCs w:val="52"/>
          <w:lang w:eastAsia="zh-CN"/>
        </w:rPr>
      </w:pPr>
      <w:r>
        <w:rPr>
          <w:rFonts w:hint="eastAsia" w:ascii="微软雅黑" w:hAnsi="微软雅黑" w:eastAsia="微软雅黑" w:cs="Arial Unicode MS"/>
          <w:b/>
          <w:spacing w:val="2"/>
          <w:w w:val="99"/>
          <w:sz w:val="52"/>
          <w:szCs w:val="52"/>
          <w:lang w:val="en-US" w:eastAsia="zh-CN"/>
        </w:rPr>
        <w:t>高性能聚酯</w:t>
      </w:r>
      <w:r>
        <w:rPr>
          <w:rFonts w:hint="eastAsia" w:ascii="微软雅黑" w:hAnsi="微软雅黑" w:eastAsia="微软雅黑" w:cs="Arial Unicode MS"/>
          <w:b/>
          <w:spacing w:val="2"/>
          <w:w w:val="99"/>
          <w:sz w:val="52"/>
          <w:szCs w:val="52"/>
          <w:lang w:eastAsia="zh-CN"/>
        </w:rPr>
        <w:t>腻子</w:t>
      </w:r>
    </w:p>
    <w:p>
      <w:pPr>
        <w:jc w:val="center"/>
        <w:rPr>
          <w:rFonts w:ascii="微软雅黑" w:hAnsi="微软雅黑" w:eastAsia="微软雅黑" w:cs="Arial Unicode MS"/>
          <w:b/>
          <w:spacing w:val="2"/>
          <w:w w:val="99"/>
          <w:sz w:val="52"/>
          <w:szCs w:val="52"/>
          <w:lang w:eastAsia="zh-CN"/>
        </w:rPr>
      </w:pPr>
      <w:r>
        <w:rPr>
          <w:rFonts w:hint="eastAsia" w:ascii="微软雅黑" w:hAnsi="微软雅黑" w:eastAsia="微软雅黑" w:cs="Arial Unicode MS"/>
          <w:b/>
          <w:spacing w:val="2"/>
          <w:w w:val="99"/>
          <w:sz w:val="52"/>
          <w:szCs w:val="52"/>
          <w:lang w:eastAsia="zh-CN"/>
        </w:rPr>
        <w:t>采购技术要求书</w:t>
      </w:r>
    </w:p>
    <w:p>
      <w:pPr>
        <w:jc w:val="center"/>
        <w:rPr>
          <w:rFonts w:ascii="微软雅黑" w:hAnsi="微软雅黑" w:eastAsia="微软雅黑" w:cs="Arial Unicode MS"/>
          <w:b/>
          <w:spacing w:val="2"/>
          <w:w w:val="99"/>
          <w:sz w:val="52"/>
          <w:szCs w:val="52"/>
          <w:lang w:eastAsia="zh-CN"/>
        </w:rPr>
      </w:pPr>
    </w:p>
    <w:p>
      <w:pPr>
        <w:pStyle w:val="4"/>
        <w:rPr>
          <w:rFonts w:ascii="微软雅黑" w:hAnsi="微软雅黑" w:eastAsia="微软雅黑" w:cs="Arial Unicode MS"/>
          <w:b/>
          <w:color w:val="000000"/>
          <w:w w:val="99"/>
          <w:sz w:val="44"/>
          <w:szCs w:val="44"/>
        </w:rPr>
      </w:pPr>
    </w:p>
    <w:p>
      <w:pPr>
        <w:autoSpaceDE w:val="0"/>
        <w:autoSpaceDN w:val="0"/>
        <w:spacing w:before="120" w:after="120" w:line="720" w:lineRule="auto"/>
        <w:ind w:right="-20"/>
        <w:rPr>
          <w:rFonts w:ascii="Arial Unicode MS" w:eastAsia="Arial Unicode MS" w:cs="Arial Unicode MS"/>
          <w:spacing w:val="2"/>
          <w:w w:val="99"/>
          <w:sz w:val="36"/>
          <w:szCs w:val="36"/>
          <w:lang w:eastAsia="zh-CN"/>
        </w:rPr>
      </w:pPr>
      <w:r>
        <w:rPr>
          <w:rFonts w:hint="eastAsia" w:ascii="Arial Unicode MS" w:eastAsia="Arial Unicode MS" w:cs="Arial Unicode MS"/>
          <w:spacing w:val="2"/>
          <w:w w:val="99"/>
          <w:sz w:val="36"/>
          <w:szCs w:val="36"/>
          <w:lang w:eastAsia="zh-CN"/>
        </w:rPr>
        <w:t xml:space="preserve">           编制：</w:t>
      </w:r>
      <w:r>
        <w:rPr>
          <w:rFonts w:hint="eastAsia" w:ascii="Arial Unicode MS" w:eastAsia="Arial Unicode MS" w:cs="Arial Unicode MS"/>
          <w:spacing w:val="2"/>
          <w:w w:val="99"/>
          <w:sz w:val="36"/>
          <w:szCs w:val="36"/>
          <w:u w:val="single"/>
          <w:lang w:eastAsia="zh-CN"/>
        </w:rPr>
        <w:t xml:space="preserve">                </w:t>
      </w:r>
    </w:p>
    <w:p>
      <w:pPr>
        <w:autoSpaceDE w:val="0"/>
        <w:autoSpaceDN w:val="0"/>
        <w:spacing w:before="120" w:after="120" w:line="720" w:lineRule="auto"/>
        <w:ind w:right="-20"/>
        <w:rPr>
          <w:rFonts w:ascii="Arial Unicode MS" w:eastAsia="Arial Unicode MS" w:cs="Arial Unicode MS"/>
          <w:spacing w:val="2"/>
          <w:w w:val="99"/>
          <w:sz w:val="36"/>
          <w:szCs w:val="36"/>
          <w:lang w:eastAsia="zh-CN"/>
        </w:rPr>
      </w:pPr>
      <w:r>
        <w:rPr>
          <w:rFonts w:hint="eastAsia" w:ascii="Arial Unicode MS" w:eastAsia="Arial Unicode MS" w:cs="Arial Unicode MS"/>
          <w:spacing w:val="2"/>
          <w:w w:val="99"/>
          <w:sz w:val="36"/>
          <w:szCs w:val="36"/>
          <w:lang w:eastAsia="zh-CN"/>
        </w:rPr>
        <w:t xml:space="preserve">           审核：</w:t>
      </w:r>
      <w:r>
        <w:rPr>
          <w:rFonts w:hint="eastAsia" w:ascii="Arial Unicode MS" w:eastAsia="Arial Unicode MS" w:cs="Arial Unicode MS"/>
          <w:spacing w:val="2"/>
          <w:w w:val="99"/>
          <w:sz w:val="36"/>
          <w:szCs w:val="36"/>
          <w:u w:val="single"/>
          <w:lang w:eastAsia="zh-CN"/>
        </w:rPr>
        <w:t xml:space="preserve">                </w:t>
      </w:r>
    </w:p>
    <w:p>
      <w:pPr>
        <w:autoSpaceDE w:val="0"/>
        <w:autoSpaceDN w:val="0"/>
        <w:spacing w:before="120" w:after="120" w:line="720" w:lineRule="auto"/>
        <w:ind w:right="-20"/>
        <w:rPr>
          <w:rFonts w:ascii="Arial Unicode MS" w:eastAsia="Arial Unicode MS" w:cs="Arial Unicode MS"/>
          <w:spacing w:val="2"/>
          <w:w w:val="99"/>
          <w:sz w:val="36"/>
          <w:szCs w:val="36"/>
          <w:lang w:eastAsia="zh-CN"/>
        </w:rPr>
      </w:pPr>
      <w:r>
        <w:rPr>
          <w:rFonts w:hint="eastAsia" w:ascii="Arial Unicode MS" w:eastAsia="Arial Unicode MS" w:cs="Arial Unicode MS"/>
          <w:spacing w:val="2"/>
          <w:w w:val="99"/>
          <w:sz w:val="36"/>
          <w:szCs w:val="36"/>
          <w:lang w:eastAsia="zh-CN"/>
        </w:rPr>
        <w:t xml:space="preserve">           批准：</w:t>
      </w:r>
      <w:r>
        <w:rPr>
          <w:rFonts w:hint="eastAsia" w:ascii="Arial Unicode MS" w:eastAsia="Arial Unicode MS" w:cs="Arial Unicode MS"/>
          <w:spacing w:val="2"/>
          <w:w w:val="99"/>
          <w:sz w:val="36"/>
          <w:szCs w:val="36"/>
          <w:u w:val="single"/>
          <w:lang w:eastAsia="zh-CN"/>
        </w:rPr>
        <w:t xml:space="preserve">                </w:t>
      </w:r>
      <w:r>
        <w:rPr>
          <w:rFonts w:hint="eastAsia" w:ascii="Arial Unicode MS" w:eastAsia="Arial Unicode MS" w:cs="Arial Unicode MS"/>
          <w:spacing w:val="2"/>
          <w:w w:val="99"/>
          <w:sz w:val="36"/>
          <w:szCs w:val="36"/>
          <w:lang w:eastAsia="zh-CN"/>
        </w:rPr>
        <w:t xml:space="preserve"> </w:t>
      </w:r>
    </w:p>
    <w:p>
      <w:pPr>
        <w:widowControl/>
        <w:rPr>
          <w:rFonts w:ascii="宋体" w:eastAsia="宋体" w:cs="宋体"/>
          <w:b/>
          <w:color w:val="000000"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br w:type="page"/>
      </w:r>
    </w:p>
    <w:p>
      <w:pPr>
        <w:pStyle w:val="21"/>
        <w:numPr>
          <w:ilvl w:val="0"/>
          <w:numId w:val="0"/>
        </w:numPr>
        <w:spacing w:before="120" w:after="120" w:line="360" w:lineRule="auto"/>
        <w:ind w:leftChars="0"/>
        <w:outlineLvl w:val="0"/>
        <w:rPr>
          <w:rFonts w:cs="Times New Roman" w:asciiTheme="minorEastAsia" w:hAnsiTheme="minorEastAsia" w:eastAsiaTheme="minorEastAsia"/>
          <w:b/>
          <w:bCs/>
          <w:color w:val="auto"/>
          <w:sz w:val="30"/>
          <w:szCs w:val="30"/>
        </w:rPr>
      </w:pPr>
      <w:bookmarkStart w:id="0" w:name="_Toc13249324"/>
      <w:bookmarkStart w:id="1" w:name="_Toc13248927"/>
      <w:r>
        <w:rPr>
          <w:rFonts w:hint="eastAsia" w:cs="Times New Roman" w:asciiTheme="minorEastAsia" w:hAnsiTheme="minorEastAsia" w:eastAsiaTheme="minorEastAsia"/>
          <w:b/>
          <w:bCs/>
          <w:color w:val="auto"/>
          <w:sz w:val="30"/>
          <w:szCs w:val="30"/>
          <w:lang w:val="en-US" w:eastAsia="zh-CN"/>
        </w:rPr>
        <w:t>一、</w:t>
      </w:r>
      <w:r>
        <w:rPr>
          <w:rFonts w:cs="Times New Roman" w:asciiTheme="minorEastAsia" w:hAnsiTheme="minorEastAsia" w:eastAsiaTheme="minorEastAsia"/>
          <w:b/>
          <w:bCs/>
          <w:color w:val="auto"/>
          <w:sz w:val="30"/>
          <w:szCs w:val="30"/>
        </w:rPr>
        <w:t>项目概况及总体要求</w:t>
      </w:r>
      <w:bookmarkEnd w:id="0"/>
      <w:bookmarkEnd w:id="1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生产需要采购一批高性能聚酯腻子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标准应用情况概述：本需求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部分引用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《</w:t>
      </w:r>
      <w:r>
        <w:rPr>
          <w:rFonts w:hint="eastAsia" w:ascii="宋体" w:hAnsi="宋体" w:eastAsia="宋体" w:cs="宋体"/>
          <w:sz w:val="24"/>
          <w:szCs w:val="24"/>
        </w:rPr>
        <w:t>HG/T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4561-2013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不饱和聚酯腻子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》中优等品的柔韧性、表干、打磨性和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涂刮性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的技术参数，因标准中技术参数无法完全满足实际产品需求。</w:t>
      </w:r>
    </w:p>
    <w:p>
      <w:pPr>
        <w:pStyle w:val="21"/>
        <w:spacing w:before="120" w:after="120" w:line="360" w:lineRule="auto"/>
        <w:outlineLvl w:val="0"/>
        <w:rPr>
          <w:rFonts w:cs="Times New Roman" w:asciiTheme="minorEastAsia" w:hAnsiTheme="minorEastAsia" w:eastAsiaTheme="minorEastAsia"/>
          <w:b/>
          <w:bCs/>
          <w:color w:val="auto"/>
          <w:sz w:val="30"/>
          <w:szCs w:val="30"/>
        </w:rPr>
      </w:pPr>
      <w:bookmarkStart w:id="2" w:name="_Toc13248928"/>
      <w:bookmarkStart w:id="3" w:name="_Toc13249325"/>
      <w:r>
        <w:rPr>
          <w:rFonts w:cs="Times New Roman" w:asciiTheme="minorEastAsia" w:hAnsiTheme="minorEastAsia" w:eastAsiaTheme="minorEastAsia"/>
          <w:b/>
          <w:bCs/>
          <w:color w:val="auto"/>
          <w:sz w:val="30"/>
          <w:szCs w:val="30"/>
        </w:rPr>
        <w:t>二、需求一览表</w:t>
      </w:r>
      <w:bookmarkEnd w:id="2"/>
      <w:bookmarkEnd w:id="3"/>
    </w:p>
    <w:tbl>
      <w:tblPr>
        <w:tblStyle w:val="12"/>
        <w:tblpPr w:leftFromText="180" w:rightFromText="180" w:vertAnchor="text" w:horzAnchor="page" w:tblpXSpec="center" w:tblpY="119"/>
        <w:tblOverlap w:val="never"/>
        <w:tblW w:w="925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7"/>
        <w:gridCol w:w="1344"/>
        <w:gridCol w:w="2006"/>
        <w:gridCol w:w="1394"/>
        <w:gridCol w:w="1263"/>
        <w:gridCol w:w="1662"/>
        <w:gridCol w:w="91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82" w:hRule="atLeast"/>
          <w:jc w:val="center"/>
        </w:trPr>
        <w:tc>
          <w:tcPr>
            <w:tcW w:w="677" w:type="dxa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bookmarkStart w:id="4" w:name="_Toc13248929"/>
            <w:bookmarkStart w:id="5" w:name="_Toc13249326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344" w:type="dxa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sz w:val="24"/>
                <w:szCs w:val="24"/>
                <w:lang w:val="en-US" w:eastAsia="zh-CN"/>
              </w:rPr>
              <w:t>品类编码</w:t>
            </w:r>
          </w:p>
        </w:tc>
        <w:tc>
          <w:tcPr>
            <w:tcW w:w="2006" w:type="dxa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物资名称</w:t>
            </w:r>
          </w:p>
        </w:tc>
        <w:tc>
          <w:tcPr>
            <w:tcW w:w="1394" w:type="dxa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263" w:type="dxa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数量及单位</w:t>
            </w:r>
          </w:p>
        </w:tc>
        <w:tc>
          <w:tcPr>
            <w:tcW w:w="1662" w:type="dxa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交货期</w:t>
            </w:r>
          </w:p>
        </w:tc>
        <w:tc>
          <w:tcPr>
            <w:tcW w:w="912" w:type="dxa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677" w:type="dxa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344" w:type="dxa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A130204</w:t>
            </w:r>
          </w:p>
        </w:tc>
        <w:tc>
          <w:tcPr>
            <w:tcW w:w="2006" w:type="dxa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高性能聚酯腻子</w:t>
            </w:r>
          </w:p>
        </w:tc>
        <w:tc>
          <w:tcPr>
            <w:tcW w:w="1394" w:type="dxa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5kg/桶</w:t>
            </w:r>
          </w:p>
        </w:tc>
        <w:tc>
          <w:tcPr>
            <w:tcW w:w="1263" w:type="dxa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30000kg</w:t>
            </w:r>
          </w:p>
        </w:tc>
        <w:tc>
          <w:tcPr>
            <w:tcW w:w="1662" w:type="dxa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订单下达后72小时内交货</w:t>
            </w:r>
          </w:p>
        </w:tc>
        <w:tc>
          <w:tcPr>
            <w:tcW w:w="912" w:type="dxa"/>
            <w:vAlign w:val="center"/>
          </w:tcPr>
          <w:p>
            <w:pPr>
              <w:pStyle w:val="4"/>
              <w:spacing w:line="240" w:lineRule="auto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备注：1.本表格“数量”是根据历史实际需求估算的，主要用于年协报价及价格评议，不代表实际采购数量，实际采购数量以“订单”下实际验收数量为准。2、订单最小订购量约为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1000</w:t>
      </w:r>
      <w:r>
        <w:rPr>
          <w:rFonts w:hint="eastAsia" w:ascii="宋体" w:hAnsi="宋体" w:eastAsia="宋体" w:cs="宋体"/>
          <w:sz w:val="24"/>
          <w:szCs w:val="24"/>
        </w:rPr>
        <w:t>kg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按厂家原包装进行供应，</w:t>
      </w:r>
      <w:r>
        <w:rPr>
          <w:rFonts w:hint="eastAsia" w:ascii="宋体" w:hAnsi="宋体" w:eastAsia="宋体" w:cs="宋体"/>
          <w:sz w:val="24"/>
          <w:szCs w:val="24"/>
        </w:rPr>
        <w:t>实际交付数量在不超过订单约定数量的范围内允许与订单数量存在5%以内的偏差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且开票数量以最终实际签收数量为准，供应商无需再另行䃼足订单数量，视同订单履约完毕。</w:t>
      </w:r>
    </w:p>
    <w:p>
      <w:pPr>
        <w:pStyle w:val="21"/>
        <w:numPr>
          <w:ilvl w:val="0"/>
          <w:numId w:val="0"/>
        </w:numPr>
        <w:spacing w:before="120" w:after="120" w:line="360" w:lineRule="auto"/>
        <w:ind w:leftChars="0"/>
        <w:outlineLvl w:val="0"/>
        <w:rPr>
          <w:rFonts w:cs="Times New Roman" w:asciiTheme="minorEastAsia" w:hAnsiTheme="minorEastAsia" w:eastAsiaTheme="minorEastAsia"/>
          <w:b/>
          <w:bCs/>
          <w:color w:val="auto"/>
          <w:sz w:val="30"/>
          <w:szCs w:val="30"/>
        </w:rPr>
      </w:pPr>
      <w:r>
        <w:rPr>
          <w:rFonts w:hint="eastAsia" w:cs="Times New Roman" w:asciiTheme="minorEastAsia" w:hAnsiTheme="minorEastAsia" w:eastAsiaTheme="minorEastAsia"/>
          <w:b/>
          <w:bCs/>
          <w:color w:val="auto"/>
          <w:sz w:val="30"/>
          <w:szCs w:val="30"/>
          <w:lang w:val="en-US" w:eastAsia="zh-CN"/>
        </w:rPr>
        <w:t>三、</w:t>
      </w:r>
      <w:r>
        <w:rPr>
          <w:rFonts w:hint="eastAsia" w:cs="Times New Roman" w:asciiTheme="minorEastAsia" w:hAnsiTheme="minorEastAsia" w:eastAsiaTheme="minorEastAsia"/>
          <w:b/>
          <w:bCs/>
          <w:color w:val="auto"/>
          <w:sz w:val="30"/>
          <w:szCs w:val="30"/>
        </w:rPr>
        <w:t>执行标准/规范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firstLine="480" w:firstLineChars="200"/>
        <w:textAlignment w:val="auto"/>
        <w:rPr>
          <w:rFonts w:hint="eastAsia" w:ascii="宋体" w:hAnsi="宋体" w:eastAsia="宋体" w:cs="宋体"/>
          <w:color w:val="auto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《</w:t>
      </w:r>
      <w:r>
        <w:rPr>
          <w:rFonts w:hint="eastAsia" w:ascii="宋体" w:hAnsi="宋体" w:eastAsia="宋体" w:cs="宋体"/>
          <w:sz w:val="24"/>
          <w:szCs w:val="24"/>
        </w:rPr>
        <w:t>HG/T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4561-2013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不饱和聚酯腻子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》</w:t>
      </w:r>
    </w:p>
    <w:p>
      <w:pPr>
        <w:pStyle w:val="21"/>
        <w:numPr>
          <w:ilvl w:val="0"/>
          <w:numId w:val="0"/>
        </w:numPr>
        <w:spacing w:before="120" w:after="120" w:line="360" w:lineRule="auto"/>
        <w:ind w:leftChars="0"/>
        <w:outlineLvl w:val="0"/>
        <w:rPr>
          <w:rFonts w:cs="Times New Roman" w:asciiTheme="minorEastAsia" w:hAnsiTheme="minorEastAsia" w:eastAsiaTheme="minorEastAsia"/>
          <w:b/>
          <w:bCs/>
          <w:color w:val="auto"/>
          <w:sz w:val="30"/>
          <w:szCs w:val="30"/>
        </w:rPr>
      </w:pPr>
      <w:r>
        <w:rPr>
          <w:rFonts w:hint="eastAsia" w:cs="Times New Roman" w:asciiTheme="minorEastAsia" w:hAnsiTheme="minorEastAsia" w:eastAsiaTheme="minorEastAsia"/>
          <w:b/>
          <w:bCs/>
          <w:color w:val="auto"/>
          <w:sz w:val="30"/>
          <w:szCs w:val="30"/>
        </w:rPr>
        <w:t>四、设计/使用条件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right="122" w:firstLine="0" w:firstLineChars="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到货/安装或使用地点：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right="122" w:firstLine="420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江苏省常州市玉龙中路2号，中海油常州环保涂料有限公司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北门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</w:p>
    <w:p>
      <w:pPr>
        <w:pStyle w:val="21"/>
        <w:numPr>
          <w:ilvl w:val="0"/>
          <w:numId w:val="0"/>
        </w:numPr>
        <w:spacing w:before="120" w:after="120" w:line="360" w:lineRule="auto"/>
        <w:outlineLvl w:val="0"/>
        <w:rPr>
          <w:rFonts w:hint="eastAsia" w:cs="Times New Roman" w:asciiTheme="minorEastAsia" w:hAnsiTheme="minorEastAsia" w:eastAsiaTheme="minorEastAsia"/>
          <w:b/>
          <w:bCs/>
          <w:color w:val="auto"/>
          <w:sz w:val="30"/>
          <w:szCs w:val="30"/>
        </w:rPr>
      </w:pPr>
      <w:r>
        <w:rPr>
          <w:rFonts w:hint="eastAsia" w:cs="Times New Roman" w:asciiTheme="minorEastAsia" w:hAnsiTheme="minorEastAsia" w:eastAsiaTheme="minorEastAsia"/>
          <w:b/>
          <w:bCs/>
          <w:color w:val="auto"/>
          <w:sz w:val="30"/>
          <w:szCs w:val="30"/>
          <w:lang w:val="en-US" w:eastAsia="zh-CN"/>
        </w:rPr>
        <w:t>☆五、</w:t>
      </w:r>
      <w:r>
        <w:rPr>
          <w:rFonts w:hint="eastAsia" w:cs="Times New Roman" w:asciiTheme="minorEastAsia" w:hAnsiTheme="minorEastAsia" w:eastAsiaTheme="minorEastAsia"/>
          <w:b/>
          <w:bCs/>
          <w:color w:val="auto"/>
          <w:sz w:val="30"/>
          <w:szCs w:val="30"/>
        </w:rPr>
        <w:t>技术要求</w:t>
      </w:r>
    </w:p>
    <w:p>
      <w:pPr>
        <w:pStyle w:val="21"/>
        <w:numPr>
          <w:ilvl w:val="0"/>
          <w:numId w:val="1"/>
        </w:numPr>
        <w:spacing w:before="120" w:after="120" w:line="360" w:lineRule="auto"/>
        <w:outlineLvl w:val="0"/>
        <w:rPr>
          <w:rFonts w:hint="eastAsia" w:hAnsi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部分引用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高性能聚酯腻子</w:t>
      </w:r>
      <w:r>
        <w:rPr>
          <w:rFonts w:hint="eastAsia" w:ascii="宋体" w:hAnsi="宋体" w:eastAsia="宋体" w:cs="宋体"/>
          <w:lang w:val="en-US" w:eastAsia="zh-CN"/>
        </w:rPr>
        <w:t>引用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《</w:t>
      </w:r>
      <w:r>
        <w:rPr>
          <w:rFonts w:hint="eastAsia" w:ascii="宋体" w:hAnsi="宋体" w:eastAsia="宋体" w:cs="宋体"/>
          <w:sz w:val="24"/>
          <w:szCs w:val="24"/>
        </w:rPr>
        <w:t>HG/T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4561-2013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不饱和聚酯腻子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》中优等品的柔韧性、表干、打磨性和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涂刮性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  <w:t>的技术参数</w:t>
      </w:r>
      <w:r>
        <w:rPr>
          <w:rFonts w:hint="eastAsia" w:hAnsi="宋体" w:cs="宋体"/>
          <w:b w:val="0"/>
          <w:bCs w:val="0"/>
          <w:color w:val="000000"/>
          <w:sz w:val="24"/>
          <w:szCs w:val="24"/>
          <w:lang w:val="en-US" w:eastAsia="zh-CN"/>
        </w:rPr>
        <w:t>。</w:t>
      </w:r>
    </w:p>
    <w:p>
      <w:pPr>
        <w:pStyle w:val="6"/>
        <w:numPr>
          <w:ilvl w:val="0"/>
          <w:numId w:val="0"/>
        </w:numPr>
        <w:spacing w:line="257" w:lineRule="auto"/>
        <w:ind w:leftChars="0" w:right="122" w:rightChars="0"/>
        <w:rPr>
          <w:rFonts w:hint="eastAsia" w:hAnsi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default" w:asciiTheme="minorEastAsia" w:hAnsiTheme="minorEastAsia" w:eastAsiaTheme="minorEastAsia"/>
          <w:color w:val="00B0F0"/>
          <w:lang w:val="en-US" w:eastAsia="zh-CN"/>
        </w:rPr>
        <w:t>【下述补充要求为对上述标准中参数的补充优化】</w:t>
      </w:r>
    </w:p>
    <w:tbl>
      <w:tblPr>
        <w:tblStyle w:val="13"/>
        <w:tblpPr w:leftFromText="180" w:rightFromText="180" w:vertAnchor="text" w:horzAnchor="page" w:tblpX="2192" w:tblpY="45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2710"/>
        <w:gridCol w:w="2800"/>
        <w:gridCol w:w="19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71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检验项目</w:t>
            </w:r>
          </w:p>
        </w:tc>
        <w:tc>
          <w:tcPr>
            <w:tcW w:w="280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技术指标</w:t>
            </w:r>
          </w:p>
        </w:tc>
        <w:tc>
          <w:tcPr>
            <w:tcW w:w="1911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检验方法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71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腻子膜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颜色及外观</w:t>
            </w:r>
          </w:p>
        </w:tc>
        <w:tc>
          <w:tcPr>
            <w:tcW w:w="2800" w:type="dxa"/>
          </w:tcPr>
          <w:p>
            <w:pPr>
              <w:pStyle w:val="2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淡黄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色，平整，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无颗粒和孔眼、无裂纹</w:t>
            </w:r>
          </w:p>
        </w:tc>
        <w:tc>
          <w:tcPr>
            <w:tcW w:w="1911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目测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09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710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外观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腻子（主剂）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固化剂</w:t>
            </w:r>
          </w:p>
        </w:tc>
        <w:tc>
          <w:tcPr>
            <w:tcW w:w="2800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白色，无结皮和搅不开的硬块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黄色均匀膏状体</w:t>
            </w:r>
          </w:p>
        </w:tc>
        <w:tc>
          <w:tcPr>
            <w:tcW w:w="1911" w:type="dxa"/>
            <w:vAlign w:val="center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目测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71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柔韧性</w:t>
            </w:r>
          </w:p>
        </w:tc>
        <w:tc>
          <w:tcPr>
            <w:tcW w:w="280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mm</w:t>
            </w:r>
          </w:p>
        </w:tc>
        <w:tc>
          <w:tcPr>
            <w:tcW w:w="1911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1731-2020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71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稠度</w:t>
            </w:r>
          </w:p>
        </w:tc>
        <w:tc>
          <w:tcPr>
            <w:tcW w:w="280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cm</w:t>
            </w:r>
          </w:p>
        </w:tc>
        <w:tc>
          <w:tcPr>
            <w:tcW w:w="1911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GB/T1749-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1979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71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表干</w:t>
            </w:r>
          </w:p>
        </w:tc>
        <w:tc>
          <w:tcPr>
            <w:tcW w:w="280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≤30min</w:t>
            </w:r>
          </w:p>
        </w:tc>
        <w:tc>
          <w:tcPr>
            <w:tcW w:w="1911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GB/T1728-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71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*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实干</w:t>
            </w:r>
          </w:p>
        </w:tc>
        <w:tc>
          <w:tcPr>
            <w:tcW w:w="280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≤120min</w:t>
            </w:r>
          </w:p>
        </w:tc>
        <w:tc>
          <w:tcPr>
            <w:tcW w:w="1911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GB/T1728-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71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打磨性（400#水砂纸）</w:t>
            </w:r>
          </w:p>
        </w:tc>
        <w:tc>
          <w:tcPr>
            <w:tcW w:w="280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易打磨，不粘砂纸</w:t>
            </w:r>
          </w:p>
        </w:tc>
        <w:tc>
          <w:tcPr>
            <w:tcW w:w="1911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2710" w:type="dxa"/>
            <w:vAlign w:val="top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  <w:highlight w:val="none"/>
              </w:rPr>
              <w:t>*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细度</w:t>
            </w:r>
          </w:p>
        </w:tc>
        <w:tc>
          <w:tcPr>
            <w:tcW w:w="2800" w:type="dxa"/>
            <w:vAlign w:val="top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50μm</w:t>
            </w:r>
          </w:p>
        </w:tc>
        <w:tc>
          <w:tcPr>
            <w:tcW w:w="1911" w:type="dxa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 w:bidi="ar-SA"/>
              </w:rPr>
              <w:t>GB/T 1724-2019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271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*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涂刮性</w:t>
            </w:r>
          </w:p>
        </w:tc>
        <w:tc>
          <w:tcPr>
            <w:tcW w:w="280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易涂刮，不卷边，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无砂痕</w:t>
            </w:r>
          </w:p>
        </w:tc>
        <w:tc>
          <w:tcPr>
            <w:tcW w:w="1911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 1727-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271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*冲击</w:t>
            </w:r>
          </w:p>
        </w:tc>
        <w:tc>
          <w:tcPr>
            <w:tcW w:w="280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≥50cm</w:t>
            </w:r>
          </w:p>
        </w:tc>
        <w:tc>
          <w:tcPr>
            <w:tcW w:w="1911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 1732-2020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  <w:vAlign w:val="top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71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活化期</w:t>
            </w:r>
          </w:p>
        </w:tc>
        <w:tc>
          <w:tcPr>
            <w:tcW w:w="280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≥20min</w:t>
            </w:r>
          </w:p>
        </w:tc>
        <w:tc>
          <w:tcPr>
            <w:tcW w:w="1911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 1768-2006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  <w:vAlign w:val="top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271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*碳纤维板材附着力（拉开法）</w:t>
            </w:r>
          </w:p>
        </w:tc>
        <w:tc>
          <w:tcPr>
            <w:tcW w:w="280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≥10Mpa</w:t>
            </w:r>
          </w:p>
        </w:tc>
        <w:tc>
          <w:tcPr>
            <w:tcW w:w="1911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 5210-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  <w:vAlign w:val="top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271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耐聚氨酯漆性</w:t>
            </w:r>
          </w:p>
        </w:tc>
        <w:tc>
          <w:tcPr>
            <w:tcW w:w="280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不咬起、不起泡、不渗色</w:t>
            </w:r>
          </w:p>
        </w:tc>
        <w:tc>
          <w:tcPr>
            <w:tcW w:w="191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HG/T 3354-2003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  <w:vAlign w:val="top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271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耐硝基漆性</w:t>
            </w:r>
          </w:p>
        </w:tc>
        <w:tc>
          <w:tcPr>
            <w:tcW w:w="280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不咬起、不起泡、不渗色</w:t>
            </w:r>
          </w:p>
        </w:tc>
        <w:tc>
          <w:tcPr>
            <w:tcW w:w="1911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HG/T 3354-2003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  <w:vAlign w:val="center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271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*碳纤维板材附着力（划格法）</w:t>
            </w:r>
          </w:p>
        </w:tc>
        <w:tc>
          <w:tcPr>
            <w:tcW w:w="280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≤1</w:t>
            </w:r>
          </w:p>
        </w:tc>
        <w:tc>
          <w:tcPr>
            <w:tcW w:w="1911" w:type="dxa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GB/T 9286 -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  <w:vAlign w:val="center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2710" w:type="dxa"/>
            <w:vAlign w:val="center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*耐热性（300℃，2h）</w:t>
            </w:r>
          </w:p>
        </w:tc>
        <w:tc>
          <w:tcPr>
            <w:tcW w:w="2800" w:type="dxa"/>
            <w:vAlign w:val="center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不起泡、不开裂、不剥落、允许轻微变色</w:t>
            </w:r>
          </w:p>
        </w:tc>
        <w:tc>
          <w:tcPr>
            <w:tcW w:w="1911" w:type="dxa"/>
            <w:vAlign w:val="center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GB/T 1735-2009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71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*表面电阻</w:t>
            </w:r>
          </w:p>
        </w:tc>
        <w:tc>
          <w:tcPr>
            <w:tcW w:w="2800" w:type="dxa"/>
          </w:tcPr>
          <w:p>
            <w:pPr>
              <w:pStyle w:val="23"/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≤10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superscript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vertAlign w:val="baseline"/>
                <w:lang w:val="en-US" w:eastAsia="zh-CN" w:bidi="ar"/>
              </w:rPr>
              <w:t>Ω</w:t>
            </w:r>
          </w:p>
        </w:tc>
        <w:tc>
          <w:tcPr>
            <w:tcW w:w="1911" w:type="dxa"/>
          </w:tcPr>
          <w:p>
            <w:pPr>
              <w:spacing w:line="360" w:lineRule="auto"/>
              <w:ind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BMS 10-21K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30" w:type="dxa"/>
            <w:gridSpan w:val="4"/>
            <w:shd w:val="clear" w:color="auto" w:fill="auto"/>
            <w:vAlign w:val="center"/>
          </w:tcPr>
          <w:p>
            <w:pPr>
              <w:spacing w:line="360" w:lineRule="auto"/>
              <w:ind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以下性能为底漆、腻子配套测试：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  <w:vAlign w:val="center"/>
          </w:tcPr>
          <w:p>
            <w:pPr>
              <w:spacing w:line="240" w:lineRule="auto"/>
              <w:ind w:left="0" w:right="0" w:firstLine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2710" w:type="dxa"/>
            <w:shd w:val="clear" w:color="auto" w:fill="auto"/>
            <w:vAlign w:val="top"/>
          </w:tcPr>
          <w:p>
            <w:pPr>
              <w:pStyle w:val="29"/>
              <w:spacing w:line="240" w:lineRule="auto"/>
              <w:ind w:left="0" w:right="0" w:firstLine="0"/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耐水性（38±1）℃/4d</w:t>
            </w: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 xml:space="preserve"> </w:t>
            </w:r>
          </w:p>
          <w:p>
            <w:pPr>
              <w:pStyle w:val="29"/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外观</w:t>
            </w:r>
          </w:p>
          <w:p>
            <w:pPr>
              <w:pStyle w:val="29"/>
              <w:spacing w:line="240" w:lineRule="auto"/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附着力，级</w:t>
            </w:r>
            <w:r>
              <w:rPr>
                <w:rFonts w:hint="eastAsia" w:ascii="宋体" w:hAnsi="宋体" w:eastAsia="宋体" w:cs="宋体"/>
                <w:spacing w:val="2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  <w:p>
            <w:pPr>
              <w:pStyle w:val="29"/>
              <w:spacing w:line="240" w:lineRule="auto"/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铅笔硬度</w:t>
            </w:r>
            <w:r>
              <w:rPr>
                <w:rFonts w:hint="eastAsia" w:ascii="宋体" w:hAnsi="宋体" w:eastAsia="宋体" w:cs="宋体"/>
                <w:spacing w:val="27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≥</w:t>
            </w:r>
          </w:p>
        </w:tc>
        <w:tc>
          <w:tcPr>
            <w:tcW w:w="2800" w:type="dxa"/>
            <w:shd w:val="clear" w:color="auto" w:fill="auto"/>
            <w:vAlign w:val="top"/>
          </w:tcPr>
          <w:p>
            <w:pPr>
              <w:pStyle w:val="29"/>
              <w:spacing w:line="240" w:lineRule="auto"/>
              <w:ind w:left="0" w:right="0" w:firstLine="0"/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</w:pPr>
          </w:p>
          <w:p>
            <w:pPr>
              <w:pStyle w:val="29"/>
              <w:spacing w:line="240" w:lineRule="auto"/>
              <w:ind w:left="0" w:right="0" w:firstLine="0"/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不起泡、不剥落、允许轻微变色</w:t>
            </w:r>
          </w:p>
          <w:p>
            <w:pPr>
              <w:pStyle w:val="29"/>
              <w:spacing w:line="240" w:lineRule="auto"/>
              <w:ind w:left="0" w:right="0" w:firstLine="0"/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1</w:t>
            </w:r>
          </w:p>
          <w:p>
            <w:pPr>
              <w:pStyle w:val="29"/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HB（刮破）</w:t>
            </w:r>
          </w:p>
        </w:tc>
        <w:tc>
          <w:tcPr>
            <w:tcW w:w="1911" w:type="dxa"/>
            <w:shd w:val="clear" w:color="auto" w:fill="auto"/>
            <w:vAlign w:val="top"/>
          </w:tcPr>
          <w:p>
            <w:pPr>
              <w:spacing w:line="240" w:lineRule="auto"/>
              <w:ind w:left="0" w:right="0" w:firstLine="0"/>
              <w:rPr>
                <w:rFonts w:hint="eastAsia" w:ascii="宋体" w:hAnsi="宋体" w:eastAsia="宋体" w:cs="宋体"/>
                <w:spacing w:val="-2"/>
                <w:position w:val="2"/>
                <w:sz w:val="24"/>
                <w:szCs w:val="24"/>
              </w:rPr>
            </w:pPr>
          </w:p>
          <w:p>
            <w:pPr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2"/>
                <w:position w:val="2"/>
                <w:sz w:val="24"/>
                <w:szCs w:val="24"/>
              </w:rPr>
              <w:t>GB/T</w:t>
            </w:r>
            <w:r>
              <w:rPr>
                <w:rFonts w:hint="eastAsia" w:ascii="宋体" w:hAnsi="宋体" w:eastAsia="宋体" w:cs="宋体"/>
                <w:spacing w:val="17"/>
                <w:w w:val="101"/>
                <w:position w:val="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position w:val="2"/>
                <w:sz w:val="24"/>
                <w:szCs w:val="24"/>
                <w:lang w:val="en-US" w:eastAsia="zh-CN"/>
              </w:rPr>
              <w:t>1733-1993</w:t>
            </w:r>
          </w:p>
          <w:p>
            <w:pPr>
              <w:spacing w:line="240" w:lineRule="auto"/>
              <w:ind w:left="0" w:leftChars="0" w:right="0" w:rightChars="0" w:firstLine="0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GB/T 9286-2021</w:t>
            </w:r>
          </w:p>
          <w:p>
            <w:pPr>
              <w:spacing w:line="240" w:lineRule="auto"/>
              <w:ind w:left="0" w:leftChars="0" w:right="0" w:rightChars="0" w:firstLine="0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GB/T</w:t>
            </w:r>
            <w:r>
              <w:rPr>
                <w:rFonts w:hint="eastAsia" w:ascii="宋体" w:hAnsi="宋体" w:eastAsia="宋体" w:cs="宋体"/>
                <w:spacing w:val="17"/>
                <w:w w:val="10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6739-2022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lang w:val="en-US" w:eastAsia="zh-CN"/>
              </w:rPr>
              <w:t>19</w:t>
            </w:r>
          </w:p>
        </w:tc>
        <w:tc>
          <w:tcPr>
            <w:tcW w:w="2710" w:type="dxa"/>
            <w:shd w:val="clear" w:color="auto" w:fill="auto"/>
            <w:vAlign w:val="top"/>
          </w:tcPr>
          <w:p>
            <w:pPr>
              <w:pStyle w:val="29"/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耐15 号液压油性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（23±2）℃/7d 或</w:t>
            </w:r>
            <w:r>
              <w:rPr>
                <w:rFonts w:hint="eastAsia" w:ascii="宋体" w:hAnsi="宋体" w:eastAsia="宋体" w:cs="宋体"/>
                <w:spacing w:val="-4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（66±2）℃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/24h</w:t>
            </w:r>
          </w:p>
          <w:p>
            <w:pPr>
              <w:pStyle w:val="29"/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外观</w:t>
            </w:r>
          </w:p>
          <w:p>
            <w:pPr>
              <w:pStyle w:val="29"/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附着力，级</w:t>
            </w:r>
            <w:r>
              <w:rPr>
                <w:rFonts w:hint="eastAsia" w:ascii="宋体" w:hAnsi="宋体" w:eastAsia="宋体" w:cs="宋体"/>
                <w:spacing w:val="22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≤</w:t>
            </w:r>
          </w:p>
          <w:p>
            <w:pPr>
              <w:pStyle w:val="29"/>
              <w:spacing w:line="240" w:lineRule="auto"/>
              <w:ind w:left="0" w:leftChars="0" w:right="0" w:firstLine="0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铅笔硬度</w:t>
            </w:r>
            <w:r>
              <w:rPr>
                <w:rFonts w:hint="eastAsia" w:ascii="宋体" w:hAnsi="宋体" w:eastAsia="宋体" w:cs="宋体"/>
                <w:spacing w:val="27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≥</w:t>
            </w:r>
          </w:p>
        </w:tc>
        <w:tc>
          <w:tcPr>
            <w:tcW w:w="2800" w:type="dxa"/>
            <w:shd w:val="clear" w:color="auto" w:fill="auto"/>
            <w:vAlign w:val="top"/>
          </w:tcPr>
          <w:p>
            <w:pPr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9"/>
              <w:spacing w:line="240" w:lineRule="auto"/>
              <w:ind w:left="0" w:right="0" w:firstLine="0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不起泡、不剥落、允许轻微变色</w:t>
            </w:r>
          </w:p>
          <w:p>
            <w:pPr>
              <w:pStyle w:val="29"/>
              <w:spacing w:line="240" w:lineRule="auto"/>
              <w:ind w:right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  <w:p>
            <w:pPr>
              <w:pStyle w:val="29"/>
              <w:spacing w:line="240" w:lineRule="auto"/>
              <w:ind w:right="0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HB（刮破）</w:t>
            </w:r>
          </w:p>
        </w:tc>
        <w:tc>
          <w:tcPr>
            <w:tcW w:w="1911" w:type="dxa"/>
            <w:shd w:val="clear" w:color="auto" w:fill="auto"/>
            <w:vAlign w:val="top"/>
          </w:tcPr>
          <w:p>
            <w:pPr>
              <w:spacing w:line="240" w:lineRule="auto"/>
              <w:ind w:left="0" w:right="0" w:firstLine="0"/>
              <w:rPr>
                <w:rFonts w:hint="eastAsia" w:ascii="宋体" w:hAnsi="宋体" w:eastAsia="宋体" w:cs="宋体"/>
                <w:spacing w:val="-1"/>
                <w:position w:val="2"/>
                <w:sz w:val="24"/>
                <w:szCs w:val="24"/>
              </w:rPr>
            </w:pPr>
          </w:p>
          <w:p>
            <w:pPr>
              <w:spacing w:line="240" w:lineRule="auto"/>
              <w:ind w:left="0" w:right="0" w:firstLine="0"/>
              <w:rPr>
                <w:rFonts w:hint="eastAsia" w:ascii="宋体" w:hAnsi="宋体" w:eastAsia="宋体" w:cs="宋体"/>
                <w:spacing w:val="-1"/>
                <w:position w:val="2"/>
                <w:sz w:val="24"/>
                <w:szCs w:val="24"/>
              </w:rPr>
            </w:pPr>
          </w:p>
          <w:p>
            <w:pPr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position w:val="2"/>
                <w:sz w:val="24"/>
                <w:szCs w:val="24"/>
              </w:rPr>
              <w:t>GB/T 9274-1988</w:t>
            </w:r>
          </w:p>
          <w:p>
            <w:pPr>
              <w:spacing w:line="240" w:lineRule="auto"/>
              <w:ind w:left="0" w:leftChars="0" w:right="0" w:rightChars="0" w:firstLine="0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GB/T 9286-2021</w:t>
            </w:r>
          </w:p>
          <w:p>
            <w:pPr>
              <w:spacing w:line="240" w:lineRule="auto"/>
              <w:ind w:left="0" w:leftChars="0" w:right="0" w:rightChars="0" w:firstLine="0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GB/T</w:t>
            </w:r>
            <w:r>
              <w:rPr>
                <w:rFonts w:hint="eastAsia" w:ascii="宋体" w:hAnsi="宋体" w:eastAsia="宋体" w:cs="宋体"/>
                <w:spacing w:val="17"/>
                <w:w w:val="10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6739-2022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2710" w:type="dxa"/>
            <w:shd w:val="clear" w:color="auto" w:fill="auto"/>
            <w:vAlign w:val="top"/>
          </w:tcPr>
          <w:p>
            <w:pPr>
              <w:pStyle w:val="29"/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耐润滑油性（121±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>3)</w:t>
            </w:r>
            <w:r>
              <w:rPr>
                <w:rFonts w:hint="eastAsia" w:ascii="宋体" w:hAnsi="宋体" w:eastAsia="宋体" w:cs="宋体"/>
                <w:spacing w:val="-5"/>
                <w:sz w:val="24"/>
                <w:szCs w:val="24"/>
              </w:rPr>
              <w:t>℃/24h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  <w:p>
            <w:pPr>
              <w:pStyle w:val="29"/>
              <w:numPr>
                <w:ilvl w:val="0"/>
                <w:numId w:val="0"/>
              </w:numPr>
              <w:spacing w:line="240" w:lineRule="auto"/>
              <w:ind w:leftChars="0" w:right="0" w:right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外观</w:t>
            </w:r>
          </w:p>
          <w:p>
            <w:pPr>
              <w:pStyle w:val="29"/>
              <w:spacing w:line="240" w:lineRule="auto"/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附着力，级</w:t>
            </w:r>
            <w:r>
              <w:rPr>
                <w:rFonts w:hint="eastAsia" w:ascii="宋体" w:hAnsi="宋体" w:eastAsia="宋体" w:cs="宋体"/>
                <w:spacing w:val="2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  <w:p>
            <w:pPr>
              <w:pStyle w:val="29"/>
              <w:spacing w:line="240" w:lineRule="auto"/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铅笔硬度</w:t>
            </w:r>
            <w:r>
              <w:rPr>
                <w:rFonts w:hint="eastAsia" w:ascii="宋体" w:hAnsi="宋体" w:eastAsia="宋体" w:cs="宋体"/>
                <w:spacing w:val="27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≥</w:t>
            </w:r>
          </w:p>
        </w:tc>
        <w:tc>
          <w:tcPr>
            <w:tcW w:w="2800" w:type="dxa"/>
            <w:shd w:val="clear" w:color="auto" w:fill="auto"/>
            <w:vAlign w:val="top"/>
          </w:tcPr>
          <w:p>
            <w:pPr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9"/>
              <w:spacing w:line="240" w:lineRule="auto"/>
              <w:ind w:left="0" w:right="0" w:firstLine="0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不起泡、不剥落、允许变色</w:t>
            </w:r>
          </w:p>
          <w:p>
            <w:pPr>
              <w:pStyle w:val="29"/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  <w:p>
            <w:pPr>
              <w:pStyle w:val="29"/>
              <w:spacing w:line="240" w:lineRule="auto"/>
              <w:ind w:left="0" w:leftChars="0" w:right="0" w:firstLine="0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HB（刮破）</w:t>
            </w:r>
          </w:p>
        </w:tc>
        <w:tc>
          <w:tcPr>
            <w:tcW w:w="1911" w:type="dxa"/>
            <w:shd w:val="clear" w:color="auto" w:fill="auto"/>
            <w:vAlign w:val="top"/>
          </w:tcPr>
          <w:p>
            <w:pPr>
              <w:spacing w:line="240" w:lineRule="auto"/>
              <w:ind w:left="0" w:right="0" w:firstLine="0"/>
              <w:rPr>
                <w:rFonts w:hint="eastAsia" w:ascii="宋体" w:hAnsi="宋体" w:eastAsia="宋体" w:cs="宋体"/>
                <w:spacing w:val="-1"/>
                <w:position w:val="2"/>
                <w:sz w:val="24"/>
                <w:szCs w:val="24"/>
              </w:rPr>
            </w:pPr>
          </w:p>
          <w:p>
            <w:pPr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position w:val="2"/>
                <w:sz w:val="24"/>
                <w:szCs w:val="24"/>
              </w:rPr>
              <w:t>GB/T 9274-1988</w:t>
            </w:r>
          </w:p>
          <w:p>
            <w:pPr>
              <w:spacing w:line="240" w:lineRule="auto"/>
              <w:ind w:left="0" w:leftChars="0" w:right="0" w:rightChars="0" w:firstLine="0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GB/T 9286-2021</w:t>
            </w:r>
          </w:p>
          <w:p>
            <w:pPr>
              <w:spacing w:line="240" w:lineRule="auto"/>
              <w:ind w:left="0" w:leftChars="0" w:right="0" w:rightChars="0" w:firstLine="0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GB/T</w:t>
            </w:r>
            <w:r>
              <w:rPr>
                <w:rFonts w:hint="eastAsia" w:ascii="宋体" w:hAnsi="宋体" w:eastAsia="宋体" w:cs="宋体"/>
                <w:spacing w:val="17"/>
                <w:w w:val="10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6739-2022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2710" w:type="dxa"/>
            <w:shd w:val="clear" w:color="auto" w:fill="auto"/>
            <w:vAlign w:val="top"/>
          </w:tcPr>
          <w:p>
            <w:pPr>
              <w:pStyle w:val="29"/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耐（RP-5）喷汽燃料性</w:t>
            </w:r>
            <w:r>
              <w:rPr>
                <w:rFonts w:hint="eastAsia" w:ascii="宋体" w:hAnsi="宋体" w:eastAsia="宋体" w:cs="宋体"/>
                <w:spacing w:val="13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（23±2）</w:t>
            </w:r>
            <w:r>
              <w:rPr>
                <w:rFonts w:hint="eastAsia" w:ascii="宋体" w:hAnsi="宋体" w:eastAsia="宋体" w:cs="宋体"/>
                <w:spacing w:val="-6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3"/>
                <w:sz w:val="24"/>
                <w:szCs w:val="24"/>
              </w:rPr>
              <w:t>℃/24h</w:t>
            </w:r>
          </w:p>
          <w:p>
            <w:pPr>
              <w:pStyle w:val="29"/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外观</w:t>
            </w:r>
          </w:p>
          <w:p>
            <w:pPr>
              <w:pStyle w:val="29"/>
              <w:spacing w:line="240" w:lineRule="auto"/>
              <w:ind w:left="0" w:leftChars="0" w:right="0" w:rightChars="0" w:firstLine="0" w:firstLineChars="0"/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附着力，级</w:t>
            </w:r>
            <w:r>
              <w:rPr>
                <w:rFonts w:hint="eastAsia" w:ascii="宋体" w:hAnsi="宋体" w:eastAsia="宋体" w:cs="宋体"/>
                <w:spacing w:val="2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≤</w:t>
            </w:r>
          </w:p>
          <w:p>
            <w:pPr>
              <w:pStyle w:val="29"/>
              <w:spacing w:line="240" w:lineRule="auto"/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铅笔硬度</w:t>
            </w:r>
            <w:r>
              <w:rPr>
                <w:rFonts w:hint="eastAsia" w:ascii="宋体" w:hAnsi="宋体" w:eastAsia="宋体" w:cs="宋体"/>
                <w:spacing w:val="27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≥</w:t>
            </w:r>
          </w:p>
        </w:tc>
        <w:tc>
          <w:tcPr>
            <w:tcW w:w="2800" w:type="dxa"/>
            <w:shd w:val="clear" w:color="auto" w:fill="auto"/>
            <w:vAlign w:val="top"/>
          </w:tcPr>
          <w:p>
            <w:pPr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9"/>
              <w:spacing w:line="240" w:lineRule="auto"/>
              <w:ind w:left="0" w:right="0" w:firstLine="0"/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不起泡、不剥落、允许轻微变色</w:t>
            </w: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</w:rPr>
              <w:t xml:space="preserve"> </w:t>
            </w:r>
          </w:p>
          <w:p>
            <w:pPr>
              <w:pStyle w:val="29"/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  <w:p>
            <w:pPr>
              <w:pStyle w:val="29"/>
              <w:spacing w:line="240" w:lineRule="auto"/>
              <w:ind w:left="0" w:leftChars="0" w:right="0" w:firstLine="0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HB（刮破）</w:t>
            </w: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  <w:lang w:val="en-US" w:eastAsia="zh-CN"/>
              </w:rPr>
              <w:t xml:space="preserve">    </w:t>
            </w:r>
          </w:p>
        </w:tc>
        <w:tc>
          <w:tcPr>
            <w:tcW w:w="1911" w:type="dxa"/>
            <w:shd w:val="clear" w:color="auto" w:fill="auto"/>
            <w:vAlign w:val="top"/>
          </w:tcPr>
          <w:p>
            <w:pPr>
              <w:spacing w:line="240" w:lineRule="auto"/>
              <w:ind w:left="0" w:right="0" w:firstLine="0"/>
              <w:rPr>
                <w:rFonts w:hint="eastAsia" w:ascii="宋体" w:hAnsi="宋体" w:eastAsia="宋体" w:cs="宋体"/>
                <w:spacing w:val="-1"/>
                <w:position w:val="2"/>
                <w:sz w:val="24"/>
                <w:szCs w:val="24"/>
              </w:rPr>
            </w:pPr>
          </w:p>
          <w:p>
            <w:pPr>
              <w:spacing w:line="240" w:lineRule="auto"/>
              <w:ind w:left="0" w:right="0" w:firstLine="0"/>
              <w:rPr>
                <w:rFonts w:hint="eastAsia" w:ascii="宋体" w:hAnsi="宋体" w:eastAsia="宋体" w:cs="宋体"/>
                <w:spacing w:val="-1"/>
                <w:position w:val="2"/>
                <w:sz w:val="24"/>
                <w:szCs w:val="24"/>
              </w:rPr>
            </w:pPr>
          </w:p>
          <w:p>
            <w:pPr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position w:val="2"/>
                <w:sz w:val="24"/>
                <w:szCs w:val="24"/>
              </w:rPr>
              <w:t>GB/T 9274-1988</w:t>
            </w:r>
          </w:p>
          <w:p>
            <w:pPr>
              <w:spacing w:line="240" w:lineRule="auto"/>
              <w:ind w:left="0" w:leftChars="0" w:right="0" w:rightChars="0" w:firstLine="0"/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GB/T 9286-2021</w:t>
            </w:r>
            <w:r>
              <w:rPr>
                <w:rFonts w:hint="eastAsia" w:ascii="宋体" w:hAnsi="宋体" w:eastAsia="宋体" w:cs="宋体"/>
                <w:spacing w:val="5"/>
                <w:sz w:val="24"/>
                <w:szCs w:val="24"/>
              </w:rPr>
              <w:t xml:space="preserve"> </w:t>
            </w:r>
          </w:p>
          <w:p>
            <w:pPr>
              <w:spacing w:line="240" w:lineRule="auto"/>
              <w:ind w:left="0" w:leftChars="0" w:right="0" w:rightChars="0" w:firstLine="0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GB/T</w:t>
            </w:r>
            <w:r>
              <w:rPr>
                <w:rFonts w:hint="eastAsia" w:ascii="宋体" w:hAnsi="宋体" w:eastAsia="宋体" w:cs="宋体"/>
                <w:spacing w:val="17"/>
                <w:w w:val="10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6739-2022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shd w:val="clear" w:color="auto" w:fill="auto"/>
            <w:vAlign w:val="center"/>
          </w:tcPr>
          <w:p>
            <w:pPr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8"/>
                <w:sz w:val="24"/>
                <w:szCs w:val="24"/>
                <w:lang w:val="en-US" w:eastAsia="zh-CN"/>
              </w:rPr>
              <w:t>22</w:t>
            </w:r>
          </w:p>
        </w:tc>
        <w:tc>
          <w:tcPr>
            <w:tcW w:w="2710" w:type="dxa"/>
            <w:shd w:val="clear" w:color="auto" w:fill="auto"/>
            <w:vAlign w:val="top"/>
          </w:tcPr>
          <w:p>
            <w:pPr>
              <w:pStyle w:val="29"/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耐航空洗涤汽油（23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±2）</w:t>
            </w:r>
            <w:r>
              <w:rPr>
                <w:rFonts w:hint="eastAsia" w:ascii="宋体" w:hAnsi="宋体" w:eastAsia="宋体" w:cs="宋体"/>
                <w:spacing w:val="-69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℃/24h</w:t>
            </w:r>
          </w:p>
          <w:p>
            <w:pPr>
              <w:pStyle w:val="29"/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6"/>
                <w:sz w:val="24"/>
                <w:szCs w:val="24"/>
              </w:rPr>
              <w:t>外观</w:t>
            </w:r>
          </w:p>
          <w:p>
            <w:pPr>
              <w:pStyle w:val="29"/>
              <w:spacing w:line="240" w:lineRule="auto"/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附着力，级</w:t>
            </w:r>
            <w:r>
              <w:rPr>
                <w:rFonts w:hint="eastAsia" w:ascii="宋体" w:hAnsi="宋体" w:eastAsia="宋体" w:cs="宋体"/>
                <w:spacing w:val="2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7"/>
                <w:sz w:val="24"/>
                <w:szCs w:val="24"/>
              </w:rPr>
              <w:t>≤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</w:t>
            </w:r>
          </w:p>
          <w:p>
            <w:pPr>
              <w:pStyle w:val="29"/>
              <w:spacing w:line="240" w:lineRule="auto"/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铅笔硬度</w:t>
            </w:r>
            <w:r>
              <w:rPr>
                <w:rFonts w:hint="eastAsia" w:ascii="宋体" w:hAnsi="宋体" w:eastAsia="宋体" w:cs="宋体"/>
                <w:spacing w:val="27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≥</w:t>
            </w:r>
          </w:p>
        </w:tc>
        <w:tc>
          <w:tcPr>
            <w:tcW w:w="2800" w:type="dxa"/>
            <w:shd w:val="clear" w:color="auto" w:fill="auto"/>
            <w:vAlign w:val="top"/>
          </w:tcPr>
          <w:p>
            <w:pPr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pStyle w:val="29"/>
              <w:spacing w:line="240" w:lineRule="auto"/>
              <w:ind w:left="0" w:right="0" w:firstLine="0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不起泡、不剥落、允许轻微变色</w:t>
            </w:r>
          </w:p>
          <w:p>
            <w:pPr>
              <w:pStyle w:val="29"/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  <w:p>
            <w:pPr>
              <w:pStyle w:val="29"/>
              <w:spacing w:line="240" w:lineRule="auto"/>
              <w:ind w:left="0" w:leftChars="0" w:right="0" w:firstLine="0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HB（刮破）</w:t>
            </w:r>
          </w:p>
        </w:tc>
        <w:tc>
          <w:tcPr>
            <w:tcW w:w="1911" w:type="dxa"/>
            <w:shd w:val="clear" w:color="auto" w:fill="auto"/>
            <w:vAlign w:val="top"/>
          </w:tcPr>
          <w:p>
            <w:pPr>
              <w:spacing w:line="240" w:lineRule="auto"/>
              <w:ind w:left="0" w:right="0" w:firstLine="0"/>
              <w:rPr>
                <w:rFonts w:hint="eastAsia" w:ascii="宋体" w:hAnsi="宋体" w:eastAsia="宋体" w:cs="宋体"/>
                <w:spacing w:val="-1"/>
                <w:position w:val="2"/>
                <w:sz w:val="24"/>
                <w:szCs w:val="24"/>
              </w:rPr>
            </w:pPr>
          </w:p>
          <w:p>
            <w:pPr>
              <w:spacing w:line="240" w:lineRule="auto"/>
              <w:ind w:left="0" w:right="0" w:firstLine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position w:val="2"/>
                <w:sz w:val="24"/>
                <w:szCs w:val="24"/>
              </w:rPr>
              <w:t>GB/T 9274-1988</w:t>
            </w:r>
          </w:p>
          <w:p>
            <w:pPr>
              <w:spacing w:line="240" w:lineRule="auto"/>
              <w:ind w:left="0" w:leftChars="0" w:right="0" w:rightChars="0" w:firstLine="0"/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"/>
                <w:sz w:val="24"/>
                <w:szCs w:val="24"/>
              </w:rPr>
              <w:t>GB/T 9286-2021</w:t>
            </w:r>
          </w:p>
          <w:p>
            <w:pPr>
              <w:spacing w:line="240" w:lineRule="auto"/>
              <w:ind w:left="0" w:leftChars="0" w:right="0" w:rightChars="0" w:firstLine="0"/>
              <w:rPr>
                <w:rFonts w:hint="eastAsia" w:ascii="宋体" w:hAnsi="宋体" w:eastAsia="宋体" w:cs="宋体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GB/T</w:t>
            </w:r>
            <w:r>
              <w:rPr>
                <w:rFonts w:hint="eastAsia" w:ascii="宋体" w:hAnsi="宋体" w:eastAsia="宋体" w:cs="宋体"/>
                <w:spacing w:val="17"/>
                <w:w w:val="101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-2"/>
                <w:sz w:val="24"/>
                <w:szCs w:val="24"/>
              </w:rPr>
              <w:t>6739-2022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highlight w:val="none"/>
          <w:lang w:val="en-US" w:eastAsia="zh-CN"/>
        </w:rPr>
        <w:t>注：18~22项耐性指标要求中的配套底漆为：聚氨酯底漆，制板要求：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cs="Times New Roman" w:asciiTheme="minorEastAsia" w:hAnsiTheme="minorEastAsia"/>
          <w:b w:val="0"/>
          <w:bCs w:val="0"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先在复合材料上喷一道聚氨酯底漆，干膜厚度为（23±3）μm，在室温下干燥10h后，用400目砂纸打磨平整，二甲苯清洗干净，在室温下干燥2h后，刮一道聚酯腻子，腻子干燥后蘸水打磨至平整，腻子膜厚度为（40±20）μm，在室温干燥10h后，再喷一道聚氨酯底漆，干膜厚度为（23±3）μm，喷涂后先在室温下放置2h，然后在（50±2）℃的烘箱中烘烤24h，最后样板在符合 GB/T 9278-2008 规定的条件下放置1h后检验。</w:t>
      </w:r>
    </w:p>
    <w:p>
      <w:pPr>
        <w:pStyle w:val="23"/>
        <w:numPr>
          <w:ilvl w:val="0"/>
          <w:numId w:val="0"/>
        </w:numPr>
        <w:spacing w:line="360" w:lineRule="auto"/>
        <w:ind w:leftChars="0"/>
        <w:rPr>
          <w:rFonts w:hint="eastAsia" w:cs="Times New Roman" w:asciiTheme="minorEastAsia" w:hAnsiTheme="minorEastAsia"/>
          <w:b/>
          <w:bCs/>
          <w:sz w:val="30"/>
          <w:szCs w:val="30"/>
          <w:lang w:eastAsia="zh-CN"/>
        </w:rPr>
      </w:pPr>
      <w:r>
        <w:rPr>
          <w:rFonts w:hint="eastAsia" w:cs="Times New Roman" w:asciiTheme="minorEastAsia" w:hAnsiTheme="minorEastAsia"/>
          <w:b/>
          <w:bCs/>
          <w:sz w:val="30"/>
          <w:szCs w:val="30"/>
          <w:lang w:val="en-US" w:eastAsia="zh-CN"/>
        </w:rPr>
        <w:t>☆六、</w:t>
      </w:r>
      <w:r>
        <w:rPr>
          <w:rFonts w:hint="eastAsia" w:cs="Times New Roman" w:asciiTheme="minorEastAsia" w:hAnsiTheme="minorEastAsia"/>
          <w:b/>
          <w:bCs/>
          <w:sz w:val="30"/>
          <w:szCs w:val="30"/>
          <w:lang w:eastAsia="zh-CN"/>
        </w:rPr>
        <w:t>检测和试验</w:t>
      </w:r>
    </w:p>
    <w:p>
      <w:pPr>
        <w:pStyle w:val="6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25" w:firstLine="480" w:firstLineChars="200"/>
        <w:textAlignment w:val="auto"/>
        <w:rPr>
          <w:rFonts w:hint="eastAsia" w:ascii="宋体" w:hAnsi="宋体" w:eastAsia="宋体" w:cs="宋体"/>
          <w:bCs/>
          <w:color w:val="FF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Cs/>
          <w:color w:val="FF0000"/>
          <w:sz w:val="24"/>
          <w:szCs w:val="24"/>
          <w:lang w:eastAsia="zh-CN"/>
        </w:rPr>
        <w:t>供应商</w:t>
      </w:r>
      <w:r>
        <w:rPr>
          <w:rFonts w:hint="eastAsia" w:ascii="宋体" w:hAnsi="宋体" w:eastAsia="宋体" w:cs="宋体"/>
          <w:bCs/>
          <w:color w:val="FF0000"/>
          <w:sz w:val="24"/>
          <w:szCs w:val="24"/>
          <w:lang w:val="en-US" w:eastAsia="zh-CN"/>
        </w:rPr>
        <w:t>投标时</w:t>
      </w:r>
      <w:r>
        <w:rPr>
          <w:rFonts w:hint="eastAsia" w:ascii="宋体" w:hAnsi="宋体" w:eastAsia="宋体" w:cs="宋体"/>
          <w:bCs/>
          <w:color w:val="FF0000"/>
          <w:sz w:val="24"/>
          <w:szCs w:val="24"/>
          <w:lang w:eastAsia="zh-CN"/>
        </w:rPr>
        <w:t>应出具满足</w:t>
      </w:r>
      <w:r>
        <w:rPr>
          <w:rFonts w:hint="eastAsia" w:ascii="宋体" w:hAnsi="宋体" w:eastAsia="宋体" w:cs="宋体"/>
          <w:b w:val="0"/>
          <w:bCs/>
          <w:color w:val="FF0000"/>
          <w:sz w:val="24"/>
          <w:szCs w:val="24"/>
          <w:lang w:val="en-US" w:eastAsia="zh-CN"/>
        </w:rPr>
        <w:t>以上产品</w:t>
      </w:r>
      <w:r>
        <w:rPr>
          <w:rFonts w:hint="eastAsia" w:ascii="宋体" w:hAnsi="宋体" w:eastAsia="宋体" w:cs="宋体"/>
          <w:b w:val="0"/>
          <w:bCs/>
          <w:color w:val="FF0000"/>
          <w:sz w:val="24"/>
          <w:szCs w:val="24"/>
          <w:lang w:eastAsia="zh-CN"/>
        </w:rPr>
        <w:t>技术参数</w:t>
      </w:r>
      <w:r>
        <w:rPr>
          <w:rFonts w:hint="eastAsia" w:ascii="宋体" w:hAnsi="宋体" w:eastAsia="宋体" w:cs="宋体"/>
          <w:bCs/>
          <w:color w:val="FF0000"/>
          <w:sz w:val="24"/>
          <w:szCs w:val="24"/>
          <w:lang w:eastAsia="zh-CN"/>
        </w:rPr>
        <w:t>的检验报告或合格证</w:t>
      </w:r>
      <w:r>
        <w:rPr>
          <w:rFonts w:hint="eastAsia" w:ascii="宋体" w:hAnsi="宋体" w:eastAsia="宋体" w:cs="宋体"/>
          <w:bCs/>
          <w:color w:val="FF0000"/>
          <w:sz w:val="24"/>
          <w:szCs w:val="24"/>
          <w:lang w:val="en-US" w:eastAsia="zh-CN"/>
        </w:rPr>
        <w:t>且提供承诺书（承诺所出具的检验报告或合格证真实无误）</w:t>
      </w:r>
      <w:r>
        <w:rPr>
          <w:rFonts w:hint="eastAsia" w:ascii="宋体" w:hAnsi="宋体" w:eastAsia="宋体" w:cs="宋体"/>
          <w:bCs/>
          <w:color w:val="FF0000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bCs/>
          <w:color w:val="FF0000"/>
          <w:sz w:val="24"/>
          <w:szCs w:val="24"/>
          <w:lang w:val="en-US" w:eastAsia="zh-CN"/>
        </w:rPr>
        <w:t>未出具</w:t>
      </w:r>
      <w:r>
        <w:rPr>
          <w:rFonts w:hint="eastAsia" w:ascii="宋体" w:hAnsi="宋体" w:eastAsia="宋体" w:cs="宋体"/>
          <w:bCs/>
          <w:color w:val="FF0000"/>
          <w:sz w:val="24"/>
          <w:szCs w:val="24"/>
          <w:lang w:eastAsia="zh-CN"/>
        </w:rPr>
        <w:t>检验报告或合格证</w:t>
      </w:r>
      <w:r>
        <w:rPr>
          <w:rFonts w:hint="eastAsia" w:ascii="宋体" w:hAnsi="宋体" w:eastAsia="宋体" w:cs="宋体"/>
          <w:bCs/>
          <w:color w:val="FF0000"/>
          <w:sz w:val="24"/>
          <w:szCs w:val="24"/>
          <w:lang w:val="en-US" w:eastAsia="zh-CN"/>
        </w:rPr>
        <w:t>以及未提供承诺书的的</w:t>
      </w:r>
      <w:r>
        <w:rPr>
          <w:rFonts w:hint="eastAsia" w:ascii="宋体" w:hAnsi="宋体" w:eastAsia="宋体" w:cs="宋体"/>
          <w:bCs/>
          <w:color w:val="FF0000"/>
          <w:sz w:val="24"/>
          <w:szCs w:val="24"/>
          <w:lang w:eastAsia="zh-CN"/>
        </w:rPr>
        <w:t>视为技术评议不通过；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  <w:t>2、中标单位在收到中标通知书后，需在三天内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  <w:lang w:val="en-US" w:eastAsia="zh-CN" w:bidi="ar-SA"/>
        </w:rPr>
        <w:t>提供20kg样品。</w:t>
      </w:r>
      <w:r>
        <w:rPr>
          <w:rFonts w:hint="eastAsia" w:ascii="宋体" w:hAnsi="宋体" w:eastAsia="宋体" w:cs="宋体"/>
          <w:b w:val="0"/>
          <w:bCs w:val="0"/>
          <w:color w:val="FF0000"/>
          <w:kern w:val="0"/>
          <w:sz w:val="24"/>
          <w:szCs w:val="24"/>
          <w:highlight w:val="none"/>
          <w:lang w:val="en-US" w:eastAsia="zh-CN" w:bidi="ar-SA"/>
        </w:rPr>
        <w:t>我司根据本技术要求书指标进行验证，所有指标验证通过方可签订合同及批量供货；如有不合格项视为验证不合格，不合格报告以买方出具的报告为准；如卖方对试验报告结果存在异议，可以申请重新试验（无需再次提供样品），并共同见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="宋体" w:hAnsi="Microsoft YaHei UI" w:eastAsia="宋体" w:cs="宋体"/>
          <w:bCs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Cs/>
          <w:color w:val="FF0000"/>
          <w:sz w:val="24"/>
          <w:szCs w:val="24"/>
          <w:lang w:val="en-US" w:eastAsia="zh-CN" w:bidi="ar-SA"/>
        </w:rPr>
        <w:t>供样地址：江苏省常州市玉龙中路2号；联系方式：13511661182。</w:t>
      </w:r>
    </w:p>
    <w:p>
      <w:pPr>
        <w:pStyle w:val="23"/>
        <w:spacing w:line="360" w:lineRule="auto"/>
        <w:ind w:firstLine="0" w:firstLineChars="0"/>
        <w:rPr>
          <w:rFonts w:cs="Times New Roman" w:asciiTheme="minorEastAsia" w:hAnsiTheme="minorEastAsia"/>
          <w:b/>
          <w:bCs/>
          <w:sz w:val="30"/>
          <w:szCs w:val="30"/>
          <w:lang w:eastAsia="zh-CN"/>
        </w:rPr>
      </w:pPr>
      <w:r>
        <w:rPr>
          <w:rFonts w:hint="eastAsia" w:cs="Times New Roman" w:asciiTheme="minorEastAsia" w:hAnsiTheme="minorEastAsia"/>
          <w:b/>
          <w:bCs/>
          <w:sz w:val="30"/>
          <w:szCs w:val="30"/>
          <w:lang w:eastAsia="zh-CN"/>
        </w:rPr>
        <w:t>七、标识、包装、运输和存储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1. 产品标识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default" w:asciiTheme="minorEastAsia" w:hAnsi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（1）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包装不带任何印花和logo，将带有</w:t>
      </w:r>
      <w:r>
        <w:rPr>
          <w:rFonts w:hint="eastAsia" w:asciiTheme="minorEastAsia" w:hAnsiTheme="minorEastAsia"/>
          <w:sz w:val="24"/>
          <w:szCs w:val="24"/>
          <w:lang w:eastAsia="zh-CN"/>
        </w:rPr>
        <w:t>名称、规格型号、批号、生产日期、有效期、生产商名称、生产地址等内容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的纸质标签贴在桶外。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（2）</w:t>
      </w:r>
      <w:r>
        <w:rPr>
          <w:rFonts w:hint="eastAsia" w:ascii="宋体" w:eastAsia="宋体" w:cs="宋体"/>
          <w:bCs/>
          <w:sz w:val="24"/>
          <w:szCs w:val="24"/>
          <w:lang w:eastAsia="zh-CN"/>
        </w:rPr>
        <w:t>产品保质期一年，交货时剩余保质期需大于等于80%。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2. 产品包装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（1）根据买方要求提供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铁皮</w:t>
      </w:r>
      <w:r>
        <w:rPr>
          <w:rFonts w:hint="eastAsia" w:asciiTheme="minorEastAsia" w:hAnsiTheme="minorEastAsia"/>
          <w:sz w:val="24"/>
          <w:szCs w:val="24"/>
          <w:lang w:eastAsia="zh-CN"/>
        </w:rPr>
        <w:t>桶包装，5kg/桶</w:t>
      </w:r>
      <w:r>
        <w:rPr>
          <w:rFonts w:hint="eastAsia" w:asciiTheme="minorEastAsia" w:hAnsiTheme="minorEastAsia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/>
          <w:sz w:val="24"/>
          <w:szCs w:val="24"/>
          <w:lang w:eastAsia="zh-CN"/>
        </w:rPr>
        <w:t>包装不回收。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3. 产品运输</w:t>
      </w:r>
    </w:p>
    <w:p>
      <w:pPr>
        <w:pStyle w:val="2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textAlignment w:val="auto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（1）运输地点为</w:t>
      </w:r>
      <w:r>
        <w:rPr>
          <w:rFonts w:hint="eastAsia" w:asciiTheme="minorEastAsia" w:hAnsiTheme="minorEastAsia" w:eastAsiaTheme="minorEastAsia" w:cstheme="minorBidi"/>
          <w:sz w:val="24"/>
          <w:szCs w:val="24"/>
          <w:lang w:val="en-US" w:eastAsia="zh-CN" w:bidi="ar-SA"/>
        </w:rPr>
        <w:t>江苏省常州市玉龙中路2号</w:t>
      </w:r>
      <w:r>
        <w:rPr>
          <w:rFonts w:hint="eastAsia" w:asciiTheme="minorEastAsia" w:hAnsiTheme="minor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/>
          <w:sz w:val="24"/>
          <w:szCs w:val="24"/>
          <w:lang w:eastAsia="zh-CN"/>
        </w:rPr>
        <w:t>（2）按照现场要求进行油漆运输，配合现场进行装卸等工作，承担一切运输费用。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/>
          <w:spacing w:val="0"/>
          <w:sz w:val="24"/>
          <w:szCs w:val="24"/>
        </w:rPr>
        <w:t>4.产品存储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122" w:firstLine="480" w:firstLineChars="200"/>
        <w:textAlignment w:val="auto"/>
        <w:rPr>
          <w:rFonts w:asciiTheme="minorEastAsia" w:hAnsi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明确产品存储要求：注意防火、保持通风，不要直接在阳光下曝晒。</w:t>
      </w:r>
    </w:p>
    <w:bookmarkEnd w:id="4"/>
    <w:bookmarkEnd w:id="5"/>
    <w:p>
      <w:pPr>
        <w:pStyle w:val="21"/>
        <w:numPr>
          <w:ilvl w:val="0"/>
          <w:numId w:val="3"/>
        </w:numPr>
        <w:spacing w:before="120" w:after="120" w:line="360" w:lineRule="auto"/>
        <w:outlineLvl w:val="0"/>
        <w:rPr>
          <w:rFonts w:cs="Times New Roman" w:asciiTheme="minorEastAsia" w:hAnsiTheme="minorEastAsia" w:eastAsiaTheme="minorEastAsia"/>
          <w:b/>
          <w:bCs/>
          <w:color w:val="auto"/>
          <w:sz w:val="30"/>
          <w:szCs w:val="30"/>
        </w:rPr>
      </w:pPr>
      <w:r>
        <w:rPr>
          <w:rFonts w:hint="eastAsia" w:cs="Times New Roman" w:asciiTheme="minorEastAsia" w:hAnsiTheme="minorEastAsia" w:eastAsiaTheme="minorEastAsia"/>
          <w:b/>
          <w:bCs/>
          <w:color w:val="auto"/>
          <w:sz w:val="30"/>
          <w:szCs w:val="30"/>
        </w:rPr>
        <w:t>技术文件</w:t>
      </w:r>
    </w:p>
    <w:p>
      <w:pPr>
        <w:pStyle w:val="6"/>
        <w:spacing w:line="257" w:lineRule="auto"/>
        <w:ind w:right="122" w:firstLine="220" w:firstLineChars="100"/>
        <w:rPr>
          <w:rFonts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="微软雅黑" w:hAnsi="微软雅黑" w:eastAsia="微软雅黑" w:cs="Times New Roman"/>
          <w:sz w:val="22"/>
          <w:lang w:eastAsia="zh-CN"/>
        </w:rPr>
        <w:t xml:space="preserve"> </w:t>
      </w:r>
      <w:r>
        <w:rPr>
          <w:rFonts w:hint="eastAsia" w:ascii="微软雅黑" w:hAnsi="微软雅黑" w:eastAsia="微软雅黑" w:cs="Times New Roman"/>
          <w:sz w:val="22"/>
          <w:lang w:eastAsia="zh-CN"/>
        </w:rPr>
        <w:tab/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产品交付要求:卖方提供产品合格证、出厂检验报告。</w:t>
      </w:r>
    </w:p>
    <w:p>
      <w:pPr>
        <w:pStyle w:val="21"/>
        <w:spacing w:before="120" w:after="120" w:line="360" w:lineRule="auto"/>
        <w:outlineLvl w:val="0"/>
        <w:rPr>
          <w:rFonts w:cs="Times New Roman" w:asciiTheme="minorEastAsia" w:hAnsiTheme="minorEastAsia" w:eastAsiaTheme="minorEastAsia"/>
          <w:b/>
          <w:bCs/>
          <w:color w:val="auto"/>
          <w:sz w:val="30"/>
          <w:szCs w:val="30"/>
        </w:rPr>
      </w:pPr>
      <w:r>
        <w:rPr>
          <w:rFonts w:hint="eastAsia" w:cs="Times New Roman" w:asciiTheme="minorEastAsia" w:hAnsiTheme="minorEastAsia" w:eastAsiaTheme="minorEastAsia"/>
          <w:b/>
          <w:bCs/>
          <w:color w:val="auto"/>
          <w:sz w:val="30"/>
          <w:szCs w:val="30"/>
          <w:lang w:val="en-US" w:eastAsia="zh-CN"/>
        </w:rPr>
        <w:t>九</w:t>
      </w:r>
      <w:r>
        <w:rPr>
          <w:rFonts w:hint="eastAsia" w:cs="Times New Roman" w:asciiTheme="minorEastAsia" w:hAnsiTheme="minorEastAsia" w:eastAsiaTheme="minorEastAsia"/>
          <w:b/>
          <w:bCs/>
          <w:color w:val="auto"/>
          <w:sz w:val="30"/>
          <w:szCs w:val="30"/>
        </w:rPr>
        <w:t>、技术服务与售后服务</w:t>
      </w:r>
    </w:p>
    <w:p>
      <w:pPr>
        <w:pStyle w:val="6"/>
        <w:spacing w:line="360" w:lineRule="auto"/>
        <w:ind w:right="122" w:firstLine="480"/>
        <w:rPr>
          <w:rFonts w:asciiTheme="minorEastAsia" w:hAnsiTheme="minorEastAsia" w:eastAsiaTheme="minorEastAsia"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技术联络与响应：涂装中如出现产品质量异常问题，卖方应在接到买方电话通知起12小时内技术人员到达现场，24小时内给买方提交解决方案。</w:t>
      </w:r>
    </w:p>
    <w:p>
      <w:pPr>
        <w:pStyle w:val="21"/>
        <w:spacing w:before="120" w:after="120" w:line="360" w:lineRule="auto"/>
        <w:outlineLvl w:val="0"/>
        <w:rPr>
          <w:rFonts w:cs="Times New Roman" w:asciiTheme="minorEastAsia" w:hAnsiTheme="minorEastAsia" w:eastAsiaTheme="minorEastAsia"/>
          <w:b/>
          <w:bCs/>
          <w:color w:val="auto"/>
          <w:sz w:val="30"/>
          <w:szCs w:val="30"/>
        </w:rPr>
      </w:pPr>
      <w:bookmarkStart w:id="6" w:name="_Toc13249328"/>
      <w:bookmarkStart w:id="7" w:name="_Toc13248931"/>
      <w:r>
        <w:rPr>
          <w:rFonts w:hint="eastAsia" w:cs="Times New Roman" w:asciiTheme="minorEastAsia" w:hAnsiTheme="minorEastAsia" w:eastAsiaTheme="minorEastAsia"/>
          <w:b/>
          <w:bCs/>
          <w:color w:val="auto"/>
          <w:sz w:val="30"/>
          <w:szCs w:val="30"/>
        </w:rPr>
        <w:t>十</w:t>
      </w:r>
      <w:bookmarkStart w:id="8" w:name="_GoBack"/>
      <w:bookmarkEnd w:id="8"/>
      <w:r>
        <w:rPr>
          <w:rFonts w:cs="Times New Roman" w:asciiTheme="minorEastAsia" w:hAnsiTheme="minorEastAsia" w:eastAsiaTheme="minorEastAsia"/>
          <w:b/>
          <w:bCs/>
          <w:color w:val="auto"/>
          <w:sz w:val="30"/>
          <w:szCs w:val="30"/>
        </w:rPr>
        <w:t>、</w:t>
      </w:r>
      <w:r>
        <w:rPr>
          <w:rFonts w:hint="eastAsia" w:cs="Times New Roman" w:asciiTheme="minorEastAsia" w:hAnsiTheme="minorEastAsia" w:eastAsiaTheme="minorEastAsia"/>
          <w:b/>
          <w:bCs/>
          <w:color w:val="auto"/>
          <w:sz w:val="30"/>
          <w:szCs w:val="30"/>
        </w:rPr>
        <w:t>其他</w:t>
      </w:r>
      <w:r>
        <w:rPr>
          <w:rFonts w:cs="Times New Roman" w:asciiTheme="minorEastAsia" w:hAnsiTheme="minorEastAsia" w:eastAsiaTheme="minorEastAsia"/>
          <w:b/>
          <w:bCs/>
          <w:color w:val="auto"/>
          <w:sz w:val="30"/>
          <w:szCs w:val="30"/>
        </w:rPr>
        <w:t>要求</w:t>
      </w:r>
      <w:bookmarkEnd w:id="6"/>
      <w:bookmarkEnd w:id="7"/>
    </w:p>
    <w:p>
      <w:pPr>
        <w:pStyle w:val="6"/>
        <w:spacing w:line="360" w:lineRule="auto"/>
        <w:ind w:left="0" w:leftChars="0" w:right="122" w:firstLine="0" w:firstLine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 过程文件、发票与合同接收人：王晓刚，ex_wangxg5@cnooc.com.cn。合同履行人:周云，ex_zhouyun@cnooc.com.cn；潘玉红panyh4@cnooc.com.cn。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.1 买方计量验收，若有损耗卖方承担。</w:t>
      </w:r>
    </w:p>
    <w:p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.2 收货人及联系方式：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方明娟 13401581236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；常州市玉龙中路2号北门</w:t>
      </w:r>
    </w:p>
    <w:p>
      <w:pPr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.3 入厂检验要求</w:t>
      </w:r>
    </w:p>
    <w:p>
      <w:pPr>
        <w:spacing w:line="360" w:lineRule="auto"/>
        <w:ind w:left="200"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由买方质检部门按内控文件《MM-00-01-004原材料技术要求》验收合格后收货。</w:t>
      </w:r>
    </w:p>
    <w:p>
      <w:pPr>
        <w:widowControl/>
        <w:rPr>
          <w:rFonts w:ascii="微软雅黑" w:hAnsi="微软雅黑" w:eastAsia="微软雅黑"/>
          <w:sz w:val="21"/>
          <w:szCs w:val="21"/>
          <w:lang w:eastAsia="zh-CN"/>
        </w:rPr>
      </w:pPr>
      <w:r>
        <w:rPr>
          <w:rStyle w:val="30"/>
          <w:rFonts w:hint="eastAsia" w:eastAsia="宋体"/>
          <w:lang w:val="en-US" w:eastAsia="zh-CN"/>
        </w:rPr>
        <w:t>3、合同</w:t>
      </w:r>
      <w:r>
        <w:rPr>
          <w:rStyle w:val="30"/>
        </w:rPr>
        <w:t>期限：合同签订后三年</w:t>
      </w:r>
      <w:r>
        <w:rPr>
          <w:rFonts w:ascii="宋体" w:hAnsi="宋体" w:eastAsia="宋体" w:cs="宋体"/>
          <w:sz w:val="24"/>
          <w:szCs w:val="24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5CA874"/>
    <w:multiLevelType w:val="singleLevel"/>
    <w:tmpl w:val="AD5CA87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0B6542FA"/>
    <w:multiLevelType w:val="multilevel"/>
    <w:tmpl w:val="0B6542FA"/>
    <w:lvl w:ilvl="0" w:tentative="0">
      <w:start w:val="8"/>
      <w:numFmt w:val="japaneseCounting"/>
      <w:lvlText w:val="%1、"/>
      <w:lvlJc w:val="left"/>
      <w:pPr>
        <w:ind w:left="630" w:hanging="63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7FCF851"/>
    <w:multiLevelType w:val="singleLevel"/>
    <w:tmpl w:val="37FCF851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yMTE4ZWZhY2RhNzA3OGQ2ZmU2MDVhYjc0NGNmMjQifQ=="/>
  </w:docVars>
  <w:rsids>
    <w:rsidRoot w:val="001644CF"/>
    <w:rsid w:val="0000572C"/>
    <w:rsid w:val="0001390D"/>
    <w:rsid w:val="00015CC7"/>
    <w:rsid w:val="00031694"/>
    <w:rsid w:val="00055FDF"/>
    <w:rsid w:val="0009050D"/>
    <w:rsid w:val="000E7DCA"/>
    <w:rsid w:val="001323F9"/>
    <w:rsid w:val="001644CF"/>
    <w:rsid w:val="001A6812"/>
    <w:rsid w:val="001B3054"/>
    <w:rsid w:val="001C0975"/>
    <w:rsid w:val="00223923"/>
    <w:rsid w:val="0023257F"/>
    <w:rsid w:val="00255671"/>
    <w:rsid w:val="00291AC4"/>
    <w:rsid w:val="00296D82"/>
    <w:rsid w:val="00296D9D"/>
    <w:rsid w:val="002A2EAC"/>
    <w:rsid w:val="002B756F"/>
    <w:rsid w:val="002D753E"/>
    <w:rsid w:val="002E2797"/>
    <w:rsid w:val="002E45DE"/>
    <w:rsid w:val="00310D50"/>
    <w:rsid w:val="00316452"/>
    <w:rsid w:val="00335848"/>
    <w:rsid w:val="00367E0B"/>
    <w:rsid w:val="0037391E"/>
    <w:rsid w:val="00397269"/>
    <w:rsid w:val="003C7817"/>
    <w:rsid w:val="004020A3"/>
    <w:rsid w:val="004077E1"/>
    <w:rsid w:val="004236F4"/>
    <w:rsid w:val="00425581"/>
    <w:rsid w:val="00436DD3"/>
    <w:rsid w:val="004D2468"/>
    <w:rsid w:val="004D4118"/>
    <w:rsid w:val="004E27A1"/>
    <w:rsid w:val="004E2AA6"/>
    <w:rsid w:val="004F244A"/>
    <w:rsid w:val="00511A07"/>
    <w:rsid w:val="00517211"/>
    <w:rsid w:val="00531968"/>
    <w:rsid w:val="005478BF"/>
    <w:rsid w:val="00567E25"/>
    <w:rsid w:val="005B15AA"/>
    <w:rsid w:val="005B50EA"/>
    <w:rsid w:val="005C1CC9"/>
    <w:rsid w:val="005C6578"/>
    <w:rsid w:val="0060078E"/>
    <w:rsid w:val="0061034A"/>
    <w:rsid w:val="00671DD3"/>
    <w:rsid w:val="0069154A"/>
    <w:rsid w:val="00697677"/>
    <w:rsid w:val="006D5366"/>
    <w:rsid w:val="0070556B"/>
    <w:rsid w:val="00706FF6"/>
    <w:rsid w:val="00723A5A"/>
    <w:rsid w:val="00753CBD"/>
    <w:rsid w:val="0076111A"/>
    <w:rsid w:val="00767FC6"/>
    <w:rsid w:val="00771606"/>
    <w:rsid w:val="0077377C"/>
    <w:rsid w:val="0078770E"/>
    <w:rsid w:val="0081688D"/>
    <w:rsid w:val="00823C6F"/>
    <w:rsid w:val="00834BD4"/>
    <w:rsid w:val="00852B10"/>
    <w:rsid w:val="00857686"/>
    <w:rsid w:val="008A30AE"/>
    <w:rsid w:val="008D107A"/>
    <w:rsid w:val="008D50F9"/>
    <w:rsid w:val="008F1C83"/>
    <w:rsid w:val="00933EAE"/>
    <w:rsid w:val="00936615"/>
    <w:rsid w:val="009824EA"/>
    <w:rsid w:val="00986BF1"/>
    <w:rsid w:val="009B54BE"/>
    <w:rsid w:val="009C2FD5"/>
    <w:rsid w:val="00A2514C"/>
    <w:rsid w:val="00A8052C"/>
    <w:rsid w:val="00AF5B72"/>
    <w:rsid w:val="00B10F50"/>
    <w:rsid w:val="00B15418"/>
    <w:rsid w:val="00B324F3"/>
    <w:rsid w:val="00B42E59"/>
    <w:rsid w:val="00B56245"/>
    <w:rsid w:val="00B56A52"/>
    <w:rsid w:val="00B649E7"/>
    <w:rsid w:val="00BE3C84"/>
    <w:rsid w:val="00BF717B"/>
    <w:rsid w:val="00C22710"/>
    <w:rsid w:val="00C230DE"/>
    <w:rsid w:val="00C53E8B"/>
    <w:rsid w:val="00C55808"/>
    <w:rsid w:val="00C61D5E"/>
    <w:rsid w:val="00C61DB8"/>
    <w:rsid w:val="00C74A9D"/>
    <w:rsid w:val="00C96505"/>
    <w:rsid w:val="00CB19F0"/>
    <w:rsid w:val="00CD5E53"/>
    <w:rsid w:val="00CE1FC9"/>
    <w:rsid w:val="00CE3D73"/>
    <w:rsid w:val="00CF5864"/>
    <w:rsid w:val="00D06422"/>
    <w:rsid w:val="00D50E01"/>
    <w:rsid w:val="00D71F6F"/>
    <w:rsid w:val="00D7602F"/>
    <w:rsid w:val="00DA5183"/>
    <w:rsid w:val="00DE3354"/>
    <w:rsid w:val="00DF16FB"/>
    <w:rsid w:val="00E22E88"/>
    <w:rsid w:val="00E30386"/>
    <w:rsid w:val="00E53CCA"/>
    <w:rsid w:val="00E65A66"/>
    <w:rsid w:val="00E72A23"/>
    <w:rsid w:val="00E87CFE"/>
    <w:rsid w:val="00EA15BF"/>
    <w:rsid w:val="00EF142B"/>
    <w:rsid w:val="00EF5FB1"/>
    <w:rsid w:val="00F22A9E"/>
    <w:rsid w:val="00F4389A"/>
    <w:rsid w:val="00F67F7C"/>
    <w:rsid w:val="00FA43DC"/>
    <w:rsid w:val="00FD2EA2"/>
    <w:rsid w:val="00FF424F"/>
    <w:rsid w:val="021A7AB2"/>
    <w:rsid w:val="03394A33"/>
    <w:rsid w:val="079A2F60"/>
    <w:rsid w:val="0EDA71D8"/>
    <w:rsid w:val="0F4B4054"/>
    <w:rsid w:val="146F770F"/>
    <w:rsid w:val="1494750D"/>
    <w:rsid w:val="171C081B"/>
    <w:rsid w:val="17AA3858"/>
    <w:rsid w:val="1BDC194F"/>
    <w:rsid w:val="1C176C9A"/>
    <w:rsid w:val="1C1A2027"/>
    <w:rsid w:val="1C744ABA"/>
    <w:rsid w:val="20D12777"/>
    <w:rsid w:val="21F933BB"/>
    <w:rsid w:val="23523100"/>
    <w:rsid w:val="29807F86"/>
    <w:rsid w:val="299C7A5A"/>
    <w:rsid w:val="2A11057E"/>
    <w:rsid w:val="2B513852"/>
    <w:rsid w:val="2BFD1F5F"/>
    <w:rsid w:val="2C496C90"/>
    <w:rsid w:val="2E2D7B91"/>
    <w:rsid w:val="30EA1574"/>
    <w:rsid w:val="333F5C66"/>
    <w:rsid w:val="34272982"/>
    <w:rsid w:val="3607661D"/>
    <w:rsid w:val="37BA68FC"/>
    <w:rsid w:val="3E6D0269"/>
    <w:rsid w:val="3F550599"/>
    <w:rsid w:val="40441D2E"/>
    <w:rsid w:val="439240E9"/>
    <w:rsid w:val="45FF3647"/>
    <w:rsid w:val="48174852"/>
    <w:rsid w:val="4B000BF6"/>
    <w:rsid w:val="4FA04796"/>
    <w:rsid w:val="4FCE1E8D"/>
    <w:rsid w:val="536C25A9"/>
    <w:rsid w:val="57ED709C"/>
    <w:rsid w:val="5A981B72"/>
    <w:rsid w:val="5AB27FC2"/>
    <w:rsid w:val="5D7B610E"/>
    <w:rsid w:val="5E130541"/>
    <w:rsid w:val="5F0D7906"/>
    <w:rsid w:val="637067B4"/>
    <w:rsid w:val="638A327F"/>
    <w:rsid w:val="63CA72BA"/>
    <w:rsid w:val="64871A07"/>
    <w:rsid w:val="65504DA1"/>
    <w:rsid w:val="66166EA0"/>
    <w:rsid w:val="672B61CF"/>
    <w:rsid w:val="698E2D0D"/>
    <w:rsid w:val="6A68414A"/>
    <w:rsid w:val="6B5D5AAB"/>
    <w:rsid w:val="6B7F7544"/>
    <w:rsid w:val="6E1D22B5"/>
    <w:rsid w:val="720F52D8"/>
    <w:rsid w:val="72F46BAB"/>
    <w:rsid w:val="73986A62"/>
    <w:rsid w:val="778E20DA"/>
    <w:rsid w:val="78E25F16"/>
    <w:rsid w:val="7AFE23FE"/>
    <w:rsid w:val="7F727E1F"/>
    <w:rsid w:val="7FCD5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22"/>
    <w:qFormat/>
    <w:uiPriority w:val="0"/>
    <w:pPr>
      <w:keepNext/>
      <w:keepLines/>
      <w:spacing w:before="340" w:after="330" w:line="578" w:lineRule="auto"/>
      <w:jc w:val="both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  <w:lang w:val="zh-CN" w:eastAsia="zh-CN"/>
    </w:rPr>
  </w:style>
  <w:style w:type="paragraph" w:styleId="4">
    <w:name w:val="heading 2"/>
    <w:basedOn w:val="1"/>
    <w:next w:val="1"/>
    <w:link w:val="16"/>
    <w:qFormat/>
    <w:uiPriority w:val="1"/>
    <w:pPr>
      <w:spacing w:line="479" w:lineRule="exact"/>
      <w:outlineLvl w:val="1"/>
    </w:pPr>
    <w:rPr>
      <w:rFonts w:ascii="Microsoft YaHei UI" w:hAnsi="Microsoft YaHei UI" w:eastAsia="Microsoft YaHei UI"/>
      <w:spacing w:val="2"/>
      <w:sz w:val="32"/>
      <w:szCs w:val="32"/>
      <w:lang w:eastAsia="zh-CN"/>
    </w:rPr>
  </w:style>
  <w:style w:type="paragraph" w:styleId="5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2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Body Text"/>
    <w:basedOn w:val="1"/>
    <w:next w:val="1"/>
    <w:link w:val="18"/>
    <w:qFormat/>
    <w:uiPriority w:val="1"/>
    <w:pPr>
      <w:ind w:firstLine="200" w:firstLineChars="200"/>
      <w:jc w:val="both"/>
    </w:pPr>
    <w:rPr>
      <w:rFonts w:ascii="Microsoft YaHei UI" w:hAnsi="Microsoft YaHei UI" w:eastAsia="Microsoft YaHei UI"/>
      <w:sz w:val="21"/>
      <w:szCs w:val="21"/>
    </w:rPr>
  </w:style>
  <w:style w:type="paragraph" w:styleId="7">
    <w:name w:val="toc 3"/>
    <w:basedOn w:val="1"/>
    <w:next w:val="1"/>
    <w:unhideWhenUsed/>
    <w:qFormat/>
    <w:uiPriority w:val="39"/>
    <w:pPr>
      <w:widowControl/>
      <w:spacing w:after="100" w:line="259" w:lineRule="auto"/>
      <w:ind w:left="440"/>
    </w:pPr>
    <w:rPr>
      <w:rFonts w:cs="Times New Roman"/>
      <w:lang w:eastAsia="zh-CN"/>
    </w:rPr>
  </w:style>
  <w:style w:type="paragraph" w:styleId="8">
    <w:name w:val="Balloon Text"/>
    <w:basedOn w:val="1"/>
    <w:link w:val="28"/>
    <w:semiHidden/>
    <w:unhideWhenUsed/>
    <w:qFormat/>
    <w:uiPriority w:val="99"/>
    <w:rPr>
      <w:sz w:val="18"/>
      <w:szCs w:val="18"/>
    </w:rPr>
  </w:style>
  <w:style w:type="paragraph" w:styleId="9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  <w:pPr>
      <w:widowControl/>
      <w:spacing w:after="100" w:line="259" w:lineRule="auto"/>
    </w:pPr>
    <w:rPr>
      <w:rFonts w:cs="Times New Roman"/>
      <w:lang w:eastAsia="zh-CN"/>
    </w:rPr>
  </w:style>
  <w:style w:type="paragraph" w:styleId="11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semiHidden/>
    <w:unhideWhenUsed/>
    <w:qFormat/>
    <w:uiPriority w:val="99"/>
    <w:rPr>
      <w:color w:val="0000FF"/>
      <w:u w:val="single"/>
    </w:rPr>
  </w:style>
  <w:style w:type="character" w:customStyle="1" w:styleId="16">
    <w:name w:val="标题 2 字符"/>
    <w:basedOn w:val="14"/>
    <w:link w:val="4"/>
    <w:qFormat/>
    <w:uiPriority w:val="1"/>
    <w:rPr>
      <w:rFonts w:ascii="Microsoft YaHei UI" w:hAnsi="Microsoft YaHei UI" w:eastAsia="Microsoft YaHei UI"/>
      <w:spacing w:val="2"/>
      <w:kern w:val="0"/>
      <w:sz w:val="32"/>
      <w:szCs w:val="32"/>
    </w:rPr>
  </w:style>
  <w:style w:type="table" w:customStyle="1" w:styleId="17">
    <w:name w:val="Table Normal"/>
    <w:semiHidden/>
    <w:unhideWhenUsed/>
    <w:qFormat/>
    <w:uiPriority w:val="2"/>
    <w:pPr>
      <w:widowControl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8">
    <w:name w:val="正文文本 字符"/>
    <w:basedOn w:val="14"/>
    <w:link w:val="6"/>
    <w:qFormat/>
    <w:uiPriority w:val="1"/>
    <w:rPr>
      <w:rFonts w:ascii="Microsoft YaHei UI" w:hAnsi="Microsoft YaHei UI" w:eastAsia="Microsoft YaHei UI"/>
      <w:kern w:val="0"/>
      <w:szCs w:val="21"/>
      <w:lang w:eastAsia="en-US"/>
    </w:rPr>
  </w:style>
  <w:style w:type="paragraph" w:customStyle="1" w:styleId="19">
    <w:name w:val="正文_0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20">
    <w:name w:val="Table Paragraph"/>
    <w:basedOn w:val="1"/>
    <w:qFormat/>
    <w:uiPriority w:val="1"/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2">
    <w:name w:val="标题 1 字符"/>
    <w:basedOn w:val="14"/>
    <w:link w:val="3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  <w:lang w:val="zh-CN" w:eastAsia="zh-CN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paragraph" w:customStyle="1" w:styleId="24">
    <w:name w:val="列出段落1"/>
    <w:basedOn w:val="1"/>
    <w:qFormat/>
    <w:uiPriority w:val="34"/>
    <w:pPr>
      <w:ind w:firstLine="420" w:firstLineChars="200"/>
      <w:jc w:val="both"/>
    </w:pPr>
    <w:rPr>
      <w:rFonts w:ascii="Calibri" w:hAnsi="Calibri" w:eastAsia="宋体" w:cs="Times New Roman"/>
      <w:kern w:val="2"/>
      <w:sz w:val="21"/>
      <w:lang w:eastAsia="zh-CN"/>
    </w:rPr>
  </w:style>
  <w:style w:type="paragraph" w:customStyle="1" w:styleId="25">
    <w:name w:val="设计正文2"/>
    <w:basedOn w:val="1"/>
    <w:qFormat/>
    <w:uiPriority w:val="0"/>
    <w:pPr>
      <w:snapToGrid w:val="0"/>
      <w:spacing w:before="160" w:line="320" w:lineRule="atLeast"/>
      <w:jc w:val="both"/>
    </w:pPr>
    <w:rPr>
      <w:rFonts w:ascii="Times New Roman" w:hAnsi="Times New Roman" w:eastAsia="宋体" w:cs="Times New Roman"/>
      <w:kern w:val="2"/>
      <w:sz w:val="24"/>
      <w:szCs w:val="20"/>
      <w:lang w:eastAsia="zh-CN"/>
    </w:rPr>
  </w:style>
  <w:style w:type="character" w:customStyle="1" w:styleId="26">
    <w:name w:val="页眉 字符"/>
    <w:basedOn w:val="14"/>
    <w:link w:val="9"/>
    <w:qFormat/>
    <w:uiPriority w:val="99"/>
    <w:rPr>
      <w:kern w:val="0"/>
      <w:sz w:val="18"/>
      <w:szCs w:val="18"/>
      <w:lang w:eastAsia="en-US"/>
    </w:rPr>
  </w:style>
  <w:style w:type="character" w:customStyle="1" w:styleId="27">
    <w:name w:val="页脚 字符"/>
    <w:basedOn w:val="14"/>
    <w:link w:val="2"/>
    <w:qFormat/>
    <w:uiPriority w:val="99"/>
    <w:rPr>
      <w:kern w:val="0"/>
      <w:sz w:val="18"/>
      <w:szCs w:val="18"/>
      <w:lang w:eastAsia="en-US"/>
    </w:rPr>
  </w:style>
  <w:style w:type="character" w:customStyle="1" w:styleId="28">
    <w:name w:val="批注框文本 字符"/>
    <w:basedOn w:val="14"/>
    <w:link w:val="8"/>
    <w:semiHidden/>
    <w:qFormat/>
    <w:uiPriority w:val="99"/>
    <w:rPr>
      <w:kern w:val="0"/>
      <w:sz w:val="18"/>
      <w:szCs w:val="18"/>
      <w:lang w:eastAsia="en-US"/>
    </w:rPr>
  </w:style>
  <w:style w:type="paragraph" w:customStyle="1" w:styleId="29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character" w:customStyle="1" w:styleId="30">
    <w:name w:val="fontstyle01"/>
    <w:basedOn w:val="14"/>
    <w:uiPriority w:val="0"/>
    <w:rPr>
      <w:rFonts w:ascii="宋体" w:hAnsi="宋体" w:eastAsia="宋体" w:cs="宋体"/>
      <w:color w:val="000000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1568</Words>
  <Characters>2127</Characters>
  <Lines>14</Lines>
  <Paragraphs>4</Paragraphs>
  <TotalTime>1</TotalTime>
  <ScaleCrop>false</ScaleCrop>
  <LinksUpToDate>false</LinksUpToDate>
  <CharactersWithSpaces>2282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2023-05-10T03:06:00Z</dcterms:created>
  <dc:creator>王琴</dc:creator>
  <cp:lastModifiedBy>王晓刚</cp:lastModifiedBy>
  <cp:lastPrinted>2023-08-23T08:18:00Z</cp:lastPrinted>
  <dcterms:modified xsi:type="dcterms:W3CDTF">2026-06-10T07:44:53Z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937E0E959C7A483DB386DEA228170036_13</vt:lpwstr>
  </property>
</Properties>
</file>