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20" w:after="120"/>
        <w:ind w:right="-20"/>
        <w:jc w:val="center"/>
        <w:rPr>
          <w:rFonts w:ascii="Arial Unicode MS" w:eastAsia="Arial Unicode MS" w:cs="Arial Unicode MS"/>
          <w:b/>
          <w:spacing w:val="2"/>
          <w:w w:val="99"/>
          <w:sz w:val="52"/>
          <w:szCs w:val="52"/>
        </w:rPr>
      </w:pPr>
      <w:r>
        <w:rPr>
          <w:rFonts w:ascii="Arial Unicode MS" w:eastAsia="Arial Unicode MS" w:cs="Arial Unicode MS"/>
          <w:b/>
          <w:spacing w:val="2"/>
          <w:w w:val="99"/>
          <w:sz w:val="52"/>
          <w:szCs w:val="52"/>
        </w:rPr>
        <w:drawing>
          <wp:anchor distT="0" distB="0" distL="114300" distR="114300" simplePos="0" relativeHeight="251659264" behindDoc="1" locked="0" layoutInCell="1" allowOverlap="1">
            <wp:simplePos x="0" y="0"/>
            <wp:positionH relativeFrom="column">
              <wp:posOffset>2009140</wp:posOffset>
            </wp:positionH>
            <wp:positionV relativeFrom="paragraph">
              <wp:posOffset>20320</wp:posOffset>
            </wp:positionV>
            <wp:extent cx="1596390" cy="1438275"/>
            <wp:effectExtent l="0" t="0" r="3810" b="9525"/>
            <wp:wrapTight wrapText="bothSides">
              <wp:wrapPolygon>
                <wp:start x="7475" y="0"/>
                <wp:lineTo x="2320" y="4577"/>
                <wp:lineTo x="1031" y="6294"/>
                <wp:lineTo x="0" y="8297"/>
                <wp:lineTo x="0" y="15163"/>
                <wp:lineTo x="1289" y="18310"/>
                <wp:lineTo x="1289" y="18596"/>
                <wp:lineTo x="5155" y="21457"/>
                <wp:lineTo x="5671" y="21457"/>
                <wp:lineTo x="11341" y="21457"/>
                <wp:lineTo x="12115" y="21457"/>
                <wp:lineTo x="15465" y="18882"/>
                <wp:lineTo x="17527" y="14305"/>
                <wp:lineTo x="17527" y="13732"/>
                <wp:lineTo x="21394" y="12016"/>
                <wp:lineTo x="21394" y="8869"/>
                <wp:lineTo x="14950" y="4577"/>
                <wp:lineTo x="9537" y="0"/>
                <wp:lineTo x="7475"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6390" cy="1438275"/>
                    </a:xfrm>
                    <a:prstGeom prst="rect">
                      <a:avLst/>
                    </a:prstGeom>
                  </pic:spPr>
                </pic:pic>
              </a:graphicData>
            </a:graphic>
          </wp:anchor>
        </w:drawing>
      </w:r>
    </w:p>
    <w:p>
      <w:pPr>
        <w:autoSpaceDE w:val="0"/>
        <w:autoSpaceDN w:val="0"/>
        <w:spacing w:before="120" w:after="120"/>
        <w:ind w:right="-20"/>
        <w:jc w:val="center"/>
        <w:rPr>
          <w:rFonts w:ascii="Arial Unicode MS" w:eastAsia="Arial Unicode MS" w:cs="Arial Unicode MS"/>
          <w:b/>
          <w:spacing w:val="2"/>
          <w:w w:val="99"/>
          <w:sz w:val="52"/>
          <w:szCs w:val="52"/>
        </w:rPr>
      </w:pPr>
    </w:p>
    <w:p>
      <w:pPr>
        <w:autoSpaceDE w:val="0"/>
        <w:autoSpaceDN w:val="0"/>
        <w:spacing w:before="120" w:after="120"/>
        <w:ind w:right="-20"/>
        <w:jc w:val="center"/>
        <w:rPr>
          <w:rFonts w:ascii="微软雅黑" w:hAnsi="微软雅黑" w:eastAsia="微软雅黑" w:cs="Arial Unicode MS"/>
          <w:b/>
          <w:spacing w:val="2"/>
          <w:w w:val="99"/>
          <w:sz w:val="52"/>
          <w:szCs w:val="52"/>
        </w:rPr>
      </w:pPr>
    </w:p>
    <w:p>
      <w:pPr>
        <w:jc w:val="center"/>
        <w:rPr>
          <w:rFonts w:ascii="微软雅黑" w:hAnsi="微软雅黑" w:eastAsia="微软雅黑" w:cs="Arial Unicode MS"/>
          <w:color w:val="000000"/>
          <w:spacing w:val="2"/>
          <w:w w:val="99"/>
          <w:sz w:val="52"/>
          <w:szCs w:val="52"/>
        </w:rPr>
      </w:pPr>
      <w:r>
        <w:rPr>
          <w:rFonts w:hint="eastAsia" w:ascii="微软雅黑" w:hAnsi="微软雅黑" w:eastAsia="微软雅黑" w:cs="Arial Unicode MS"/>
          <w:color w:val="000000"/>
          <w:spacing w:val="2"/>
          <w:w w:val="99"/>
          <w:sz w:val="52"/>
          <w:szCs w:val="52"/>
        </w:rPr>
        <w:t>中海油能源发展股份有限公司</w:t>
      </w:r>
    </w:p>
    <w:p>
      <w:pPr>
        <w:jc w:val="center"/>
        <w:rPr>
          <w:rFonts w:ascii="微软雅黑" w:hAnsi="微软雅黑" w:eastAsia="微软雅黑" w:cs="Arial Unicode MS"/>
          <w:b/>
          <w:spacing w:val="2"/>
          <w:w w:val="99"/>
          <w:sz w:val="52"/>
          <w:szCs w:val="52"/>
        </w:rPr>
      </w:pPr>
    </w:p>
    <w:p>
      <w:pPr>
        <w:jc w:val="center"/>
        <w:rPr>
          <w:rFonts w:hint="default" w:ascii="微软雅黑" w:hAnsi="微软雅黑" w:eastAsia="微软雅黑" w:cs="Arial Unicode MS"/>
          <w:spacing w:val="2"/>
          <w:w w:val="99"/>
          <w:sz w:val="52"/>
          <w:szCs w:val="52"/>
          <w:u w:val="single"/>
          <w:lang w:val="en-US" w:eastAsia="zh-CN"/>
        </w:rPr>
      </w:pPr>
      <w:r>
        <w:rPr>
          <w:rFonts w:hint="default" w:ascii="微软雅黑" w:hAnsi="微软雅黑" w:eastAsia="微软雅黑" w:cs="Arial Unicode MS"/>
          <w:spacing w:val="2"/>
          <w:w w:val="99"/>
          <w:sz w:val="52"/>
          <w:szCs w:val="52"/>
          <w:u w:val="single"/>
          <w:lang w:val="en-US" w:eastAsia="zh-CN"/>
        </w:rPr>
        <w:t>舟山物流公司2台空压机及配套干燥器、储气罐、管线阀门更换</w:t>
      </w:r>
      <w:r>
        <w:rPr>
          <w:rFonts w:hint="eastAsia" w:ascii="微软雅黑" w:hAnsi="微软雅黑" w:eastAsia="微软雅黑" w:cs="Arial Unicode MS"/>
          <w:spacing w:val="2"/>
          <w:w w:val="99"/>
          <w:sz w:val="52"/>
          <w:szCs w:val="52"/>
          <w:u w:val="single"/>
          <w:lang w:val="en-US" w:eastAsia="zh-CN"/>
        </w:rPr>
        <w:t>服务</w:t>
      </w:r>
    </w:p>
    <w:p>
      <w:pPr>
        <w:jc w:val="center"/>
        <w:rPr>
          <w:rFonts w:ascii="微软雅黑" w:hAnsi="微软雅黑" w:eastAsia="微软雅黑" w:cs="Arial Unicode MS"/>
          <w:b/>
          <w:spacing w:val="2"/>
          <w:w w:val="99"/>
          <w:sz w:val="52"/>
          <w:szCs w:val="52"/>
        </w:rPr>
      </w:pPr>
      <w:r>
        <w:rPr>
          <w:rFonts w:hint="eastAsia" w:ascii="微软雅黑" w:hAnsi="微软雅黑" w:eastAsia="微软雅黑" w:cs="Arial Unicode MS"/>
          <w:b/>
          <w:spacing w:val="2"/>
          <w:w w:val="99"/>
          <w:sz w:val="52"/>
          <w:szCs w:val="52"/>
        </w:rPr>
        <w:t>采购技术要求书</w:t>
      </w:r>
    </w:p>
    <w:p>
      <w:pPr>
        <w:autoSpaceDE w:val="0"/>
        <w:autoSpaceDN w:val="0"/>
        <w:spacing w:before="120" w:after="120" w:line="480" w:lineRule="auto"/>
        <w:ind w:right="-23" w:firstLine="720" w:firstLineChars="200"/>
        <w:rPr>
          <w:rFonts w:ascii="Arial Unicode MS" w:eastAsia="Arial Unicode MS" w:cs="Arial Unicode MS"/>
          <w:spacing w:val="2"/>
          <w:w w:val="99"/>
          <w:sz w:val="36"/>
          <w:szCs w:val="36"/>
        </w:rPr>
      </w:pPr>
      <w:r>
        <w:rPr>
          <w:rFonts w:hint="eastAsia" w:ascii="Arial Unicode MS" w:eastAsia="Arial Unicode MS" w:cs="Arial Unicode MS"/>
          <w:spacing w:val="2"/>
          <w:w w:val="99"/>
          <w:sz w:val="36"/>
          <w:szCs w:val="36"/>
        </w:rPr>
        <w:t xml:space="preserve">           </w:t>
      </w:r>
    </w:p>
    <w:p>
      <w:pPr>
        <w:pStyle w:val="16"/>
        <w:rPr>
          <w:rFonts w:ascii="Arial Unicode MS" w:eastAsia="Arial Unicode MS" w:cs="Arial Unicode MS"/>
          <w:spacing w:val="2"/>
          <w:w w:val="99"/>
          <w:sz w:val="36"/>
          <w:szCs w:val="36"/>
        </w:rPr>
      </w:pPr>
    </w:p>
    <w:p>
      <w:pPr>
        <w:autoSpaceDE w:val="0"/>
        <w:autoSpaceDN w:val="0"/>
        <w:spacing w:before="120" w:after="120" w:line="720" w:lineRule="auto"/>
        <w:ind w:right="-20"/>
        <w:rPr>
          <w:rFonts w:hint="eastAsia" w:ascii="Arial Unicode MS" w:eastAsia="Arial Unicode MS" w:cs="Arial Unicode MS"/>
          <w:spacing w:val="2"/>
          <w:w w:val="99"/>
          <w:sz w:val="36"/>
          <w:szCs w:val="36"/>
          <w:highlight w:val="none"/>
          <w:lang w:val="en-US" w:eastAsia="zh-CN"/>
        </w:rPr>
      </w:pPr>
      <w:r>
        <w:rPr>
          <w:rFonts w:hint="eastAsia" w:ascii="Arial Unicode MS" w:eastAsia="Arial Unicode MS" w:cs="Arial Unicode MS"/>
          <w:spacing w:val="2"/>
          <w:w w:val="99"/>
          <w:sz w:val="36"/>
          <w:szCs w:val="36"/>
          <w:highlight w:val="none"/>
          <w:lang w:eastAsia="zh-CN"/>
        </w:rPr>
        <w:t xml:space="preserve">   </w:t>
      </w:r>
      <w:r>
        <w:rPr>
          <w:rFonts w:hint="eastAsia" w:ascii="Arial Unicode MS" w:eastAsia="Arial Unicode MS" w:cs="Arial Unicode MS"/>
          <w:spacing w:val="2"/>
          <w:w w:val="99"/>
          <w:sz w:val="36"/>
          <w:szCs w:val="36"/>
          <w:highlight w:val="none"/>
          <w:lang w:val="en-US" w:eastAsia="zh-CN"/>
        </w:rPr>
        <w:t xml:space="preserve">        </w:t>
      </w:r>
    </w:p>
    <w:p>
      <w:pPr>
        <w:pStyle w:val="2"/>
        <w:rPr>
          <w:lang w:eastAsia="zh-CN"/>
        </w:rPr>
      </w:pPr>
      <w:bookmarkStart w:id="50" w:name="_GoBack"/>
      <w:bookmarkEnd w:id="50"/>
    </w:p>
    <w:p>
      <w:pPr>
        <w:rPr>
          <w:rFonts w:ascii="Arial Unicode MS" w:eastAsia="Arial Unicode MS" w:cs="Arial Unicode MS"/>
          <w:spacing w:val="2"/>
          <w:w w:val="99"/>
          <w:sz w:val="36"/>
          <w:szCs w:val="36"/>
        </w:rPr>
      </w:pPr>
    </w:p>
    <w:p>
      <w:pPr>
        <w:pStyle w:val="8"/>
        <w:ind w:left="0" w:leftChars="0" w:firstLine="0" w:firstLineChars="0"/>
        <w:rPr>
          <w:rFonts w:ascii="Arial Unicode MS" w:eastAsia="Arial Unicode MS" w:cs="Arial Unicode MS"/>
          <w:spacing w:val="2"/>
          <w:w w:val="99"/>
          <w:sz w:val="36"/>
          <w:szCs w:val="36"/>
        </w:rPr>
      </w:pPr>
    </w:p>
    <w:p/>
    <w:p>
      <w:pPr>
        <w:pStyle w:val="17"/>
        <w:numPr>
          <w:ilvl w:val="0"/>
          <w:numId w:val="1"/>
        </w:numPr>
        <w:rPr>
          <w:rFonts w:hint="eastAsia"/>
        </w:rPr>
      </w:pPr>
      <w:r>
        <w:t>项目概况及总体要求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lang w:val="en-US" w:eastAsia="zh-CN" w:bidi="ar-SA"/>
        </w:rPr>
        <w:t>中海油（舟山）能源物流有限公司综合作业班输灰站负责提供海上大宗料输船供应服务，其中最重要动力源设备之一是空压机，专门为大宗料拆包入罐、粉料输船提供气源动力，空</w:t>
      </w:r>
      <w:r>
        <w:rPr>
          <w:rFonts w:hint="eastAsia" w:ascii="宋体" w:hAnsi="宋体" w:eastAsia="宋体" w:cs="宋体"/>
          <w:sz w:val="21"/>
          <w:szCs w:val="21"/>
          <w:highlight w:val="none"/>
          <w:lang w:val="en-US" w:eastAsia="zh-CN" w:bidi="ar-SA"/>
        </w:rPr>
        <w:t>压机设备的效率和稳定运行决定了大宗料输船供应服务的质量。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舟山物流公司的1#、2#空压机系统于2005年12月投入使用，属于3级能效等级，已经使用20余年，根据集团公司《关于进一步加强节能降碳工作的通知》关于更换3级能效及以下设备的要求，现需更换1#、2#空压机系统。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ascii="宋体" w:hAnsi="宋体" w:eastAsia="宋体" w:cs="宋体"/>
          <w:sz w:val="21"/>
          <w:szCs w:val="21"/>
          <w:highlight w:val="none"/>
          <w:lang w:val="en-US" w:eastAsia="zh-CN" w:bidi="ar-SA"/>
        </w:rPr>
        <w:t>根据现场作业需要，需采购2套空压机及配套干燥器、储气罐、管线阀门等，永磁变频螺杆式空压机需电动机驱动，排气量≥32.8m³/min，功率160KW，最大压力10bar，能效为一级能效，且具备海洋防风，防腐，保温要求，机器更节能，更稳定，更适合现场工作环境。</w:t>
      </w:r>
    </w:p>
    <w:p>
      <w:pPr>
        <w:pStyle w:val="17"/>
        <w:numPr>
          <w:ilvl w:val="0"/>
          <w:numId w:val="1"/>
        </w:numPr>
        <w:ind w:left="720" w:leftChars="0" w:hanging="720" w:firstLineChars="0"/>
        <w:rPr>
          <w:highlight w:val="none"/>
        </w:rPr>
      </w:pPr>
      <w:r>
        <w:rPr>
          <w:highlight w:val="none"/>
        </w:rPr>
        <w:t>需求一览</w:t>
      </w:r>
    </w:p>
    <w:tbl>
      <w:tblPr>
        <w:tblStyle w:val="11"/>
        <w:tblW w:w="82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9"/>
        <w:gridCol w:w="810"/>
        <w:gridCol w:w="780"/>
        <w:gridCol w:w="4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959" w:type="dxa"/>
            <w:noWrap w:val="0"/>
            <w:vAlign w:val="center"/>
          </w:tcPr>
          <w:p>
            <w:pPr>
              <w:pStyle w:val="8"/>
              <w:numPr>
                <w:ilvl w:val="0"/>
                <w:numId w:val="0"/>
              </w:numPr>
              <w:spacing w:line="257" w:lineRule="auto"/>
              <w:ind w:right="115" w:rightChars="55"/>
              <w:jc w:val="center"/>
              <w:rPr>
                <w:rFonts w:hint="eastAsia"/>
                <w:highlight w:val="none"/>
                <w:lang w:val="en-US" w:eastAsia="zh-CN"/>
              </w:rPr>
            </w:pPr>
            <w:r>
              <w:rPr>
                <w:rFonts w:hint="eastAsia"/>
                <w:highlight w:val="none"/>
                <w:lang w:val="en-US" w:eastAsia="zh-CN"/>
              </w:rPr>
              <w:t>项目名称</w:t>
            </w:r>
          </w:p>
        </w:tc>
        <w:tc>
          <w:tcPr>
            <w:tcW w:w="810" w:type="dxa"/>
            <w:noWrap w:val="0"/>
            <w:vAlign w:val="center"/>
          </w:tcPr>
          <w:p>
            <w:pPr>
              <w:pStyle w:val="8"/>
              <w:numPr>
                <w:ilvl w:val="0"/>
                <w:numId w:val="0"/>
              </w:numPr>
              <w:spacing w:line="257" w:lineRule="auto"/>
              <w:ind w:right="115" w:rightChars="55"/>
              <w:jc w:val="center"/>
              <w:rPr>
                <w:rFonts w:hint="eastAsia"/>
                <w:highlight w:val="none"/>
                <w:lang w:val="en-US" w:eastAsia="zh-CN"/>
              </w:rPr>
            </w:pPr>
            <w:r>
              <w:rPr>
                <w:rFonts w:hint="eastAsia"/>
                <w:highlight w:val="none"/>
                <w:lang w:val="en-US" w:eastAsia="zh-CN"/>
              </w:rPr>
              <w:t>单位</w:t>
            </w:r>
          </w:p>
        </w:tc>
        <w:tc>
          <w:tcPr>
            <w:tcW w:w="780" w:type="dxa"/>
            <w:noWrap w:val="0"/>
            <w:vAlign w:val="center"/>
          </w:tcPr>
          <w:p>
            <w:pPr>
              <w:pStyle w:val="8"/>
              <w:numPr>
                <w:ilvl w:val="0"/>
                <w:numId w:val="0"/>
              </w:numPr>
              <w:spacing w:line="257" w:lineRule="auto"/>
              <w:ind w:right="115" w:rightChars="55"/>
              <w:jc w:val="center"/>
              <w:rPr>
                <w:rFonts w:hint="eastAsia"/>
                <w:highlight w:val="none"/>
                <w:lang w:val="en-US" w:eastAsia="zh-CN"/>
              </w:rPr>
            </w:pPr>
            <w:r>
              <w:rPr>
                <w:rFonts w:hint="eastAsia"/>
                <w:highlight w:val="none"/>
                <w:lang w:val="en-US" w:eastAsia="zh-CN"/>
              </w:rPr>
              <w:t>数量</w:t>
            </w:r>
          </w:p>
        </w:tc>
        <w:tc>
          <w:tcPr>
            <w:tcW w:w="4725" w:type="dxa"/>
            <w:noWrap w:val="0"/>
            <w:vAlign w:val="center"/>
          </w:tcPr>
          <w:p>
            <w:pPr>
              <w:pStyle w:val="8"/>
              <w:numPr>
                <w:ilvl w:val="0"/>
                <w:numId w:val="0"/>
              </w:numPr>
              <w:spacing w:line="257" w:lineRule="auto"/>
              <w:ind w:right="115" w:rightChars="55"/>
              <w:jc w:val="center"/>
              <w:rPr>
                <w:rFonts w:hint="eastAsia"/>
                <w:highlight w:val="none"/>
                <w:lang w:val="en-US" w:eastAsia="zh-CN"/>
              </w:rPr>
            </w:pPr>
            <w:r>
              <w:rPr>
                <w:rFonts w:hint="eastAsia"/>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1959" w:type="dxa"/>
            <w:noWrap w:val="0"/>
            <w:vAlign w:val="center"/>
          </w:tcPr>
          <w:p>
            <w:pPr>
              <w:pStyle w:val="8"/>
              <w:numPr>
                <w:ilvl w:val="0"/>
                <w:numId w:val="0"/>
              </w:numPr>
              <w:spacing w:line="257" w:lineRule="auto"/>
              <w:ind w:right="115" w:rightChars="55"/>
              <w:rPr>
                <w:rFonts w:hint="default"/>
                <w:highlight w:val="none"/>
                <w:lang w:val="en-US" w:eastAsia="zh-CN"/>
              </w:rPr>
            </w:pPr>
            <w:r>
              <w:rPr>
                <w:rFonts w:hint="default"/>
                <w:highlight w:val="none"/>
                <w:lang w:val="en-US" w:eastAsia="zh-CN"/>
              </w:rPr>
              <w:t>2台空压机及配套干燥器、储气罐、管线阀门更换服务</w:t>
            </w:r>
          </w:p>
        </w:tc>
        <w:tc>
          <w:tcPr>
            <w:tcW w:w="810" w:type="dxa"/>
            <w:noWrap w:val="0"/>
            <w:vAlign w:val="center"/>
          </w:tcPr>
          <w:p>
            <w:pPr>
              <w:pStyle w:val="8"/>
              <w:numPr>
                <w:ilvl w:val="0"/>
                <w:numId w:val="0"/>
              </w:numPr>
              <w:spacing w:line="257" w:lineRule="auto"/>
              <w:ind w:right="115" w:rightChars="55"/>
              <w:rPr>
                <w:rFonts w:hint="eastAsia"/>
                <w:highlight w:val="none"/>
                <w:lang w:val="en-US" w:eastAsia="zh-CN"/>
              </w:rPr>
            </w:pPr>
            <w:r>
              <w:rPr>
                <w:rFonts w:hint="eastAsia"/>
                <w:highlight w:val="none"/>
                <w:lang w:val="en-US" w:eastAsia="zh-CN"/>
              </w:rPr>
              <w:t>项</w:t>
            </w:r>
          </w:p>
        </w:tc>
        <w:tc>
          <w:tcPr>
            <w:tcW w:w="780" w:type="dxa"/>
            <w:noWrap w:val="0"/>
            <w:vAlign w:val="center"/>
          </w:tcPr>
          <w:p>
            <w:pPr>
              <w:pStyle w:val="8"/>
              <w:numPr>
                <w:ilvl w:val="0"/>
                <w:numId w:val="0"/>
              </w:numPr>
              <w:spacing w:line="257" w:lineRule="auto"/>
              <w:ind w:right="115" w:rightChars="55"/>
              <w:rPr>
                <w:rFonts w:hint="eastAsia"/>
                <w:highlight w:val="none"/>
                <w:lang w:val="en-US" w:eastAsia="zh-CN"/>
              </w:rPr>
            </w:pPr>
            <w:r>
              <w:rPr>
                <w:rFonts w:hint="eastAsia"/>
                <w:highlight w:val="none"/>
                <w:lang w:val="en-US" w:eastAsia="zh-CN"/>
              </w:rPr>
              <w:t>1</w:t>
            </w:r>
          </w:p>
        </w:tc>
        <w:tc>
          <w:tcPr>
            <w:tcW w:w="4725" w:type="dxa"/>
            <w:noWrap w:val="0"/>
            <w:vAlign w:val="center"/>
          </w:tcPr>
          <w:p>
            <w:pPr>
              <w:pStyle w:val="6"/>
              <w:jc w:val="left"/>
              <w:rPr>
                <w:rFonts w:hint="default"/>
                <w:highlight w:val="none"/>
                <w:lang w:val="en-US" w:eastAsia="zh-CN"/>
              </w:rPr>
            </w:pPr>
            <w:r>
              <w:rPr>
                <w:rFonts w:hint="eastAsia" w:ascii="宋体" w:hAnsi="宋体" w:eastAsia="宋体" w:cs="宋体"/>
                <w:b w:val="0"/>
                <w:bCs/>
                <w:spacing w:val="0"/>
                <w:sz w:val="21"/>
                <w:szCs w:val="21"/>
                <w:highlight w:val="none"/>
                <w:lang w:val="en-US" w:eastAsia="zh-CN"/>
              </w:rPr>
              <w:t>包含2台永磁变频螺杆空压机（功率160KW，最大压力10bar每台，变频，一级能效）、2台干燥器（入口空气流量≥42 Nm3/min，入口空气压力≥ 6 bar，≤10 bar ，功率≥13.5KW）、3个储气罐（容积：10m³/8kg，材质：Q345R碳钢，直径：2000mm，总高：3572mm，重量：≤1460kg）以及配套旧的设备设施拆除，新的设备设施安装调试服务（包括但不限于空压机组外接排风口、气管线、支架的拆除安装、开关控制柜、集中控制以及监控系统、配套电缆等）</w:t>
            </w:r>
          </w:p>
        </w:tc>
      </w:tr>
    </w:tbl>
    <w:p>
      <w:pPr>
        <w:pStyle w:val="17"/>
        <w:numPr>
          <w:ilvl w:val="0"/>
          <w:numId w:val="0"/>
        </w:numPr>
        <w:ind w:leftChars="0"/>
        <w:rPr>
          <w:rFonts w:hint="eastAsia"/>
          <w:highlight w:val="none"/>
        </w:rPr>
      </w:pPr>
    </w:p>
    <w:p>
      <w:pPr>
        <w:pStyle w:val="17"/>
        <w:spacing w:before="120" w:after="120"/>
        <w:outlineLvl w:val="0"/>
        <w:rPr>
          <w:rFonts w:hint="eastAsia" w:ascii="微软雅黑" w:hAnsi="微软雅黑" w:eastAsia="微软雅黑" w:cs="Times New Roman"/>
          <w:color w:val="auto"/>
          <w:sz w:val="21"/>
          <w:szCs w:val="21"/>
          <w:highlight w:val="none"/>
        </w:rPr>
      </w:pPr>
      <w:r>
        <w:rPr>
          <w:rFonts w:hint="eastAsia" w:ascii="微软雅黑" w:hAnsi="微软雅黑" w:eastAsia="微软雅黑" w:cs="Times New Roman"/>
          <w:color w:val="auto"/>
          <w:sz w:val="21"/>
          <w:szCs w:val="21"/>
          <w:highlight w:val="none"/>
        </w:rPr>
        <w:t>三、执行标准/规范</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1.《CGBZ-IWZ0045-2024-采购标准-螺杆式空气压缩机》CGBZ008-ZB-2024 </w:t>
      </w:r>
    </w:p>
    <w:p>
      <w:pPr>
        <w:pStyle w:val="17"/>
        <w:spacing w:before="120" w:after="120"/>
        <w:outlineLvl w:val="0"/>
        <w:rPr>
          <w:rFonts w:hint="eastAsia" w:ascii="微软雅黑" w:hAnsi="微软雅黑" w:eastAsia="微软雅黑" w:cs="Times New Roman"/>
          <w:color w:val="auto"/>
          <w:sz w:val="21"/>
          <w:szCs w:val="21"/>
          <w:highlight w:val="none"/>
        </w:rPr>
      </w:pPr>
      <w:r>
        <w:rPr>
          <w:rFonts w:hint="eastAsia" w:ascii="微软雅黑" w:hAnsi="微软雅黑" w:eastAsia="微软雅黑" w:cs="Times New Roman"/>
          <w:color w:val="auto"/>
          <w:sz w:val="21"/>
          <w:szCs w:val="21"/>
          <w:highlight w:val="none"/>
        </w:rPr>
        <w:t>四、设计/使用条件</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1.设计要求: </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(1)为保证空气压缩机安全、可靠运行，应具有控制排气温度、机组振动及防止空压</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机转子反转等措施，空压机配备空间除湿加热器； </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hAnsi="宋体" w:cs="宋体"/>
          <w:b w:val="0"/>
          <w:bCs w:val="0"/>
          <w:sz w:val="21"/>
          <w:szCs w:val="21"/>
          <w:highlight w:val="none"/>
          <w:lang w:val="en-US" w:eastAsia="zh-CN" w:bidi="ar-SA"/>
        </w:rPr>
        <w:t>（2）</w:t>
      </w:r>
      <w:r>
        <w:rPr>
          <w:rFonts w:hint="eastAsia" w:ascii="宋体" w:hAnsi="宋体" w:eastAsia="宋体" w:cs="宋体"/>
          <w:b w:val="0"/>
          <w:bCs w:val="0"/>
          <w:sz w:val="21"/>
          <w:szCs w:val="21"/>
          <w:highlight w:val="none"/>
          <w:lang w:val="en-US" w:eastAsia="zh-CN" w:bidi="ar-SA"/>
        </w:rPr>
        <w:t>空压机</w:t>
      </w:r>
      <w:r>
        <w:rPr>
          <w:rFonts w:hint="eastAsia" w:hAnsi="宋体" w:cs="宋体"/>
          <w:b w:val="0"/>
          <w:bCs w:val="0"/>
          <w:sz w:val="21"/>
          <w:szCs w:val="21"/>
          <w:highlight w:val="none"/>
          <w:lang w:val="en-US" w:eastAsia="zh-CN" w:bidi="ar-SA"/>
        </w:rPr>
        <w:t>等设备</w:t>
      </w:r>
      <w:r>
        <w:rPr>
          <w:rFonts w:hint="eastAsia" w:ascii="宋体" w:hAnsi="宋体" w:eastAsia="宋体" w:cs="宋体"/>
          <w:b w:val="0"/>
          <w:bCs w:val="0"/>
          <w:sz w:val="21"/>
          <w:szCs w:val="21"/>
          <w:highlight w:val="none"/>
          <w:lang w:val="en-US" w:eastAsia="zh-CN" w:bidi="ar-SA"/>
        </w:rPr>
        <w:t xml:space="preserve">应防止漏水、漏气、漏油，为防止漏电危险，空压机必须有一条接地线； </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(3)设备加工必须符合国家相关标准及行业标准，同时必须遵守国际相关标准； </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(4)</w:t>
      </w:r>
      <w:r>
        <w:rPr>
          <w:rFonts w:hint="eastAsia" w:hAnsi="宋体" w:cs="宋体"/>
          <w:b w:val="0"/>
          <w:bCs w:val="0"/>
          <w:sz w:val="21"/>
          <w:szCs w:val="21"/>
          <w:highlight w:val="none"/>
          <w:lang w:val="en-US" w:eastAsia="zh-CN" w:bidi="ar-SA"/>
        </w:rPr>
        <w:t>每套</w:t>
      </w:r>
      <w:r>
        <w:rPr>
          <w:rFonts w:hint="eastAsia" w:ascii="宋体" w:hAnsi="宋体" w:eastAsia="宋体" w:cs="宋体"/>
          <w:b w:val="0"/>
          <w:bCs w:val="0"/>
          <w:sz w:val="21"/>
          <w:szCs w:val="21"/>
          <w:highlight w:val="none"/>
          <w:lang w:val="en-US" w:eastAsia="zh-CN" w:bidi="ar-SA"/>
        </w:rPr>
        <w:t>空压机</w:t>
      </w:r>
      <w:r>
        <w:rPr>
          <w:rFonts w:hint="eastAsia" w:hAnsi="宋体" w:cs="宋体"/>
          <w:b w:val="0"/>
          <w:bCs w:val="0"/>
          <w:sz w:val="21"/>
          <w:szCs w:val="21"/>
          <w:highlight w:val="none"/>
          <w:lang w:val="en-US" w:eastAsia="zh-CN" w:bidi="ar-SA"/>
        </w:rPr>
        <w:t>设备</w:t>
      </w:r>
      <w:r>
        <w:rPr>
          <w:rFonts w:hint="eastAsia" w:ascii="宋体" w:hAnsi="宋体" w:eastAsia="宋体" w:cs="宋体"/>
          <w:b w:val="0"/>
          <w:bCs w:val="0"/>
          <w:sz w:val="21"/>
          <w:szCs w:val="21"/>
          <w:highlight w:val="none"/>
          <w:lang w:val="en-US" w:eastAsia="zh-CN" w:bidi="ar-SA"/>
        </w:rPr>
        <w:t>需包括一级能效的永磁变频螺杆空压机、</w:t>
      </w:r>
      <w:r>
        <w:rPr>
          <w:rFonts w:hint="eastAsia" w:hAnsi="宋体" w:cs="宋体"/>
          <w:b w:val="0"/>
          <w:bCs w:val="0"/>
          <w:sz w:val="21"/>
          <w:szCs w:val="21"/>
          <w:highlight w:val="none"/>
          <w:lang w:val="en-US" w:eastAsia="zh-CN" w:bidi="ar-SA"/>
        </w:rPr>
        <w:t>干燥器、储气罐可以配套连接使用</w:t>
      </w:r>
      <w:r>
        <w:rPr>
          <w:rFonts w:hint="eastAsia" w:ascii="宋体" w:hAnsi="宋体" w:eastAsia="宋体" w:cs="宋体"/>
          <w:b w:val="0"/>
          <w:bCs w:val="0"/>
          <w:sz w:val="21"/>
          <w:szCs w:val="21"/>
          <w:highlight w:val="none"/>
          <w:lang w:val="en-US" w:eastAsia="zh-CN" w:bidi="ar-SA"/>
        </w:rPr>
        <w:t xml:space="preserve">。 </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2.到货/安装或使用地点: </w:t>
      </w:r>
      <w:r>
        <w:rPr>
          <w:rFonts w:hint="eastAsia" w:ascii="宋体" w:hAnsi="宋体" w:eastAsia="宋体" w:cs="宋体"/>
          <w:b w:val="0"/>
          <w:bCs/>
          <w:spacing w:val="0"/>
          <w:sz w:val="21"/>
          <w:szCs w:val="21"/>
          <w:highlight w:val="none"/>
          <w:lang w:val="en-US" w:eastAsia="zh-CN"/>
        </w:rPr>
        <w:t>舟山市定海区岑港街道中海油（舟山）能源物流有限公司输灰站</w:t>
      </w:r>
      <w:r>
        <w:rPr>
          <w:rFonts w:hint="eastAsia" w:ascii="宋体" w:hAnsi="宋体" w:eastAsia="宋体" w:cs="宋体"/>
          <w:b w:val="0"/>
          <w:bCs w:val="0"/>
          <w:sz w:val="21"/>
          <w:szCs w:val="21"/>
          <w:highlight w:val="none"/>
          <w:lang w:val="en-US" w:eastAsia="zh-CN" w:bidi="ar-SA"/>
        </w:rPr>
        <w:t>。</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3.作业环境要求: </w:t>
      </w:r>
    </w:p>
    <w:p>
      <w:pPr>
        <w:pStyle w:val="17"/>
        <w:spacing w:before="120" w:after="120"/>
        <w:outlineLvl w:val="0"/>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 xml:space="preserve">安装地点:室内；  </w:t>
      </w:r>
    </w:p>
    <w:p>
      <w:pPr>
        <w:pStyle w:val="17"/>
        <w:spacing w:before="120" w:after="120"/>
        <w:outlineLvl w:val="0"/>
        <w:rPr>
          <w:rFonts w:hint="eastAsia"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环境温度:-</w:t>
      </w:r>
      <w:r>
        <w:rPr>
          <w:rFonts w:hint="eastAsia" w:hAnsi="宋体" w:cs="宋体"/>
          <w:b w:val="0"/>
          <w:bCs w:val="0"/>
          <w:sz w:val="21"/>
          <w:szCs w:val="21"/>
          <w:highlight w:val="none"/>
          <w:lang w:val="en-US" w:eastAsia="zh-CN" w:bidi="ar-SA"/>
        </w:rPr>
        <w:t>10</w:t>
      </w:r>
      <w:r>
        <w:rPr>
          <w:rFonts w:hint="eastAsia" w:ascii="宋体" w:hAnsi="宋体" w:eastAsia="宋体" w:cs="宋体"/>
          <w:b w:val="0"/>
          <w:bCs w:val="0"/>
          <w:sz w:val="21"/>
          <w:szCs w:val="21"/>
          <w:highlight w:val="none"/>
          <w:lang w:val="en-US" w:eastAsia="zh-CN" w:bidi="ar-SA"/>
        </w:rPr>
        <w:t>℃~</w:t>
      </w:r>
      <w:r>
        <w:rPr>
          <w:rFonts w:hint="eastAsia" w:hAnsi="宋体" w:cs="宋体"/>
          <w:b w:val="0"/>
          <w:bCs w:val="0"/>
          <w:sz w:val="21"/>
          <w:szCs w:val="21"/>
          <w:highlight w:val="none"/>
          <w:lang w:val="en-US" w:eastAsia="zh-CN" w:bidi="ar-SA"/>
        </w:rPr>
        <w:t>50</w:t>
      </w:r>
      <w:r>
        <w:rPr>
          <w:rFonts w:hint="eastAsia" w:ascii="宋体" w:hAnsi="宋体" w:eastAsia="宋体" w:cs="宋体"/>
          <w:b w:val="0"/>
          <w:bCs w:val="0"/>
          <w:sz w:val="21"/>
          <w:szCs w:val="21"/>
          <w:highlight w:val="none"/>
          <w:lang w:val="en-US" w:eastAsia="zh-CN" w:bidi="ar-SA"/>
        </w:rPr>
        <w:t>℃</w:t>
      </w:r>
      <w:r>
        <w:rPr>
          <w:rFonts w:hint="eastAsia" w:cs="宋体"/>
          <w:b w:val="0"/>
          <w:bCs w:val="0"/>
          <w:sz w:val="21"/>
          <w:szCs w:val="21"/>
          <w:highlight w:val="none"/>
          <w:lang w:val="en-US" w:eastAsia="zh-CN" w:bidi="ar-SA"/>
        </w:rPr>
        <w:t>。</w:t>
      </w:r>
    </w:p>
    <w:p>
      <w:pPr>
        <w:pStyle w:val="17"/>
        <w:spacing w:before="120" w:after="120"/>
        <w:outlineLvl w:val="0"/>
        <w:rPr>
          <w:rFonts w:hint="default" w:cs="宋体"/>
          <w:b w:val="0"/>
          <w:bCs w:val="0"/>
          <w:sz w:val="21"/>
          <w:szCs w:val="21"/>
          <w:highlight w:val="none"/>
          <w:lang w:val="en-US" w:eastAsia="zh-CN" w:bidi="ar-SA"/>
        </w:rPr>
      </w:pPr>
      <w:r>
        <w:rPr>
          <w:rFonts w:hint="eastAsia" w:cs="宋体"/>
          <w:b w:val="0"/>
          <w:bCs w:val="0"/>
          <w:sz w:val="21"/>
          <w:szCs w:val="21"/>
          <w:highlight w:val="none"/>
          <w:lang w:val="en-US" w:eastAsia="zh-CN" w:bidi="ar-SA"/>
        </w:rPr>
        <w:t>环境湿度：30%~95%</w:t>
      </w:r>
    </w:p>
    <w:p>
      <w:pPr>
        <w:pStyle w:val="17"/>
        <w:spacing w:before="120" w:after="120"/>
        <w:outlineLvl w:val="0"/>
        <w:rPr>
          <w:rFonts w:hint="eastAsia" w:ascii="微软雅黑" w:hAnsi="微软雅黑" w:eastAsia="微软雅黑" w:cs="Times New Roman"/>
          <w:color w:val="auto"/>
          <w:sz w:val="21"/>
          <w:szCs w:val="21"/>
          <w:highlight w:val="none"/>
        </w:rPr>
      </w:pPr>
      <w:r>
        <w:rPr>
          <w:rFonts w:hint="eastAsia" w:ascii="微软雅黑" w:hAnsi="微软雅黑" w:eastAsia="微软雅黑" w:cs="Times New Roman"/>
          <w:color w:val="auto"/>
          <w:sz w:val="21"/>
          <w:szCs w:val="21"/>
          <w:highlight w:val="none"/>
        </w:rPr>
        <w:t>五、技术要求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空压机技术要求部分引用</w:t>
      </w:r>
      <w:r>
        <w:rPr>
          <w:rFonts w:hint="eastAsia" w:ascii="宋体" w:hAnsi="宋体" w:eastAsia="宋体" w:cs="宋体"/>
          <w:b w:val="0"/>
          <w:bCs w:val="0"/>
          <w:sz w:val="21"/>
          <w:szCs w:val="21"/>
          <w:highlight w:val="none"/>
          <w:lang w:val="en-US" w:eastAsia="zh-CN" w:bidi="ar-SA"/>
        </w:rPr>
        <w:t>《CGBZ-IWZ0045-2024-采购标准-螺杆式空气压缩机》</w:t>
      </w:r>
      <w:r>
        <w:rPr>
          <w:rFonts w:hint="eastAsia" w:ascii="宋体" w:hAnsi="宋体" w:eastAsia="宋体" w:cs="宋体"/>
          <w:b w:val="0"/>
          <w:bCs/>
          <w:spacing w:val="0"/>
          <w:sz w:val="21"/>
          <w:szCs w:val="21"/>
          <w:highlight w:val="none"/>
          <w:lang w:val="en-US" w:eastAsia="zh-CN" w:bidi="ar-SA"/>
        </w:rPr>
        <w:t>,以下为引用标准中所列重要参数，纳入评议范围：</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5.1主要技术指标：</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sym w:font="Wingdings" w:char="00AB"/>
      </w:r>
      <w:r>
        <w:rPr>
          <w:rFonts w:hint="eastAsia" w:ascii="宋体" w:hAnsi="宋体" w:eastAsia="宋体" w:cs="宋体"/>
          <w:b w:val="0"/>
          <w:bCs/>
          <w:spacing w:val="0"/>
          <w:sz w:val="21"/>
          <w:szCs w:val="21"/>
          <w:highlight w:val="none"/>
          <w:lang w:val="en-US" w:eastAsia="zh-CN" w:bidi="ar-SA"/>
        </w:rPr>
        <w:t>乙方投标时承诺：</w:t>
      </w:r>
      <w:r>
        <w:rPr>
          <w:rFonts w:hint="default" w:ascii="宋体" w:hAnsi="宋体" w:eastAsia="宋体" w:cs="宋体"/>
          <w:b w:val="0"/>
          <w:bCs/>
          <w:spacing w:val="0"/>
          <w:sz w:val="21"/>
          <w:szCs w:val="21"/>
          <w:highlight w:val="none"/>
          <w:lang w:val="en-US" w:eastAsia="zh-CN" w:bidi="ar-SA"/>
        </w:rPr>
        <w:t>主要技术指标是供应商应满足的最低技术要求，主要技术指标应至少包括以下内容：</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压缩机为双螺杆型式。</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空压机满足标准GB19153-2019《容积式空气压缩机能效限定值及能效等级》中</w:t>
      </w:r>
      <w:r>
        <w:rPr>
          <w:rFonts w:hint="eastAsia" w:ascii="宋体" w:hAnsi="宋体" w:eastAsia="宋体" w:cs="宋体"/>
          <w:b w:val="0"/>
          <w:bCs/>
          <w:spacing w:val="0"/>
          <w:sz w:val="21"/>
          <w:szCs w:val="21"/>
          <w:highlight w:val="none"/>
          <w:lang w:val="en-US" w:eastAsia="zh-CN" w:bidi="ar-SA"/>
        </w:rPr>
        <w:t>一</w:t>
      </w:r>
      <w:r>
        <w:rPr>
          <w:rFonts w:hint="default" w:ascii="宋体" w:hAnsi="宋体" w:eastAsia="宋体" w:cs="宋体"/>
          <w:b w:val="0"/>
          <w:bCs/>
          <w:spacing w:val="0"/>
          <w:sz w:val="21"/>
          <w:szCs w:val="21"/>
          <w:highlight w:val="none"/>
          <w:lang w:val="en-US" w:eastAsia="zh-CN" w:bidi="ar-SA"/>
        </w:rPr>
        <w:t>级能效及以上要求</w:t>
      </w:r>
      <w:r>
        <w:rPr>
          <w:rFonts w:hint="eastAsia" w:ascii="宋体" w:hAnsi="宋体" w:eastAsia="宋体" w:cs="宋体"/>
          <w:b w:val="0"/>
          <w:bCs/>
          <w:spacing w:val="0"/>
          <w:sz w:val="21"/>
          <w:szCs w:val="21"/>
          <w:highlight w:val="none"/>
          <w:lang w:val="en-US" w:eastAsia="zh-CN" w:bidi="ar-SA"/>
        </w:rPr>
        <w:t>（要求提供出厂时附带的能效等级证明）</w:t>
      </w:r>
      <w:r>
        <w:rPr>
          <w:rFonts w:hint="default" w:ascii="宋体" w:hAnsi="宋体" w:eastAsia="宋体" w:cs="宋体"/>
          <w:b w:val="0"/>
          <w:bCs/>
          <w:spacing w:val="0"/>
          <w:sz w:val="21"/>
          <w:szCs w:val="21"/>
          <w:highlight w:val="none"/>
          <w:lang w:val="en-US" w:eastAsia="zh-CN" w:bidi="ar-SA"/>
        </w:rPr>
        <w:t>。能效测试程序需符合GB19153-2019和GB∕T 3853-2017。</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防护等级要求：室外电气设施防护等级IP56，随货提供证明文件。</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空压机橇的排气流量、排气压力满足附表三要求。投标商需在投标文件中正确填写附表三，并提供电机选型计算报告、空压机机头性能曲线。选型电机额定功率至少为对应空压机机头性能曲线上轴功率（附表三指定的工作点处）的110%，且电机服务系数为1.0。</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仪表气压力露点-40℃。</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公用气和仪表气相关参数满足如下要求：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-公用气要求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公用空气含油量：&lt;1mg / m3</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公用空气中的粒径：≤5微米</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公用空气中的颗粒污染：≤5mg/ m3</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-仪表气要求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仪表气中含油：&lt;0.1mg / m3</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仪表气中的粒径：≤1微米</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t>仪表气中的颗粒污染：≤1mg/ m3</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5.2详细要求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一、 空气压缩机</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每个压缩机应设计为在100％额定容量下连续工作。</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进气口过滤器应为可更换的滤芯式空气过滤器，配备消音器或隔音罩，适合户外安装。</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油分离器的设计和制造应符合GB / T150.1〜4或ASME BPVC VIII-1和压力容器规范的要求。应有3 mm的腐蚀余量。</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每个压缩机外壳应具有润滑油接口。在进入压缩机壳体之前，应通过后冷却器中的独立回路冷却润滑油。</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后冷却器应能将压缩机排出的空气冷却到不超过45℃。</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后冷却器应配有整体安装的电动风扇。</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二、 空气干燥器</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空气干燥器应安装在公用气瓶的下游，仪表气瓶的上游。</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每个干燥器应能够在恒定的干燥/再生循环中将空气干燥至所需的干燥度。循环时间不得超过10分钟。仪表气的干燥空气压力露点应满足项目需求。干燥器应有露点指示器。</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干燥器单元应配备安全阀，压力表，吹扫流量指示器（可视型）和排气消音器等。</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空气干燥器组件应为PSA变压吸附＋TSA 变温吸附型式，内部填装固定干燥剂，每个塔的尺寸可根据空气压缩机的流量确定，并保证连续供应仪表空气。干燥器设计应考虑适当的安全系数，填充的干燥剂的数量需超过实际要求。干燥器供货时应完全充满干燥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干燥剂应为活性氧化铝。干燥剂的量应使干燥剂变质后仍具有足够的干燥能力。通过容器的流量应足够低，以免引起干燥剂床的移动。</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每个干燥器容器上应留有足够的开孔，以便在不拆卸容器或断开管道的情况下进行干燥剂的装卸。手孔盖应有手柄。</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最小空气管尺寸应为1英寸。</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装置的设计应能使容器或过滤器中的任何一个打开而不会影响其他的操作。干燥器容器入口和出口的阀门应自动切换，优选气动。开关应与再生循环的自动控制集成在一起，并应按固定的时间表进行。</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用于切换的气动执行器应与设计压力匹配，并保证在最小工作压力下可靠工作。阀门的动作顺序应确保从干燥器中排出的空气供应是连续的，并且不会因干燥器的切换而中断。</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手动隔离阀应安装在每个干燥器容器的进口和出口。</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每个干燥器的设计和制造均应符合GB / T150.1〜4或ASME BPVC VIII-1和压力容器规范。</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干燥器切换故障应能够在本地控制面板显示。</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应能实现空气露点取样测量。</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干燥器的所有必要控制应由现场控制盘提供。</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三、 前置过滤器和后置过滤器</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在干燥器组件的进口和出口，应分别有前置过滤器和后置过滤器。每种过滤器包含两台，并联布置。</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前置过滤器和后置过滤器均应提供相应的仪表。</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5.3.2.3 振动和噪音控制要求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空压机和干燥器橇内部考虑减振措施，平台甲板不再设置减振措施。</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设备振动数据按照如下格式标明：</w:t>
      </w:r>
    </w:p>
    <w:tbl>
      <w:tblPr>
        <w:tblStyle w:val="10"/>
        <w:tblW w:w="814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230"/>
        <w:gridCol w:w="1101"/>
        <w:gridCol w:w="2768"/>
        <w:gridCol w:w="20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230"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设备名称</w:t>
            </w:r>
          </w:p>
        </w:tc>
        <w:tc>
          <w:tcPr>
            <w:tcW w:w="1101"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转速</w:t>
            </w:r>
          </w:p>
        </w:tc>
        <w:tc>
          <w:tcPr>
            <w:tcW w:w="2768"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激振力</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(kN)</w:t>
            </w:r>
          </w:p>
        </w:tc>
        <w:tc>
          <w:tcPr>
            <w:tcW w:w="2044"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激振频率</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（Hz）</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230" w:type="dxa"/>
            <w:vAlign w:val="bottom"/>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空压机和干燥器橇</w:t>
            </w:r>
          </w:p>
        </w:tc>
        <w:tc>
          <w:tcPr>
            <w:tcW w:w="1101" w:type="dxa"/>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w:t>
            </w:r>
          </w:p>
        </w:tc>
        <w:tc>
          <w:tcPr>
            <w:tcW w:w="2768" w:type="dxa"/>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w:t>
            </w:r>
          </w:p>
        </w:tc>
        <w:tc>
          <w:tcPr>
            <w:tcW w:w="2044" w:type="dxa"/>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w:t>
            </w:r>
          </w:p>
        </w:tc>
      </w:tr>
    </w:tbl>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空压机单机噪音不高于75dB(A)，测量点距离橇表面1m。供应商应提供如下表格数据：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1"/>
        <w:gridCol w:w="652"/>
        <w:gridCol w:w="755"/>
        <w:gridCol w:w="811"/>
        <w:gridCol w:w="812"/>
        <w:gridCol w:w="798"/>
        <w:gridCol w:w="799"/>
        <w:gridCol w:w="922"/>
        <w:gridCol w:w="758"/>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4" w:type="dxa"/>
            <w:vMerge w:val="restart"/>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6668" w:type="dxa"/>
            <w:gridSpan w:val="8"/>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倍频程总级: dB</w:t>
            </w:r>
          </w:p>
        </w:tc>
        <w:tc>
          <w:tcPr>
            <w:tcW w:w="779" w:type="dxa"/>
            <w:vMerge w:val="restart"/>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4"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p>
        </w:tc>
        <w:tc>
          <w:tcPr>
            <w:tcW w:w="6668" w:type="dxa"/>
            <w:gridSpan w:val="8"/>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倍频程中心频率(Hz)</w:t>
            </w:r>
          </w:p>
        </w:tc>
        <w:tc>
          <w:tcPr>
            <w:vMerge w:val="continue"/>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default" w:ascii="宋体" w:hAnsi="宋体" w:eastAsia="宋体" w:cs="宋体"/>
                <w:b w:val="0"/>
                <w:bCs/>
                <w:spacing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4"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684"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63</w:t>
            </w:r>
          </w:p>
        </w:tc>
        <w:tc>
          <w:tcPr>
            <w:tcW w:w="786"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125</w:t>
            </w:r>
          </w:p>
        </w:tc>
        <w:tc>
          <w:tcPr>
            <w:tcW w:w="850"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250</w:t>
            </w:r>
          </w:p>
        </w:tc>
        <w:tc>
          <w:tcPr>
            <w:tcW w:w="851"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500</w:t>
            </w:r>
          </w:p>
        </w:tc>
        <w:tc>
          <w:tcPr>
            <w:tcW w:w="850"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1K</w:t>
            </w:r>
          </w:p>
        </w:tc>
        <w:tc>
          <w:tcPr>
            <w:tcW w:w="851"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2K</w:t>
            </w:r>
          </w:p>
        </w:tc>
        <w:tc>
          <w:tcPr>
            <w:tcW w:w="992"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4K</w:t>
            </w:r>
          </w:p>
        </w:tc>
        <w:tc>
          <w:tcPr>
            <w:tcW w:w="804"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8K</w:t>
            </w:r>
          </w:p>
        </w:tc>
        <w:tc>
          <w:tcPr>
            <w:tcW w:w="779" w:type="dxa"/>
            <w:tcMar>
              <w:left w:w="108" w:type="dxa"/>
              <w:right w:w="108" w:type="dxa"/>
            </w:tcMar>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158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声压级</w:t>
            </w:r>
          </w:p>
        </w:tc>
        <w:tc>
          <w:tcPr>
            <w:tcW w:w="68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786"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0"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1"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0"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1"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992"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0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779"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声功率级</w:t>
            </w:r>
          </w:p>
        </w:tc>
        <w:tc>
          <w:tcPr>
            <w:tcW w:w="68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786"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0"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1"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0"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1"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992"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0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779"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振动加速度级</w:t>
            </w:r>
          </w:p>
        </w:tc>
        <w:tc>
          <w:tcPr>
            <w:tcW w:w="68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786"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0"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1"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0"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51"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992"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804"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c>
          <w:tcPr>
            <w:tcW w:w="779" w:type="dxa"/>
            <w:tcMar>
              <w:left w:w="108" w:type="dxa"/>
              <w:right w:w="108" w:type="dxa"/>
            </w:tcMa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p>
        </w:tc>
      </w:tr>
    </w:tbl>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供应商在投标和送审阶段都需要提交同型号设备振动和噪音数值，并在设备FAT后对以上数值进行更新。</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 电气</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（1）电气系统应满足防护等级和使用区域安全等级要求，电器元件选材应适用于海洋环境条件。室外安装的电气设备及附件防护等级应为IP56。</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w:t>
      </w:r>
      <w:r>
        <w:rPr>
          <w:rFonts w:hint="eastAsia" w:ascii="宋体" w:hAnsi="宋体" w:eastAsia="宋体" w:cs="宋体"/>
          <w:b w:val="0"/>
          <w:bCs/>
          <w:spacing w:val="0"/>
          <w:sz w:val="21"/>
          <w:szCs w:val="21"/>
          <w:highlight w:val="none"/>
          <w:lang w:val="en-US" w:eastAsia="zh-CN" w:bidi="ar-SA"/>
        </w:rPr>
        <w:tab/>
      </w:r>
      <w:r>
        <w:rPr>
          <w:rFonts w:hint="eastAsia" w:ascii="宋体" w:hAnsi="宋体" w:eastAsia="宋体" w:cs="宋体"/>
          <w:b w:val="0"/>
          <w:bCs/>
          <w:spacing w:val="0"/>
          <w:sz w:val="21"/>
          <w:szCs w:val="21"/>
          <w:highlight w:val="none"/>
          <w:lang w:val="en-US" w:eastAsia="zh-CN" w:bidi="ar-SA"/>
        </w:rPr>
        <w:t>电源：380V，3ph，3w，50Hz，中性点绝缘或根据项目实际需求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     </w:t>
      </w:r>
      <w:r>
        <w:rPr>
          <w:rFonts w:hint="eastAsia" w:ascii="宋体" w:hAnsi="宋体" w:eastAsia="宋体" w:cs="宋体"/>
          <w:b w:val="0"/>
          <w:bCs/>
          <w:spacing w:val="0"/>
          <w:sz w:val="21"/>
          <w:szCs w:val="21"/>
          <w:highlight w:val="none"/>
          <w:lang w:val="en-US" w:eastAsia="zh-CN" w:bidi="ar-SA"/>
        </w:rPr>
        <w:tab/>
      </w:r>
      <w:r>
        <w:rPr>
          <w:rFonts w:hint="eastAsia" w:ascii="宋体" w:hAnsi="宋体" w:eastAsia="宋体" w:cs="宋体"/>
          <w:b w:val="0"/>
          <w:bCs/>
          <w:spacing w:val="0"/>
          <w:sz w:val="21"/>
          <w:szCs w:val="21"/>
          <w:highlight w:val="none"/>
          <w:lang w:val="en-US" w:eastAsia="zh-CN" w:bidi="ar-SA"/>
        </w:rPr>
        <w:tab/>
      </w:r>
      <w:r>
        <w:rPr>
          <w:rFonts w:hint="eastAsia" w:ascii="宋体" w:hAnsi="宋体" w:eastAsia="宋体" w:cs="宋体"/>
          <w:b w:val="0"/>
          <w:bCs/>
          <w:spacing w:val="0"/>
          <w:sz w:val="21"/>
          <w:szCs w:val="21"/>
          <w:highlight w:val="none"/>
          <w:lang w:val="en-US" w:eastAsia="zh-CN" w:bidi="ar-SA"/>
        </w:rPr>
        <w:tab/>
      </w:r>
      <w:r>
        <w:rPr>
          <w:rFonts w:hint="eastAsia" w:ascii="宋体" w:hAnsi="宋体" w:eastAsia="宋体" w:cs="宋体"/>
          <w:b w:val="0"/>
          <w:bCs/>
          <w:spacing w:val="0"/>
          <w:sz w:val="21"/>
          <w:szCs w:val="21"/>
          <w:highlight w:val="none"/>
          <w:lang w:val="en-US" w:eastAsia="zh-CN" w:bidi="ar-SA"/>
        </w:rPr>
        <w:t>220V，1ph，2w，50Hz，中性点绝缘或根据项目实际需求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（2）空压机电机应适合于海上平台潮湿、盐雾、霉菌等海洋油气环境要求。电机外壳防护等级应不低于IP56；电机满足F级绝缘，B级温升，5kW以上电动机应设置防潮加热器。</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（3）供应商提供电机详细数据表（电机供应商标准数据表），包括额定功率、额定电流、堵转电流、效率、功率因素、防护等级、防爆型式、冷却方式等详细参数。</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（4）空压机橇现场控制盘防护等级IP56或IP66，材质为316L，厚度不小于3mm，配置带温湿度控制的空间加热器，现场控制盘至少具有过载及短路保护功能。</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（5）设备内配电、控制、保护由供应商在现场控制盘完成，供应商确认现场控制盘需配置进线断路器，380V进线电源断路器分断能力不低于65KA，220V进线电源断路器分断能力不低于15KA。</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（6）供应商提供所有的电缆连接用填料函，外部电缆的信息由买方在审图阶段提供给供应商。填料函应为黄铜镀镍铠装双密封填料函，适用于船用铠装电缆。</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（7）供应商提供所有需要接线设备的填料函尺寸、接线孔尺寸及接线空间大小。</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（8）供应商完成橇内电气、仪表设备接线，橇内走线设计电缆桥架，橇内设备电缆为船用低烟无卤防火铠装电缆，橇内动力电缆最小截面不低于2.5mm2，控制电缆最小截面不低于1.5 mm2。</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（9）供应商应完成橇内设备和管线的有效接地和跨接，接地和跨接应采用合适截面的黄绿接地软导线。底座应对角提供两个合适规格的接地端子。</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（10）供应商负责橇内设施的保温伴热设计、选型、安装等全部工作（如果需要），满足标准IEC62395或IEEE 515要求。电伴热带应采用自限温型。</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11）供应商提供所有橇块伴热计算书，电伴热料单、所有橇块电伴热布置图，电源盒布置图。以橇块为单位，提供所有橇块供电回路数量和所有回路用电功率（每路启动电流不应超过32A，每个回路应是供应商内部串接完成的回路）。电伴热电源接线盒应为1进1出型（均为供电电源线，出线同时配堵头），便于供电串接，每芯电缆只接一个接线端子，不允许两芯及以上端子进行压接。</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（12）供应商提供电气设备布置图，明确每个橇内电气设备实际位置和每跟电缆供电接口位置。</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（13）为避免出现设备接线孔或接线柱与接线端子孔径不符合的情况，供应商根据《GB/T 14315-2008 电力电缆导体用压接型铜、铝接线端子和连接管》中对铜接线端子的要求，配套合适的接线孔或接线柱</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 配管</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（1）管道的设计、材料、制作、装配、安装、检验等应符合ASME B31.3的规定或等同要求。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（2）供应商应提供管道规格书和数据表（包括检验规格书，阀门数据表和特殊件数据表等）供审批。</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（3）管道材料设计和选用应满足设计工况的要求。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（4）所有管道材料应满足相应材料标准、制造标准的要求。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（5）所有非金属或复合管道材料不得含有石棉，制造商应提供无石棉检测报告，检测证书或者声明。</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（6）管子和管件应选用无缝形式。</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（7）除非另有说明，应使用长半径弯头，不应使用短半径弯头。</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（8）焊颈法兰的焊接端部应匹配相连的管子或管道元件。</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（9）设备管口法兰应符合标准ASME B16.5。设备管口处需要提供配对法兰，螺栓及垫片。供应商应做好端口法兰的保护。</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10）所有的螺栓和螺母都必须经过防腐处理，满足海洋大气环境使用要求。除非另有说明，碳钢和低合金钢螺柱和螺母应进行渗锌处理、或电镀锌/电镀锌镍/金属陶瓷底涂处理，并氟化物涂料面涂处理。耐蚀合金螺柱和螺母进行氟化物涂料面涂处理。</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（11）除非另有说明，金属缠绕垫片应带内外环（材质为316L），垫片厚度为4.5mm。</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（12）阀门材料应适用于介质特性，满足温度和压力工艺条件。</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（13）管道焊缝无损检验比例应依据输送介质、压力分别确定，对焊缝应进行RT/PAUT，承插焊缝应进行MT/PT，具体参见下表5：</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管道焊缝无损检验最低比例要求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9"/>
        <w:gridCol w:w="1417"/>
        <w:gridCol w:w="2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9"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压力等级</w:t>
            </w:r>
          </w:p>
        </w:tc>
        <w:tc>
          <w:tcPr>
            <w:tcW w:w="1417"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比例</w:t>
            </w:r>
          </w:p>
        </w:tc>
        <w:tc>
          <w:tcPr>
            <w:tcW w:w="2494"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9"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CL150 </w:t>
            </w:r>
          </w:p>
        </w:tc>
        <w:tc>
          <w:tcPr>
            <w:tcW w:w="1417"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10%</w:t>
            </w:r>
          </w:p>
        </w:tc>
        <w:tc>
          <w:tcPr>
            <w:tcW w:w="2494"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碳钢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129"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CL150 </w:t>
            </w:r>
          </w:p>
        </w:tc>
        <w:tc>
          <w:tcPr>
            <w:tcW w:w="1417"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20%</w:t>
            </w:r>
          </w:p>
        </w:tc>
        <w:tc>
          <w:tcPr>
            <w:tcW w:w="2494" w:type="dxa"/>
            <w:vAlign w:val="center"/>
          </w:tcPr>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不锈钢</w:t>
            </w:r>
          </w:p>
        </w:tc>
      </w:tr>
    </w:tbl>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所有管线参照防腐要求进行涂装，具体要求参见5.3.6章节</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 防腐</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涂装前零部件表面必须除净凸起异物、焊渣、飞溅、多肉，表面不允许有毛刺、锐边、铁屑、油污、灰尘等。</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选用钢材材料的锈蚀等级不得低于GB/T 8923规定的B级。喷射或抛射除锈应达到GB/T 8923规定的Sa2.5级，手工和动力工具除锈应达到GB/T 8923规定的St3级。</w:t>
      </w:r>
    </w:p>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val="0"/>
          <w:bCs/>
          <w:spacing w:val="0"/>
          <w:sz w:val="21"/>
          <w:szCs w:val="21"/>
          <w:highlight w:val="none"/>
          <w:lang w:val="en-US" w:eastAsia="zh-CN" w:bidi="ar-SA"/>
        </w:rPr>
      </w:pPr>
      <w:r>
        <w:rPr>
          <w:rFonts w:hint="eastAsia" w:ascii="宋体" w:hAnsi="宋体" w:eastAsia="宋体" w:cs="宋体"/>
          <w:b w:val="0"/>
          <w:bCs/>
          <w:spacing w:val="0"/>
          <w:sz w:val="21"/>
          <w:szCs w:val="21"/>
          <w:highlight w:val="none"/>
          <w:lang w:val="en-US" w:eastAsia="zh-CN" w:bidi="ar-SA"/>
        </w:rPr>
        <w:t xml:space="preserve">各材质涂装配套系统按照下表。 </w:t>
      </w:r>
    </w:p>
    <w:p>
      <w:pPr>
        <w:pStyle w:val="7"/>
        <w:tabs>
          <w:tab w:val="left" w:pos="1040"/>
        </w:tabs>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不保温碳钢设施外表面涂层系统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2313"/>
        <w:gridCol w:w="2398"/>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5" w:type="dxa"/>
            <w:gridSpan w:val="4"/>
            <w:tcBorders>
              <w:bottom w:val="single" w:color="auto" w:sz="4" w:space="0"/>
            </w:tcBorders>
          </w:tcPr>
          <w:p>
            <w:pPr>
              <w:spacing w:before="60" w:after="60" w:line="240" w:lineRule="auto"/>
              <w:ind w:firstLine="0"/>
              <w:outlineLvl w:val="2"/>
              <w:rPr>
                <w:rFonts w:hint="eastAsia" w:ascii="宋体" w:hAnsi="宋体" w:eastAsia="宋体" w:cs="宋体"/>
                <w:b/>
                <w:color w:val="auto"/>
                <w:sz w:val="21"/>
                <w:szCs w:val="21"/>
                <w:highlight w:val="none"/>
              </w:rPr>
            </w:pPr>
            <w:bookmarkStart w:id="0" w:name="_Toc21180"/>
            <w:bookmarkStart w:id="1" w:name="_Toc68775578"/>
            <w:bookmarkStart w:id="2" w:name="_Toc68776066"/>
            <w:bookmarkStart w:id="3" w:name="_Toc18837"/>
            <w:r>
              <w:rPr>
                <w:rFonts w:hint="eastAsia" w:ascii="宋体" w:hAnsi="宋体" w:eastAsia="宋体" w:cs="宋体"/>
                <w:b/>
                <w:color w:val="auto"/>
                <w:sz w:val="21"/>
                <w:szCs w:val="21"/>
                <w:highlight w:val="none"/>
              </w:rPr>
              <w:t>涂层系统：</w:t>
            </w:r>
            <w:r>
              <w:rPr>
                <w:rFonts w:hint="eastAsia" w:ascii="宋体" w:hAnsi="宋体" w:eastAsia="宋体" w:cs="宋体"/>
                <w:color w:val="auto"/>
                <w:sz w:val="21"/>
                <w:szCs w:val="21"/>
                <w:highlight w:val="none"/>
              </w:rPr>
              <w:t>碳钢，不保温设备和管线设施外表面、设备和管线支撑结构、设备底座等，介质温度≤120℃。</w:t>
            </w:r>
            <w:bookmarkEnd w:id="0"/>
            <w:bookmarkEnd w:id="1"/>
            <w:bookmarkEnd w:id="2"/>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5" w:type="dxa"/>
            <w:gridSpan w:val="4"/>
            <w:tcBorders>
              <w:top w:val="single" w:color="auto" w:sz="4" w:space="0"/>
              <w:bottom w:val="single" w:color="auto" w:sz="4" w:space="0"/>
            </w:tcBorders>
          </w:tcPr>
          <w:p>
            <w:pPr>
              <w:spacing w:before="60" w:after="60" w:line="240" w:lineRule="auto"/>
              <w:ind w:firstLine="0"/>
              <w:outlineLvl w:val="2"/>
              <w:rPr>
                <w:rFonts w:hint="eastAsia" w:ascii="宋体" w:hAnsi="宋体" w:eastAsia="宋体" w:cs="宋体"/>
                <w:color w:val="auto"/>
                <w:sz w:val="21"/>
                <w:szCs w:val="21"/>
                <w:highlight w:val="none"/>
              </w:rPr>
            </w:pPr>
            <w:bookmarkStart w:id="4" w:name="_Toc68775579"/>
            <w:bookmarkStart w:id="5" w:name="_Toc11326"/>
            <w:bookmarkStart w:id="6" w:name="_Toc68776067"/>
            <w:bookmarkStart w:id="7" w:name="_Toc4469"/>
            <w:r>
              <w:rPr>
                <w:rFonts w:hint="eastAsia" w:ascii="宋体" w:hAnsi="宋体" w:eastAsia="宋体" w:cs="宋体"/>
                <w:color w:val="auto"/>
                <w:sz w:val="21"/>
                <w:szCs w:val="21"/>
                <w:highlight w:val="none"/>
              </w:rPr>
              <w:t>表面处理</w:t>
            </w:r>
            <w:bookmarkEnd w:id="4"/>
            <w:bookmarkEnd w:id="5"/>
            <w:bookmarkEnd w:id="6"/>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029" w:type="dxa"/>
            <w:gridSpan w:val="2"/>
            <w:tcBorders>
              <w:top w:val="single" w:color="auto" w:sz="4" w:space="0"/>
              <w:bottom w:val="single" w:color="auto" w:sz="4" w:space="0"/>
            </w:tcBorders>
          </w:tcPr>
          <w:p>
            <w:pPr>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表面温度</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露点温度3℃以上。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029" w:type="dxa"/>
            <w:gridSpan w:val="2"/>
            <w:tcBorders>
              <w:top w:val="single" w:color="auto" w:sz="4" w:space="0"/>
              <w:bottom w:val="single" w:color="auto" w:sz="4" w:space="0"/>
            </w:tcBorders>
          </w:tcPr>
          <w:p>
            <w:pPr>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湿度</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2"/>
            <w:tcBorders>
              <w:top w:val="single" w:color="auto" w:sz="4" w:space="0"/>
              <w:bottom w:val="single" w:color="auto" w:sz="4" w:space="0"/>
            </w:tcBorders>
          </w:tcPr>
          <w:p>
            <w:pPr>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涂层施工温度</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不低于5℃并由油漆供应商确认。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2"/>
            <w:tcBorders>
              <w:top w:val="single" w:color="auto" w:sz="4" w:space="0"/>
              <w:bottom w:val="single" w:color="auto" w:sz="4" w:space="0"/>
            </w:tcBorders>
          </w:tcPr>
          <w:p>
            <w:pPr>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边缘棱角打磨及焊缝要求</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焊缝要达到P3，边缘倒角半径不低于2mm.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表面处理等级</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SSPC-SP10（近白金属喷砂清理）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表面灰度</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ISO8502-3 Rating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粗糙度</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50-85 µm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9"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表面盐分</w:t>
            </w:r>
          </w:p>
        </w:tc>
        <w:tc>
          <w:tcPr>
            <w:tcW w:w="4956" w:type="dxa"/>
            <w:gridSpan w:val="2"/>
            <w:tcBorders>
              <w:top w:val="single" w:color="auto" w:sz="4" w:space="0"/>
              <w:bottom w:val="single" w:color="auto" w:sz="4" w:space="0"/>
            </w:tcBorders>
          </w:tcPr>
          <w:p>
            <w:pPr>
              <w:tabs>
                <w:tab w:val="left" w:pos="1040"/>
              </w:tabs>
              <w:spacing w:line="24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小于50mg/m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 xml:space="preserve"> （NaCl）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5" w:type="dxa"/>
            <w:gridSpan w:val="4"/>
            <w:tcBorders>
              <w:top w:val="single" w:color="auto" w:sz="4" w:space="0"/>
              <w:bottom w:val="nil"/>
            </w:tcBorders>
          </w:tcPr>
          <w:p>
            <w:pPr>
              <w:spacing w:before="60" w:after="60" w:line="240" w:lineRule="auto"/>
              <w:ind w:firstLine="0"/>
              <w:outlineLvl w:val="2"/>
              <w:rPr>
                <w:rFonts w:hint="eastAsia" w:ascii="宋体" w:hAnsi="宋体" w:eastAsia="宋体" w:cs="宋体"/>
                <w:color w:val="auto"/>
                <w:sz w:val="21"/>
                <w:szCs w:val="21"/>
                <w:highlight w:val="none"/>
              </w:rPr>
            </w:pPr>
            <w:bookmarkStart w:id="8" w:name="_Toc68775580"/>
            <w:bookmarkStart w:id="9" w:name="_Toc68776068"/>
            <w:bookmarkStart w:id="10" w:name="_Toc31835"/>
            <w:bookmarkStart w:id="11" w:name="_Toc26588"/>
            <w:r>
              <w:rPr>
                <w:rFonts w:hint="eastAsia" w:ascii="宋体" w:hAnsi="宋体" w:eastAsia="宋体" w:cs="宋体"/>
                <w:color w:val="auto"/>
                <w:sz w:val="21"/>
                <w:szCs w:val="21"/>
                <w:highlight w:val="none"/>
              </w:rPr>
              <w:t>涂层系统</w:t>
            </w:r>
            <w:bookmarkEnd w:id="8"/>
            <w:bookmarkEnd w:id="9"/>
            <w:bookmarkEnd w:id="10"/>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工序</w:t>
            </w:r>
          </w:p>
        </w:tc>
        <w:tc>
          <w:tcPr>
            <w:tcW w:w="2447"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油漆类型</w:t>
            </w:r>
          </w:p>
        </w:tc>
        <w:tc>
          <w:tcPr>
            <w:tcW w:w="2519"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干膜厚度(µm)</w:t>
            </w:r>
          </w:p>
        </w:tc>
        <w:tc>
          <w:tcPr>
            <w:tcW w:w="2437"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底漆</w:t>
            </w:r>
          </w:p>
        </w:tc>
        <w:tc>
          <w:tcPr>
            <w:tcW w:w="2447"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环氧富锌底漆</w:t>
            </w:r>
          </w:p>
        </w:tc>
        <w:tc>
          <w:tcPr>
            <w:tcW w:w="2519"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w:t>
            </w:r>
          </w:p>
        </w:tc>
        <w:tc>
          <w:tcPr>
            <w:tcW w:w="2437" w:type="dxa"/>
            <w:vAlign w:val="center"/>
          </w:tcPr>
          <w:p>
            <w:pPr>
              <w:tabs>
                <w:tab w:val="left" w:pos="1040"/>
              </w:tabs>
              <w:spacing w:line="240" w:lineRule="auto"/>
              <w:ind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中间漆</w:t>
            </w:r>
          </w:p>
        </w:tc>
        <w:tc>
          <w:tcPr>
            <w:tcW w:w="2447"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环氧云母氧化铁中间漆</w:t>
            </w:r>
          </w:p>
        </w:tc>
        <w:tc>
          <w:tcPr>
            <w:tcW w:w="2519"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p>
        </w:tc>
        <w:tc>
          <w:tcPr>
            <w:tcW w:w="2437" w:type="dxa"/>
            <w:vAlign w:val="center"/>
          </w:tcPr>
          <w:p>
            <w:pPr>
              <w:tabs>
                <w:tab w:val="left" w:pos="1040"/>
              </w:tabs>
              <w:spacing w:line="240" w:lineRule="auto"/>
              <w:ind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tcBorders>
              <w:bottom w:val="single" w:color="auto" w:sz="4" w:space="0"/>
            </w:tcBorders>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面漆</w:t>
            </w:r>
          </w:p>
        </w:tc>
        <w:tc>
          <w:tcPr>
            <w:tcW w:w="2447" w:type="dxa"/>
            <w:tcBorders>
              <w:bottom w:val="single" w:color="auto" w:sz="4" w:space="0"/>
            </w:tcBorders>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聚氨酯面漆</w:t>
            </w:r>
          </w:p>
        </w:tc>
        <w:tc>
          <w:tcPr>
            <w:tcW w:w="2519" w:type="dxa"/>
            <w:tcBorders>
              <w:bottom w:val="single" w:color="auto" w:sz="4" w:space="0"/>
            </w:tcBorders>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w:t>
            </w:r>
          </w:p>
        </w:tc>
        <w:tc>
          <w:tcPr>
            <w:tcW w:w="2437" w:type="dxa"/>
            <w:tcBorders>
              <w:bottom w:val="single" w:color="auto" w:sz="4" w:space="0"/>
            </w:tcBorders>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按买方要求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涂层总厚度</w:t>
            </w:r>
          </w:p>
        </w:tc>
        <w:tc>
          <w:tcPr>
            <w:tcW w:w="2447" w:type="dxa"/>
            <w:vAlign w:val="center"/>
          </w:tcPr>
          <w:p>
            <w:pPr>
              <w:tabs>
                <w:tab w:val="left" w:pos="1040"/>
              </w:tabs>
              <w:spacing w:line="240" w:lineRule="auto"/>
              <w:ind w:firstLine="0"/>
              <w:jc w:val="center"/>
              <w:rPr>
                <w:rFonts w:hint="eastAsia" w:ascii="宋体" w:hAnsi="宋体" w:eastAsia="宋体" w:cs="宋体"/>
                <w:color w:val="auto"/>
                <w:sz w:val="21"/>
                <w:szCs w:val="21"/>
                <w:highlight w:val="none"/>
              </w:rPr>
            </w:pPr>
          </w:p>
        </w:tc>
        <w:tc>
          <w:tcPr>
            <w:tcW w:w="2519" w:type="dxa"/>
            <w:vAlign w:val="center"/>
          </w:tcPr>
          <w:p>
            <w:pPr>
              <w:tabs>
                <w:tab w:val="left" w:pos="1040"/>
              </w:tabs>
              <w:spacing w:line="240" w:lineRule="auto"/>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w:t>
            </w:r>
          </w:p>
        </w:tc>
        <w:tc>
          <w:tcPr>
            <w:tcW w:w="2437" w:type="dxa"/>
            <w:vAlign w:val="center"/>
          </w:tcPr>
          <w:p>
            <w:pPr>
              <w:tabs>
                <w:tab w:val="left" w:pos="1040"/>
              </w:tabs>
              <w:spacing w:line="240" w:lineRule="auto"/>
              <w:ind w:left="185" w:leftChars="88"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5" w:type="dxa"/>
            <w:gridSpan w:val="4"/>
            <w:tcBorders>
              <w:bottom w:val="single" w:color="auto" w:sz="4" w:space="0"/>
            </w:tcBorders>
            <w:vAlign w:val="center"/>
          </w:tcPr>
          <w:p>
            <w:pPr>
              <w:tabs>
                <w:tab w:val="left" w:pos="1040"/>
              </w:tabs>
              <w:spacing w:line="240" w:lineRule="auto"/>
              <w:ind w:left="185" w:leftChars="88"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numPr>
                <w:ilvl w:val="0"/>
                <w:numId w:val="2"/>
              </w:numPr>
              <w:tabs>
                <w:tab w:val="left" w:pos="1040"/>
              </w:tabs>
              <w:spacing w:before="0" w:after="8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涂层系统需通过NORSOK M501认证，并提供认证报告。</w:t>
            </w:r>
          </w:p>
          <w:p>
            <w:pPr>
              <w:numPr>
                <w:ilvl w:val="0"/>
                <w:numId w:val="2"/>
              </w:numPr>
              <w:tabs>
                <w:tab w:val="left" w:pos="1040"/>
              </w:tabs>
              <w:spacing w:before="0" w:after="8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环氧富锌底漆中锌粉在干膜中的质量含量不低于80%，锌粉应满足ASTM D 520 type Ⅱ的要求。</w:t>
            </w:r>
          </w:p>
          <w:p>
            <w:pPr>
              <w:numPr>
                <w:ilvl w:val="0"/>
                <w:numId w:val="2"/>
              </w:numPr>
              <w:tabs>
                <w:tab w:val="left" w:pos="1040"/>
              </w:tabs>
              <w:spacing w:before="0" w:after="8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涂层无针孔，结合强度≥5MPa</w:t>
            </w:r>
          </w:p>
        </w:tc>
      </w:tr>
    </w:tbl>
    <w:p>
      <w:pPr>
        <w:pStyle w:val="7"/>
        <w:tabs>
          <w:tab w:val="left" w:pos="1040"/>
        </w:tabs>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保温碳钢设施外表面涂层系统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2307"/>
        <w:gridCol w:w="2393"/>
        <w:gridCol w:w="2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8" w:type="dxa"/>
            <w:gridSpan w:val="4"/>
            <w:tcBorders>
              <w:bottom w:val="single" w:color="auto" w:sz="4" w:space="0"/>
            </w:tcBorders>
          </w:tcPr>
          <w:p>
            <w:pPr>
              <w:spacing w:before="60" w:after="60"/>
              <w:ind w:firstLine="0"/>
              <w:outlineLvl w:val="2"/>
              <w:rPr>
                <w:rFonts w:hint="eastAsia" w:ascii="宋体" w:hAnsi="宋体" w:eastAsia="宋体" w:cs="宋体"/>
                <w:b/>
                <w:color w:val="auto"/>
                <w:sz w:val="21"/>
                <w:szCs w:val="21"/>
                <w:highlight w:val="none"/>
              </w:rPr>
            </w:pPr>
            <w:bookmarkStart w:id="12" w:name="_Toc68776069"/>
            <w:bookmarkStart w:id="13" w:name="_Toc68775581"/>
            <w:bookmarkStart w:id="14" w:name="_Toc8905"/>
            <w:bookmarkStart w:id="15" w:name="_Toc25987"/>
            <w:r>
              <w:rPr>
                <w:rFonts w:hint="eastAsia" w:ascii="宋体" w:hAnsi="宋体" w:eastAsia="宋体" w:cs="宋体"/>
                <w:b/>
                <w:color w:val="auto"/>
                <w:sz w:val="21"/>
                <w:szCs w:val="21"/>
                <w:highlight w:val="none"/>
              </w:rPr>
              <w:t>涂层系统：</w:t>
            </w:r>
            <w:r>
              <w:rPr>
                <w:rFonts w:hint="eastAsia" w:ascii="宋体" w:hAnsi="宋体" w:eastAsia="宋体" w:cs="宋体"/>
                <w:color w:val="auto"/>
                <w:sz w:val="21"/>
                <w:szCs w:val="21"/>
                <w:highlight w:val="none"/>
              </w:rPr>
              <w:t>碳钢，保温设备和管线设施外表面，介质温度≤120℃。</w:t>
            </w:r>
            <w:bookmarkEnd w:id="12"/>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008" w:type="dxa"/>
            <w:gridSpan w:val="4"/>
            <w:tcBorders>
              <w:top w:val="single" w:color="auto" w:sz="4" w:space="0"/>
              <w:bottom w:val="single" w:color="auto" w:sz="4" w:space="0"/>
            </w:tcBorders>
          </w:tcPr>
          <w:p>
            <w:pPr>
              <w:spacing w:before="60" w:after="60"/>
              <w:ind w:firstLine="0"/>
              <w:outlineLvl w:val="2"/>
              <w:rPr>
                <w:rFonts w:hint="eastAsia" w:ascii="宋体" w:hAnsi="宋体" w:eastAsia="宋体" w:cs="宋体"/>
                <w:color w:val="auto"/>
                <w:sz w:val="21"/>
                <w:szCs w:val="21"/>
                <w:highlight w:val="none"/>
              </w:rPr>
            </w:pPr>
            <w:bookmarkStart w:id="16" w:name="_Toc9501"/>
            <w:bookmarkStart w:id="17" w:name="_Toc2340"/>
            <w:bookmarkStart w:id="18" w:name="_Toc68776070"/>
            <w:bookmarkStart w:id="19" w:name="_Toc68775582"/>
            <w:r>
              <w:rPr>
                <w:rFonts w:hint="eastAsia" w:ascii="宋体" w:hAnsi="宋体" w:eastAsia="宋体" w:cs="宋体"/>
                <w:color w:val="auto"/>
                <w:sz w:val="21"/>
                <w:szCs w:val="21"/>
                <w:highlight w:val="none"/>
              </w:rPr>
              <w:t>表面处理</w:t>
            </w:r>
            <w:bookmarkEnd w:id="16"/>
            <w:bookmarkEnd w:id="17"/>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表面温度</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露点温度3℃以上。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湿度</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涂层施工温度</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不低于5℃并由油漆供应商确认。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边缘棱角打磨及焊缝要求</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焊缝要达到P3，边缘倒角半径不低于2mm.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表面处理等级</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SSPC-SP10（近白金属喷砂清理）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表面灰度</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ISO8502-3 Rating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粗糙度</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50-85 µm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表面盐分</w:t>
            </w:r>
          </w:p>
        </w:tc>
        <w:tc>
          <w:tcPr>
            <w:tcW w:w="497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小于50mg/m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 xml:space="preserve"> （NaCl）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008" w:type="dxa"/>
            <w:gridSpan w:val="4"/>
            <w:tcBorders>
              <w:top w:val="single" w:color="auto" w:sz="4" w:space="0"/>
              <w:bottom w:val="nil"/>
            </w:tcBorders>
          </w:tcPr>
          <w:p>
            <w:pPr>
              <w:spacing w:before="60" w:after="60"/>
              <w:ind w:firstLine="0"/>
              <w:outlineLvl w:val="2"/>
              <w:rPr>
                <w:rFonts w:hint="eastAsia" w:ascii="宋体" w:hAnsi="宋体" w:eastAsia="宋体" w:cs="宋体"/>
                <w:color w:val="auto"/>
                <w:sz w:val="21"/>
                <w:szCs w:val="21"/>
                <w:highlight w:val="none"/>
              </w:rPr>
            </w:pPr>
            <w:bookmarkStart w:id="20" w:name="_Toc20342"/>
            <w:bookmarkStart w:id="21" w:name="_Toc68776071"/>
            <w:bookmarkStart w:id="22" w:name="_Toc68775583"/>
            <w:bookmarkStart w:id="23" w:name="_Toc10993"/>
            <w:r>
              <w:rPr>
                <w:rFonts w:hint="eastAsia" w:ascii="宋体" w:hAnsi="宋体" w:eastAsia="宋体" w:cs="宋体"/>
                <w:color w:val="auto"/>
                <w:sz w:val="21"/>
                <w:szCs w:val="21"/>
                <w:highlight w:val="none"/>
              </w:rPr>
              <w:t>涂层系统</w:t>
            </w:r>
            <w:bookmarkEnd w:id="20"/>
            <w:bookmarkEnd w:id="21"/>
            <w:bookmarkEnd w:id="22"/>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工序</w:t>
            </w:r>
          </w:p>
        </w:tc>
        <w:tc>
          <w:tcPr>
            <w:tcW w:w="2447"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油漆类型</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干膜厚度(µm)</w:t>
            </w:r>
          </w:p>
        </w:tc>
        <w:tc>
          <w:tcPr>
            <w:tcW w:w="2460"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底漆</w:t>
            </w:r>
          </w:p>
        </w:tc>
        <w:tc>
          <w:tcPr>
            <w:tcW w:w="2447"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浸没级酚醛环氧漆</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150</w:t>
            </w:r>
          </w:p>
        </w:tc>
        <w:tc>
          <w:tcPr>
            <w:tcW w:w="2460" w:type="dxa"/>
            <w:vAlign w:val="center"/>
          </w:tcPr>
          <w:p>
            <w:pPr>
              <w:tabs>
                <w:tab w:val="left" w:pos="1040"/>
              </w:tabs>
              <w:ind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582"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面漆</w:t>
            </w:r>
          </w:p>
        </w:tc>
        <w:tc>
          <w:tcPr>
            <w:tcW w:w="2447"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浸没级酚醛环氧漆</w:t>
            </w:r>
          </w:p>
        </w:tc>
        <w:tc>
          <w:tcPr>
            <w:tcW w:w="2519"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150</w:t>
            </w:r>
          </w:p>
        </w:tc>
        <w:tc>
          <w:tcPr>
            <w:tcW w:w="2460"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按买方要求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涂层总厚度</w:t>
            </w:r>
          </w:p>
        </w:tc>
        <w:tc>
          <w:tcPr>
            <w:tcW w:w="2447" w:type="dxa"/>
            <w:vAlign w:val="center"/>
          </w:tcPr>
          <w:p>
            <w:pPr>
              <w:tabs>
                <w:tab w:val="left" w:pos="1040"/>
              </w:tabs>
              <w:ind w:firstLine="0"/>
              <w:jc w:val="center"/>
              <w:rPr>
                <w:rFonts w:hint="eastAsia" w:ascii="宋体" w:hAnsi="宋体" w:eastAsia="宋体" w:cs="宋体"/>
                <w:color w:val="auto"/>
                <w:sz w:val="21"/>
                <w:szCs w:val="21"/>
                <w:highlight w:val="none"/>
              </w:rPr>
            </w:pP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w:t>
            </w:r>
          </w:p>
        </w:tc>
        <w:tc>
          <w:tcPr>
            <w:tcW w:w="2460" w:type="dxa"/>
            <w:vAlign w:val="center"/>
          </w:tcPr>
          <w:p>
            <w:pPr>
              <w:tabs>
                <w:tab w:val="left" w:pos="1040"/>
              </w:tabs>
              <w:ind w:left="185" w:leftChars="88"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008" w:type="dxa"/>
            <w:gridSpan w:val="4"/>
            <w:vAlign w:val="center"/>
          </w:tcPr>
          <w:p>
            <w:pPr>
              <w:tabs>
                <w:tab w:val="left" w:pos="1040"/>
              </w:tabs>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注：涂层无针孔，结合强度≥5MPa。</w:t>
            </w:r>
          </w:p>
        </w:tc>
      </w:tr>
    </w:tbl>
    <w:p>
      <w:pPr>
        <w:pStyle w:val="7"/>
        <w:tabs>
          <w:tab w:val="left" w:pos="1040"/>
        </w:tabs>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不保温不锈钢设施外表面涂层系统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2306"/>
        <w:gridCol w:w="2392"/>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9" w:type="dxa"/>
            <w:gridSpan w:val="4"/>
            <w:tcBorders>
              <w:bottom w:val="single" w:color="auto" w:sz="4" w:space="0"/>
            </w:tcBorders>
          </w:tcPr>
          <w:p>
            <w:pPr>
              <w:spacing w:before="60" w:after="60"/>
              <w:ind w:firstLine="0"/>
              <w:outlineLvl w:val="2"/>
              <w:rPr>
                <w:rFonts w:hint="eastAsia" w:ascii="宋体" w:hAnsi="宋体" w:eastAsia="宋体" w:cs="宋体"/>
                <w:b/>
                <w:color w:val="auto"/>
                <w:sz w:val="21"/>
                <w:szCs w:val="21"/>
                <w:highlight w:val="none"/>
              </w:rPr>
            </w:pPr>
            <w:bookmarkStart w:id="24" w:name="_Toc68776072"/>
            <w:bookmarkStart w:id="25" w:name="_Toc17889"/>
            <w:bookmarkStart w:id="26" w:name="_Toc14384"/>
            <w:bookmarkStart w:id="27" w:name="_Toc68775584"/>
            <w:r>
              <w:rPr>
                <w:rFonts w:hint="eastAsia" w:ascii="宋体" w:hAnsi="宋体" w:eastAsia="宋体" w:cs="宋体"/>
                <w:b/>
                <w:color w:val="auto"/>
                <w:sz w:val="21"/>
                <w:szCs w:val="21"/>
                <w:highlight w:val="none"/>
              </w:rPr>
              <w:t>涂层系统：</w:t>
            </w:r>
            <w:r>
              <w:rPr>
                <w:rFonts w:hint="eastAsia" w:ascii="宋体" w:hAnsi="宋体" w:eastAsia="宋体" w:cs="宋体"/>
                <w:color w:val="auto"/>
                <w:sz w:val="21"/>
                <w:szCs w:val="21"/>
                <w:highlight w:val="none"/>
              </w:rPr>
              <w:t>不锈钢，不保温设备和管线设施外表面，介质温度≤120℃。</w:t>
            </w:r>
            <w:bookmarkEnd w:id="24"/>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009" w:type="dxa"/>
            <w:gridSpan w:val="4"/>
            <w:tcBorders>
              <w:top w:val="single" w:color="auto" w:sz="4" w:space="0"/>
              <w:bottom w:val="single" w:color="auto" w:sz="4" w:space="0"/>
            </w:tcBorders>
          </w:tcPr>
          <w:p>
            <w:pPr>
              <w:spacing w:before="60" w:after="60"/>
              <w:ind w:firstLine="0"/>
              <w:outlineLvl w:val="2"/>
              <w:rPr>
                <w:rFonts w:hint="eastAsia" w:ascii="宋体" w:hAnsi="宋体" w:eastAsia="宋体" w:cs="宋体"/>
                <w:color w:val="auto"/>
                <w:sz w:val="21"/>
                <w:szCs w:val="21"/>
                <w:highlight w:val="none"/>
              </w:rPr>
            </w:pPr>
            <w:bookmarkStart w:id="28" w:name="_Toc68775585"/>
            <w:bookmarkStart w:id="29" w:name="_Toc11892"/>
            <w:bookmarkStart w:id="30" w:name="_Toc68776073"/>
            <w:bookmarkStart w:id="31" w:name="_Toc9712"/>
            <w:r>
              <w:rPr>
                <w:rFonts w:hint="eastAsia" w:ascii="宋体" w:hAnsi="宋体" w:eastAsia="宋体" w:cs="宋体"/>
                <w:color w:val="auto"/>
                <w:sz w:val="21"/>
                <w:szCs w:val="21"/>
                <w:highlight w:val="none"/>
              </w:rPr>
              <w:t>表面处理</w:t>
            </w:r>
            <w:bookmarkEnd w:id="28"/>
            <w:bookmarkEnd w:id="29"/>
            <w:bookmarkEnd w:id="30"/>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表面温度</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露点温度3℃以上。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湿度</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涂层施工温度</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不低于5℃并由油漆供应商确认。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边缘棱角打磨及焊缝要求</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焊缝要达到P3，边缘倒角半径不低于2mm.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表面处理等级</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SSPC-SP1（溶液清理）/ SSPC-SP7（清扫级喷砂清理）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表面灰度</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ISO8502-3 Rating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粗糙度</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25-45 µm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表面盐分</w:t>
            </w:r>
          </w:p>
        </w:tc>
        <w:tc>
          <w:tcPr>
            <w:tcW w:w="4980"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小于50mg/m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 xml:space="preserve"> （NaCl）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009" w:type="dxa"/>
            <w:gridSpan w:val="4"/>
            <w:tcBorders>
              <w:top w:val="single" w:color="auto" w:sz="4" w:space="0"/>
              <w:bottom w:val="nil"/>
            </w:tcBorders>
          </w:tcPr>
          <w:p>
            <w:pPr>
              <w:spacing w:before="60" w:after="60"/>
              <w:ind w:firstLine="0"/>
              <w:outlineLvl w:val="2"/>
              <w:rPr>
                <w:rFonts w:hint="eastAsia" w:ascii="宋体" w:hAnsi="宋体" w:eastAsia="宋体" w:cs="宋体"/>
                <w:color w:val="auto"/>
                <w:sz w:val="21"/>
                <w:szCs w:val="21"/>
                <w:highlight w:val="none"/>
              </w:rPr>
            </w:pPr>
            <w:bookmarkStart w:id="32" w:name="_Toc68775586"/>
            <w:bookmarkStart w:id="33" w:name="_Toc68776074"/>
            <w:bookmarkStart w:id="34" w:name="_Toc20433"/>
            <w:bookmarkStart w:id="35" w:name="_Toc4290"/>
            <w:r>
              <w:rPr>
                <w:rFonts w:hint="eastAsia" w:ascii="宋体" w:hAnsi="宋体" w:eastAsia="宋体" w:cs="宋体"/>
                <w:color w:val="auto"/>
                <w:sz w:val="21"/>
                <w:szCs w:val="21"/>
                <w:highlight w:val="none"/>
              </w:rPr>
              <w:t>涂层系统</w:t>
            </w:r>
            <w:bookmarkEnd w:id="32"/>
            <w:bookmarkEnd w:id="33"/>
            <w:bookmarkEnd w:id="34"/>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工序</w:t>
            </w:r>
          </w:p>
        </w:tc>
        <w:tc>
          <w:tcPr>
            <w:tcW w:w="2447"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油漆类型</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干膜厚度(µm)</w:t>
            </w:r>
          </w:p>
        </w:tc>
        <w:tc>
          <w:tcPr>
            <w:tcW w:w="2461"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底漆</w:t>
            </w:r>
          </w:p>
        </w:tc>
        <w:tc>
          <w:tcPr>
            <w:tcW w:w="2447" w:type="dxa"/>
            <w:vAlign w:val="center"/>
          </w:tcPr>
          <w:p>
            <w:pPr>
              <w:tabs>
                <w:tab w:val="left" w:pos="1040"/>
              </w:tabs>
              <w:ind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环氧底漆</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2461" w:type="dxa"/>
            <w:vAlign w:val="center"/>
          </w:tcPr>
          <w:p>
            <w:pPr>
              <w:tabs>
                <w:tab w:val="left" w:pos="1040"/>
              </w:tabs>
              <w:ind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中间漆</w:t>
            </w:r>
          </w:p>
        </w:tc>
        <w:tc>
          <w:tcPr>
            <w:tcW w:w="2447" w:type="dxa"/>
            <w:vAlign w:val="center"/>
          </w:tcPr>
          <w:p>
            <w:pPr>
              <w:tabs>
                <w:tab w:val="left" w:pos="1040"/>
              </w:tabs>
              <w:ind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双组份高固态环氧漆</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2461" w:type="dxa"/>
            <w:vAlign w:val="center"/>
          </w:tcPr>
          <w:p>
            <w:pPr>
              <w:tabs>
                <w:tab w:val="left" w:pos="1040"/>
              </w:tabs>
              <w:ind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582"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面漆</w:t>
            </w:r>
          </w:p>
        </w:tc>
        <w:tc>
          <w:tcPr>
            <w:tcW w:w="2447" w:type="dxa"/>
            <w:tcBorders>
              <w:bottom w:val="single" w:color="auto" w:sz="4" w:space="0"/>
            </w:tcBorders>
            <w:vAlign w:val="center"/>
          </w:tcPr>
          <w:p>
            <w:pPr>
              <w:tabs>
                <w:tab w:val="left" w:pos="1040"/>
              </w:tabs>
              <w:ind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双组份丙烯酸改性聚氨酯面漆</w:t>
            </w:r>
          </w:p>
        </w:tc>
        <w:tc>
          <w:tcPr>
            <w:tcW w:w="2519"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w:t>
            </w:r>
          </w:p>
        </w:tc>
        <w:tc>
          <w:tcPr>
            <w:tcW w:w="2461"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按买方要求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涂层总厚度</w:t>
            </w:r>
          </w:p>
        </w:tc>
        <w:tc>
          <w:tcPr>
            <w:tcW w:w="2447" w:type="dxa"/>
            <w:vAlign w:val="center"/>
          </w:tcPr>
          <w:p>
            <w:pPr>
              <w:tabs>
                <w:tab w:val="left" w:pos="1040"/>
              </w:tabs>
              <w:ind w:firstLine="0"/>
              <w:jc w:val="center"/>
              <w:rPr>
                <w:rFonts w:hint="eastAsia" w:ascii="宋体" w:hAnsi="宋体" w:eastAsia="宋体" w:cs="宋体"/>
                <w:color w:val="auto"/>
                <w:sz w:val="21"/>
                <w:szCs w:val="21"/>
                <w:highlight w:val="none"/>
              </w:rPr>
            </w:pP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w:t>
            </w:r>
          </w:p>
        </w:tc>
        <w:tc>
          <w:tcPr>
            <w:tcW w:w="2461" w:type="dxa"/>
            <w:vAlign w:val="center"/>
          </w:tcPr>
          <w:p>
            <w:pPr>
              <w:tabs>
                <w:tab w:val="left" w:pos="1040"/>
              </w:tabs>
              <w:ind w:left="185" w:leftChars="88"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009" w:type="dxa"/>
            <w:gridSpan w:val="4"/>
            <w:tcBorders>
              <w:bottom w:val="single" w:color="auto" w:sz="4" w:space="0"/>
            </w:tcBorders>
            <w:vAlign w:val="center"/>
          </w:tcPr>
          <w:p>
            <w:pPr>
              <w:tabs>
                <w:tab w:val="left" w:pos="1040"/>
              </w:tabs>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注：涂层无针孔，结合强度≥5MPa。涂层材料不含锌。</w:t>
            </w:r>
          </w:p>
        </w:tc>
      </w:tr>
    </w:tbl>
    <w:p>
      <w:pPr>
        <w:pStyle w:val="7"/>
        <w:tabs>
          <w:tab w:val="left" w:pos="1040"/>
        </w:tabs>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保温不锈钢设施外表面涂层系统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3"/>
        <w:gridCol w:w="2309"/>
        <w:gridCol w:w="2395"/>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8" w:type="dxa"/>
            <w:gridSpan w:val="4"/>
            <w:tcBorders>
              <w:bottom w:val="single" w:color="auto" w:sz="4" w:space="0"/>
            </w:tcBorders>
          </w:tcPr>
          <w:p>
            <w:pPr>
              <w:spacing w:before="60" w:after="60"/>
              <w:ind w:firstLine="0"/>
              <w:outlineLvl w:val="2"/>
              <w:rPr>
                <w:rFonts w:hint="eastAsia" w:ascii="宋体" w:hAnsi="宋体" w:eastAsia="宋体" w:cs="宋体"/>
                <w:b/>
                <w:color w:val="auto"/>
                <w:sz w:val="21"/>
                <w:szCs w:val="21"/>
                <w:highlight w:val="none"/>
              </w:rPr>
            </w:pPr>
            <w:bookmarkStart w:id="36" w:name="_Toc1194"/>
            <w:bookmarkStart w:id="37" w:name="_Toc68775587"/>
            <w:bookmarkStart w:id="38" w:name="_Toc68776075"/>
            <w:bookmarkStart w:id="39" w:name="_Toc28799"/>
            <w:r>
              <w:rPr>
                <w:rFonts w:hint="eastAsia" w:ascii="宋体" w:hAnsi="宋体" w:eastAsia="宋体" w:cs="宋体"/>
                <w:b/>
                <w:color w:val="auto"/>
                <w:sz w:val="21"/>
                <w:szCs w:val="21"/>
                <w:highlight w:val="none"/>
              </w:rPr>
              <w:t>涂层系统：</w:t>
            </w:r>
            <w:r>
              <w:rPr>
                <w:rFonts w:hint="eastAsia" w:ascii="宋体" w:hAnsi="宋体" w:eastAsia="宋体" w:cs="宋体"/>
                <w:color w:val="auto"/>
                <w:sz w:val="21"/>
                <w:szCs w:val="21"/>
                <w:highlight w:val="none"/>
              </w:rPr>
              <w:t>不锈钢，保温设备和管线设施外表面，介质温度≤120℃。</w:t>
            </w:r>
            <w:bookmarkEnd w:id="36"/>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998" w:type="dxa"/>
            <w:gridSpan w:val="4"/>
            <w:tcBorders>
              <w:top w:val="single" w:color="auto" w:sz="4" w:space="0"/>
              <w:bottom w:val="single" w:color="auto" w:sz="4" w:space="0"/>
            </w:tcBorders>
          </w:tcPr>
          <w:p>
            <w:pPr>
              <w:spacing w:before="60" w:after="60"/>
              <w:ind w:firstLine="0"/>
              <w:outlineLvl w:val="2"/>
              <w:rPr>
                <w:rFonts w:hint="eastAsia" w:ascii="宋体" w:hAnsi="宋体" w:eastAsia="宋体" w:cs="宋体"/>
                <w:color w:val="auto"/>
                <w:sz w:val="21"/>
                <w:szCs w:val="21"/>
                <w:highlight w:val="none"/>
              </w:rPr>
            </w:pPr>
            <w:bookmarkStart w:id="40" w:name="_Toc27392"/>
            <w:bookmarkStart w:id="41" w:name="_Toc68776076"/>
            <w:bookmarkStart w:id="42" w:name="_Toc68775588"/>
            <w:bookmarkStart w:id="43" w:name="_Toc27931"/>
            <w:r>
              <w:rPr>
                <w:rFonts w:hint="eastAsia" w:ascii="宋体" w:hAnsi="宋体" w:eastAsia="宋体" w:cs="宋体"/>
                <w:color w:val="auto"/>
                <w:sz w:val="21"/>
                <w:szCs w:val="21"/>
                <w:highlight w:val="none"/>
              </w:rPr>
              <w:t>表面处理</w:t>
            </w:r>
            <w:bookmarkEnd w:id="40"/>
            <w:bookmarkEnd w:id="41"/>
            <w:bookmarkEnd w:id="42"/>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表面温度</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露点温度3℃以上。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湿度</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涂层施工温度</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不低于5℃并由油漆供应商确认。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29" w:type="dxa"/>
            <w:gridSpan w:val="2"/>
            <w:tcBorders>
              <w:top w:val="single" w:color="auto" w:sz="4" w:space="0"/>
              <w:bottom w:val="single" w:color="auto" w:sz="4" w:space="0"/>
            </w:tcBorders>
          </w:tcPr>
          <w:p>
            <w:pPr>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边缘棱角打磨及焊缝要求</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焊缝要达到P3，边缘倒角半径不低于2mm.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表面处理等级</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SSPC-SP1（溶液清理）/ SSPC-SP7（清扫级喷砂清理）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表面灰度</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ISO8502-3 Rating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粗糙度</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25-45 µm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02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表面盐分</w:t>
            </w:r>
          </w:p>
        </w:tc>
        <w:tc>
          <w:tcPr>
            <w:tcW w:w="4969" w:type="dxa"/>
            <w:gridSpan w:val="2"/>
            <w:tcBorders>
              <w:top w:val="single" w:color="auto" w:sz="4" w:space="0"/>
              <w:bottom w:val="single" w:color="auto" w:sz="4" w:space="0"/>
            </w:tcBorders>
          </w:tcPr>
          <w:p>
            <w:pPr>
              <w:tabs>
                <w:tab w:val="left" w:pos="1040"/>
              </w:tabs>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小于50mg/m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 xml:space="preserve"> （NaCl）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998" w:type="dxa"/>
            <w:gridSpan w:val="4"/>
            <w:tcBorders>
              <w:top w:val="single" w:color="auto" w:sz="4" w:space="0"/>
              <w:bottom w:val="nil"/>
            </w:tcBorders>
          </w:tcPr>
          <w:p>
            <w:pPr>
              <w:spacing w:before="60" w:after="60"/>
              <w:ind w:firstLine="0"/>
              <w:outlineLvl w:val="2"/>
              <w:rPr>
                <w:rFonts w:hint="eastAsia" w:ascii="宋体" w:hAnsi="宋体" w:eastAsia="宋体" w:cs="宋体"/>
                <w:color w:val="auto"/>
                <w:sz w:val="21"/>
                <w:szCs w:val="21"/>
                <w:highlight w:val="none"/>
              </w:rPr>
            </w:pPr>
            <w:bookmarkStart w:id="44" w:name="_Toc68776077"/>
            <w:bookmarkStart w:id="45" w:name="_Toc68775589"/>
            <w:bookmarkStart w:id="46" w:name="_Toc31310"/>
            <w:bookmarkStart w:id="47" w:name="_Toc28287"/>
            <w:r>
              <w:rPr>
                <w:rFonts w:hint="eastAsia" w:ascii="宋体" w:hAnsi="宋体" w:eastAsia="宋体" w:cs="宋体"/>
                <w:color w:val="auto"/>
                <w:sz w:val="21"/>
                <w:szCs w:val="21"/>
                <w:highlight w:val="none"/>
              </w:rPr>
              <w:t>涂层系统</w:t>
            </w:r>
            <w:bookmarkEnd w:id="44"/>
            <w:bookmarkEnd w:id="45"/>
            <w:bookmarkEnd w:id="46"/>
            <w:bookmark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工序</w:t>
            </w:r>
          </w:p>
        </w:tc>
        <w:tc>
          <w:tcPr>
            <w:tcW w:w="2447"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油漆类型</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干膜厚度(µm)</w:t>
            </w:r>
          </w:p>
        </w:tc>
        <w:tc>
          <w:tcPr>
            <w:tcW w:w="2450"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底漆</w:t>
            </w:r>
          </w:p>
        </w:tc>
        <w:tc>
          <w:tcPr>
            <w:tcW w:w="2447"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浸没级酚醛环氧漆</w:t>
            </w: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w:t>
            </w:r>
          </w:p>
        </w:tc>
        <w:tc>
          <w:tcPr>
            <w:tcW w:w="2450" w:type="dxa"/>
            <w:vAlign w:val="center"/>
          </w:tcPr>
          <w:p>
            <w:pPr>
              <w:tabs>
                <w:tab w:val="left" w:pos="1040"/>
              </w:tabs>
              <w:ind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582"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面漆</w:t>
            </w:r>
          </w:p>
        </w:tc>
        <w:tc>
          <w:tcPr>
            <w:tcW w:w="2447"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浸没级酚醛环氧漆</w:t>
            </w:r>
          </w:p>
        </w:tc>
        <w:tc>
          <w:tcPr>
            <w:tcW w:w="2519"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w:t>
            </w:r>
          </w:p>
        </w:tc>
        <w:tc>
          <w:tcPr>
            <w:tcW w:w="2450" w:type="dxa"/>
            <w:tcBorders>
              <w:bottom w:val="single" w:color="auto" w:sz="4" w:space="0"/>
            </w:tcBorders>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按买方要求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582"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涂层总厚度</w:t>
            </w:r>
          </w:p>
        </w:tc>
        <w:tc>
          <w:tcPr>
            <w:tcW w:w="2447" w:type="dxa"/>
            <w:vAlign w:val="center"/>
          </w:tcPr>
          <w:p>
            <w:pPr>
              <w:tabs>
                <w:tab w:val="left" w:pos="1040"/>
              </w:tabs>
              <w:ind w:firstLine="0"/>
              <w:jc w:val="center"/>
              <w:rPr>
                <w:rFonts w:hint="eastAsia" w:ascii="宋体" w:hAnsi="宋体" w:eastAsia="宋体" w:cs="宋体"/>
                <w:color w:val="auto"/>
                <w:sz w:val="21"/>
                <w:szCs w:val="21"/>
                <w:highlight w:val="none"/>
              </w:rPr>
            </w:pPr>
          </w:p>
        </w:tc>
        <w:tc>
          <w:tcPr>
            <w:tcW w:w="2519" w:type="dxa"/>
            <w:vAlign w:val="center"/>
          </w:tcPr>
          <w:p>
            <w:pPr>
              <w:tabs>
                <w:tab w:val="left" w:pos="1040"/>
              </w:tabs>
              <w:ind w:firstLine="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250</w:t>
            </w:r>
          </w:p>
        </w:tc>
        <w:tc>
          <w:tcPr>
            <w:tcW w:w="2450" w:type="dxa"/>
            <w:vAlign w:val="center"/>
          </w:tcPr>
          <w:p>
            <w:pPr>
              <w:tabs>
                <w:tab w:val="left" w:pos="1040"/>
              </w:tabs>
              <w:ind w:left="185" w:leftChars="88" w:firstLine="0"/>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998" w:type="dxa"/>
            <w:gridSpan w:val="4"/>
            <w:tcBorders>
              <w:bottom w:val="single" w:color="auto" w:sz="4" w:space="0"/>
            </w:tcBorders>
            <w:vAlign w:val="center"/>
          </w:tcPr>
          <w:p>
            <w:pPr>
              <w:tabs>
                <w:tab w:val="left" w:pos="1040"/>
              </w:tabs>
              <w:ind w:left="0"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numPr>
                <w:ilvl w:val="0"/>
                <w:numId w:val="2"/>
              </w:numPr>
              <w:tabs>
                <w:tab w:val="left" w:pos="1040"/>
              </w:tabs>
              <w:spacing w:before="0" w:after="8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涂层无针孔，结合强度≥5MPa。</w:t>
            </w:r>
          </w:p>
          <w:p>
            <w:pPr>
              <w:numPr>
                <w:ilvl w:val="0"/>
                <w:numId w:val="2"/>
              </w:numPr>
              <w:tabs>
                <w:tab w:val="left" w:pos="1040"/>
              </w:tabs>
              <w:spacing w:before="0" w:after="8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涂层材料不含锌。</w:t>
            </w:r>
          </w:p>
        </w:tc>
      </w:tr>
    </w:tbl>
    <w:p>
      <w:pPr>
        <w:pStyle w:val="6"/>
        <w:keepNext w:val="0"/>
        <w:keepLines w:val="0"/>
        <w:pageBreakBefore w:val="0"/>
        <w:widowControl w:val="0"/>
        <w:kinsoku/>
        <w:wordWrap/>
        <w:overflowPunct/>
        <w:topLinePunct w:val="0"/>
        <w:autoSpaceDE/>
        <w:autoSpaceDN/>
        <w:bidi w:val="0"/>
        <w:adjustRightInd/>
        <w:snapToGrid/>
        <w:spacing w:line="257" w:lineRule="auto"/>
        <w:textAlignment w:val="auto"/>
        <w:rPr>
          <w:rFonts w:hint="eastAsia" w:ascii="宋体" w:hAnsi="宋体" w:eastAsia="宋体" w:cs="宋体"/>
          <w:b/>
          <w:bCs w:val="0"/>
          <w:spacing w:val="0"/>
          <w:sz w:val="21"/>
          <w:szCs w:val="21"/>
          <w:highlight w:val="none"/>
          <w:lang w:val="en-US" w:eastAsia="zh-CN" w:bidi="ar-SA"/>
        </w:rPr>
      </w:pPr>
      <w:r>
        <w:rPr>
          <w:rFonts w:hint="eastAsia" w:ascii="宋体" w:hAnsi="宋体" w:eastAsia="宋体" w:cs="宋体"/>
          <w:b/>
          <w:bCs w:val="0"/>
          <w:spacing w:val="0"/>
          <w:sz w:val="21"/>
          <w:szCs w:val="21"/>
          <w:highlight w:val="none"/>
          <w:lang w:val="en-US" w:eastAsia="zh-CN" w:bidi="ar-SA"/>
        </w:rPr>
        <w:t>以下为技术标准以外，对技术要求的补充：</w:t>
      </w:r>
    </w:p>
    <w:p>
      <w:pPr>
        <w:rPr>
          <w:rFonts w:hint="eastAsia" w:ascii="宋体" w:hAnsi="宋体" w:eastAsia="宋体" w:cs="宋体"/>
          <w:b w:val="0"/>
          <w:bCs/>
          <w:spacing w:val="0"/>
          <w:sz w:val="21"/>
          <w:szCs w:val="21"/>
          <w:highlight w:val="none"/>
          <w:lang w:val="en-US" w:eastAsia="zh-CN" w:bidi="ar-SA"/>
        </w:rPr>
      </w:pPr>
      <w:r>
        <w:rPr>
          <w:rFonts w:hint="default" w:ascii="宋体" w:hAnsi="宋体" w:eastAsia="宋体" w:cs="宋体"/>
          <w:b w:val="0"/>
          <w:bCs/>
          <w:spacing w:val="0"/>
          <w:sz w:val="21"/>
          <w:szCs w:val="21"/>
          <w:highlight w:val="none"/>
          <w:lang w:val="en-US" w:eastAsia="zh-CN" w:bidi="ar-SA"/>
        </w:rPr>
        <w:sym w:font="Wingdings" w:char="00AB"/>
      </w:r>
      <w:r>
        <w:rPr>
          <w:rFonts w:hint="eastAsia" w:ascii="宋体" w:hAnsi="宋体" w:eastAsia="宋体" w:cs="宋体"/>
          <w:b w:val="0"/>
          <w:bCs/>
          <w:spacing w:val="0"/>
          <w:sz w:val="21"/>
          <w:szCs w:val="21"/>
          <w:highlight w:val="none"/>
          <w:lang w:val="en-US" w:eastAsia="zh-CN" w:bidi="ar-SA"/>
        </w:rPr>
        <w:t>乙方投标时承诺：</w:t>
      </w:r>
    </w:p>
    <w:p>
      <w:pPr>
        <w:rPr>
          <w:rFonts w:hint="default"/>
          <w:highlight w:val="none"/>
          <w:lang w:val="en-US" w:eastAsia="zh-CN"/>
        </w:rPr>
      </w:pPr>
      <w:r>
        <w:rPr>
          <w:rFonts w:hint="eastAsia" w:ascii="宋体" w:hAnsi="宋体" w:eastAsia="宋体" w:cs="宋体"/>
          <w:b w:val="0"/>
          <w:bCs/>
          <w:spacing w:val="0"/>
          <w:sz w:val="21"/>
          <w:szCs w:val="21"/>
          <w:highlight w:val="none"/>
          <w:lang w:val="en-US" w:eastAsia="zh-CN" w:bidi="ar-SA"/>
        </w:rPr>
        <w:t>所提供产品满足以下要求：</w:t>
      </w:r>
    </w:p>
    <w:p>
      <w:pPr>
        <w:pStyle w:val="6"/>
        <w:numPr>
          <w:ilvl w:val="0"/>
          <w:numId w:val="0"/>
        </w:numPr>
        <w:rPr>
          <w:rFonts w:hint="eastAsia" w:ascii="宋体" w:hAnsi="宋体" w:eastAsia="宋体" w:cs="宋体"/>
          <w:spacing w:val="0"/>
          <w:sz w:val="21"/>
          <w:szCs w:val="21"/>
          <w:highlight w:val="none"/>
          <w:lang w:val="en-US" w:eastAsia="zh-CN" w:bidi="ar-SA"/>
        </w:rPr>
      </w:pPr>
      <w:r>
        <w:rPr>
          <w:rFonts w:hint="eastAsia" w:ascii="宋体" w:hAnsi="宋体" w:eastAsia="宋体" w:cs="宋体"/>
          <w:spacing w:val="0"/>
          <w:sz w:val="21"/>
          <w:szCs w:val="21"/>
          <w:highlight w:val="none"/>
          <w:lang w:val="en-US" w:eastAsia="zh-CN" w:bidi="ar-SA"/>
        </w:rPr>
        <w:t>1、产品技术参数</w:t>
      </w:r>
    </w:p>
    <w:p>
      <w:pPr>
        <w:numPr>
          <w:ilvl w:val="0"/>
          <w:numId w:val="0"/>
        </w:numPr>
        <w:rPr>
          <w:rFonts w:hint="default"/>
          <w:b/>
          <w:bCs/>
          <w:highlight w:val="none"/>
          <w:lang w:val="en-US" w:eastAsia="zh-CN"/>
        </w:rPr>
      </w:pPr>
      <w:r>
        <w:rPr>
          <w:rFonts w:hint="eastAsia"/>
          <w:b/>
          <w:bCs/>
          <w:highlight w:val="none"/>
          <w:lang w:val="en-US" w:eastAsia="zh-CN"/>
        </w:rPr>
        <w:t>空压机：</w:t>
      </w:r>
    </w:p>
    <w:p>
      <w:pPr>
        <w:pStyle w:val="8"/>
        <w:numPr>
          <w:ilvl w:val="0"/>
          <w:numId w:val="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容积流量： ≥32.8m³/min</w:t>
      </w:r>
    </w:p>
    <w:p>
      <w:pPr>
        <w:pStyle w:val="8"/>
        <w:numPr>
          <w:ilvl w:val="0"/>
          <w:numId w:val="3"/>
        </w:numPr>
        <w:ind w:left="425" w:leftChars="0" w:hanging="425"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工作压力： ≤10bar</w:t>
      </w:r>
    </w:p>
    <w:p>
      <w:pPr>
        <w:pStyle w:val="8"/>
        <w:numPr>
          <w:ilvl w:val="0"/>
          <w:numId w:val="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压缩机主电源： </w:t>
      </w:r>
      <w:r>
        <w:rPr>
          <w:rFonts w:hint="eastAsia" w:cs="宋体"/>
          <w:highlight w:val="none"/>
          <w:lang w:val="en-US" w:eastAsia="zh-CN"/>
        </w:rPr>
        <w:t>380</w:t>
      </w:r>
      <w:r>
        <w:rPr>
          <w:rFonts w:hint="eastAsia" w:ascii="宋体" w:hAnsi="宋体" w:eastAsia="宋体" w:cs="宋体"/>
          <w:highlight w:val="none"/>
          <w:lang w:val="en-US" w:eastAsia="zh-CN"/>
        </w:rPr>
        <w:t>V/3Ph/50Hz</w:t>
      </w:r>
    </w:p>
    <w:p>
      <w:pPr>
        <w:pStyle w:val="8"/>
        <w:numPr>
          <w:ilvl w:val="0"/>
          <w:numId w:val="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电机功率： 160KW </w:t>
      </w:r>
    </w:p>
    <w:p>
      <w:pPr>
        <w:pStyle w:val="8"/>
        <w:numPr>
          <w:ilvl w:val="0"/>
          <w:numId w:val="3"/>
        </w:numPr>
        <w:ind w:left="425" w:leftChars="0" w:hanging="425"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电机防护等级:IP56/IP66</w:t>
      </w:r>
    </w:p>
    <w:p>
      <w:pPr>
        <w:pStyle w:val="8"/>
        <w:numPr>
          <w:ilvl w:val="0"/>
          <w:numId w:val="3"/>
        </w:numPr>
        <w:ind w:left="425" w:leftChars="0" w:hanging="425"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噪音 ≤75dB</w:t>
      </w:r>
    </w:p>
    <w:p>
      <w:pPr>
        <w:pStyle w:val="8"/>
        <w:numPr>
          <w:ilvl w:val="0"/>
          <w:numId w:val="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重量：≤3400KG</w:t>
      </w:r>
    </w:p>
    <w:p>
      <w:pPr>
        <w:pStyle w:val="8"/>
        <w:numPr>
          <w:ilvl w:val="0"/>
          <w:numId w:val="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冷却方式： 风冷</w:t>
      </w:r>
    </w:p>
    <w:p>
      <w:pPr>
        <w:numPr>
          <w:ilvl w:val="0"/>
          <w:numId w:val="4"/>
        </w:numPr>
        <w:rPr>
          <w:rFonts w:hint="default"/>
          <w:highlight w:val="none"/>
          <w:lang w:val="en-US" w:eastAsia="zh-CN"/>
        </w:rPr>
      </w:pPr>
      <w:r>
        <w:rPr>
          <w:rFonts w:hint="eastAsia"/>
          <w:highlight w:val="none"/>
          <w:lang w:val="en-US" w:eastAsia="zh-CN"/>
        </w:rPr>
        <w:t>接口：3inch螺纹接口（DN80）</w:t>
      </w:r>
    </w:p>
    <w:p>
      <w:pPr>
        <w:rPr>
          <w:rFonts w:hint="eastAsia" w:ascii="宋体" w:hAnsi="宋体" w:eastAsia="宋体" w:cs="宋体"/>
          <w:b/>
          <w:bCs w:val="0"/>
          <w:spacing w:val="0"/>
          <w:sz w:val="21"/>
          <w:szCs w:val="21"/>
          <w:highlight w:val="none"/>
          <w:lang w:val="en-US" w:eastAsia="zh-CN" w:bidi="ar-SA"/>
        </w:rPr>
      </w:pPr>
      <w:r>
        <w:rPr>
          <w:rFonts w:hint="eastAsia" w:ascii="宋体" w:hAnsi="宋体" w:eastAsia="宋体" w:cs="宋体"/>
          <w:b/>
          <w:bCs w:val="0"/>
          <w:spacing w:val="0"/>
          <w:sz w:val="21"/>
          <w:szCs w:val="21"/>
          <w:highlight w:val="none"/>
          <w:lang w:val="en-US" w:eastAsia="zh-CN" w:bidi="ar-SA"/>
        </w:rPr>
        <w:t>干燥器：</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入口空气流量：≥42 Nm3 / min </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工作原理：PSA变压吸附＋TSA 变温吸附</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再生气体平均消耗：≤8% </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入口空气压力：≥ 6 bar，≤10 bar</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满负荷下压力损失：≤0.2 bar</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TW"/>
        </w:rPr>
        <w:t>加热器形式/功率</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电加热</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 xml:space="preserve">13.5 KW  </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TW"/>
        </w:rPr>
        <w:t>加热温度</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UCL：180℃，LCL：170℃ |智能恒温控制</w:t>
      </w:r>
    </w:p>
    <w:p>
      <w:pPr>
        <w:pStyle w:val="8"/>
        <w:numPr>
          <w:ilvl w:val="0"/>
          <w:numId w:val="5"/>
        </w:numPr>
        <w:ind w:left="425" w:leftChars="0" w:hanging="425" w:firstLineChars="0"/>
        <w:rPr>
          <w:rFonts w:hint="eastAsia" w:ascii="宋体" w:hAnsi="宋体" w:eastAsia="宋体" w:cs="宋体"/>
          <w:highlight w:val="none"/>
          <w:lang w:val="en-US" w:eastAsia="zh-TW"/>
        </w:rPr>
      </w:pPr>
      <w:r>
        <w:rPr>
          <w:rFonts w:hint="eastAsia" w:ascii="宋体" w:hAnsi="宋体" w:eastAsia="宋体" w:cs="宋体"/>
          <w:highlight w:val="none"/>
          <w:lang w:val="en-US" w:eastAsia="zh-TW"/>
        </w:rPr>
        <w:t>加热器电源</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380V/50-60HZ/3PH</w:t>
      </w:r>
    </w:p>
    <w:p>
      <w:pPr>
        <w:pStyle w:val="8"/>
        <w:numPr>
          <w:ilvl w:val="0"/>
          <w:numId w:val="5"/>
        </w:numPr>
        <w:ind w:left="425" w:leftChars="0" w:hanging="425" w:firstLineChars="0"/>
        <w:rPr>
          <w:rFonts w:hint="eastAsia" w:ascii="宋体" w:hAnsi="宋体" w:eastAsia="宋体" w:cs="宋体"/>
          <w:highlight w:val="none"/>
          <w:u w:val="single"/>
          <w:lang w:val="en-US" w:eastAsia="zh-TW"/>
        </w:rPr>
      </w:pPr>
      <w:r>
        <w:rPr>
          <w:rFonts w:hint="eastAsia" w:ascii="宋体" w:hAnsi="宋体" w:eastAsia="宋体" w:cs="宋体"/>
          <w:highlight w:val="none"/>
          <w:lang w:val="en-US" w:eastAsia="zh-TW"/>
        </w:rPr>
        <w:t>主体材质</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Q235B压力容器钢板</w:t>
      </w:r>
    </w:p>
    <w:p>
      <w:pPr>
        <w:pStyle w:val="8"/>
        <w:numPr>
          <w:ilvl w:val="0"/>
          <w:numId w:val="5"/>
        </w:numPr>
        <w:ind w:left="425" w:leftChars="0" w:hanging="425" w:firstLineChars="0"/>
        <w:rPr>
          <w:rFonts w:hint="eastAsia" w:ascii="宋体" w:hAnsi="宋体" w:eastAsia="宋体" w:cs="宋体"/>
          <w:highlight w:val="none"/>
          <w:lang w:val="en-US" w:eastAsia="zh-TW"/>
        </w:rPr>
      </w:pPr>
      <w:r>
        <w:rPr>
          <w:rFonts w:hint="eastAsia" w:ascii="宋体" w:hAnsi="宋体" w:eastAsia="宋体" w:cs="宋体"/>
          <w:highlight w:val="none"/>
          <w:lang w:val="en-US" w:eastAsia="zh-TW"/>
        </w:rPr>
        <w:t>容许最大工作压力</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10 bar</w:t>
      </w:r>
    </w:p>
    <w:p>
      <w:pPr>
        <w:pStyle w:val="8"/>
        <w:numPr>
          <w:ilvl w:val="0"/>
          <w:numId w:val="5"/>
        </w:numPr>
        <w:ind w:left="425" w:leftChars="0" w:hanging="425" w:firstLineChars="0"/>
        <w:rPr>
          <w:rFonts w:hint="eastAsia" w:ascii="宋体" w:hAnsi="宋体" w:eastAsia="宋体" w:cs="宋体"/>
          <w:highlight w:val="none"/>
          <w:lang w:val="en-US" w:eastAsia="zh-TW"/>
        </w:rPr>
      </w:pPr>
      <w:r>
        <w:rPr>
          <w:rFonts w:hint="eastAsia" w:ascii="宋体" w:hAnsi="宋体" w:eastAsia="宋体" w:cs="宋体"/>
          <w:highlight w:val="none"/>
          <w:lang w:val="en-US" w:eastAsia="zh-TW"/>
        </w:rPr>
        <w:t>空气进出接口</w:t>
      </w:r>
      <w:r>
        <w:rPr>
          <w:rFonts w:hint="eastAsia" w:ascii="宋体" w:hAnsi="宋体" w:eastAsia="宋体" w:cs="宋体"/>
          <w:highlight w:val="none"/>
          <w:lang w:val="en-US" w:eastAsia="zh-CN"/>
        </w:rPr>
        <w:t>：</w:t>
      </w:r>
      <w:r>
        <w:rPr>
          <w:rFonts w:hint="eastAsia" w:ascii="宋体" w:hAnsi="宋体" w:eastAsia="宋体" w:cs="宋体"/>
          <w:highlight w:val="none"/>
          <w:lang w:val="en-US" w:eastAsia="zh-TW"/>
        </w:rPr>
        <w:t>DN100法兰</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TW"/>
        </w:rPr>
        <w:t>噪音值</w:t>
      </w:r>
      <w:r>
        <w:rPr>
          <w:rFonts w:hint="eastAsia" w:ascii="宋体" w:hAnsi="宋体" w:eastAsia="宋体" w:cs="宋体"/>
          <w:highlight w:val="none"/>
          <w:lang w:val="en-US" w:eastAsia="zh-CN"/>
        </w:rPr>
        <w:t>：≤70dB</w:t>
      </w:r>
    </w:p>
    <w:p>
      <w:pPr>
        <w:rPr>
          <w:rFonts w:hint="eastAsia" w:ascii="宋体" w:hAnsi="宋体" w:eastAsia="宋体" w:cs="宋体"/>
          <w:b/>
          <w:bCs w:val="0"/>
          <w:spacing w:val="0"/>
          <w:sz w:val="21"/>
          <w:szCs w:val="21"/>
          <w:highlight w:val="none"/>
          <w:lang w:val="en-US" w:eastAsia="zh-CN" w:bidi="ar-SA"/>
        </w:rPr>
      </w:pPr>
    </w:p>
    <w:p>
      <w:pPr>
        <w:rPr>
          <w:rFonts w:hint="eastAsia" w:ascii="宋体" w:hAnsi="宋体" w:eastAsia="宋体" w:cs="宋体"/>
          <w:b/>
          <w:bCs w:val="0"/>
          <w:spacing w:val="0"/>
          <w:sz w:val="21"/>
          <w:szCs w:val="21"/>
          <w:highlight w:val="none"/>
          <w:lang w:val="en-US" w:eastAsia="zh-CN" w:bidi="ar-SA"/>
        </w:rPr>
      </w:pPr>
      <w:r>
        <w:rPr>
          <w:rFonts w:hint="eastAsia" w:ascii="宋体" w:hAnsi="宋体" w:eastAsia="宋体" w:cs="宋体"/>
          <w:b/>
          <w:bCs w:val="0"/>
          <w:spacing w:val="0"/>
          <w:sz w:val="21"/>
          <w:szCs w:val="21"/>
          <w:highlight w:val="none"/>
          <w:lang w:val="en-US" w:eastAsia="zh-CN" w:bidi="ar-SA"/>
        </w:rPr>
        <w:t>过滤器：</w:t>
      </w:r>
    </w:p>
    <w:p>
      <w:pPr>
        <w:pStyle w:val="8"/>
        <w:numPr>
          <w:ilvl w:val="0"/>
          <w:numId w:val="6"/>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分离原理：预过滤、除油过滤、后置粉尘过滤三种过滤原理同时作用，直接拦阻、惯性碰撞和扩散</w:t>
      </w:r>
    </w:p>
    <w:p>
      <w:pPr>
        <w:pStyle w:val="8"/>
        <w:numPr>
          <w:ilvl w:val="0"/>
          <w:numId w:val="6"/>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处理量：≥46 Nm3/min</w:t>
      </w:r>
    </w:p>
    <w:p>
      <w:pPr>
        <w:pStyle w:val="8"/>
        <w:numPr>
          <w:ilvl w:val="0"/>
          <w:numId w:val="6"/>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过滤粒径：≤1.0μm</w:t>
      </w:r>
    </w:p>
    <w:p>
      <w:pPr>
        <w:pStyle w:val="8"/>
        <w:numPr>
          <w:ilvl w:val="0"/>
          <w:numId w:val="6"/>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残余含油量：≤0.1ppm</w:t>
      </w:r>
    </w:p>
    <w:p>
      <w:pPr>
        <w:pStyle w:val="8"/>
        <w:numPr>
          <w:ilvl w:val="0"/>
          <w:numId w:val="6"/>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工作压力 ：≥7 bar，≤13 bar ，初始压力损失≤0.07 bar</w:t>
      </w:r>
    </w:p>
    <w:p>
      <w:pPr>
        <w:pStyle w:val="8"/>
        <w:numPr>
          <w:ilvl w:val="0"/>
          <w:numId w:val="6"/>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材质：优质铝合金</w:t>
      </w:r>
    </w:p>
    <w:p>
      <w:pPr>
        <w:pStyle w:val="8"/>
        <w:numPr>
          <w:ilvl w:val="0"/>
          <w:numId w:val="6"/>
        </w:numPr>
        <w:ind w:left="425" w:leftChars="0" w:hanging="425" w:firstLineChars="0"/>
        <w:rPr>
          <w:rFonts w:hint="default" w:ascii="宋体" w:hAnsi="宋体" w:eastAsia="宋体" w:cs="宋体"/>
          <w:b w:val="0"/>
          <w:bCs/>
          <w:spacing w:val="0"/>
          <w:sz w:val="21"/>
          <w:szCs w:val="21"/>
          <w:highlight w:val="none"/>
          <w:lang w:val="en-US" w:eastAsia="zh-CN" w:bidi="ar-SA"/>
        </w:rPr>
      </w:pPr>
      <w:r>
        <w:rPr>
          <w:rFonts w:hint="eastAsia" w:ascii="宋体" w:hAnsi="宋体" w:eastAsia="宋体" w:cs="宋体"/>
          <w:highlight w:val="none"/>
          <w:lang w:val="en-US" w:eastAsia="zh-CN"/>
        </w:rPr>
        <w:t>滤芯材质：不锈钢</w:t>
      </w:r>
      <w:r>
        <w:rPr>
          <w:rFonts w:hint="eastAsia" w:ascii="宋体" w:hAnsi="宋体" w:eastAsia="宋体" w:cs="宋体"/>
          <w:b w:val="0"/>
          <w:bCs/>
          <w:spacing w:val="0"/>
          <w:sz w:val="21"/>
          <w:szCs w:val="21"/>
          <w:highlight w:val="none"/>
          <w:lang w:val="en-US" w:eastAsia="zh-CN" w:bidi="ar-SA"/>
        </w:rPr>
        <w:t>支撑网+硼硅酸纳米玻璃纤维+耐高温针毡</w:t>
      </w:r>
    </w:p>
    <w:p>
      <w:pPr>
        <w:rPr>
          <w:rFonts w:hint="eastAsia" w:ascii="宋体" w:hAnsi="宋体" w:eastAsia="宋体" w:cs="宋体"/>
          <w:b/>
          <w:bCs w:val="0"/>
          <w:spacing w:val="0"/>
          <w:sz w:val="21"/>
          <w:szCs w:val="21"/>
          <w:highlight w:val="none"/>
          <w:lang w:val="en-US" w:eastAsia="zh-CN" w:bidi="ar-SA"/>
        </w:rPr>
      </w:pPr>
      <w:r>
        <w:rPr>
          <w:rFonts w:hint="eastAsia" w:ascii="宋体" w:hAnsi="宋体" w:eastAsia="宋体" w:cs="宋体"/>
          <w:b/>
          <w:bCs w:val="0"/>
          <w:spacing w:val="0"/>
          <w:sz w:val="21"/>
          <w:szCs w:val="21"/>
          <w:highlight w:val="none"/>
          <w:lang w:val="en-US" w:eastAsia="zh-CN" w:bidi="ar-SA"/>
        </w:rPr>
        <w:t>储气罐：</w:t>
      </w:r>
    </w:p>
    <w:p>
      <w:pPr>
        <w:pStyle w:val="8"/>
        <w:numPr>
          <w:ilvl w:val="0"/>
          <w:numId w:val="7"/>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规格：10m³/8KG</w:t>
      </w:r>
    </w:p>
    <w:p>
      <w:pPr>
        <w:pStyle w:val="8"/>
        <w:numPr>
          <w:ilvl w:val="0"/>
          <w:numId w:val="7"/>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材质：Q345R碳钢</w:t>
      </w:r>
    </w:p>
    <w:p>
      <w:pPr>
        <w:pStyle w:val="8"/>
        <w:numPr>
          <w:ilvl w:val="0"/>
          <w:numId w:val="7"/>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直径：2000mm</w:t>
      </w:r>
    </w:p>
    <w:p>
      <w:pPr>
        <w:pStyle w:val="8"/>
        <w:numPr>
          <w:ilvl w:val="0"/>
          <w:numId w:val="7"/>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总高：3572mm</w:t>
      </w:r>
    </w:p>
    <w:p>
      <w:pPr>
        <w:pStyle w:val="8"/>
        <w:numPr>
          <w:ilvl w:val="0"/>
          <w:numId w:val="7"/>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空气接管口径：法兰DN150</w:t>
      </w:r>
    </w:p>
    <w:p>
      <w:pPr>
        <w:pStyle w:val="8"/>
        <w:numPr>
          <w:ilvl w:val="0"/>
          <w:numId w:val="7"/>
        </w:numPr>
        <w:ind w:left="425" w:leftChars="0" w:hanging="425"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重量：≤1460 kg</w:t>
      </w:r>
    </w:p>
    <w:p>
      <w:pPr>
        <w:pStyle w:val="8"/>
        <w:numPr>
          <w:ilvl w:val="0"/>
          <w:numId w:val="7"/>
        </w:numPr>
        <w:ind w:left="425" w:leftChars="0" w:hanging="425"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设计压力：8.8bar</w:t>
      </w:r>
    </w:p>
    <w:p>
      <w:pPr>
        <w:numPr>
          <w:ilvl w:val="0"/>
          <w:numId w:val="7"/>
        </w:numPr>
        <w:ind w:left="425" w:leftChars="0" w:hanging="425" w:firstLineChars="0"/>
        <w:rPr>
          <w:rFonts w:hint="default"/>
          <w:highlight w:val="none"/>
          <w:lang w:val="en-US" w:eastAsia="zh-CN"/>
        </w:rPr>
      </w:pPr>
      <w:r>
        <w:rPr>
          <w:rFonts w:hint="eastAsia"/>
          <w:highlight w:val="none"/>
          <w:lang w:val="en-US" w:eastAsia="zh-CN"/>
        </w:rPr>
        <w:t>耐压试验压力：11bar</w:t>
      </w:r>
    </w:p>
    <w:p>
      <w:pPr>
        <w:pStyle w:val="8"/>
        <w:numPr>
          <w:ilvl w:val="0"/>
          <w:numId w:val="7"/>
        </w:numPr>
        <w:ind w:left="425" w:leftChars="0" w:hanging="425"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设计温度：110℃</w:t>
      </w:r>
    </w:p>
    <w:p>
      <w:pPr>
        <w:pStyle w:val="6"/>
        <w:numPr>
          <w:ilvl w:val="0"/>
          <w:numId w:val="8"/>
        </w:numPr>
        <w:rPr>
          <w:rFonts w:hint="eastAsia" w:ascii="宋体" w:hAnsi="宋体" w:eastAsia="宋体" w:cs="宋体"/>
          <w:spacing w:val="0"/>
          <w:sz w:val="21"/>
          <w:szCs w:val="21"/>
          <w:highlight w:val="none"/>
          <w:lang w:val="en-US" w:eastAsia="zh-CN" w:bidi="ar-SA"/>
        </w:rPr>
      </w:pPr>
      <w:r>
        <w:rPr>
          <w:rFonts w:hint="eastAsia" w:ascii="宋体" w:hAnsi="宋体" w:eastAsia="宋体" w:cs="宋体"/>
          <w:spacing w:val="0"/>
          <w:sz w:val="21"/>
          <w:szCs w:val="21"/>
          <w:highlight w:val="none"/>
          <w:lang w:val="en-US" w:eastAsia="zh-CN" w:bidi="ar-SA"/>
        </w:rPr>
        <w:t>技术要求：</w:t>
      </w:r>
    </w:p>
    <w:p>
      <w:pPr>
        <w:rPr>
          <w:rFonts w:hint="default"/>
          <w:b/>
          <w:bCs/>
          <w:highlight w:val="none"/>
          <w:lang w:val="en-US" w:eastAsia="zh-CN"/>
        </w:rPr>
      </w:pPr>
      <w:r>
        <w:rPr>
          <w:rFonts w:hint="eastAsia" w:ascii="宋体" w:hAnsi="宋体" w:eastAsia="宋体" w:cs="宋体"/>
          <w:b/>
          <w:bCs/>
          <w:spacing w:val="0"/>
          <w:sz w:val="21"/>
          <w:szCs w:val="21"/>
          <w:highlight w:val="none"/>
          <w:lang w:val="en-US" w:eastAsia="zh-CN" w:bidi="ar-SA"/>
        </w:rPr>
        <w:t>空压机技术要求：</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电动机与压缩机之间必须采取齿轮直连方式，电机免维护，油冷却方式；</w:t>
      </w:r>
      <w:r>
        <w:rPr>
          <w:rFonts w:hint="eastAsia" w:cs="宋体"/>
          <w:highlight w:val="none"/>
          <w:lang w:val="en-US" w:eastAsia="zh-CN"/>
        </w:rPr>
        <w:t>设备配备保温和电伴热系统，以防在环境温度低于5℃时设备无法启动。</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功率（能效比）≤6.2</w:t>
      </w:r>
      <w:r>
        <w:rPr>
          <w:rFonts w:hint="eastAsia" w:cs="宋体"/>
          <w:highlight w:val="none"/>
          <w:lang w:val="en-US" w:eastAsia="zh-CN"/>
        </w:rPr>
        <w:t>KWh/m³</w:t>
      </w:r>
      <w:r>
        <w:rPr>
          <w:rFonts w:hint="eastAsia" w:ascii="宋体" w:hAnsi="宋体" w:eastAsia="宋体" w:cs="宋体"/>
          <w:highlight w:val="none"/>
          <w:lang w:val="en-US" w:eastAsia="zh-CN"/>
        </w:rPr>
        <w:t>，国家能效标识为一级能效。</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空压机隔声罩外表面应涂油漆，漆膜应具有一定的耐温和耐盐雾腐蚀性能，油漆表面应平整光滑、色泽一致、美观大方，不允许有凹凸损伤和油漆剥落等影响外观质量的缺陷存在，紧固件、操作件应作装饰处理；</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空压机应采取隔声、消声、吸声等降低噪声的措施，使机壳外1m处实测噪音值不大于75dB(A)； </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空压机进气口应装设高效率的进气过滤器，要求除尘率99%，过滤精度3μm，</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空压机每个冷却器都需有气水分离装置，并带自动排水器。</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空压机油气分离器寿命均在8000小时以上。</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压机电机要求为ABB或西门子或英格索兰等国内外知名品牌，电机及机头部分均采用进口轴承，以及重要连接部位、密封等采用进口材料，厂家需提供具体信息。采购产品或设备相关设计要求；主机品牌必须与空压机同一品牌和厂家，且转子材质要求为不锈钢。</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电动机的设计与构造，必须与空气压缩机的运行条件和维护要求相一致。电动机应符合空压机频繁启停和快速启动的需要；</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电机要求为永磁变频TEFC，</w:t>
      </w:r>
      <w:r>
        <w:rPr>
          <w:rFonts w:hint="eastAsia" w:cs="宋体"/>
          <w:highlight w:val="none"/>
          <w:lang w:val="en-US" w:eastAsia="zh-CN"/>
        </w:rPr>
        <w:t>防护等级</w:t>
      </w:r>
      <w:r>
        <w:rPr>
          <w:rFonts w:hint="eastAsia" w:ascii="宋体" w:hAnsi="宋体" w:eastAsia="宋体" w:cs="宋体"/>
          <w:highlight w:val="none"/>
          <w:lang w:val="en-US" w:eastAsia="zh-CN"/>
        </w:rPr>
        <w:t>IP</w:t>
      </w:r>
      <w:r>
        <w:rPr>
          <w:rFonts w:hint="eastAsia" w:cs="宋体"/>
          <w:highlight w:val="none"/>
          <w:lang w:val="en-US" w:eastAsia="zh-CN"/>
        </w:rPr>
        <w:t>56以上</w:t>
      </w:r>
      <w:r>
        <w:rPr>
          <w:rFonts w:hint="eastAsia" w:ascii="宋体" w:hAnsi="宋体" w:eastAsia="宋体" w:cs="宋体"/>
          <w:highlight w:val="none"/>
          <w:lang w:val="en-US" w:eastAsia="zh-CN"/>
        </w:rPr>
        <w:t>，</w:t>
      </w:r>
      <w:r>
        <w:rPr>
          <w:rFonts w:hint="eastAsia" w:cs="宋体"/>
          <w:highlight w:val="none"/>
          <w:lang w:val="en-US" w:eastAsia="zh-CN"/>
        </w:rPr>
        <w:t>F</w:t>
      </w:r>
      <w:r>
        <w:rPr>
          <w:rFonts w:hint="eastAsia" w:ascii="宋体" w:hAnsi="宋体" w:eastAsia="宋体" w:cs="宋体"/>
          <w:highlight w:val="none"/>
          <w:lang w:val="en-US" w:eastAsia="zh-CN"/>
        </w:rPr>
        <w:t>级绝缘</w:t>
      </w:r>
      <w:r>
        <w:rPr>
          <w:rFonts w:hint="default" w:ascii="宋体" w:hAnsi="宋体" w:eastAsia="宋体" w:cs="宋体"/>
          <w:highlight w:val="none"/>
          <w:lang w:val="en-US" w:eastAsia="zh-CN"/>
        </w:rPr>
        <w:t>,</w:t>
      </w:r>
      <w:r>
        <w:rPr>
          <w:rFonts w:hint="eastAsia" w:ascii="宋体" w:hAnsi="宋体" w:eastAsia="宋体" w:cs="宋体"/>
          <w:highlight w:val="none"/>
          <w:lang w:val="en-US" w:eastAsia="zh-CN"/>
        </w:rPr>
        <w:t>电机效率不低于97%，一级能效。</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分离器的设计和制造要遵守ASME标准，腐蚀余量3mm，分离器芯寿命均在8000小时以上。所有取压管材料必须选用316不锈钢，配双卡套接头。所有电控箱外壳材质选用316不锈钢。</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电气部件需采用ABB、施耐德、西门子等同类品牌。</w:t>
      </w:r>
    </w:p>
    <w:p>
      <w:pPr>
        <w:pStyle w:val="8"/>
        <w:numPr>
          <w:ilvl w:val="0"/>
          <w:numId w:val="9"/>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压机操作显示要求：全中文显示屏，触摸式按键，可对所有的参数进行预先设定，在显示屏中可显示各种运行参数，并显示警告、报警及故障停车原因，具有完善的自我诊断、报警及监控功能。机组可联机群控，且能可进行数据采集，用于集中监控。</w:t>
      </w:r>
    </w:p>
    <w:p>
      <w:pPr>
        <w:rPr>
          <w:rFonts w:hint="eastAsia" w:ascii="宋体" w:hAnsi="宋体" w:eastAsia="宋体" w:cs="宋体"/>
          <w:b/>
          <w:bCs/>
          <w:spacing w:val="0"/>
          <w:sz w:val="21"/>
          <w:szCs w:val="21"/>
          <w:highlight w:val="none"/>
          <w:lang w:val="en-US" w:eastAsia="zh-CN" w:bidi="ar-SA"/>
        </w:rPr>
      </w:pPr>
      <w:r>
        <w:rPr>
          <w:rFonts w:hint="eastAsia" w:ascii="宋体" w:hAnsi="宋体" w:eastAsia="宋体" w:cs="宋体"/>
          <w:b/>
          <w:bCs/>
          <w:spacing w:val="0"/>
          <w:sz w:val="21"/>
          <w:szCs w:val="21"/>
          <w:highlight w:val="none"/>
          <w:lang w:val="en-US" w:eastAsia="zh-CN" w:bidi="ar-SA"/>
        </w:rPr>
        <w:t>干燥器技术要求：</w:t>
      </w:r>
    </w:p>
    <w:p>
      <w:pPr>
        <w:numPr>
          <w:ilvl w:val="0"/>
          <w:numId w:val="10"/>
        </w:numP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每个干燥器应能够在恒定的干燥/再生循环中将空气干燥至所需的干燥度。循环时间不      </w:t>
      </w:r>
    </w:p>
    <w:p>
      <w:pPr>
        <w:numPr>
          <w:ilvl w:val="0"/>
          <w:numId w:val="0"/>
        </w:numPr>
        <w:ind w:firstLine="420" w:firstLineChars="2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得超过10分钟。干燥器应有露点指示器。</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干燥器单元应配备安全阀，压力表，吹扫流量指示器和排气消音器等。</w:t>
      </w:r>
    </w:p>
    <w:p>
      <w:pPr>
        <w:pStyle w:val="8"/>
        <w:numPr>
          <w:ilvl w:val="0"/>
          <w:numId w:val="5"/>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空气干燥器组件应为双PSA变压吸附＋TSA 变温吸附型，内部填装固定干燥剂，每个塔的尺寸可根据空气压缩机的流量确定，并保证连续供应仪表空气。干燥器设计应考虑适当的安全系数，填充的干燥剂的数量需超过实际要求。干燥器供货时应完全充满干燥剂。</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干燥剂应为活性氧化铝和分子筛。干燥剂的量应使干燥剂变质后仍具有足够的干燥能力。</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通过容器的流量应足够低，以免引起干燥剂床的移动。</w:t>
      </w:r>
    </w:p>
    <w:p>
      <w:pPr>
        <w:numPr>
          <w:ilvl w:val="0"/>
          <w:numId w:val="10"/>
        </w:numPr>
        <w:rPr>
          <w:rFonts w:hint="default" w:ascii="宋体" w:hAnsi="宋体" w:eastAsia="宋体" w:cs="宋体"/>
          <w:highlight w:val="none"/>
          <w:lang w:val="en-US" w:eastAsia="zh-CN"/>
        </w:rPr>
      </w:pPr>
      <w:r>
        <w:rPr>
          <w:rFonts w:hint="eastAsia" w:ascii="宋体" w:hAnsi="宋体" w:eastAsia="宋体" w:cs="宋体"/>
          <w:highlight w:val="none"/>
          <w:lang w:val="en-US" w:eastAsia="zh-CN"/>
        </w:rPr>
        <w:t>每个干燥器容器上应留有足够的开孔，以便在不拆卸容器或断开管道的情况下进行干燥</w:t>
      </w:r>
    </w:p>
    <w:p>
      <w:pPr>
        <w:numPr>
          <w:ilvl w:val="0"/>
          <w:numId w:val="0"/>
        </w:numPr>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剂的装卸。手孔盖应有手柄。</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cs="宋体"/>
          <w:highlight w:val="none"/>
          <w:lang w:val="en-US" w:eastAsia="zh-CN"/>
        </w:rPr>
        <w:t>乙方投标时承诺：</w:t>
      </w:r>
      <w:r>
        <w:rPr>
          <w:rFonts w:hint="eastAsia" w:ascii="宋体" w:hAnsi="宋体" w:eastAsia="宋体" w:cs="宋体"/>
          <w:highlight w:val="none"/>
          <w:lang w:val="en-US" w:eastAsia="zh-CN"/>
        </w:rPr>
        <w:t>干燥器排水阀为定时电磁阀，按时自动排水，无需人工手动开阀排水。</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装置的设计应能使容器或过滤器中的任何一个打开而不会影响其他的操作。</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用于切换的气动执行器应与设计压力匹配，并保证在最小工作压力下可靠工作。阀门的动作顺序应确保从干燥器中排出的空气供应是连续的，并且不会因干燥器的切换而中断。</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手动隔离阀应安装在每个干燥器容器的进口和出口。</w:t>
      </w:r>
    </w:p>
    <w:p>
      <w:pPr>
        <w:numPr>
          <w:ilvl w:val="0"/>
          <w:numId w:val="10"/>
        </w:numPr>
        <w:rPr>
          <w:rFonts w:hint="eastAsia" w:ascii="宋体" w:hAnsi="宋体" w:eastAsia="宋体" w:cs="宋体"/>
          <w:highlight w:val="none"/>
          <w:lang w:val="en-US" w:eastAsia="zh-CN"/>
        </w:rPr>
      </w:pPr>
      <w:r>
        <w:rPr>
          <w:rFonts w:hint="eastAsia" w:ascii="宋体" w:hAnsi="宋体" w:eastAsia="宋体" w:cs="宋体"/>
          <w:highlight w:val="none"/>
          <w:lang w:val="en-US" w:eastAsia="zh-CN"/>
        </w:rPr>
        <w:t>每个干燥器的设计和制造均应符合GB / T150.1〜4或ASME BPVC VIII-1和压力容器规范。</w:t>
      </w:r>
    </w:p>
    <w:p>
      <w:pPr>
        <w:pStyle w:val="2"/>
        <w:ind w:left="0" w:leftChars="0" w:firstLine="0" w:firstLineChars="0"/>
        <w:jc w:val="left"/>
        <w:rPr>
          <w:rFonts w:hint="eastAsia" w:cstheme="minorBidi"/>
          <w:b/>
          <w:bCs/>
          <w:kern w:val="2"/>
          <w:sz w:val="21"/>
          <w:szCs w:val="22"/>
          <w:highlight w:val="none"/>
          <w:lang w:val="en-US" w:eastAsia="zh-CN" w:bidi="ar-SA"/>
        </w:rPr>
      </w:pPr>
      <w:r>
        <w:rPr>
          <w:rFonts w:hint="eastAsia" w:cstheme="minorBidi"/>
          <w:b/>
          <w:bCs/>
          <w:kern w:val="2"/>
          <w:sz w:val="21"/>
          <w:szCs w:val="22"/>
          <w:highlight w:val="none"/>
          <w:lang w:val="en-US" w:eastAsia="zh-CN" w:bidi="ar-SA"/>
        </w:rPr>
        <w:t>过滤器技术要求：</w:t>
      </w:r>
    </w:p>
    <w:p>
      <w:pPr>
        <w:pStyle w:val="7"/>
        <w:tabs>
          <w:tab w:val="left" w:pos="1040"/>
        </w:tabs>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过滤器与干燥器并联设置并具备除水、除油功能。</w:t>
      </w:r>
    </w:p>
    <w:p>
      <w:pPr>
        <w:pStyle w:val="2"/>
        <w:ind w:left="0" w:leftChars="0" w:firstLine="0" w:firstLineChars="0"/>
        <w:jc w:val="left"/>
        <w:rPr>
          <w:rFonts w:hint="eastAsia" w:asciiTheme="minorHAnsi" w:hAnsiTheme="minorHAnsi" w:eastAsiaTheme="minorEastAsia" w:cstheme="minorBidi"/>
          <w:b/>
          <w:bCs/>
          <w:kern w:val="2"/>
          <w:sz w:val="21"/>
          <w:szCs w:val="22"/>
          <w:highlight w:val="none"/>
          <w:lang w:val="en-US" w:eastAsia="zh-CN" w:bidi="ar-SA"/>
        </w:rPr>
      </w:pPr>
      <w:r>
        <w:rPr>
          <w:rFonts w:hint="eastAsia" w:asciiTheme="minorHAnsi" w:hAnsiTheme="minorHAnsi" w:eastAsiaTheme="minorEastAsia" w:cstheme="minorBidi"/>
          <w:b/>
          <w:bCs/>
          <w:kern w:val="2"/>
          <w:sz w:val="21"/>
          <w:szCs w:val="22"/>
          <w:highlight w:val="none"/>
          <w:lang w:val="en-US" w:eastAsia="zh-CN" w:bidi="ar-SA"/>
        </w:rPr>
        <w:t>储气罐技术要求：</w:t>
      </w:r>
    </w:p>
    <w:p>
      <w:pPr>
        <w:pStyle w:val="2"/>
        <w:numPr>
          <w:ilvl w:val="0"/>
          <w:numId w:val="11"/>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储气罐使用Q345R材质碳钢板制作</w:t>
      </w:r>
    </w:p>
    <w:p>
      <w:pPr>
        <w:pStyle w:val="2"/>
        <w:numPr>
          <w:ilvl w:val="0"/>
          <w:numId w:val="11"/>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容器筒节、封头 A 类焊缝不得超过 2 条，直径小于 3 米的封头应为整板，局部补强焊缝除外。所有开孔、补强圈和垫板应避开焊缝，两焊缝中心线距离应不小于 2 倍壁厚，且不小于50mm。当垫板或补强圈等覆盖焊缝的情况不可避免时，应将焊缝磨平，并根据 GB150.4 的规定进行无损检测。</w:t>
      </w:r>
    </w:p>
    <w:p>
      <w:pPr>
        <w:pStyle w:val="2"/>
        <w:numPr>
          <w:ilvl w:val="0"/>
          <w:numId w:val="11"/>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压力容器的无损检测除应符合 TSG 21、GB150.4 和 NB/T47013 的规定。委托第三方检测时，无损检测机构应具有国家市场监管总局审批的特种设备检验检测机构核准证（A 级或 B 级），并在有效期内。</w:t>
      </w:r>
    </w:p>
    <w:p>
      <w:pPr>
        <w:pStyle w:val="2"/>
        <w:numPr>
          <w:ilvl w:val="0"/>
          <w:numId w:val="11"/>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储气罐铭牌应固定于明显便于观察的位置。</w:t>
      </w:r>
    </w:p>
    <w:p>
      <w:pPr>
        <w:pStyle w:val="2"/>
        <w:numPr>
          <w:ilvl w:val="0"/>
          <w:numId w:val="11"/>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对所有碳钢表面进行喷砂除锈。喷砂前应去除所有的外部污染物、油、油脂等，所有的焊接飞溅物、粗糙的焊缝、锋利的坡口等。设备上所有的开口，在喷砂前需封闭、遮盖或隐蔽。在清理和油漆施工前，法兰密封面等机加工表面应遮盖。表面进行喷砂处理应达到 GB/T 8923.1 中 Sa2.5 级的要求，第一层油漆应在表面制备后的 4小时内进行。</w:t>
      </w:r>
    </w:p>
    <w:p>
      <w:pPr>
        <w:pStyle w:val="2"/>
        <w:numPr>
          <w:ilvl w:val="0"/>
          <w:numId w:val="11"/>
        </w:numPr>
        <w:ind w:left="0" w:leftChars="0" w:firstLine="0" w:firstLineChars="0"/>
        <w:jc w:val="left"/>
        <w:rPr>
          <w:rFonts w:hint="default"/>
          <w:highlight w:val="none"/>
          <w:lang w:val="en-US" w:eastAsia="zh-CN"/>
        </w:rPr>
      </w:pPr>
      <w:r>
        <w:rPr>
          <w:rFonts w:hint="eastAsia" w:ascii="宋体" w:hAnsi="宋体" w:eastAsia="宋体" w:cs="宋体"/>
          <w:highlight w:val="none"/>
          <w:lang w:val="en-US" w:eastAsia="zh-CN"/>
        </w:rPr>
        <w:t>涂漆采用喷枪喷涂。油漆完成后，应进行外观检查，检查其是否有过喷、凹陷、龟裂、硬化等缺陷，如有缺陷，应进行修补。油漆最后干膜厚度应满足码头使用要求。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257" w:lineRule="auto"/>
        <w:ind w:leftChars="0" w:right="119" w:righ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w:t>
      </w:r>
      <w:r>
        <w:rPr>
          <w:rFonts w:hint="eastAsia" w:cs="宋体"/>
          <w:highlight w:val="none"/>
          <w:lang w:val="en-US" w:eastAsia="zh-CN"/>
        </w:rPr>
        <w:t>乙方投标时承诺：整体更换</w:t>
      </w:r>
      <w:r>
        <w:rPr>
          <w:rFonts w:hint="eastAsia" w:ascii="宋体" w:hAnsi="宋体" w:eastAsia="宋体" w:cs="宋体"/>
          <w:highlight w:val="none"/>
          <w:lang w:val="en-US" w:eastAsia="zh-CN"/>
        </w:rPr>
        <w:t>安装要求</w:t>
      </w:r>
      <w:r>
        <w:rPr>
          <w:rFonts w:hint="eastAsia" w:cs="宋体"/>
          <w:highlight w:val="none"/>
          <w:lang w:val="en-US" w:eastAsia="zh-CN"/>
        </w:rPr>
        <w:t>：</w:t>
      </w:r>
    </w:p>
    <w:p>
      <w:pPr>
        <w:pStyle w:val="8"/>
        <w:keepNext w:val="0"/>
        <w:keepLines w:val="0"/>
        <w:pageBreakBefore w:val="0"/>
        <w:widowControl w:val="0"/>
        <w:kinsoku/>
        <w:wordWrap/>
        <w:overflowPunct/>
        <w:topLinePunct w:val="0"/>
        <w:autoSpaceDE/>
        <w:autoSpaceDN/>
        <w:bidi w:val="0"/>
        <w:adjustRightInd/>
        <w:snapToGrid/>
        <w:spacing w:line="257" w:lineRule="auto"/>
        <w:ind w:left="0" w:leftChars="0" w:right="119"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1)卖方需负责货物到货安装工作，安装需至少包含以下内容，如买方有其他货物相关服务需求，卖方需要积极配合。</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a） </w:t>
      </w:r>
      <w:r>
        <w:rPr>
          <w:rFonts w:hint="eastAsia" w:ascii="宋体" w:hAnsi="宋体" w:eastAsia="宋体" w:cs="宋体"/>
          <w:color w:val="auto"/>
          <w:kern w:val="0"/>
          <w:sz w:val="21"/>
          <w:szCs w:val="21"/>
          <w:highlight w:val="none"/>
          <w:lang w:val="en-US" w:eastAsia="zh-CN" w:bidi="ar-SA"/>
        </w:rPr>
        <w:t>预制机房至储气罐、储气罐至地罐、地罐至码头储灰罐的气管线</w:t>
      </w:r>
      <w:r>
        <w:rPr>
          <w:rFonts w:hint="eastAsia" w:hAnsi="宋体" w:cs="宋体"/>
          <w:color w:val="auto"/>
          <w:kern w:val="0"/>
          <w:sz w:val="21"/>
          <w:szCs w:val="21"/>
          <w:highlight w:val="none"/>
          <w:lang w:val="en-US" w:eastAsia="zh-CN" w:bidi="ar-SA"/>
        </w:rPr>
        <w:t>（铝合金材质）</w:t>
      </w:r>
      <w:r>
        <w:rPr>
          <w:rFonts w:hint="eastAsia" w:ascii="宋体" w:hAnsi="宋体" w:eastAsia="宋体" w:cs="宋体"/>
          <w:color w:val="auto"/>
          <w:kern w:val="0"/>
          <w:sz w:val="21"/>
          <w:szCs w:val="21"/>
          <w:highlight w:val="none"/>
          <w:lang w:val="en-US" w:eastAsia="zh-CN" w:bidi="ar-SA"/>
        </w:rPr>
        <w:t>以及配套阀门等零部件。</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b) </w:t>
      </w:r>
      <w:r>
        <w:rPr>
          <w:rFonts w:hint="eastAsia" w:ascii="宋体" w:hAnsi="宋体" w:eastAsia="宋体" w:cs="宋体"/>
          <w:color w:val="auto"/>
          <w:kern w:val="0"/>
          <w:sz w:val="21"/>
          <w:szCs w:val="21"/>
          <w:highlight w:val="none"/>
          <w:lang w:val="en-US" w:eastAsia="zh-CN" w:bidi="ar-SA"/>
        </w:rPr>
        <w:t xml:space="preserve">拆除机房内原有两台132KW空压机，拆除原有气管、排水、电缆、引风罩。 </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c) </w:t>
      </w:r>
      <w:r>
        <w:rPr>
          <w:rFonts w:hint="eastAsia" w:ascii="宋体" w:hAnsi="宋体" w:eastAsia="宋体" w:cs="宋体"/>
          <w:color w:val="auto"/>
          <w:kern w:val="0"/>
          <w:sz w:val="21"/>
          <w:szCs w:val="21"/>
          <w:highlight w:val="none"/>
          <w:lang w:val="en-US" w:eastAsia="zh-CN" w:bidi="ar-SA"/>
        </w:rPr>
        <w:t>拆除机房内2台干燥器、拆除并重新制作基础。</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d) </w:t>
      </w:r>
      <w:r>
        <w:rPr>
          <w:rFonts w:hint="eastAsia" w:ascii="宋体" w:hAnsi="宋体" w:eastAsia="宋体" w:cs="宋体"/>
          <w:color w:val="auto"/>
          <w:kern w:val="0"/>
          <w:sz w:val="21"/>
          <w:szCs w:val="21"/>
          <w:highlight w:val="none"/>
          <w:lang w:val="en-US" w:eastAsia="zh-CN" w:bidi="ar-SA"/>
        </w:rPr>
        <w:t>安装机房内空压机、干燥器、支架、气管、桥架，连接设备电缆，连接排水，安装引风罩（不锈钢材质）。</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e) </w:t>
      </w:r>
      <w:r>
        <w:rPr>
          <w:rFonts w:hint="eastAsia" w:ascii="宋体" w:hAnsi="宋体" w:eastAsia="宋体" w:cs="宋体"/>
          <w:color w:val="auto"/>
          <w:kern w:val="0"/>
          <w:sz w:val="21"/>
          <w:szCs w:val="21"/>
          <w:highlight w:val="none"/>
          <w:lang w:val="en-US" w:eastAsia="zh-CN" w:bidi="ar-SA"/>
        </w:rPr>
        <w:t>拆除原有3个6m³储气罐，安装3个新的10m³储气罐。</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f) </w:t>
      </w:r>
      <w:r>
        <w:rPr>
          <w:rFonts w:hint="eastAsia" w:ascii="宋体" w:hAnsi="宋体" w:eastAsia="宋体" w:cs="宋体"/>
          <w:color w:val="auto"/>
          <w:kern w:val="0"/>
          <w:sz w:val="21"/>
          <w:szCs w:val="21"/>
          <w:highlight w:val="none"/>
          <w:lang w:val="en-US" w:eastAsia="zh-CN" w:bidi="ar-SA"/>
        </w:rPr>
        <w:t>拆除原储气罐至地罐、地罐至码头旧压缩空气管道</w:t>
      </w:r>
      <w:r>
        <w:rPr>
          <w:rFonts w:hint="eastAsia" w:hAnsi="宋体" w:cs="宋体"/>
          <w:color w:val="auto"/>
          <w:kern w:val="0"/>
          <w:sz w:val="21"/>
          <w:szCs w:val="21"/>
          <w:highlight w:val="none"/>
          <w:lang w:val="en-US" w:eastAsia="zh-CN" w:bidi="ar-SA"/>
        </w:rPr>
        <w:t>（约200米）及</w:t>
      </w:r>
      <w:r>
        <w:rPr>
          <w:rFonts w:hint="eastAsia" w:ascii="宋体" w:hAnsi="宋体" w:eastAsia="宋体" w:cs="宋体"/>
          <w:color w:val="auto"/>
          <w:kern w:val="0"/>
          <w:sz w:val="21"/>
          <w:szCs w:val="21"/>
          <w:highlight w:val="none"/>
          <w:lang w:val="en-US" w:eastAsia="zh-CN" w:bidi="ar-SA"/>
        </w:rPr>
        <w:t>配套阀门等零部件</w:t>
      </w: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并更换</w:t>
      </w:r>
      <w:r>
        <w:rPr>
          <w:rFonts w:hint="eastAsia" w:hAnsi="宋体" w:cs="宋体"/>
          <w:color w:val="auto"/>
          <w:kern w:val="0"/>
          <w:sz w:val="21"/>
          <w:szCs w:val="21"/>
          <w:highlight w:val="none"/>
          <w:lang w:val="en-US" w:eastAsia="zh-CN" w:bidi="ar-SA"/>
        </w:rPr>
        <w:t>成</w:t>
      </w:r>
      <w:r>
        <w:rPr>
          <w:rFonts w:hint="eastAsia" w:ascii="宋体" w:hAnsi="宋体" w:eastAsia="宋体" w:cs="宋体"/>
          <w:color w:val="auto"/>
          <w:kern w:val="0"/>
          <w:sz w:val="21"/>
          <w:szCs w:val="21"/>
          <w:highlight w:val="none"/>
          <w:lang w:val="en-US" w:eastAsia="zh-CN" w:bidi="ar-SA"/>
        </w:rPr>
        <w:t>新DN125铝合金管道</w:t>
      </w:r>
      <w:r>
        <w:rPr>
          <w:rFonts w:hint="eastAsia" w:hAnsi="宋体" w:cs="宋体"/>
          <w:color w:val="auto"/>
          <w:kern w:val="0"/>
          <w:sz w:val="21"/>
          <w:szCs w:val="21"/>
          <w:highlight w:val="none"/>
          <w:lang w:val="en-US" w:eastAsia="zh-CN" w:bidi="ar-SA"/>
        </w:rPr>
        <w:t>（耐压等级：PN30、壁厚：2.4mm），整体布局与原管道布局基本一致，新安装管道应按原管道设计安装多级气口及相应阀门开关，如有需要调整，与买方共同设计按实际情况进行相应调整</w:t>
      </w:r>
      <w:r>
        <w:rPr>
          <w:rFonts w:hint="eastAsia" w:ascii="宋体" w:hAnsi="宋体" w:eastAsia="宋体" w:cs="宋体"/>
          <w:color w:val="auto"/>
          <w:kern w:val="0"/>
          <w:sz w:val="21"/>
          <w:szCs w:val="21"/>
          <w:highlight w:val="none"/>
          <w:lang w:val="en-US" w:eastAsia="zh-CN" w:bidi="ar-SA"/>
        </w:rPr>
        <w:t>。</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 xml:space="preserve">g) </w:t>
      </w:r>
      <w:r>
        <w:rPr>
          <w:rFonts w:hint="eastAsia" w:ascii="宋体" w:hAnsi="宋体" w:eastAsia="宋体" w:cs="宋体"/>
          <w:color w:val="auto"/>
          <w:kern w:val="0"/>
          <w:sz w:val="21"/>
          <w:szCs w:val="21"/>
          <w:highlight w:val="none"/>
          <w:lang w:val="en-US" w:eastAsia="zh-CN" w:bidi="ar-SA"/>
        </w:rPr>
        <w:t>气管线连接要求：</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630" w:leftChars="0" w:hanging="420"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实现3台干燥器出气管单独走管至每个储气罐。</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630" w:leftChars="0" w:hanging="420"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储气罐的进气管路处设计阀门和三通实现控制2个或3个储气罐的并联。</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630" w:leftChars="0" w:hanging="420" w:firstLineChars="0"/>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3个储气罐的出气管路能随意通过阀门切换并连2个或3个储气罐至控制室或码头气管线。</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h）</w:t>
      </w:r>
      <w:r>
        <w:rPr>
          <w:rFonts w:hint="eastAsia" w:ascii="宋体" w:hAnsi="宋体" w:eastAsia="宋体" w:cs="宋体"/>
          <w:color w:val="auto"/>
          <w:kern w:val="0"/>
          <w:sz w:val="21"/>
          <w:szCs w:val="21"/>
          <w:highlight w:val="none"/>
          <w:lang w:val="en-US" w:eastAsia="zh-CN" w:bidi="ar-SA"/>
        </w:rPr>
        <w:t>空压机、干燥器设备远程控制系统迭代更新，实现3台套设备</w:t>
      </w:r>
      <w:r>
        <w:rPr>
          <w:rFonts w:hint="eastAsia" w:hAnsi="宋体" w:cs="宋体"/>
          <w:color w:val="auto"/>
          <w:kern w:val="0"/>
          <w:sz w:val="21"/>
          <w:szCs w:val="21"/>
          <w:highlight w:val="none"/>
          <w:lang w:val="en-US" w:eastAsia="zh-CN" w:bidi="ar-SA"/>
        </w:rPr>
        <w:t>（原1套+更替2套设备）</w:t>
      </w:r>
      <w:r>
        <w:rPr>
          <w:rFonts w:hint="eastAsia" w:ascii="宋体" w:hAnsi="宋体" w:eastAsia="宋体" w:cs="宋体"/>
          <w:color w:val="auto"/>
          <w:kern w:val="0"/>
          <w:sz w:val="21"/>
          <w:szCs w:val="21"/>
          <w:highlight w:val="none"/>
          <w:lang w:val="en-US" w:eastAsia="zh-CN" w:bidi="ar-SA"/>
        </w:rPr>
        <w:t>的远程控制</w:t>
      </w:r>
      <w:r>
        <w:rPr>
          <w:rFonts w:hint="eastAsia" w:hAnsi="宋体" w:cs="宋体"/>
          <w:color w:val="auto"/>
          <w:kern w:val="0"/>
          <w:sz w:val="21"/>
          <w:szCs w:val="21"/>
          <w:highlight w:val="none"/>
          <w:lang w:val="en-US" w:eastAsia="zh-CN" w:bidi="ar-SA"/>
        </w:rPr>
        <w:t>（监控点：输灰站房以及配电间、通讯协议：Modbus RTU、对接接口：RS485）</w:t>
      </w:r>
      <w:r>
        <w:rPr>
          <w:rFonts w:hint="eastAsia" w:ascii="宋体" w:hAnsi="宋体" w:eastAsia="宋体" w:cs="宋体"/>
          <w:color w:val="auto"/>
          <w:kern w:val="0"/>
          <w:sz w:val="21"/>
          <w:szCs w:val="21"/>
          <w:highlight w:val="none"/>
          <w:lang w:val="en-US" w:eastAsia="zh-CN" w:bidi="ar-SA"/>
        </w:rPr>
        <w:t>。</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4.调试</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default"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a）卖方安装完成后及时进行调试，原则上安装完成后2日内调试完成，如遇特殊情况，需及时与买方联系，及时启动应急方案。</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default"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b）试运行7天内，如遇到设备问题，卖方技术人员需在接到买方通知后1小时内到达现场。</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4.部分现场设备图片（仅供参考）</w: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sz w:val="21"/>
          <w:highlight w:val="none"/>
        </w:rPr>
        <mc:AlternateContent>
          <mc:Choice Requires="wps">
            <w:drawing>
              <wp:anchor distT="0" distB="0" distL="114300" distR="114300" simplePos="0" relativeHeight="251671552" behindDoc="0" locked="0" layoutInCell="1" allowOverlap="1">
                <wp:simplePos x="0" y="0"/>
                <wp:positionH relativeFrom="column">
                  <wp:posOffset>3166110</wp:posOffset>
                </wp:positionH>
                <wp:positionV relativeFrom="paragraph">
                  <wp:posOffset>50800</wp:posOffset>
                </wp:positionV>
                <wp:extent cx="1847850" cy="352425"/>
                <wp:effectExtent l="4445" t="4445" r="14605" b="5080"/>
                <wp:wrapNone/>
                <wp:docPr id="17" name="文本框 17"/>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压缩空气管1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3pt;margin-top:4pt;height:27.75pt;width:145.5pt;z-index:251671552;mso-width-relative:page;mso-height-relative:page;" fillcolor="#FFFFFF [3201]" filled="t" stroked="t" coordsize="21600,21600" o:gfxdata="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WMHy/1QAAAAgB&#10;AAAPAAAAAAAAAAEAIAAAACIAAABkcnMvZG93bnJldi54bWxQSwECFAAUAAAACACHTuJAALMxHlcC&#10;AAC5BAAADgAAAAAAAAABACAAAAAkAQAAZHJzL2Uyb0RvYy54bWxQSwUGAAAAAAYABgBZAQAA7QUA&#10;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压缩空气管1</w:t>
                      </w:r>
                    </w:p>
                  </w:txbxContent>
                </v:textbox>
              </v:shape>
            </w:pict>
          </mc:Fallback>
        </mc:AlternateContent>
      </w:r>
      <w:r>
        <w:rPr>
          <w:sz w:val="21"/>
          <w:highlight w:val="none"/>
        </w:rPr>
        <mc:AlternateContent>
          <mc:Choice Requires="wps">
            <w:drawing>
              <wp:anchor distT="0" distB="0" distL="114300" distR="114300" simplePos="0" relativeHeight="251668480" behindDoc="0" locked="0" layoutInCell="1" allowOverlap="1">
                <wp:simplePos x="0" y="0"/>
                <wp:positionH relativeFrom="column">
                  <wp:posOffset>581660</wp:posOffset>
                </wp:positionH>
                <wp:positionV relativeFrom="paragraph">
                  <wp:posOffset>5080</wp:posOffset>
                </wp:positionV>
                <wp:extent cx="1847850" cy="352425"/>
                <wp:effectExtent l="4445" t="4445" r="14605" b="5080"/>
                <wp:wrapNone/>
                <wp:docPr id="13" name="文本框 13"/>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val="en-US" w:eastAsia="zh-CN"/>
                              </w:rPr>
                            </w:pPr>
                            <w:r>
                              <w:rPr>
                                <w:rFonts w:hint="eastAsia"/>
                                <w:lang w:val="en-US" w:eastAsia="zh-CN"/>
                              </w:rPr>
                              <w:t>储气罐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0.4pt;height:27.75pt;width:145.5pt;z-index:251668480;mso-width-relative:page;mso-height-relative:page;" fillcolor="#FFFFFF [3201]" filled="t" stroked="t" coordsize="21600,21600" o:gfxdata="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S0JAk0gAAAAYBAAAP&#10;AAAAAAAAAAEAIAAAACIAAABkcnMvZG93bnJldi54bWxQSwECFAAUAAAACACHTuJA2VZaAVcCAAC5&#10;BAAADgAAAAAAAAABACAAAAAhAQAAZHJzL2Uyb0RvYy54bWxQSwUGAAAAAAYABgBZAQAA6gUAAAAA&#10;">
                <v:fill on="t" focussize="0,0"/>
                <v:stroke weight="0.5pt" color="#000000 [3204]" joinstyle="round"/>
                <v:imagedata o:title=""/>
                <o:lock v:ext="edit" aspectratio="f"/>
                <v:textbox>
                  <w:txbxContent>
                    <w:p>
                      <w:pPr>
                        <w:jc w:val="center"/>
                        <w:rPr>
                          <w:rFonts w:hint="eastAsia" w:eastAsiaTheme="minorEastAsia"/>
                          <w:lang w:val="en-US" w:eastAsia="zh-CN"/>
                        </w:rPr>
                      </w:pPr>
                      <w:r>
                        <w:rPr>
                          <w:rFonts w:hint="eastAsia"/>
                          <w:lang w:val="en-US" w:eastAsia="zh-CN"/>
                        </w:rPr>
                        <w:t>储气罐</w:t>
                      </w:r>
                    </w:p>
                  </w:txbxContent>
                </v:textbox>
              </v:shape>
            </w:pict>
          </mc:Fallback>
        </mc:AlternateConten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drawing>
          <wp:anchor distT="0" distB="0" distL="114300" distR="114300" simplePos="0" relativeHeight="251664384" behindDoc="1" locked="0" layoutInCell="1" allowOverlap="1">
            <wp:simplePos x="0" y="0"/>
            <wp:positionH relativeFrom="column">
              <wp:posOffset>2845435</wp:posOffset>
            </wp:positionH>
            <wp:positionV relativeFrom="page">
              <wp:posOffset>1020445</wp:posOffset>
            </wp:positionV>
            <wp:extent cx="2399030" cy="1800225"/>
            <wp:effectExtent l="0" t="0" r="1270" b="9525"/>
            <wp:wrapTight wrapText="bothSides">
              <wp:wrapPolygon>
                <wp:start x="0" y="0"/>
                <wp:lineTo x="0" y="21486"/>
                <wp:lineTo x="21440" y="21486"/>
                <wp:lineTo x="21440" y="0"/>
                <wp:lineTo x="0" y="0"/>
              </wp:wrapPolygon>
            </wp:wrapTight>
            <wp:docPr id="5" name="图片 5" descr="压缩空气管道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压缩空气管道2"/>
                    <pic:cNvPicPr>
                      <a:picLocks noChangeAspect="1"/>
                    </pic:cNvPicPr>
                  </pic:nvPicPr>
                  <pic:blipFill>
                    <a:blip r:embed="rId5"/>
                    <a:stretch>
                      <a:fillRect/>
                    </a:stretch>
                  </pic:blipFill>
                  <pic:spPr>
                    <a:xfrm>
                      <a:off x="0" y="0"/>
                      <a:ext cx="2399030" cy="1800225"/>
                    </a:xfrm>
                    <a:prstGeom prst="rect">
                      <a:avLst/>
                    </a:prstGeom>
                  </pic:spPr>
                </pic:pic>
              </a:graphicData>
            </a:graphic>
          </wp:anchor>
        </w:drawing>
      </w:r>
      <w:r>
        <w:rPr>
          <w:rFonts w:hint="eastAsia" w:hAnsi="宋体" w:cs="宋体"/>
          <w:color w:val="auto"/>
          <w:kern w:val="0"/>
          <w:sz w:val="21"/>
          <w:szCs w:val="21"/>
          <w:highlight w:val="none"/>
          <w:lang w:val="en-US" w:eastAsia="zh-CN" w:bidi="ar-SA"/>
        </w:rPr>
        <w:drawing>
          <wp:anchor distT="0" distB="0" distL="114300" distR="114300" simplePos="0" relativeHeight="251660288" behindDoc="1" locked="0" layoutInCell="1" allowOverlap="1">
            <wp:simplePos x="0" y="0"/>
            <wp:positionH relativeFrom="column">
              <wp:posOffset>171450</wp:posOffset>
            </wp:positionH>
            <wp:positionV relativeFrom="page">
              <wp:posOffset>990600</wp:posOffset>
            </wp:positionV>
            <wp:extent cx="2399030" cy="1800225"/>
            <wp:effectExtent l="0" t="0" r="1270" b="9525"/>
            <wp:wrapTight wrapText="bothSides">
              <wp:wrapPolygon>
                <wp:start x="0" y="0"/>
                <wp:lineTo x="0" y="21486"/>
                <wp:lineTo x="21440" y="21486"/>
                <wp:lineTo x="21440" y="0"/>
                <wp:lineTo x="0" y="0"/>
              </wp:wrapPolygon>
            </wp:wrapTight>
            <wp:docPr id="6" name="图片 6" descr="压缩空气管道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压缩空气管道1"/>
                    <pic:cNvPicPr>
                      <a:picLocks noChangeAspect="1"/>
                    </pic:cNvPicPr>
                  </pic:nvPicPr>
                  <pic:blipFill>
                    <a:blip r:embed="rId6"/>
                    <a:stretch>
                      <a:fillRect/>
                    </a:stretch>
                  </pic:blipFill>
                  <pic:spPr>
                    <a:xfrm>
                      <a:off x="0" y="0"/>
                      <a:ext cx="2399030" cy="1800225"/>
                    </a:xfrm>
                    <a:prstGeom prst="rect">
                      <a:avLst/>
                    </a:prstGeom>
                  </pic:spPr>
                </pic:pic>
              </a:graphicData>
            </a:graphic>
          </wp:anchor>
        </w:drawing>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drawing>
          <wp:anchor distT="0" distB="0" distL="114300" distR="114300" simplePos="0" relativeHeight="251663360" behindDoc="1" locked="0" layoutInCell="1" allowOverlap="1">
            <wp:simplePos x="0" y="0"/>
            <wp:positionH relativeFrom="column">
              <wp:posOffset>2907030</wp:posOffset>
            </wp:positionH>
            <wp:positionV relativeFrom="page">
              <wp:posOffset>3286125</wp:posOffset>
            </wp:positionV>
            <wp:extent cx="2399030" cy="1800225"/>
            <wp:effectExtent l="0" t="0" r="1270" b="9525"/>
            <wp:wrapTight wrapText="bothSides">
              <wp:wrapPolygon>
                <wp:start x="0" y="0"/>
                <wp:lineTo x="0" y="21486"/>
                <wp:lineTo x="21440" y="21486"/>
                <wp:lineTo x="21440" y="0"/>
                <wp:lineTo x="0" y="0"/>
              </wp:wrapPolygon>
            </wp:wrapTight>
            <wp:docPr id="4" name="图片 4" descr="压缩空气管道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压缩空气管道3"/>
                    <pic:cNvPicPr>
                      <a:picLocks noChangeAspect="1"/>
                    </pic:cNvPicPr>
                  </pic:nvPicPr>
                  <pic:blipFill>
                    <a:blip r:embed="rId7"/>
                    <a:stretch>
                      <a:fillRect/>
                    </a:stretch>
                  </pic:blipFill>
                  <pic:spPr>
                    <a:xfrm>
                      <a:off x="0" y="0"/>
                      <a:ext cx="2399030" cy="1800225"/>
                    </a:xfrm>
                    <a:prstGeom prst="rect">
                      <a:avLst/>
                    </a:prstGeom>
                  </pic:spPr>
                </pic:pic>
              </a:graphicData>
            </a:graphic>
          </wp:anchor>
        </w:drawing>
      </w:r>
      <w:r>
        <w:rPr>
          <w:rFonts w:hint="eastAsia" w:hAnsi="宋体" w:cs="宋体"/>
          <w:color w:val="auto"/>
          <w:kern w:val="0"/>
          <w:sz w:val="21"/>
          <w:szCs w:val="21"/>
          <w:highlight w:val="none"/>
          <w:lang w:val="en-US" w:eastAsia="zh-CN" w:bidi="ar-SA"/>
        </w:rPr>
        <w:drawing>
          <wp:anchor distT="0" distB="0" distL="114300" distR="114300" simplePos="0" relativeHeight="251662336" behindDoc="1" locked="0" layoutInCell="1" allowOverlap="1">
            <wp:simplePos x="0" y="0"/>
            <wp:positionH relativeFrom="column">
              <wp:posOffset>107315</wp:posOffset>
            </wp:positionH>
            <wp:positionV relativeFrom="page">
              <wp:posOffset>3228975</wp:posOffset>
            </wp:positionV>
            <wp:extent cx="2399030" cy="1800225"/>
            <wp:effectExtent l="0" t="0" r="1270" b="9525"/>
            <wp:wrapTight wrapText="bothSides">
              <wp:wrapPolygon>
                <wp:start x="0" y="0"/>
                <wp:lineTo x="0" y="21486"/>
                <wp:lineTo x="21440" y="21486"/>
                <wp:lineTo x="21440" y="0"/>
                <wp:lineTo x="0" y="0"/>
              </wp:wrapPolygon>
            </wp:wrapTight>
            <wp:docPr id="3" name="图片 3" descr="压缩空气管道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压缩空气管道4"/>
                    <pic:cNvPicPr>
                      <a:picLocks noChangeAspect="1"/>
                    </pic:cNvPicPr>
                  </pic:nvPicPr>
                  <pic:blipFill>
                    <a:blip r:embed="rId8"/>
                    <a:stretch>
                      <a:fillRect/>
                    </a:stretch>
                  </pic:blipFill>
                  <pic:spPr>
                    <a:xfrm>
                      <a:off x="0" y="0"/>
                      <a:ext cx="2399030" cy="1800225"/>
                    </a:xfrm>
                    <a:prstGeom prst="rect">
                      <a:avLst/>
                    </a:prstGeom>
                  </pic:spPr>
                </pic:pic>
              </a:graphicData>
            </a:graphic>
          </wp:anchor>
        </w:drawing>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sz w:val="21"/>
          <w:highlight w:val="none"/>
        </w:rPr>
        <mc:AlternateContent>
          <mc:Choice Requires="wps">
            <w:drawing>
              <wp:anchor distT="0" distB="0" distL="114300" distR="114300" simplePos="0" relativeHeight="251672576" behindDoc="0" locked="0" layoutInCell="1" allowOverlap="1">
                <wp:simplePos x="0" y="0"/>
                <wp:positionH relativeFrom="column">
                  <wp:posOffset>728980</wp:posOffset>
                </wp:positionH>
                <wp:positionV relativeFrom="paragraph">
                  <wp:posOffset>238760</wp:posOffset>
                </wp:positionV>
                <wp:extent cx="1847850" cy="352425"/>
                <wp:effectExtent l="4445" t="4445" r="14605" b="5080"/>
                <wp:wrapNone/>
                <wp:docPr id="18" name="文本框 18"/>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压缩空气管3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4pt;margin-top:18.8pt;height:27.75pt;width:145.5pt;z-index:251672576;mso-width-relative:page;mso-height-relative:page;" fillcolor="#FFFFFF [3201]" filled="t" stroked="t" coordsize="21600,21600" o:gfxdata="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E7FDg1QAAAAkB&#10;AAAPAAAAAAAAAAEAIAAAACIAAABkcnMvZG93bnJldi54bWxQSwECFAAUAAAACACHTuJAQVSGrFcC&#10;AAC5BAAADgAAAAAAAAABACAAAAAkAQAAZHJzL2Uyb0RvYy54bWxQSwUGAAAAAAYABgBZAQAA7QUA&#10;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压缩空气管3</w:t>
                      </w:r>
                    </w:p>
                  </w:txbxContent>
                </v:textbox>
              </v:shape>
            </w:pict>
          </mc:Fallback>
        </mc:AlternateContent>
      </w:r>
      <w:r>
        <w:rPr>
          <w:sz w:val="21"/>
          <w:highlight w:val="none"/>
        </w:rPr>
        <mc:AlternateContent>
          <mc:Choice Requires="wps">
            <w:drawing>
              <wp:anchor distT="0" distB="0" distL="114300" distR="114300" simplePos="0" relativeHeight="251673600" behindDoc="0" locked="0" layoutInCell="1" allowOverlap="1">
                <wp:simplePos x="0" y="0"/>
                <wp:positionH relativeFrom="column">
                  <wp:posOffset>-2125980</wp:posOffset>
                </wp:positionH>
                <wp:positionV relativeFrom="paragraph">
                  <wp:posOffset>182245</wp:posOffset>
                </wp:positionV>
                <wp:extent cx="1847850" cy="352425"/>
                <wp:effectExtent l="4445" t="4445" r="14605" b="5080"/>
                <wp:wrapNone/>
                <wp:docPr id="19" name="文本框 19"/>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压缩空气管2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4pt;margin-top:14.35pt;height:27.75pt;width:145.5pt;z-index:251673600;mso-width-relative:page;mso-height-relative:page;" fillcolor="#FFFFFF [3201]" filled="t" stroked="t" coordsize="21600,21600" o:gfxdata="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wmFHnXAAAA&#10;CgEAAA8AAAAAAAAAAQAgAAAAIgAAAGRycy9kb3ducmV2LnhtbFBLAQIUABQAAAAIAIdO4kCn7IDd&#10;VwIAALkEAAAOAAAAAAAAAAEAIAAAACYBAABkcnMvZTJvRG9jLnhtbFBLBQYAAAAABgAGAFkBAADv&#10;BQA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压缩空气管2</w:t>
                      </w:r>
                    </w:p>
                  </w:txbxContent>
                </v:textbox>
              </v:shape>
            </w:pict>
          </mc:Fallback>
        </mc:AlternateConten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drawing>
          <wp:anchor distT="0" distB="0" distL="114300" distR="114300" simplePos="0" relativeHeight="251677696" behindDoc="1" locked="0" layoutInCell="1" allowOverlap="1">
            <wp:simplePos x="0" y="0"/>
            <wp:positionH relativeFrom="column">
              <wp:posOffset>3062605</wp:posOffset>
            </wp:positionH>
            <wp:positionV relativeFrom="page">
              <wp:posOffset>5539105</wp:posOffset>
            </wp:positionV>
            <wp:extent cx="2399030" cy="1800225"/>
            <wp:effectExtent l="0" t="0" r="1270" b="9525"/>
            <wp:wrapTight wrapText="bothSides">
              <wp:wrapPolygon>
                <wp:start x="0" y="0"/>
                <wp:lineTo x="0" y="21486"/>
                <wp:lineTo x="21440" y="21486"/>
                <wp:lineTo x="21440" y="0"/>
                <wp:lineTo x="0" y="0"/>
              </wp:wrapPolygon>
            </wp:wrapTight>
            <wp:docPr id="11" name="图片 11" descr="1#干燥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干燥器"/>
                    <pic:cNvPicPr>
                      <a:picLocks noChangeAspect="1"/>
                    </pic:cNvPicPr>
                  </pic:nvPicPr>
                  <pic:blipFill>
                    <a:blip r:embed="rId9"/>
                    <a:stretch>
                      <a:fillRect/>
                    </a:stretch>
                  </pic:blipFill>
                  <pic:spPr>
                    <a:xfrm>
                      <a:off x="0" y="0"/>
                      <a:ext cx="2399030" cy="1800225"/>
                    </a:xfrm>
                    <a:prstGeom prst="rect">
                      <a:avLst/>
                    </a:prstGeom>
                  </pic:spPr>
                </pic:pic>
              </a:graphicData>
            </a:graphic>
          </wp:anchor>
        </w:drawing>
      </w:r>
      <w:r>
        <w:rPr>
          <w:rFonts w:hint="eastAsia" w:hAnsi="宋体" w:cs="宋体"/>
          <w:color w:val="auto"/>
          <w:kern w:val="0"/>
          <w:sz w:val="21"/>
          <w:szCs w:val="21"/>
          <w:highlight w:val="none"/>
          <w:lang w:val="en-US" w:eastAsia="zh-CN" w:bidi="ar-SA"/>
        </w:rPr>
        <w:drawing>
          <wp:anchor distT="0" distB="0" distL="114300" distR="114300" simplePos="0" relativeHeight="251676672" behindDoc="1" locked="0" layoutInCell="1" allowOverlap="1">
            <wp:simplePos x="0" y="0"/>
            <wp:positionH relativeFrom="column">
              <wp:posOffset>159385</wp:posOffset>
            </wp:positionH>
            <wp:positionV relativeFrom="page">
              <wp:posOffset>5453380</wp:posOffset>
            </wp:positionV>
            <wp:extent cx="2399030" cy="1800225"/>
            <wp:effectExtent l="0" t="0" r="1270" b="9525"/>
            <wp:wrapTight wrapText="bothSides">
              <wp:wrapPolygon>
                <wp:start x="0" y="0"/>
                <wp:lineTo x="0" y="21486"/>
                <wp:lineTo x="21440" y="21486"/>
                <wp:lineTo x="21440" y="0"/>
                <wp:lineTo x="0" y="0"/>
              </wp:wrapPolygon>
            </wp:wrapTight>
            <wp:docPr id="9" name="图片 9" descr="2#干燥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干燥器"/>
                    <pic:cNvPicPr>
                      <a:picLocks noChangeAspect="1"/>
                    </pic:cNvPicPr>
                  </pic:nvPicPr>
                  <pic:blipFill>
                    <a:blip r:embed="rId10"/>
                    <a:stretch>
                      <a:fillRect/>
                    </a:stretch>
                  </pic:blipFill>
                  <pic:spPr>
                    <a:xfrm>
                      <a:off x="0" y="0"/>
                      <a:ext cx="2399030" cy="1800225"/>
                    </a:xfrm>
                    <a:prstGeom prst="rect">
                      <a:avLst/>
                    </a:prstGeom>
                  </pic:spPr>
                </pic:pic>
              </a:graphicData>
            </a:graphic>
          </wp:anchor>
        </w:drawing>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sz w:val="21"/>
          <w:highlight w:val="none"/>
        </w:rPr>
        <mc:AlternateContent>
          <mc:Choice Requires="wps">
            <w:drawing>
              <wp:anchor distT="0" distB="0" distL="114300" distR="114300" simplePos="0" relativeHeight="251679744" behindDoc="0" locked="0" layoutInCell="1" allowOverlap="1">
                <wp:simplePos x="0" y="0"/>
                <wp:positionH relativeFrom="column">
                  <wp:posOffset>827405</wp:posOffset>
                </wp:positionH>
                <wp:positionV relativeFrom="paragraph">
                  <wp:posOffset>176530</wp:posOffset>
                </wp:positionV>
                <wp:extent cx="1847850" cy="352425"/>
                <wp:effectExtent l="4445" t="4445" r="14605" b="5080"/>
                <wp:wrapNone/>
                <wp:docPr id="16" name="文本框 16"/>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2#干燥器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15pt;margin-top:13.9pt;height:27.75pt;width:145.5pt;z-index:251679744;mso-width-relative:page;mso-height-relative:page;" fillcolor="#FFFFFF [3201]" filled="t" stroked="t" coordsize="21600,21600" o:gfxdata="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Mfghm1QAAAAkB&#10;AAAPAAAAAAAAAAEAIAAAACIAAABkcnMvZG93bnJldi54bWxQSwECFAAUAAAACACHTuJA5gs3b1cC&#10;AAC5BAAADgAAAAAAAAABACAAAAAkAQAAZHJzL2Uyb0RvYy54bWxQSwUGAAAAAAYABgBZAQAA7QUA&#10;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2#干燥器</w:t>
                      </w:r>
                    </w:p>
                  </w:txbxContent>
                </v:textbox>
              </v:shape>
            </w:pict>
          </mc:Fallback>
        </mc:AlternateContent>
      </w:r>
      <w:r>
        <w:rPr>
          <w:sz w:val="21"/>
          <w:highlight w:val="none"/>
        </w:rPr>
        <mc:AlternateContent>
          <mc:Choice Requires="wps">
            <w:drawing>
              <wp:anchor distT="0" distB="0" distL="114300" distR="114300" simplePos="0" relativeHeight="251678720" behindDoc="0" locked="0" layoutInCell="1" allowOverlap="1">
                <wp:simplePos x="0" y="0"/>
                <wp:positionH relativeFrom="column">
                  <wp:posOffset>-2150110</wp:posOffset>
                </wp:positionH>
                <wp:positionV relativeFrom="paragraph">
                  <wp:posOffset>44450</wp:posOffset>
                </wp:positionV>
                <wp:extent cx="1847850" cy="352425"/>
                <wp:effectExtent l="4445" t="4445" r="14605" b="5080"/>
                <wp:wrapNone/>
                <wp:docPr id="15" name="文本框 15"/>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1#干燥器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3pt;margin-top:3.5pt;height:27.75pt;width:145.5pt;z-index:251678720;mso-width-relative:page;mso-height-relative:page;" fillcolor="#FFFFFF [3201]" filled="t" stroked="t" coordsize="21600,21600" o:gfxdata="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Ktqq7WAAAA&#10;CQEAAA8AAAAAAAAAAQAgAAAAIgAAAGRycy9kb3ducmV2LnhtbFBLAQIUABQAAAAIAIdO4kDMwjz8&#10;WAIAALkEAAAOAAAAAAAAAAEAIAAAACUBAABkcnMvZTJvRG9jLnhtbFBLBQYAAAAABgAGAFkBAADv&#10;BQA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1#干燥器</w:t>
                      </w:r>
                    </w:p>
                  </w:txbxContent>
                </v:textbox>
              </v:shape>
            </w:pict>
          </mc:Fallback>
        </mc:AlternateConten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drawing>
          <wp:anchor distT="0" distB="0" distL="114300" distR="114300" simplePos="0" relativeHeight="251667456" behindDoc="1" locked="0" layoutInCell="1" allowOverlap="1">
            <wp:simplePos x="0" y="0"/>
            <wp:positionH relativeFrom="column">
              <wp:posOffset>3209290</wp:posOffset>
            </wp:positionH>
            <wp:positionV relativeFrom="page">
              <wp:posOffset>7772400</wp:posOffset>
            </wp:positionV>
            <wp:extent cx="2399030" cy="1800225"/>
            <wp:effectExtent l="0" t="0" r="1270" b="9525"/>
            <wp:wrapTight wrapText="bothSides">
              <wp:wrapPolygon>
                <wp:start x="0" y="0"/>
                <wp:lineTo x="0" y="21486"/>
                <wp:lineTo x="21440" y="21486"/>
                <wp:lineTo x="21440" y="0"/>
                <wp:lineTo x="0" y="0"/>
              </wp:wrapPolygon>
            </wp:wrapTight>
            <wp:docPr id="7" name="图片 7" descr="压缩空气管道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压缩空气管道6"/>
                    <pic:cNvPicPr>
                      <a:picLocks noChangeAspect="1"/>
                    </pic:cNvPicPr>
                  </pic:nvPicPr>
                  <pic:blipFill>
                    <a:blip r:embed="rId11"/>
                    <a:stretch>
                      <a:fillRect/>
                    </a:stretch>
                  </pic:blipFill>
                  <pic:spPr>
                    <a:xfrm>
                      <a:off x="0" y="0"/>
                      <a:ext cx="2399030" cy="1800225"/>
                    </a:xfrm>
                    <a:prstGeom prst="rect">
                      <a:avLst/>
                    </a:prstGeom>
                  </pic:spPr>
                </pic:pic>
              </a:graphicData>
            </a:graphic>
          </wp:anchor>
        </w:drawing>
      </w:r>
      <w:r>
        <w:rPr>
          <w:rFonts w:hint="eastAsia" w:hAnsi="宋体" w:cs="宋体"/>
          <w:color w:val="auto"/>
          <w:kern w:val="0"/>
          <w:sz w:val="21"/>
          <w:szCs w:val="21"/>
          <w:highlight w:val="none"/>
          <w:lang w:val="en-US" w:eastAsia="zh-CN" w:bidi="ar-SA"/>
        </w:rPr>
        <w:drawing>
          <wp:anchor distT="0" distB="0" distL="114300" distR="114300" simplePos="0" relativeHeight="251661312" behindDoc="1" locked="0" layoutInCell="1" allowOverlap="1">
            <wp:simplePos x="0" y="0"/>
            <wp:positionH relativeFrom="column">
              <wp:posOffset>184785</wp:posOffset>
            </wp:positionH>
            <wp:positionV relativeFrom="page">
              <wp:posOffset>7773670</wp:posOffset>
            </wp:positionV>
            <wp:extent cx="2399030" cy="1800225"/>
            <wp:effectExtent l="0" t="0" r="1270" b="9525"/>
            <wp:wrapTight wrapText="bothSides">
              <wp:wrapPolygon>
                <wp:start x="0" y="0"/>
                <wp:lineTo x="0" y="21486"/>
                <wp:lineTo x="21440" y="21486"/>
                <wp:lineTo x="21440" y="0"/>
                <wp:lineTo x="0" y="0"/>
              </wp:wrapPolygon>
            </wp:wrapTight>
            <wp:docPr id="1" name="图片 1" descr="压缩空气管道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压缩空气管道5"/>
                    <pic:cNvPicPr>
                      <a:picLocks noChangeAspect="1"/>
                    </pic:cNvPicPr>
                  </pic:nvPicPr>
                  <pic:blipFill>
                    <a:blip r:embed="rId12"/>
                    <a:stretch>
                      <a:fillRect/>
                    </a:stretch>
                  </pic:blipFill>
                  <pic:spPr>
                    <a:xfrm>
                      <a:off x="0" y="0"/>
                      <a:ext cx="2399030" cy="1800225"/>
                    </a:xfrm>
                    <a:prstGeom prst="rect">
                      <a:avLst/>
                    </a:prstGeom>
                  </pic:spPr>
                </pic:pic>
              </a:graphicData>
            </a:graphic>
          </wp:anchor>
        </w:drawing>
      </w:r>
      <w:r>
        <w:rPr>
          <w:sz w:val="21"/>
          <w:highlight w:val="none"/>
        </w:rPr>
        <mc:AlternateContent>
          <mc:Choice Requires="wps">
            <w:drawing>
              <wp:anchor distT="0" distB="0" distL="114300" distR="114300" simplePos="0" relativeHeight="251670528" behindDoc="0" locked="0" layoutInCell="1" allowOverlap="1">
                <wp:simplePos x="0" y="0"/>
                <wp:positionH relativeFrom="column">
                  <wp:posOffset>3846195</wp:posOffset>
                </wp:positionH>
                <wp:positionV relativeFrom="paragraph">
                  <wp:posOffset>352425</wp:posOffset>
                </wp:positionV>
                <wp:extent cx="1714500" cy="257175"/>
                <wp:effectExtent l="4445" t="4445" r="14605" b="5080"/>
                <wp:wrapNone/>
                <wp:docPr id="12" name="文本框 12"/>
                <wp:cNvGraphicFramePr/>
                <a:graphic xmlns:a="http://schemas.openxmlformats.org/drawingml/2006/main">
                  <a:graphicData uri="http://schemas.microsoft.com/office/word/2010/wordprocessingShape">
                    <wps:wsp>
                      <wps:cNvSpPr txBox="1"/>
                      <wps:spPr>
                        <a:xfrm>
                          <a:off x="4280535" y="5143500"/>
                          <a:ext cx="1714500" cy="257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2#空压机</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85pt;margin-top:27.75pt;height:20.25pt;width:135pt;z-index:251670528;mso-width-relative:page;mso-height-relative:page;" fillcolor="#FFFFFF [3201]" filled="t" stroked="t" coordsize="21600,21600" o:gfxdata="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DfRX1gAAAAkBAAAPAAAAAAAAAAEAIAAAACIAAABkcnMvZG93bnJldi54bWxQSwECFAAUAAAA&#10;CACHTuJA6tCkGWICAADFBAAADgAAAAAAAAABACAAAAAlAQAAZHJzL2Uyb0RvYy54bWxQSwUGAAAA&#10;AAYABgBZAQAA+QUA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2#空压机</w:t>
                      </w:r>
                    </w:p>
                    <w:p/>
                  </w:txbxContent>
                </v:textbox>
              </v:shape>
            </w:pict>
          </mc:Fallback>
        </mc:AlternateContent>
      </w: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default"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default" w:hAnsi="宋体" w:cs="宋体"/>
          <w:color w:val="auto"/>
          <w:kern w:val="0"/>
          <w:sz w:val="21"/>
          <w:szCs w:val="21"/>
          <w:highlight w:val="none"/>
          <w:lang w:val="en-US" w:eastAsia="zh-CN" w:bidi="ar-SA"/>
        </w:rPr>
      </w:pPr>
    </w:p>
    <w:p>
      <w:pPr>
        <w:pStyle w:val="1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default" w:hAnsi="宋体" w:cs="宋体"/>
          <w:color w:val="auto"/>
          <w:kern w:val="0"/>
          <w:sz w:val="21"/>
          <w:szCs w:val="21"/>
          <w:highlight w:val="none"/>
          <w:lang w:val="en-US" w:eastAsia="zh-CN" w:bidi="ar-SA"/>
        </w:rPr>
      </w:pPr>
      <w:r>
        <w:rPr>
          <w:sz w:val="21"/>
          <w:highlight w:val="none"/>
        </w:rPr>
        <mc:AlternateContent>
          <mc:Choice Requires="wps">
            <w:drawing>
              <wp:anchor distT="0" distB="0" distL="114300" distR="114300" simplePos="0" relativeHeight="251674624" behindDoc="0" locked="0" layoutInCell="1" allowOverlap="1">
                <wp:simplePos x="0" y="0"/>
                <wp:positionH relativeFrom="column">
                  <wp:posOffset>900430</wp:posOffset>
                </wp:positionH>
                <wp:positionV relativeFrom="paragraph">
                  <wp:posOffset>156845</wp:posOffset>
                </wp:positionV>
                <wp:extent cx="1847850" cy="352425"/>
                <wp:effectExtent l="4445" t="4445" r="14605" b="5080"/>
                <wp:wrapNone/>
                <wp:docPr id="20" name="文本框 20"/>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hAnsi="宋体" w:cs="宋体"/>
                                <w:color w:val="auto"/>
                                <w:kern w:val="0"/>
                                <w:sz w:val="21"/>
                                <w:szCs w:val="21"/>
                                <w:highlight w:val="none"/>
                                <w:lang w:val="en-US" w:eastAsia="zh-CN" w:bidi="ar-SA"/>
                              </w:rPr>
                              <w:t>多级气口及相应阀门开关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9pt;margin-top:12.35pt;height:27.75pt;width:145.5pt;z-index:251674624;mso-width-relative:page;mso-height-relative:page;" fillcolor="#FFFFFF [3201]" filled="t" stroked="t" coordsize="21600,21600" o:gfxdata="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wWi6L1QAAAAkB&#10;AAAPAAAAAAAAAAEAIAAAACIAAABkcnMvZG93bnJldi54bWxQSwECFAAUAAAACACHTuJA7F15SVcC&#10;AAC5BAAADgAAAAAAAAABACAAAAAkAQAAZHJzL2Uyb0RvYy54bWxQSwUGAAAAAAYABgBZAQAA7QUA&#10;AAAA&#10;">
                <v:fill on="t" focussize="0,0"/>
                <v:stroke weight="0.5pt" color="#000000 [3204]" joinstyle="round"/>
                <v:imagedata o:title=""/>
                <o:lock v:ext="edit" aspectratio="f"/>
                <v:textbox>
                  <w:txbxContent>
                    <w:p>
                      <w:pPr>
                        <w:rPr>
                          <w:rFonts w:hint="default"/>
                          <w:lang w:val="en-US" w:eastAsia="zh-CN"/>
                        </w:rPr>
                      </w:pPr>
                      <w:r>
                        <w:rPr>
                          <w:rFonts w:hint="eastAsia" w:hAnsi="宋体" w:cs="宋体"/>
                          <w:color w:val="auto"/>
                          <w:kern w:val="0"/>
                          <w:sz w:val="21"/>
                          <w:szCs w:val="21"/>
                          <w:highlight w:val="none"/>
                          <w:lang w:val="en-US" w:eastAsia="zh-CN" w:bidi="ar-SA"/>
                        </w:rPr>
                        <w:t>多级气口及相应阀门开关</w:t>
                      </w:r>
                    </w:p>
                  </w:txbxContent>
                </v:textbox>
              </v:shape>
            </w:pict>
          </mc:Fallback>
        </mc:AlternateContent>
      </w:r>
      <w:r>
        <w:rPr>
          <w:sz w:val="21"/>
          <w:highlight w:val="none"/>
        </w:rPr>
        <mc:AlternateContent>
          <mc:Choice Requires="wps">
            <w:drawing>
              <wp:anchor distT="0" distB="0" distL="114300" distR="114300" simplePos="0" relativeHeight="251675648" behindDoc="0" locked="0" layoutInCell="1" allowOverlap="1">
                <wp:simplePos x="0" y="0"/>
                <wp:positionH relativeFrom="column">
                  <wp:posOffset>-2180590</wp:posOffset>
                </wp:positionH>
                <wp:positionV relativeFrom="paragraph">
                  <wp:posOffset>113665</wp:posOffset>
                </wp:positionV>
                <wp:extent cx="1847850" cy="352425"/>
                <wp:effectExtent l="4445" t="4445" r="14605" b="5080"/>
                <wp:wrapNone/>
                <wp:docPr id="21" name="文本框 21"/>
                <wp:cNvGraphicFramePr/>
                <a:graphic xmlns:a="http://schemas.openxmlformats.org/drawingml/2006/main">
                  <a:graphicData uri="http://schemas.microsoft.com/office/word/2010/wordprocessingShape">
                    <wps:wsp>
                      <wps:cNvSpPr txBox="1"/>
                      <wps:spPr>
                        <a:xfrm>
                          <a:off x="0" y="0"/>
                          <a:ext cx="1847850"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栈桥压缩空气管整体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7pt;margin-top:8.95pt;height:27.75pt;width:145.5pt;z-index:251675648;mso-width-relative:page;mso-height-relative:page;" fillcolor="#FFFFFF [3201]" filled="t" stroked="t" coordsize="21600,21600" o:gfxdata="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yppztYAAAAK&#10;AQAADwAAAAAAAAABACAAAAAiAAAAZHJzL2Rvd25yZXYueG1sUEsBAhQAFAAAAAgAh07iQArlfzhX&#10;AgAAuQQAAA4AAAAAAAAAAQAgAAAAJQEAAGRycy9lMm9Eb2MueG1sUEsFBgAAAAAGAAYAWQEAAO4F&#10;AA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栈桥压缩空气管整体</w:t>
                      </w:r>
                    </w:p>
                  </w:txbxContent>
                </v:textbox>
              </v:shape>
            </w:pict>
          </mc:Fallback>
        </mc:AlternateContent>
      </w:r>
    </w:p>
    <w:p>
      <w:pPr>
        <w:pStyle w:val="17"/>
        <w:spacing w:before="120" w:after="120"/>
        <w:outlineLvl w:val="0"/>
        <w:rPr>
          <w:rFonts w:hint="eastAsia" w:ascii="微软雅黑" w:hAnsi="微软雅黑" w:eastAsia="微软雅黑" w:cs="Times New Roman"/>
          <w:color w:val="auto"/>
          <w:sz w:val="21"/>
          <w:szCs w:val="21"/>
          <w:highlight w:val="none"/>
        </w:rPr>
      </w:pPr>
      <w:r>
        <w:rPr>
          <w:rFonts w:hint="eastAsia" w:hAnsi="宋体" w:cs="宋体"/>
          <w:color w:val="auto"/>
          <w:kern w:val="0"/>
          <w:sz w:val="21"/>
          <w:szCs w:val="21"/>
          <w:highlight w:val="none"/>
          <w:lang w:val="en-US" w:eastAsia="zh-CN" w:bidi="ar-SA"/>
        </w:rPr>
        <w:drawing>
          <wp:anchor distT="0" distB="0" distL="114300" distR="114300" simplePos="0" relativeHeight="251666432" behindDoc="1" locked="0" layoutInCell="1" allowOverlap="1">
            <wp:simplePos x="0" y="0"/>
            <wp:positionH relativeFrom="column">
              <wp:posOffset>2992120</wp:posOffset>
            </wp:positionH>
            <wp:positionV relativeFrom="page">
              <wp:posOffset>1017270</wp:posOffset>
            </wp:positionV>
            <wp:extent cx="2399030" cy="1800225"/>
            <wp:effectExtent l="0" t="0" r="1270" b="9525"/>
            <wp:wrapTight wrapText="bothSides">
              <wp:wrapPolygon>
                <wp:start x="0" y="0"/>
                <wp:lineTo x="0" y="21486"/>
                <wp:lineTo x="21440" y="21486"/>
                <wp:lineTo x="21440" y="0"/>
                <wp:lineTo x="0" y="0"/>
              </wp:wrapPolygon>
            </wp:wrapTight>
            <wp:docPr id="8" name="图片 8" descr="2#空压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空压机"/>
                    <pic:cNvPicPr>
                      <a:picLocks noChangeAspect="1"/>
                    </pic:cNvPicPr>
                  </pic:nvPicPr>
                  <pic:blipFill>
                    <a:blip r:embed="rId13"/>
                    <a:stretch>
                      <a:fillRect/>
                    </a:stretch>
                  </pic:blipFill>
                  <pic:spPr>
                    <a:xfrm>
                      <a:off x="0" y="0"/>
                      <a:ext cx="2399030" cy="1800225"/>
                    </a:xfrm>
                    <a:prstGeom prst="rect">
                      <a:avLst/>
                    </a:prstGeom>
                  </pic:spPr>
                </pic:pic>
              </a:graphicData>
            </a:graphic>
          </wp:anchor>
        </w:drawing>
      </w:r>
      <w:r>
        <w:rPr>
          <w:rFonts w:hint="eastAsia" w:hAnsi="宋体" w:cs="宋体"/>
          <w:color w:val="auto"/>
          <w:kern w:val="0"/>
          <w:sz w:val="21"/>
          <w:szCs w:val="21"/>
          <w:highlight w:val="none"/>
          <w:lang w:val="en-US" w:eastAsia="zh-CN" w:bidi="ar-SA"/>
        </w:rPr>
        <w:drawing>
          <wp:anchor distT="0" distB="0" distL="114300" distR="114300" simplePos="0" relativeHeight="251665408" behindDoc="1" locked="0" layoutInCell="1" allowOverlap="1">
            <wp:simplePos x="0" y="0"/>
            <wp:positionH relativeFrom="column">
              <wp:posOffset>26035</wp:posOffset>
            </wp:positionH>
            <wp:positionV relativeFrom="page">
              <wp:posOffset>1012825</wp:posOffset>
            </wp:positionV>
            <wp:extent cx="2399030" cy="1800225"/>
            <wp:effectExtent l="0" t="0" r="1270" b="9525"/>
            <wp:wrapTight wrapText="bothSides">
              <wp:wrapPolygon>
                <wp:start x="0" y="0"/>
                <wp:lineTo x="0" y="21486"/>
                <wp:lineTo x="21440" y="21486"/>
                <wp:lineTo x="21440" y="0"/>
                <wp:lineTo x="0" y="0"/>
              </wp:wrapPolygon>
            </wp:wrapTight>
            <wp:docPr id="10" name="图片 10" descr="1#空压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空压机"/>
                    <pic:cNvPicPr>
                      <a:picLocks noChangeAspect="1"/>
                    </pic:cNvPicPr>
                  </pic:nvPicPr>
                  <pic:blipFill>
                    <a:blip r:embed="rId14"/>
                    <a:stretch>
                      <a:fillRect/>
                    </a:stretch>
                  </pic:blipFill>
                  <pic:spPr>
                    <a:xfrm>
                      <a:off x="0" y="0"/>
                      <a:ext cx="2399030" cy="1800225"/>
                    </a:xfrm>
                    <a:prstGeom prst="rect">
                      <a:avLst/>
                    </a:prstGeom>
                  </pic:spPr>
                </pic:pic>
              </a:graphicData>
            </a:graphic>
          </wp:anchor>
        </w:drawing>
      </w:r>
    </w:p>
    <w:p>
      <w:pPr>
        <w:pStyle w:val="17"/>
        <w:spacing w:before="120" w:after="120"/>
        <w:outlineLvl w:val="0"/>
        <w:rPr>
          <w:rFonts w:hint="eastAsia" w:ascii="微软雅黑" w:hAnsi="微软雅黑" w:eastAsia="微软雅黑" w:cs="Times New Roman"/>
          <w:color w:val="auto"/>
          <w:sz w:val="21"/>
          <w:szCs w:val="21"/>
          <w:highlight w:val="none"/>
        </w:rPr>
      </w:pPr>
    </w:p>
    <w:p>
      <w:pPr>
        <w:pStyle w:val="17"/>
        <w:spacing w:before="120" w:after="120"/>
        <w:outlineLvl w:val="0"/>
        <w:rPr>
          <w:rFonts w:hint="eastAsia" w:ascii="微软雅黑" w:hAnsi="微软雅黑" w:eastAsia="微软雅黑" w:cs="Times New Roman"/>
          <w:color w:val="auto"/>
          <w:sz w:val="21"/>
          <w:szCs w:val="21"/>
          <w:highlight w:val="none"/>
        </w:rPr>
      </w:pPr>
    </w:p>
    <w:p>
      <w:pPr>
        <w:pStyle w:val="17"/>
        <w:spacing w:before="120" w:after="120"/>
        <w:outlineLvl w:val="0"/>
        <w:rPr>
          <w:rFonts w:hint="eastAsia" w:ascii="微软雅黑" w:hAnsi="微软雅黑" w:eastAsia="微软雅黑" w:cs="Times New Roman"/>
          <w:color w:val="auto"/>
          <w:sz w:val="21"/>
          <w:szCs w:val="21"/>
          <w:highlight w:val="none"/>
        </w:rPr>
      </w:pPr>
    </w:p>
    <w:p>
      <w:pPr>
        <w:pStyle w:val="17"/>
        <w:spacing w:before="120" w:after="120"/>
        <w:outlineLvl w:val="0"/>
        <w:rPr>
          <w:rFonts w:hint="eastAsia" w:ascii="微软雅黑" w:hAnsi="微软雅黑" w:eastAsia="微软雅黑" w:cs="Times New Roman"/>
          <w:color w:val="auto"/>
          <w:sz w:val="21"/>
          <w:szCs w:val="21"/>
          <w:highlight w:val="none"/>
        </w:rPr>
      </w:pPr>
      <w:r>
        <w:rPr>
          <w:sz w:val="21"/>
          <w:highlight w:val="none"/>
        </w:rPr>
        <mc:AlternateContent>
          <mc:Choice Requires="wps">
            <w:drawing>
              <wp:anchor distT="0" distB="0" distL="114300" distR="114300" simplePos="0" relativeHeight="251681792" behindDoc="0" locked="0" layoutInCell="1" allowOverlap="1">
                <wp:simplePos x="0" y="0"/>
                <wp:positionH relativeFrom="column">
                  <wp:posOffset>3274695</wp:posOffset>
                </wp:positionH>
                <wp:positionV relativeFrom="paragraph">
                  <wp:posOffset>147955</wp:posOffset>
                </wp:positionV>
                <wp:extent cx="1847850" cy="257810"/>
                <wp:effectExtent l="5080" t="4445" r="13970" b="23495"/>
                <wp:wrapNone/>
                <wp:docPr id="23" name="文本框 23"/>
                <wp:cNvGraphicFramePr/>
                <a:graphic xmlns:a="http://schemas.openxmlformats.org/drawingml/2006/main">
                  <a:graphicData uri="http://schemas.microsoft.com/office/word/2010/wordprocessingShape">
                    <wps:wsp>
                      <wps:cNvSpPr txBox="1"/>
                      <wps:spPr>
                        <a:xfrm>
                          <a:off x="0" y="0"/>
                          <a:ext cx="1847850" cy="257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2#空压机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7.85pt;margin-top:11.65pt;height:20.3pt;width:145.5pt;z-index:251681792;mso-width-relative:page;mso-height-relative:page;" fillcolor="#FFFFFF [3201]" filled="t" stroked="t" coordsize="21600,21600" o:gfxdata="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cM4ix1gAA&#10;AAkBAAAPAAAAAAAAAAEAIAAAACIAAABkcnMvZG93bnJldi54bWxQSwECFAAUAAAACACHTuJAjiRg&#10;51kCAAC5BAAADgAAAAAAAAABACAAAAAlAQAAZHJzL2Uyb0RvYy54bWxQSwUGAAAAAAYABgBZAQAA&#10;8AUA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2#空压机</w:t>
                      </w:r>
                    </w:p>
                  </w:txbxContent>
                </v:textbox>
              </v:shape>
            </w:pict>
          </mc:Fallback>
        </mc:AlternateContent>
      </w:r>
      <w:r>
        <w:rPr>
          <w:sz w:val="21"/>
          <w:highlight w:val="none"/>
        </w:rPr>
        <mc:AlternateContent>
          <mc:Choice Requires="wps">
            <w:drawing>
              <wp:anchor distT="0" distB="0" distL="114300" distR="114300" simplePos="0" relativeHeight="251680768" behindDoc="0" locked="0" layoutInCell="1" allowOverlap="1">
                <wp:simplePos x="0" y="0"/>
                <wp:positionH relativeFrom="column">
                  <wp:posOffset>272415</wp:posOffset>
                </wp:positionH>
                <wp:positionV relativeFrom="paragraph">
                  <wp:posOffset>106680</wp:posOffset>
                </wp:positionV>
                <wp:extent cx="1847850" cy="257810"/>
                <wp:effectExtent l="5080" t="4445" r="13970" b="23495"/>
                <wp:wrapNone/>
                <wp:docPr id="22" name="文本框 22"/>
                <wp:cNvGraphicFramePr/>
                <a:graphic xmlns:a="http://schemas.openxmlformats.org/drawingml/2006/main">
                  <a:graphicData uri="http://schemas.microsoft.com/office/word/2010/wordprocessingShape">
                    <wps:wsp>
                      <wps:cNvSpPr txBox="1"/>
                      <wps:spPr>
                        <a:xfrm>
                          <a:off x="0" y="0"/>
                          <a:ext cx="1847850" cy="257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1#空压机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5pt;margin-top:8.4pt;height:20.3pt;width:145.5pt;z-index:251680768;mso-width-relative:page;mso-height-relative:page;" fillcolor="#FFFFFF [3201]" filled="t" stroked="t" coordsize="21600,21600" o:gfxdata="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hsF8NQAAAAI&#10;AQAADwAAAAAAAAABACAAAAAiAAAAZHJzL2Rvd25yZXYueG1sUEsBAhQAFAAAAAgAh07iQGicZpZZ&#10;AgAAuQQAAA4AAAAAAAAAAQAgAAAAIwEAAGRycy9lMm9Eb2MueG1sUEsFBgAAAAAGAAYAWQEAAO4F&#10;AA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1#空压机</w:t>
                      </w:r>
                    </w:p>
                  </w:txbxContent>
                </v:textbox>
              </v:shape>
            </w:pict>
          </mc:Fallback>
        </mc:AlternateContent>
      </w:r>
      <w:r>
        <w:rPr>
          <w:sz w:val="21"/>
          <w:highlight w:val="none"/>
        </w:rPr>
        <mc:AlternateContent>
          <mc:Choice Requires="wps">
            <w:drawing>
              <wp:anchor distT="0" distB="0" distL="114300" distR="114300" simplePos="0" relativeHeight="251669504" behindDoc="0" locked="0" layoutInCell="1" allowOverlap="1">
                <wp:simplePos x="0" y="0"/>
                <wp:positionH relativeFrom="column">
                  <wp:posOffset>272415</wp:posOffset>
                </wp:positionH>
                <wp:positionV relativeFrom="paragraph">
                  <wp:posOffset>106680</wp:posOffset>
                </wp:positionV>
                <wp:extent cx="1847850" cy="257810"/>
                <wp:effectExtent l="5080" t="4445" r="13970" b="23495"/>
                <wp:wrapNone/>
                <wp:docPr id="14" name="文本框 14"/>
                <wp:cNvGraphicFramePr/>
                <a:graphic xmlns:a="http://schemas.openxmlformats.org/drawingml/2006/main">
                  <a:graphicData uri="http://schemas.microsoft.com/office/word/2010/wordprocessingShape">
                    <wps:wsp>
                      <wps:cNvSpPr txBox="1"/>
                      <wps:spPr>
                        <a:xfrm>
                          <a:off x="0" y="0"/>
                          <a:ext cx="1847850" cy="257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1#空压机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5pt;margin-top:8.4pt;height:20.3pt;width:145.5pt;z-index:251669504;mso-width-relative:page;mso-height-relative:page;" fillcolor="#FFFFFF [3201]" filled="t" stroked="t" coordsize="21600,21600" o:gfxdata="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2GwXw1AAAAAgB&#10;AAAPAAAAAAAAAAEAIAAAACIAAABkcnMvZG93bnJldi54bWxQSwECFAAUAAAACACHTuJAYsoosFgC&#10;AAC5BAAADgAAAAAAAAABACAAAAAjAQAAZHJzL2Uyb0RvYy54bWxQSwUGAAAAAAYABgBZAQAA7QUA&#10;AAAA&#10;">
                <v:fill on="t" focussize="0,0"/>
                <v:stroke weight="0.5pt" color="#000000 [3204]" joinstyle="round"/>
                <v:imagedata o:title=""/>
                <o:lock v:ext="edit" aspectratio="f"/>
                <v:textbox>
                  <w:txbxContent>
                    <w:p>
                      <w:pPr>
                        <w:jc w:val="center"/>
                        <w:rPr>
                          <w:rFonts w:hint="default" w:eastAsiaTheme="minorEastAsia"/>
                          <w:lang w:val="en-US" w:eastAsia="zh-CN"/>
                        </w:rPr>
                      </w:pPr>
                      <w:r>
                        <w:rPr>
                          <w:rFonts w:hint="eastAsia"/>
                          <w:lang w:val="en-US" w:eastAsia="zh-CN"/>
                        </w:rPr>
                        <w:t>1#空压机</w:t>
                      </w:r>
                    </w:p>
                  </w:txbxContent>
                </v:textbox>
              </v:shape>
            </w:pict>
          </mc:Fallback>
        </mc:AlternateContent>
      </w:r>
    </w:p>
    <w:p>
      <w:pPr>
        <w:pStyle w:val="17"/>
        <w:spacing w:before="120" w:after="120"/>
        <w:outlineLvl w:val="0"/>
        <w:rPr>
          <w:rFonts w:hint="eastAsia" w:ascii="微软雅黑" w:hAnsi="微软雅黑" w:eastAsia="微软雅黑" w:cs="Times New Roman"/>
          <w:color w:val="auto"/>
          <w:sz w:val="21"/>
          <w:szCs w:val="21"/>
          <w:highlight w:val="none"/>
        </w:rPr>
      </w:pPr>
      <w:r>
        <w:rPr>
          <w:rFonts w:hint="eastAsia" w:ascii="微软雅黑" w:hAnsi="微软雅黑" w:eastAsia="微软雅黑" w:cs="Times New Roman"/>
          <w:color w:val="auto"/>
          <w:sz w:val="21"/>
          <w:szCs w:val="21"/>
          <w:highlight w:val="none"/>
        </w:rPr>
        <w:t>六、标识、包装、运输和存储</w:t>
      </w:r>
    </w:p>
    <w:p>
      <w:pPr>
        <w:pStyle w:val="8"/>
        <w:rPr>
          <w:rFonts w:hint="eastAsia" w:ascii="宋体" w:hAnsi="宋体" w:eastAsia="宋体" w:cs="宋体"/>
          <w:highlight w:val="none"/>
          <w:lang w:val="en-US" w:eastAsia="zh-CN"/>
        </w:rPr>
      </w:pPr>
      <w:r>
        <w:rPr>
          <w:rFonts w:hint="eastAsia" w:ascii="宋体" w:hAnsi="宋体" w:eastAsia="宋体" w:cs="宋体"/>
          <w:highlight w:val="none"/>
          <w:lang w:val="en-US" w:eastAsia="zh-CN"/>
        </w:rPr>
        <w:t>1. 产品标识</w:t>
      </w:r>
    </w:p>
    <w:p>
      <w:pPr>
        <w:pStyle w:val="8"/>
        <w:numPr>
          <w:ilvl w:val="0"/>
          <w:numId w:val="12"/>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产品标志/标签要求：产品名称、规格型号、生产批号、生产日期、生产商名称、安全环保警示标示</w:t>
      </w:r>
      <w:r>
        <w:rPr>
          <w:rFonts w:hint="eastAsia" w:cs="宋体"/>
          <w:highlight w:val="none"/>
          <w:lang w:val="en-US" w:eastAsia="zh-CN"/>
        </w:rPr>
        <w:t>、能效等级</w:t>
      </w:r>
      <w:r>
        <w:rPr>
          <w:rFonts w:hint="eastAsia" w:ascii="宋体" w:hAnsi="宋体" w:eastAsia="宋体" w:cs="宋体"/>
          <w:highlight w:val="none"/>
          <w:lang w:val="en-US" w:eastAsia="zh-CN"/>
        </w:rPr>
        <w:t>等；</w:t>
      </w:r>
    </w:p>
    <w:p>
      <w:pPr>
        <w:pStyle w:val="8"/>
        <w:numPr>
          <w:ilvl w:val="0"/>
          <w:numId w:val="12"/>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设备铭牌：包含设备编号、名称、型号、制造日期、主要参数，尺寸等内容。</w:t>
      </w:r>
    </w:p>
    <w:p>
      <w:pPr>
        <w:pStyle w:val="8"/>
        <w:rPr>
          <w:rFonts w:hint="eastAsia" w:ascii="宋体" w:hAnsi="宋体" w:eastAsia="宋体" w:cs="宋体"/>
          <w:highlight w:val="none"/>
          <w:lang w:val="en-US" w:eastAsia="zh-CN"/>
        </w:rPr>
      </w:pPr>
      <w:r>
        <w:rPr>
          <w:rFonts w:hint="eastAsia" w:ascii="宋体" w:hAnsi="宋体" w:eastAsia="宋体" w:cs="宋体"/>
          <w:highlight w:val="none"/>
          <w:lang w:val="en-US" w:eastAsia="zh-CN"/>
        </w:rPr>
        <w:t>2. 产品包装</w:t>
      </w:r>
    </w:p>
    <w:p>
      <w:pPr>
        <w:pStyle w:val="8"/>
        <w:numPr>
          <w:ilvl w:val="0"/>
          <w:numId w:val="1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供方负责产品包装、运输，运输过程中箱体不应有碰撞、划伤。包装规格应按照国家有关规范进行。</w:t>
      </w:r>
    </w:p>
    <w:p>
      <w:pPr>
        <w:pStyle w:val="8"/>
        <w:numPr>
          <w:ilvl w:val="0"/>
          <w:numId w:val="1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设备发运前所有开口、法兰、接头应采取保护措施，以防止在运输和储存期间遭受腐蚀、损伤及进入杂物。进出口、管孔应用盖板封闭；</w:t>
      </w:r>
    </w:p>
    <w:p>
      <w:pPr>
        <w:pStyle w:val="8"/>
        <w:numPr>
          <w:ilvl w:val="0"/>
          <w:numId w:val="13"/>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需要现场连接的螺纹孔或管座的焊接孔应采用螺纹或其它方式予以保护。遮盖物、紧固件不应焊在设备上；</w:t>
      </w:r>
    </w:p>
    <w:p>
      <w:pPr>
        <w:pStyle w:val="8"/>
        <w:rPr>
          <w:rFonts w:hint="eastAsia" w:ascii="宋体" w:hAnsi="宋体" w:eastAsia="宋体" w:cs="宋体"/>
          <w:highlight w:val="none"/>
          <w:lang w:val="en-US" w:eastAsia="zh-CN"/>
        </w:rPr>
      </w:pPr>
      <w:r>
        <w:rPr>
          <w:rFonts w:hint="eastAsia" w:ascii="宋体" w:hAnsi="宋体" w:eastAsia="宋体" w:cs="宋体"/>
          <w:highlight w:val="none"/>
          <w:lang w:val="en-US" w:eastAsia="zh-CN"/>
        </w:rPr>
        <w:t>3. 产品运输</w:t>
      </w:r>
    </w:p>
    <w:p>
      <w:pPr>
        <w:pStyle w:val="8"/>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空压机的包装应采取防雨、防潮、防锈、防震等措施，以免在运输过程中，由于振动和碰撞引起轴承等部件的损坏。设备出厂时，零部件的包装应分类装箱，遵循适于运输、便于安装和查找的原则，提供设备详细装箱清单</w:t>
      </w:r>
      <w:r>
        <w:rPr>
          <w:rFonts w:hint="eastAsia" w:cs="宋体"/>
          <w:highlight w:val="none"/>
          <w:lang w:val="en-US" w:eastAsia="zh-CN"/>
        </w:rPr>
        <w:t>，供应商应于合同签订后45天内将设备运输至老塘山一期码头内</w:t>
      </w:r>
      <w:r>
        <w:rPr>
          <w:rFonts w:hint="eastAsia" w:ascii="宋体" w:hAnsi="宋体" w:eastAsia="宋体" w:cs="宋体"/>
          <w:highlight w:val="none"/>
          <w:lang w:val="en-US" w:eastAsia="zh-CN"/>
        </w:rPr>
        <w:t>；</w:t>
      </w:r>
    </w:p>
    <w:p>
      <w:pPr>
        <w:pStyle w:val="17"/>
        <w:spacing w:before="120" w:after="120"/>
        <w:outlineLvl w:val="0"/>
        <w:rPr>
          <w:rFonts w:hint="eastAsia" w:ascii="微软雅黑" w:hAnsi="微软雅黑" w:eastAsia="微软雅黑" w:cs="Times New Roman"/>
          <w:color w:val="auto"/>
          <w:sz w:val="21"/>
          <w:szCs w:val="21"/>
          <w:highlight w:val="none"/>
        </w:rPr>
      </w:pPr>
      <w:r>
        <w:rPr>
          <w:rFonts w:hint="eastAsia" w:ascii="微软雅黑" w:hAnsi="微软雅黑" w:eastAsia="微软雅黑" w:cs="Times New Roman"/>
          <w:color w:val="auto"/>
          <w:sz w:val="21"/>
          <w:szCs w:val="21"/>
          <w:highlight w:val="none"/>
          <w:lang w:val="en-US" w:eastAsia="zh-CN"/>
        </w:rPr>
        <w:t>七、</w:t>
      </w:r>
      <w:r>
        <w:rPr>
          <w:rFonts w:hint="eastAsia" w:ascii="微软雅黑" w:hAnsi="微软雅黑" w:eastAsia="微软雅黑" w:cs="Times New Roman"/>
          <w:color w:val="auto"/>
          <w:sz w:val="21"/>
          <w:szCs w:val="21"/>
          <w:highlight w:val="none"/>
        </w:rPr>
        <w:t>技术文件</w:t>
      </w:r>
    </w:p>
    <w:p>
      <w:pPr>
        <w:pStyle w:val="8"/>
        <w:numPr>
          <w:ilvl w:val="0"/>
          <w:numId w:val="0"/>
        </w:numPr>
        <w:ind w:leftChars="0" w:right="122" w:rightChars="0"/>
        <w:rPr>
          <w:rFonts w:hint="eastAsia" w:ascii="宋体" w:hAnsi="宋体" w:eastAsia="宋体" w:cs="宋体"/>
          <w:lang w:val="en-US" w:eastAsia="zh-CN"/>
        </w:rPr>
      </w:pPr>
      <w:r>
        <w:rPr>
          <w:rFonts w:hint="eastAsia" w:ascii="宋体" w:hAnsi="宋体" w:eastAsia="宋体" w:cs="宋体"/>
          <w:lang w:val="en-US" w:eastAsia="zh-CN"/>
        </w:rPr>
        <w:t>提供包括但不限于以下技术文件：</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完工图纸/文件，包括：系统电气原理图及结构图、结构尺寸图、工艺流程图、设备布置图等；</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设备出厂检验及试验报告；</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设备及配套附件的使用说明书；</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维护保养手册及零部件手册、质保文件等；</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出厂合格证书；</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CCS第三方检验证书；</w:t>
      </w:r>
    </w:p>
    <w:p>
      <w:pPr>
        <w:pStyle w:val="8"/>
        <w:numPr>
          <w:ilvl w:val="0"/>
          <w:numId w:val="14"/>
        </w:numPr>
        <w:ind w:left="425" w:leftChars="0" w:hanging="425"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提供产品无石棉证书；</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highlight w:val="none"/>
          <w:lang w:val="en-US" w:eastAsia="zh-CN"/>
        </w:rPr>
        <w:t>所有必要的过程报告</w:t>
      </w:r>
      <w:r>
        <w:rPr>
          <w:rFonts w:hint="eastAsia" w:ascii="宋体" w:hAnsi="宋体" w:eastAsia="宋体" w:cs="宋体"/>
          <w:lang w:val="en-US" w:eastAsia="zh-CN"/>
        </w:rPr>
        <w:t>；</w:t>
      </w:r>
    </w:p>
    <w:p>
      <w:pPr>
        <w:pStyle w:val="8"/>
        <w:numPr>
          <w:ilvl w:val="0"/>
          <w:numId w:val="14"/>
        </w:numPr>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图纸/文件、各种手册、检验试验报告及各种证书纸质版原件1套、复印件1套和电子版1套。</w:t>
      </w:r>
    </w:p>
    <w:p>
      <w:pPr>
        <w:pStyle w:val="17"/>
        <w:spacing w:before="120" w:after="120"/>
        <w:outlineLvl w:val="0"/>
        <w:rPr>
          <w:rFonts w:hint="eastAsia" w:ascii="微软雅黑" w:hAnsi="微软雅黑" w:eastAsia="微软雅黑" w:cs="Times New Roman"/>
          <w:color w:val="auto"/>
          <w:sz w:val="21"/>
          <w:szCs w:val="21"/>
          <w:lang w:val="en-US" w:eastAsia="zh-CN"/>
        </w:rPr>
      </w:pPr>
      <w:r>
        <w:rPr>
          <w:rFonts w:hint="eastAsia" w:ascii="微软雅黑" w:hAnsi="微软雅黑" w:eastAsia="微软雅黑" w:cs="Times New Roman"/>
          <w:color w:val="auto"/>
          <w:sz w:val="21"/>
          <w:szCs w:val="21"/>
          <w:lang w:val="en-US" w:eastAsia="zh-CN"/>
        </w:rPr>
        <w:t>八、工作进度、监造和现场验收</w:t>
      </w:r>
    </w:p>
    <w:p>
      <w:pPr>
        <w:pStyle w:val="8"/>
        <w:rPr>
          <w:rFonts w:hint="eastAsia" w:ascii="宋体" w:hAnsi="宋体" w:eastAsia="宋体" w:cs="宋体"/>
          <w:lang w:val="en-US" w:eastAsia="zh-CN"/>
        </w:rPr>
      </w:pPr>
      <w:r>
        <w:rPr>
          <w:rFonts w:hint="eastAsia" w:ascii="宋体" w:hAnsi="宋体" w:eastAsia="宋体" w:cs="宋体"/>
          <w:lang w:val="en-US" w:eastAsia="zh-CN"/>
        </w:rPr>
        <w:t>1. 在产品制造过程中，如果买方需要到现场进行监造，卖方必须积极配合；</w:t>
      </w:r>
    </w:p>
    <w:p>
      <w:pPr>
        <w:pStyle w:val="8"/>
        <w:rPr>
          <w:rFonts w:hint="eastAsia" w:ascii="宋体" w:hAnsi="宋体" w:eastAsia="宋体" w:cs="宋体"/>
          <w:lang w:val="en-US" w:eastAsia="zh-CN"/>
        </w:rPr>
      </w:pPr>
      <w:r>
        <w:rPr>
          <w:rFonts w:hint="eastAsia" w:ascii="宋体" w:hAnsi="宋体" w:eastAsia="宋体" w:cs="宋体"/>
          <w:lang w:val="en-US" w:eastAsia="zh-CN"/>
        </w:rPr>
        <w:t>2. 合同签署后，应及时提供详细的基础放工图纸，系统设备就位安装由卖方负责，直至验收合格为止。</w:t>
      </w:r>
    </w:p>
    <w:p>
      <w:pPr>
        <w:pStyle w:val="17"/>
        <w:spacing w:before="120" w:after="120"/>
        <w:outlineLvl w:val="0"/>
        <w:rPr>
          <w:rFonts w:hint="eastAsia" w:ascii="微软雅黑" w:hAnsi="微软雅黑" w:eastAsia="微软雅黑" w:cs="Times New Roman"/>
          <w:color w:val="auto"/>
          <w:sz w:val="21"/>
          <w:szCs w:val="21"/>
          <w:lang w:val="en-US" w:eastAsia="zh-CN"/>
        </w:rPr>
      </w:pPr>
      <w:r>
        <w:rPr>
          <w:rFonts w:hint="eastAsia" w:ascii="微软雅黑" w:hAnsi="微软雅黑" w:eastAsia="微软雅黑" w:cs="Times New Roman"/>
          <w:color w:val="auto"/>
          <w:sz w:val="21"/>
          <w:szCs w:val="21"/>
          <w:lang w:val="en-US" w:eastAsia="zh-CN"/>
        </w:rPr>
        <w:t>九、技术服务与售后服务</w:t>
      </w:r>
    </w:p>
    <w:p>
      <w:pPr>
        <w:pStyle w:val="8"/>
        <w:rPr>
          <w:rFonts w:hint="eastAsia" w:ascii="宋体" w:hAnsi="宋体" w:eastAsia="宋体" w:cs="宋体"/>
          <w:lang w:val="en-US" w:eastAsia="zh-CN"/>
        </w:rPr>
      </w:pPr>
      <w:r>
        <w:rPr>
          <w:rFonts w:hint="eastAsia" w:ascii="宋体" w:hAnsi="宋体" w:eastAsia="宋体" w:cs="宋体"/>
          <w:lang w:val="en-US" w:eastAsia="zh-CN"/>
        </w:rPr>
        <w:t>1. 安装、调试指导要求：</w:t>
      </w:r>
      <w:r>
        <w:rPr>
          <w:rFonts w:hint="eastAsia" w:cs="宋体"/>
          <w:lang w:val="en-US" w:eastAsia="zh-CN"/>
        </w:rPr>
        <w:t>卖方</w:t>
      </w:r>
      <w:r>
        <w:rPr>
          <w:rFonts w:hint="eastAsia" w:ascii="宋体" w:hAnsi="宋体" w:eastAsia="宋体" w:cs="宋体"/>
          <w:lang w:val="en-US" w:eastAsia="zh-CN"/>
        </w:rPr>
        <w:t>负责旧</w:t>
      </w:r>
      <w:r>
        <w:rPr>
          <w:rFonts w:hint="eastAsia" w:cs="宋体"/>
          <w:lang w:val="en-US" w:eastAsia="zh-CN"/>
        </w:rPr>
        <w:t>空压机、干燥器、储气罐等设备设施的</w:t>
      </w:r>
      <w:r>
        <w:rPr>
          <w:rFonts w:hint="eastAsia" w:ascii="宋体" w:hAnsi="宋体" w:eastAsia="宋体" w:cs="宋体"/>
          <w:lang w:val="en-US" w:eastAsia="zh-CN"/>
        </w:rPr>
        <w:t>拆除、新空压机</w:t>
      </w:r>
      <w:r>
        <w:rPr>
          <w:rFonts w:hint="eastAsia" w:cs="宋体"/>
          <w:lang w:val="en-US" w:eastAsia="zh-CN"/>
        </w:rPr>
        <w:t>、干燥器、储气罐等设备设施的</w:t>
      </w:r>
      <w:r>
        <w:rPr>
          <w:rFonts w:hint="eastAsia" w:ascii="宋体" w:hAnsi="宋体" w:eastAsia="宋体" w:cs="宋体"/>
          <w:lang w:val="en-US" w:eastAsia="zh-CN"/>
        </w:rPr>
        <w:t>安装/调试，负责派服务工程师到现场指导；</w:t>
      </w:r>
    </w:p>
    <w:p>
      <w:pPr>
        <w:pStyle w:val="8"/>
        <w:rPr>
          <w:rFonts w:hint="eastAsia" w:ascii="宋体" w:hAnsi="宋体" w:eastAsia="宋体" w:cs="宋体"/>
          <w:lang w:val="en-US" w:eastAsia="zh-CN"/>
        </w:rPr>
      </w:pPr>
      <w:r>
        <w:rPr>
          <w:rFonts w:hint="eastAsia" w:ascii="宋体" w:hAnsi="宋体" w:eastAsia="宋体" w:cs="宋体"/>
          <w:lang w:val="en-US" w:eastAsia="zh-CN"/>
        </w:rPr>
        <w:t>2. 技术培训：由</w:t>
      </w:r>
      <w:r>
        <w:rPr>
          <w:rFonts w:hint="eastAsia" w:cs="宋体"/>
          <w:lang w:val="en-US" w:eastAsia="zh-CN"/>
        </w:rPr>
        <w:t>卖方</w:t>
      </w:r>
      <w:r>
        <w:rPr>
          <w:rFonts w:hint="eastAsia" w:ascii="宋体" w:hAnsi="宋体" w:eastAsia="宋体" w:cs="宋体"/>
          <w:lang w:val="en-US" w:eastAsia="zh-CN"/>
        </w:rPr>
        <w:t>负责安装和调试，并免费负责对买方的管理人员、维修人员和操作人员进行系统培训。培训内容包括：包括但不局限于此设备基础知识、基本原理及特点，系统的使用过程及操作方法，一般维修、保养及常见故障的排除等。培训要求：操作人员能熟练进行操作、简单的维护保养和简单的故障排除，基本掌握系统的技术原理和技能。维修人员了解设备原理、电器、仪表、机械等，熟悉维护保养方法，能解决和排除常见故障等。</w:t>
      </w:r>
    </w:p>
    <w:p>
      <w:pPr>
        <w:pStyle w:val="8"/>
        <w:rPr>
          <w:rFonts w:hint="eastAsia" w:ascii="宋体" w:hAnsi="宋体" w:eastAsia="宋体" w:cs="宋体"/>
          <w:lang w:val="en-US" w:eastAsia="zh-CN"/>
        </w:rPr>
      </w:pPr>
      <w:r>
        <w:rPr>
          <w:rFonts w:hint="eastAsia" w:ascii="宋体" w:hAnsi="宋体" w:eastAsia="宋体" w:cs="宋体"/>
          <w:lang w:val="en-US" w:eastAsia="zh-CN"/>
        </w:rPr>
        <w:t>3. 技术联络与响应：</w:t>
      </w:r>
    </w:p>
    <w:p>
      <w:pPr>
        <w:pStyle w:val="8"/>
        <w:rPr>
          <w:rFonts w:hint="eastAsia" w:ascii="宋体" w:hAnsi="宋体" w:eastAsia="宋体" w:cs="宋体"/>
          <w:lang w:val="en-US" w:eastAsia="zh-CN"/>
        </w:rPr>
      </w:pPr>
      <w:r>
        <w:rPr>
          <w:rFonts w:hint="eastAsia" w:ascii="宋体" w:hAnsi="宋体" w:eastAsia="宋体" w:cs="宋体"/>
          <w:lang w:val="en-US" w:eastAsia="zh-CN"/>
        </w:rPr>
        <w:t>1）当买方需要卖方提供服务时，卖方需在获得信息后12小时内答复，在24小时内派有经验的服务工程师到现场。</w:t>
      </w:r>
    </w:p>
    <w:p>
      <w:pPr>
        <w:pStyle w:val="8"/>
        <w:rPr>
          <w:rFonts w:hint="eastAsia" w:ascii="宋体" w:hAnsi="宋体" w:eastAsia="宋体" w:cs="宋体"/>
          <w:lang w:val="en-US" w:eastAsia="zh-CN"/>
        </w:rPr>
      </w:pPr>
      <w:r>
        <w:rPr>
          <w:rFonts w:hint="eastAsia" w:ascii="宋体" w:hAnsi="宋体" w:eastAsia="宋体" w:cs="宋体"/>
          <w:lang w:val="en-US" w:eastAsia="zh-CN"/>
        </w:rPr>
        <w:t>2）当设备出现故障或不能满足买方要求时，卖方按买方要求排除故障，直到买方满意为止。</w:t>
      </w:r>
    </w:p>
    <w:p>
      <w:pPr>
        <w:pStyle w:val="8"/>
        <w:rPr>
          <w:rFonts w:hint="eastAsia" w:ascii="宋体" w:hAnsi="宋体" w:eastAsia="宋体" w:cs="宋体"/>
          <w:lang w:val="en-US" w:eastAsia="zh-CN"/>
        </w:rPr>
      </w:pPr>
      <w:r>
        <w:rPr>
          <w:rFonts w:hint="eastAsia" w:ascii="宋体" w:hAnsi="宋体" w:eastAsia="宋体" w:cs="宋体"/>
          <w:lang w:val="en-US" w:eastAsia="zh-CN"/>
        </w:rPr>
        <w:t>3）在质保期内，空压机出现故障时，卖方负责及时维修以保证空压机达到正常使用状态，并免费提供维修所需配件</w:t>
      </w:r>
      <w:r>
        <w:rPr>
          <w:rFonts w:hint="eastAsia" w:ascii="宋体" w:hAnsi="宋体" w:eastAsia="宋体" w:cs="宋体"/>
          <w:highlight w:val="none"/>
          <w:lang w:val="en-US" w:eastAsia="zh-CN"/>
        </w:rPr>
        <w:t>。卖方应确保所有零备件的供应，调配时间不超过48小时。</w:t>
      </w:r>
    </w:p>
    <w:p>
      <w:pPr>
        <w:pStyle w:val="8"/>
        <w:rPr>
          <w:rFonts w:hint="eastAsia" w:ascii="宋体" w:hAnsi="宋体" w:eastAsia="宋体" w:cs="宋体"/>
          <w:lang w:val="en-US" w:eastAsia="zh-CN"/>
        </w:rPr>
      </w:pPr>
      <w:r>
        <w:rPr>
          <w:rFonts w:hint="eastAsia" w:ascii="宋体" w:hAnsi="宋体" w:eastAsia="宋体" w:cs="宋体"/>
          <w:lang w:val="en-US" w:eastAsia="zh-CN"/>
        </w:rPr>
        <w:t>4）在质保期内，卖方负责对买方提出的质量异议做出书面明确答复。确属质量问题时，卖方及时采取保护措施且负责免费更换。</w:t>
      </w:r>
      <w:r>
        <w:rPr>
          <w:rFonts w:hint="eastAsia" w:ascii="宋体" w:hAnsi="宋体" w:eastAsia="宋体" w:cs="宋体"/>
          <w:highlight w:val="none"/>
          <w:lang w:val="en-US" w:eastAsia="zh-CN"/>
        </w:rPr>
        <w:t>并相应延长其保质期。</w:t>
      </w:r>
    </w:p>
    <w:p>
      <w:pPr>
        <w:pStyle w:val="17"/>
        <w:spacing w:before="120" w:after="120"/>
        <w:outlineLvl w:val="0"/>
        <w:rPr>
          <w:rFonts w:hint="eastAsia" w:ascii="微软雅黑" w:hAnsi="微软雅黑" w:eastAsia="微软雅黑" w:cs="Times New Roman"/>
          <w:color w:val="auto"/>
          <w:sz w:val="21"/>
          <w:szCs w:val="21"/>
          <w:lang w:val="en-US" w:eastAsia="zh-CN"/>
        </w:rPr>
      </w:pPr>
      <w:r>
        <w:rPr>
          <w:rFonts w:hint="eastAsia" w:ascii="微软雅黑" w:hAnsi="微软雅黑" w:eastAsia="微软雅黑" w:cs="Times New Roman"/>
          <w:color w:val="auto"/>
          <w:sz w:val="21"/>
          <w:szCs w:val="21"/>
          <w:lang w:val="en-US" w:eastAsia="zh-CN"/>
        </w:rPr>
        <w:t>十、质量保证</w:t>
      </w:r>
    </w:p>
    <w:p>
      <w:pPr>
        <w:pStyle w:val="8"/>
        <w:rPr>
          <w:rFonts w:hint="eastAsia" w:ascii="宋体" w:hAnsi="宋体" w:eastAsia="宋体" w:cs="宋体"/>
          <w:lang w:val="en-US" w:eastAsia="zh-CN"/>
        </w:rPr>
      </w:pPr>
      <w:r>
        <w:rPr>
          <w:rFonts w:hint="eastAsia" w:ascii="宋体" w:hAnsi="宋体" w:eastAsia="宋体" w:cs="宋体"/>
          <w:lang w:val="en-US" w:eastAsia="zh-CN"/>
        </w:rPr>
        <w:t>质保期：</w:t>
      </w:r>
      <w:r>
        <w:rPr>
          <w:rFonts w:hint="eastAsia" w:cs="宋体"/>
          <w:lang w:val="en-US" w:eastAsia="zh-CN"/>
        </w:rPr>
        <w:t>甲方</w:t>
      </w:r>
      <w:r>
        <w:rPr>
          <w:rFonts w:hint="eastAsia" w:ascii="宋体" w:hAnsi="宋体" w:eastAsia="宋体" w:cs="宋体"/>
          <w:lang w:val="en-US" w:eastAsia="zh-CN"/>
        </w:rPr>
        <w:t>验收合格之日起12个月，质保金</w:t>
      </w:r>
      <w:r>
        <w:rPr>
          <w:rFonts w:hint="eastAsia" w:cs="宋体"/>
          <w:lang w:val="en-US" w:eastAsia="zh-CN"/>
        </w:rPr>
        <w:t>为</w:t>
      </w:r>
      <w:r>
        <w:rPr>
          <w:rFonts w:hint="eastAsia" w:ascii="宋体" w:hAnsi="宋体" w:eastAsia="宋体" w:cs="宋体"/>
          <w:lang w:val="en-US" w:eastAsia="zh-CN"/>
        </w:rPr>
        <w:t>合同含税总价的3%，质保期满无质量问题支付相应款项；</w:t>
      </w:r>
    </w:p>
    <w:p>
      <w:pPr>
        <w:pStyle w:val="8"/>
        <w:rPr>
          <w:rFonts w:hint="eastAsia" w:ascii="宋体" w:hAnsi="宋体" w:eastAsia="宋体" w:cs="宋体"/>
          <w:lang w:val="en-US" w:eastAsia="zh-CN"/>
        </w:rPr>
      </w:pPr>
      <w:r>
        <w:rPr>
          <w:rFonts w:hint="eastAsia" w:ascii="宋体" w:hAnsi="宋体" w:eastAsia="宋体" w:cs="宋体"/>
          <w:lang w:val="en-US" w:eastAsia="zh-CN"/>
        </w:rPr>
        <w:t>考核、罚则、赔偿等特殊要求：验收不合格，无法满足工作条件，供应商应无条件退货，提供替代机型保证输灰站正常生产。</w:t>
      </w:r>
    </w:p>
    <w:p>
      <w:pPr>
        <w:pStyle w:val="17"/>
        <w:spacing w:before="120" w:after="120"/>
        <w:outlineLvl w:val="0"/>
        <w:rPr>
          <w:rFonts w:hint="default" w:ascii="微软雅黑" w:hAnsi="微软雅黑" w:eastAsia="微软雅黑" w:cs="Times New Roman"/>
          <w:color w:val="auto"/>
          <w:sz w:val="21"/>
          <w:szCs w:val="21"/>
          <w:lang w:val="en-US" w:eastAsia="zh-CN"/>
        </w:rPr>
      </w:pPr>
      <w:bookmarkStart w:id="48" w:name="_Toc13248931"/>
      <w:bookmarkStart w:id="49" w:name="_Toc13249328"/>
      <w:r>
        <w:rPr>
          <w:rFonts w:hint="eastAsia" w:ascii="微软雅黑" w:hAnsi="微软雅黑" w:eastAsia="微软雅黑" w:cs="Times New Roman"/>
          <w:color w:val="auto"/>
          <w:sz w:val="21"/>
          <w:szCs w:val="21"/>
          <w:lang w:val="en-US" w:eastAsia="zh-CN"/>
        </w:rPr>
        <w:t>十一、其他要求</w:t>
      </w:r>
      <w:bookmarkEnd w:id="48"/>
      <w:bookmarkEnd w:id="49"/>
    </w:p>
    <w:p>
      <w:pPr>
        <w:pStyle w:val="8"/>
        <w:keepNext w:val="0"/>
        <w:keepLines w:val="0"/>
        <w:pageBreakBefore w:val="0"/>
        <w:widowControl w:val="0"/>
        <w:kinsoku/>
        <w:wordWrap/>
        <w:overflowPunct/>
        <w:topLinePunct w:val="0"/>
        <w:autoSpaceDE/>
        <w:autoSpaceDN/>
        <w:bidi w:val="0"/>
        <w:adjustRightInd/>
        <w:snapToGrid/>
        <w:spacing w:before="157" w:beforeLines="50" w:line="257" w:lineRule="auto"/>
        <w:ind w:right="119"/>
        <w:textAlignment w:val="auto"/>
        <w:rPr>
          <w:rFonts w:hint="eastAsia" w:ascii="宋体" w:hAnsi="宋体" w:eastAsia="宋体" w:cs="宋体"/>
          <w:lang w:val="en-US" w:eastAsia="zh-CN"/>
        </w:rPr>
      </w:pPr>
      <w:r>
        <w:rPr>
          <w:rFonts w:hint="eastAsia" w:ascii="宋体" w:hAnsi="宋体" w:eastAsia="宋体" w:cs="宋体"/>
          <w:lang w:val="en-US" w:eastAsia="zh-CN"/>
        </w:rPr>
        <w:t>1、付款方式：银行电汇；</w:t>
      </w:r>
    </w:p>
    <w:p>
      <w:pPr>
        <w:pStyle w:val="8"/>
        <w:keepNext w:val="0"/>
        <w:keepLines w:val="0"/>
        <w:pageBreakBefore w:val="0"/>
        <w:widowControl w:val="0"/>
        <w:kinsoku/>
        <w:wordWrap/>
        <w:overflowPunct/>
        <w:topLinePunct w:val="0"/>
        <w:autoSpaceDE/>
        <w:autoSpaceDN/>
        <w:bidi w:val="0"/>
        <w:adjustRightInd/>
        <w:snapToGrid/>
        <w:spacing w:before="157" w:beforeLines="50" w:line="257" w:lineRule="auto"/>
        <w:ind w:right="119"/>
        <w:textAlignment w:val="auto"/>
        <w:rPr>
          <w:rFonts w:hint="eastAsia" w:ascii="宋体" w:hAnsi="宋体" w:eastAsia="宋体" w:cs="宋体"/>
          <w:lang w:val="en-US" w:eastAsia="zh-CN"/>
        </w:rPr>
      </w:pPr>
      <w:r>
        <w:rPr>
          <w:rFonts w:hint="eastAsia" w:ascii="宋体" w:hAnsi="宋体" w:eastAsia="宋体" w:cs="宋体"/>
          <w:lang w:val="en-US" w:eastAsia="zh-CN"/>
        </w:rPr>
        <w:t>2、付款周期：</w:t>
      </w:r>
      <w:r>
        <w:rPr>
          <w:rFonts w:hint="eastAsia" w:cs="宋体"/>
          <w:lang w:val="en-US" w:eastAsia="zh-CN"/>
        </w:rPr>
        <w:t>乙方</w:t>
      </w:r>
      <w:r>
        <w:rPr>
          <w:rFonts w:hint="eastAsia" w:ascii="宋体" w:hAnsi="宋体" w:eastAsia="宋体" w:cs="宋体"/>
          <w:lang w:val="en-US" w:eastAsia="zh-CN"/>
        </w:rPr>
        <w:t>完成</w:t>
      </w:r>
      <w:r>
        <w:rPr>
          <w:rFonts w:hint="eastAsia" w:cs="宋体"/>
          <w:lang w:val="en-US" w:eastAsia="zh-CN"/>
        </w:rPr>
        <w:t>全部更换服务，设备设施</w:t>
      </w:r>
      <w:r>
        <w:rPr>
          <w:rFonts w:hint="eastAsia" w:ascii="宋体" w:hAnsi="宋体" w:eastAsia="宋体" w:cs="宋体"/>
          <w:lang w:val="en-US" w:eastAsia="zh-CN"/>
        </w:rPr>
        <w:t>安装调试</w:t>
      </w:r>
      <w:r>
        <w:rPr>
          <w:rFonts w:hint="eastAsia" w:cs="宋体"/>
          <w:lang w:val="en-US" w:eastAsia="zh-CN"/>
        </w:rPr>
        <w:t>正常，</w:t>
      </w:r>
      <w:r>
        <w:rPr>
          <w:rFonts w:hint="eastAsia" w:ascii="宋体" w:hAnsi="宋体" w:eastAsia="宋体" w:cs="宋体"/>
          <w:lang w:val="en-US" w:eastAsia="zh-CN"/>
        </w:rPr>
        <w:t>经</w:t>
      </w:r>
      <w:r>
        <w:rPr>
          <w:rFonts w:hint="eastAsia" w:cs="宋体"/>
          <w:lang w:val="en-US" w:eastAsia="zh-CN"/>
        </w:rPr>
        <w:t>甲</w:t>
      </w:r>
      <w:r>
        <w:rPr>
          <w:rFonts w:hint="eastAsia" w:ascii="宋体" w:hAnsi="宋体" w:eastAsia="宋体" w:cs="宋体"/>
          <w:lang w:val="en-US" w:eastAsia="zh-CN"/>
        </w:rPr>
        <w:t>方验收合格确认</w:t>
      </w:r>
      <w:r>
        <w:rPr>
          <w:rFonts w:hint="eastAsia" w:cs="宋体"/>
          <w:lang w:val="en-US" w:eastAsia="zh-CN"/>
        </w:rPr>
        <w:t>出具验收报告</w:t>
      </w:r>
      <w:r>
        <w:rPr>
          <w:rFonts w:hint="eastAsia" w:ascii="宋体" w:hAnsi="宋体" w:eastAsia="宋体" w:cs="宋体"/>
          <w:lang w:val="en-US" w:eastAsia="zh-CN"/>
        </w:rPr>
        <w:t>后</w:t>
      </w:r>
      <w:r>
        <w:rPr>
          <w:rFonts w:hint="eastAsia" w:cs="宋体"/>
          <w:lang w:val="en-US" w:eastAsia="zh-CN"/>
        </w:rPr>
        <w:t>，乙方开具相应发票，甲方</w:t>
      </w:r>
      <w:r>
        <w:rPr>
          <w:rFonts w:hint="eastAsia"/>
          <w:color w:val="auto"/>
          <w:highlight w:val="none"/>
          <w:lang w:eastAsia="zh-CN"/>
        </w:rPr>
        <w:t xml:space="preserve">收到的发票及相关支持文件无异议之日起[ </w:t>
      </w:r>
      <w:r>
        <w:rPr>
          <w:rFonts w:hint="eastAsia"/>
          <w:color w:val="auto"/>
          <w:highlight w:val="none"/>
          <w:lang w:val="en-US" w:eastAsia="zh-CN"/>
        </w:rPr>
        <w:t>4</w:t>
      </w:r>
      <w:r>
        <w:rPr>
          <w:rFonts w:hint="eastAsia"/>
          <w:color w:val="auto"/>
          <w:highlight w:val="none"/>
          <w:lang w:eastAsia="zh-CN"/>
        </w:rPr>
        <w:t>5 ]日内</w:t>
      </w:r>
      <w:r>
        <w:rPr>
          <w:rFonts w:hint="eastAsia" w:ascii="宋体" w:hAnsi="宋体" w:eastAsia="宋体" w:cs="宋体"/>
          <w:lang w:val="en-US" w:eastAsia="zh-CN"/>
        </w:rPr>
        <w:t>支付合同含税总价的97%</w:t>
      </w:r>
      <w:r>
        <w:rPr>
          <w:rFonts w:hint="eastAsia"/>
          <w:color w:val="auto"/>
          <w:highlight w:val="none"/>
          <w:lang w:eastAsia="zh-CN"/>
        </w:rPr>
        <w:t>（</w:t>
      </w:r>
      <w:r>
        <w:rPr>
          <w:rFonts w:hint="eastAsia"/>
        </w:rPr>
        <w:t>如付款到期日为非银行工作日，则付款到期日顺延至下一个银行工作日</w:t>
      </w:r>
      <w:r>
        <w:rPr>
          <w:rFonts w:hint="eastAsia"/>
          <w:color w:val="auto"/>
          <w:highlight w:val="none"/>
          <w:lang w:eastAsia="zh-CN"/>
        </w:rPr>
        <w:t>）</w:t>
      </w:r>
      <w:r>
        <w:rPr>
          <w:rFonts w:hint="eastAsia"/>
          <w:lang w:eastAsia="zh-CN"/>
        </w:rPr>
        <w:t>，</w:t>
      </w:r>
      <w:r>
        <w:rPr>
          <w:rFonts w:hint="eastAsia" w:ascii="宋体" w:hAnsi="宋体" w:eastAsia="宋体" w:cs="宋体"/>
          <w:lang w:val="en-US" w:eastAsia="zh-CN"/>
        </w:rPr>
        <w:t>质保期满后，买方45日内支付合同含税总价的3%</w:t>
      </w:r>
      <w:r>
        <w:rPr>
          <w:rFonts w:hint="eastAsia" w:cs="宋体"/>
          <w:lang w:val="en-US" w:eastAsia="zh-CN"/>
        </w:rPr>
        <w:t>。</w:t>
      </w:r>
    </w:p>
    <w:p>
      <w:pPr>
        <w:pStyle w:val="8"/>
        <w:numPr>
          <w:ilvl w:val="-1"/>
          <w:numId w:val="0"/>
        </w:numPr>
        <w:spacing w:line="360" w:lineRule="auto"/>
        <w:ind w:right="125" w:firstLine="840" w:firstLineChars="400"/>
        <w:rPr>
          <w:rFonts w:hint="default" w:asciiTheme="minorEastAsia" w:hAnsiTheme="minorEastAsia" w:eastAsiaTheme="minorEastAsia" w:cstheme="minorEastAsia"/>
          <w:lang w:val="en-US" w:eastAsia="zh-CN"/>
        </w:rPr>
      </w:pPr>
      <w:r>
        <w:rPr>
          <w:rFonts w:hint="eastAsia" w:ascii="宋体" w:hAnsi="宋体" w:eastAsia="宋体" w:cs="宋体"/>
          <w:lang w:val="en-US" w:eastAsia="zh-CN"/>
        </w:rPr>
        <w:t>3、技术联系人：</w:t>
      </w:r>
      <w:r>
        <w:rPr>
          <w:rFonts w:hint="eastAsia" w:asciiTheme="minorEastAsia" w:hAnsiTheme="minorEastAsia" w:eastAsiaTheme="minorEastAsia" w:cstheme="minorEastAsia"/>
          <w:lang w:val="en-US" w:eastAsia="zh-CN"/>
        </w:rPr>
        <w:t>周益炜 17815843223</w:t>
      </w:r>
    </w:p>
    <w:p>
      <w:pPr>
        <w:pStyle w:val="2"/>
        <w:ind w:left="0" w:leftChars="0" w:firstLine="0" w:firstLineChars="0"/>
        <w:rPr>
          <w:rFonts w:hint="eastAsia" w:asciiTheme="minorEastAsia" w:hAnsiTheme="minorEastAsia" w:cstheme="minorEastAsia"/>
          <w:b/>
          <w:bCs/>
          <w:sz w:val="24"/>
          <w:szCs w:val="24"/>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AF79D"/>
    <w:multiLevelType w:val="singleLevel"/>
    <w:tmpl w:val="944AF79D"/>
    <w:lvl w:ilvl="0" w:tentative="0">
      <w:start w:val="1"/>
      <w:numFmt w:val="decimal"/>
      <w:lvlText w:val="%1)"/>
      <w:lvlJc w:val="left"/>
      <w:pPr>
        <w:ind w:left="425" w:hanging="425"/>
      </w:pPr>
      <w:rPr>
        <w:rFonts w:hint="default"/>
      </w:rPr>
    </w:lvl>
  </w:abstractNum>
  <w:abstractNum w:abstractNumId="1">
    <w:nsid w:val="ADFA7DB8"/>
    <w:multiLevelType w:val="singleLevel"/>
    <w:tmpl w:val="ADFA7DB8"/>
    <w:lvl w:ilvl="0" w:tentative="0">
      <w:start w:val="1"/>
      <w:numFmt w:val="decimal"/>
      <w:lvlText w:val="%1)"/>
      <w:lvlJc w:val="left"/>
      <w:pPr>
        <w:ind w:left="425" w:hanging="425"/>
      </w:pPr>
      <w:rPr>
        <w:rFonts w:hint="default"/>
      </w:rPr>
    </w:lvl>
  </w:abstractNum>
  <w:abstractNum w:abstractNumId="2">
    <w:nsid w:val="DEBDD61F"/>
    <w:multiLevelType w:val="singleLevel"/>
    <w:tmpl w:val="DEBDD61F"/>
    <w:lvl w:ilvl="0" w:tentative="0">
      <w:start w:val="1"/>
      <w:numFmt w:val="decimal"/>
      <w:lvlText w:val="%1)"/>
      <w:lvlJc w:val="left"/>
      <w:pPr>
        <w:ind w:left="425" w:hanging="425"/>
      </w:pPr>
      <w:rPr>
        <w:rFonts w:hint="default"/>
      </w:rPr>
    </w:lvl>
  </w:abstractNum>
  <w:abstractNum w:abstractNumId="3">
    <w:nsid w:val="E0AFB530"/>
    <w:multiLevelType w:val="singleLevel"/>
    <w:tmpl w:val="E0AFB530"/>
    <w:lvl w:ilvl="0" w:tentative="0">
      <w:start w:val="1"/>
      <w:numFmt w:val="decimal"/>
      <w:lvlText w:val="%1)"/>
      <w:lvlJc w:val="left"/>
      <w:pPr>
        <w:ind w:left="425" w:hanging="425"/>
      </w:pPr>
      <w:rPr>
        <w:rFonts w:hint="default"/>
      </w:rPr>
    </w:lvl>
  </w:abstractNum>
  <w:abstractNum w:abstractNumId="4">
    <w:nsid w:val="F9A1867C"/>
    <w:multiLevelType w:val="singleLevel"/>
    <w:tmpl w:val="F9A1867C"/>
    <w:lvl w:ilvl="0" w:tentative="0">
      <w:start w:val="1"/>
      <w:numFmt w:val="decimal"/>
      <w:suff w:val="space"/>
      <w:lvlText w:val="%1）"/>
      <w:lvlJc w:val="left"/>
    </w:lvl>
  </w:abstractNum>
  <w:abstractNum w:abstractNumId="5">
    <w:nsid w:val="0D47B095"/>
    <w:multiLevelType w:val="singleLevel"/>
    <w:tmpl w:val="0D47B095"/>
    <w:lvl w:ilvl="0" w:tentative="0">
      <w:start w:val="1"/>
      <w:numFmt w:val="decimal"/>
      <w:suff w:val="nothing"/>
      <w:lvlText w:val="%1）"/>
      <w:lvlJc w:val="left"/>
    </w:lvl>
  </w:abstractNum>
  <w:abstractNum w:abstractNumId="6">
    <w:nsid w:val="0EF2FE1C"/>
    <w:multiLevelType w:val="singleLevel"/>
    <w:tmpl w:val="0EF2FE1C"/>
    <w:lvl w:ilvl="0" w:tentative="0">
      <w:start w:val="1"/>
      <w:numFmt w:val="decimal"/>
      <w:lvlText w:val="%1)"/>
      <w:lvlJc w:val="left"/>
      <w:pPr>
        <w:ind w:left="425" w:hanging="425"/>
      </w:pPr>
      <w:rPr>
        <w:rFonts w:hint="default"/>
      </w:rPr>
    </w:lvl>
  </w:abstractNum>
  <w:abstractNum w:abstractNumId="7">
    <w:nsid w:val="1F444ED5"/>
    <w:multiLevelType w:val="singleLevel"/>
    <w:tmpl w:val="1F444ED5"/>
    <w:lvl w:ilvl="0" w:tentative="0">
      <w:start w:val="2"/>
      <w:numFmt w:val="decimal"/>
      <w:suff w:val="space"/>
      <w:lvlText w:val="%1."/>
      <w:lvlJc w:val="left"/>
    </w:lvl>
  </w:abstractNum>
  <w:abstractNum w:abstractNumId="8">
    <w:nsid w:val="24262D6E"/>
    <w:multiLevelType w:val="singleLevel"/>
    <w:tmpl w:val="24262D6E"/>
    <w:lvl w:ilvl="0" w:tentative="0">
      <w:start w:val="1"/>
      <w:numFmt w:val="decimal"/>
      <w:lvlText w:val="%1)"/>
      <w:lvlJc w:val="left"/>
      <w:pPr>
        <w:ind w:left="425" w:hanging="425"/>
      </w:pPr>
      <w:rPr>
        <w:rFonts w:hint="default"/>
      </w:rPr>
    </w:lvl>
  </w:abstractNum>
  <w:abstractNum w:abstractNumId="9">
    <w:nsid w:val="55EC36BC"/>
    <w:multiLevelType w:val="singleLevel"/>
    <w:tmpl w:val="55EC36BC"/>
    <w:lvl w:ilvl="0" w:tentative="0">
      <w:start w:val="1"/>
      <w:numFmt w:val="decimal"/>
      <w:lvlText w:val="%1)"/>
      <w:lvlJc w:val="left"/>
      <w:pPr>
        <w:ind w:left="425" w:hanging="425"/>
      </w:pPr>
      <w:rPr>
        <w:rFonts w:hint="default"/>
      </w:rPr>
    </w:lvl>
  </w:abstractNum>
  <w:abstractNum w:abstractNumId="10">
    <w:nsid w:val="5668359E"/>
    <w:multiLevelType w:val="singleLevel"/>
    <w:tmpl w:val="5668359E"/>
    <w:lvl w:ilvl="0" w:tentative="0">
      <w:start w:val="1"/>
      <w:numFmt w:val="decimal"/>
      <w:lvlText w:val="%1)"/>
      <w:lvlJc w:val="left"/>
      <w:pPr>
        <w:ind w:left="425" w:hanging="425"/>
      </w:pPr>
      <w:rPr>
        <w:rFonts w:hint="default"/>
      </w:rPr>
    </w:lvl>
  </w:abstractNum>
  <w:abstractNum w:abstractNumId="11">
    <w:nsid w:val="59C46B95"/>
    <w:multiLevelType w:val="multilevel"/>
    <w:tmpl w:val="59C46B95"/>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73BC31E4"/>
    <w:multiLevelType w:val="multilevel"/>
    <w:tmpl w:val="73BC31E4"/>
    <w:lvl w:ilvl="0" w:tentative="0">
      <w:start w:val="1"/>
      <w:numFmt w:val="bullet"/>
      <w:lvlText w:val=""/>
      <w:lvlJc w:val="left"/>
      <w:pPr>
        <w:tabs>
          <w:tab w:val="left" w:pos="1020"/>
        </w:tabs>
        <w:ind w:left="1020" w:hanging="420"/>
      </w:pPr>
      <w:rPr>
        <w:rFonts w:hint="default" w:ascii="Wingdings" w:hAnsi="Wingdings"/>
        <w:sz w:val="24"/>
        <w:szCs w:val="24"/>
      </w:rPr>
    </w:lvl>
    <w:lvl w:ilvl="1" w:tentative="0">
      <w:start w:val="1"/>
      <w:numFmt w:val="decimal"/>
      <w:lvlText w:val="%2."/>
      <w:lvlJc w:val="left"/>
      <w:pPr>
        <w:tabs>
          <w:tab w:val="left" w:pos="420"/>
        </w:tabs>
        <w:ind w:left="420" w:firstLine="567"/>
      </w:pPr>
      <w:rPr>
        <w:rFonts w:hint="eastAsia"/>
        <w:sz w:val="24"/>
        <w:szCs w:val="24"/>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13">
    <w:nsid w:val="7FAD2B59"/>
    <w:multiLevelType w:val="singleLevel"/>
    <w:tmpl w:val="7FAD2B59"/>
    <w:lvl w:ilvl="0" w:tentative="0">
      <w:start w:val="9"/>
      <w:numFmt w:val="decimal"/>
      <w:suff w:val="space"/>
      <w:lvlText w:val="%1）"/>
      <w:lvlJc w:val="left"/>
    </w:lvl>
  </w:abstractNum>
  <w:num w:numId="1">
    <w:abstractNumId w:val="11"/>
  </w:num>
  <w:num w:numId="2">
    <w:abstractNumId w:val="12"/>
  </w:num>
  <w:num w:numId="3">
    <w:abstractNumId w:val="1"/>
  </w:num>
  <w:num w:numId="4">
    <w:abstractNumId w:val="13"/>
  </w:num>
  <w:num w:numId="5">
    <w:abstractNumId w:val="2"/>
  </w:num>
  <w:num w:numId="6">
    <w:abstractNumId w:val="0"/>
  </w:num>
  <w:num w:numId="7">
    <w:abstractNumId w:val="8"/>
  </w:num>
  <w:num w:numId="8">
    <w:abstractNumId w:val="7"/>
  </w:num>
  <w:num w:numId="9">
    <w:abstractNumId w:val="10"/>
  </w:num>
  <w:num w:numId="10">
    <w:abstractNumId w:val="4"/>
  </w:num>
  <w:num w:numId="11">
    <w:abstractNumId w:val="5"/>
  </w:num>
  <w:num w:numId="12">
    <w:abstractNumId w:val="3"/>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B3B17"/>
    <w:rsid w:val="06B55FD3"/>
    <w:rsid w:val="089B7371"/>
    <w:rsid w:val="09125F65"/>
    <w:rsid w:val="09B809C2"/>
    <w:rsid w:val="0A1D7B34"/>
    <w:rsid w:val="0EC6427E"/>
    <w:rsid w:val="10134CDE"/>
    <w:rsid w:val="107B6A3C"/>
    <w:rsid w:val="11B22D29"/>
    <w:rsid w:val="169C3CDC"/>
    <w:rsid w:val="19414DFD"/>
    <w:rsid w:val="1BAF04ED"/>
    <w:rsid w:val="1BAF4E66"/>
    <w:rsid w:val="210B065A"/>
    <w:rsid w:val="25473577"/>
    <w:rsid w:val="26B15D74"/>
    <w:rsid w:val="28452884"/>
    <w:rsid w:val="2B1E8BAE"/>
    <w:rsid w:val="2BBC1634"/>
    <w:rsid w:val="2DEC118A"/>
    <w:rsid w:val="2DEFCA45"/>
    <w:rsid w:val="2E426A7A"/>
    <w:rsid w:val="2EEF29F1"/>
    <w:rsid w:val="31817CB4"/>
    <w:rsid w:val="34FF93B2"/>
    <w:rsid w:val="35B450D6"/>
    <w:rsid w:val="35F05474"/>
    <w:rsid w:val="38090E8A"/>
    <w:rsid w:val="3A887DC6"/>
    <w:rsid w:val="3B5B3F3A"/>
    <w:rsid w:val="3CE30D0F"/>
    <w:rsid w:val="3DBA23D9"/>
    <w:rsid w:val="3E2203C0"/>
    <w:rsid w:val="3FF78E4B"/>
    <w:rsid w:val="47324C7C"/>
    <w:rsid w:val="492E7EB7"/>
    <w:rsid w:val="4EFF1496"/>
    <w:rsid w:val="4FD87D0C"/>
    <w:rsid w:val="53233A29"/>
    <w:rsid w:val="5491398F"/>
    <w:rsid w:val="54DD5E76"/>
    <w:rsid w:val="59212E5E"/>
    <w:rsid w:val="59646CAE"/>
    <w:rsid w:val="5DCA7D75"/>
    <w:rsid w:val="5DFAE3DE"/>
    <w:rsid w:val="5F8F44C0"/>
    <w:rsid w:val="6319738A"/>
    <w:rsid w:val="637944CD"/>
    <w:rsid w:val="66CBEBAD"/>
    <w:rsid w:val="671E49EA"/>
    <w:rsid w:val="69482105"/>
    <w:rsid w:val="697D70FF"/>
    <w:rsid w:val="6A734A5E"/>
    <w:rsid w:val="6ABF6759"/>
    <w:rsid w:val="6ADF83EE"/>
    <w:rsid w:val="6FAD0DF6"/>
    <w:rsid w:val="713552B6"/>
    <w:rsid w:val="7325021F"/>
    <w:rsid w:val="73D00F12"/>
    <w:rsid w:val="75996B76"/>
    <w:rsid w:val="75DE5C49"/>
    <w:rsid w:val="7601443A"/>
    <w:rsid w:val="776D463B"/>
    <w:rsid w:val="782B0837"/>
    <w:rsid w:val="788D5728"/>
    <w:rsid w:val="79FD84F1"/>
    <w:rsid w:val="7AA971FD"/>
    <w:rsid w:val="7CFFFC70"/>
    <w:rsid w:val="7DEF8E32"/>
    <w:rsid w:val="7EBDFD83"/>
    <w:rsid w:val="7ED43281"/>
    <w:rsid w:val="7F4BF086"/>
    <w:rsid w:val="7FBF4AC8"/>
    <w:rsid w:val="7FCEE43C"/>
    <w:rsid w:val="7FEA513B"/>
    <w:rsid w:val="8FED811D"/>
    <w:rsid w:val="9A6FDFD2"/>
    <w:rsid w:val="9DABB15F"/>
    <w:rsid w:val="A76F3F6D"/>
    <w:rsid w:val="ABB7AB0E"/>
    <w:rsid w:val="BBE546DC"/>
    <w:rsid w:val="BBFA13B4"/>
    <w:rsid w:val="BF1EE98B"/>
    <w:rsid w:val="BFFF3055"/>
    <w:rsid w:val="C6FFD848"/>
    <w:rsid w:val="CFED3EBD"/>
    <w:rsid w:val="D5DF0EB9"/>
    <w:rsid w:val="D6FF7ECA"/>
    <w:rsid w:val="DD733215"/>
    <w:rsid w:val="DFC7C04F"/>
    <w:rsid w:val="E5BF4C32"/>
    <w:rsid w:val="EEFF37CB"/>
    <w:rsid w:val="F5E75BC9"/>
    <w:rsid w:val="FAFF7313"/>
    <w:rsid w:val="FBDFC463"/>
    <w:rsid w:val="FBEBDE4C"/>
    <w:rsid w:val="FBEFA31B"/>
    <w:rsid w:val="FCFF54EF"/>
    <w:rsid w:val="FF3FC33A"/>
    <w:rsid w:val="FFD33D48"/>
    <w:rsid w:val="FFEF58CE"/>
    <w:rsid w:val="FFF79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0"/>
    <w:pPr>
      <w:snapToGrid w:val="0"/>
    </w:pPr>
    <w:rPr>
      <w:rFonts w:ascii="Arial" w:hAnsi="Arial" w:eastAsia="等线" w:cs="等线"/>
    </w:rPr>
  </w:style>
  <w:style w:type="paragraph" w:styleId="7">
    <w:name w:val="Normal Indent"/>
    <w:basedOn w:val="1"/>
    <w:next w:val="1"/>
    <w:qFormat/>
    <w:uiPriority w:val="0"/>
    <w:pPr>
      <w:ind w:firstLine="420" w:firstLineChars="200"/>
    </w:pPr>
    <w:rPr>
      <w:rFonts w:ascii="Times New Roman" w:hAnsi="Times New Roman"/>
      <w:szCs w:val="24"/>
    </w:rPr>
  </w:style>
  <w:style w:type="paragraph" w:styleId="8">
    <w:name w:val="Body Text"/>
    <w:basedOn w:val="1"/>
    <w:next w:val="1"/>
    <w:qFormat/>
    <w:uiPriority w:val="1"/>
    <w:pPr>
      <w:spacing w:before="36"/>
      <w:ind w:left="780"/>
      <w:jc w:val="left"/>
    </w:pPr>
    <w:rPr>
      <w:rFonts w:ascii="宋体" w:hAnsi="宋体" w:eastAsia="宋体"/>
      <w:kern w:val="0"/>
      <w:szCs w:val="21"/>
      <w:lang w:eastAsia="en-US"/>
    </w:rPr>
  </w:style>
  <w:style w:type="paragraph" w:styleId="9">
    <w:name w:val="footer"/>
    <w:basedOn w:val="1"/>
    <w:next w:val="7"/>
    <w:unhideWhenUsed/>
    <w:qFormat/>
    <w:uiPriority w:val="99"/>
    <w:pPr>
      <w:tabs>
        <w:tab w:val="center" w:pos="4153"/>
        <w:tab w:val="right" w:pos="8306"/>
      </w:tabs>
      <w:snapToGrid w:val="0"/>
      <w:jc w:val="left"/>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BodyText1I2"/>
    <w:basedOn w:val="14"/>
    <w:qFormat/>
    <w:uiPriority w:val="0"/>
    <w:pPr>
      <w:spacing w:after="0"/>
    </w:pPr>
    <w:rPr>
      <w:rFonts w:ascii="Calibri" w:hAnsi="Calibri"/>
    </w:rPr>
  </w:style>
  <w:style w:type="paragraph" w:customStyle="1" w:styleId="14">
    <w:name w:val="BodyTextIndent"/>
    <w:basedOn w:val="1"/>
    <w:next w:val="15"/>
    <w:qFormat/>
    <w:uiPriority w:val="0"/>
    <w:pPr>
      <w:spacing w:after="120"/>
      <w:ind w:left="200" w:leftChars="200"/>
      <w:textAlignment w:val="baseline"/>
    </w:pPr>
  </w:style>
  <w:style w:type="paragraph" w:customStyle="1" w:styleId="15">
    <w:name w:val="NormalIndent"/>
    <w:basedOn w:val="1"/>
    <w:qFormat/>
    <w:uiPriority w:val="0"/>
    <w:pPr>
      <w:textAlignment w:val="baseline"/>
    </w:pPr>
    <w:rPr>
      <w:rFonts w:eastAsia="仿宋"/>
      <w:sz w:val="32"/>
    </w:rPr>
  </w:style>
  <w:style w:type="paragraph" w:customStyle="1" w:styleId="16">
    <w:name w:val="书目1"/>
    <w:basedOn w:val="1"/>
    <w:next w:val="1"/>
    <w:unhideWhenUsed/>
    <w:qFormat/>
    <w:uiPriority w:val="37"/>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187</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2026-02-26T10:57:00Z</dcterms:created>
  <dc:creator>ex_zhouyw2</dc:creator>
  <cp:lastModifiedBy>user</cp:lastModifiedBy>
  <dcterms:modified xsi:type="dcterms:W3CDTF">2026-06-12T06:38:26Z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24937112CD32462CAB05C99B391CCF7A</vt:lpwstr>
  </property>
</Properties>
</file>