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工程技术公司2026年N,N-二甲基乙醇胺采购专有协议</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2"/>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工程技术公司2026年N,N-二甲基乙醇胺采购专有协议</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8"/>
        <w:rPr>
          <w:rFonts w:hint="eastAsia" w:ascii="仿宋" w:hAnsi="仿宋" w:eastAsia="仿宋" w:cs="Times New Roman"/>
          <w:sz w:val="32"/>
          <w:szCs w:val="32"/>
        </w:rPr>
      </w:pPr>
    </w:p>
    <w:p>
      <w:pPr>
        <w:pStyle w:val="8"/>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2"/>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1"/>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序号</w:t>
            </w:r>
          </w:p>
        </w:tc>
        <w:tc>
          <w:tcPr>
            <w:tcW w:w="244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物资名称</w:t>
            </w:r>
          </w:p>
        </w:tc>
        <w:tc>
          <w:tcPr>
            <w:tcW w:w="1936"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规格型号</w:t>
            </w:r>
          </w:p>
        </w:tc>
        <w:tc>
          <w:tcPr>
            <w:tcW w:w="155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lang w:val="en-US" w:eastAsia="zh-CN"/>
              </w:rPr>
              <w:t>年度预估</w:t>
            </w:r>
            <w:r>
              <w:rPr>
                <w:rFonts w:hint="eastAsia" w:ascii="仿宋" w:hAnsi="仿宋" w:eastAsia="仿宋" w:cs="仿宋"/>
                <w:b w:val="0"/>
                <w:bCs w:val="0"/>
                <w:sz w:val="24"/>
                <w:szCs w:val="24"/>
              </w:rPr>
              <w:t>数量及单位</w:t>
            </w:r>
          </w:p>
        </w:tc>
        <w:tc>
          <w:tcPr>
            <w:tcW w:w="118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交货期</w:t>
            </w:r>
          </w:p>
        </w:tc>
        <w:tc>
          <w:tcPr>
            <w:tcW w:w="106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交货地点</w:t>
            </w:r>
          </w:p>
        </w:tc>
        <w:tc>
          <w:tcPr>
            <w:tcW w:w="220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2"/>
                <w:szCs w:val="22"/>
              </w:rPr>
            </w:pPr>
            <w:r>
              <w:rPr>
                <w:rFonts w:hint="eastAsia" w:ascii="仿宋" w:hAnsi="仿宋" w:eastAsia="仿宋" w:cs="仿宋"/>
                <w:b w:val="0"/>
                <w:bCs w:val="0"/>
                <w:i w:val="0"/>
                <w:iCs w:val="0"/>
                <w:color w:val="auto"/>
                <w:spacing w:val="0"/>
                <w:kern w:val="0"/>
                <w:sz w:val="22"/>
                <w:szCs w:val="22"/>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2"/>
                <w:szCs w:val="22"/>
                <w:lang w:eastAsia="zh-CN"/>
              </w:rPr>
            </w:pPr>
            <w:r>
              <w:rPr>
                <w:rFonts w:hint="eastAsia" w:ascii="仿宋" w:hAnsi="仿宋" w:eastAsia="仿宋" w:cs="仿宋"/>
                <w:color w:val="auto"/>
                <w:kern w:val="0"/>
                <w:sz w:val="22"/>
                <w:szCs w:val="22"/>
                <w:highlight w:val="none"/>
                <w:lang w:val="en-US" w:eastAsia="zh-CN" w:bidi="ar-SA"/>
              </w:rPr>
              <w:t>N,N-二甲基乙醇胺</w:t>
            </w:r>
          </w:p>
        </w:tc>
        <w:tc>
          <w:tcPr>
            <w:tcW w:w="1936" w:type="dxa"/>
            <w:vAlign w:val="center"/>
          </w:tcPr>
          <w:p>
            <w:pPr>
              <w:pStyle w:val="3"/>
              <w:snapToGrid w:val="0"/>
              <w:spacing w:line="240" w:lineRule="auto"/>
              <w:ind w:right="125" w:rightChars="0" w:firstLine="0" w:firstLineChars="0"/>
              <w:jc w:val="both"/>
              <w:rPr>
                <w:rFonts w:hint="default" w:ascii="仿宋" w:hAnsi="仿宋" w:eastAsia="仿宋" w:cs="仿宋"/>
                <w:b w:val="0"/>
                <w:bCs w:val="0"/>
                <w:sz w:val="22"/>
                <w:szCs w:val="22"/>
                <w:lang w:val="en-US" w:eastAsia="zh-CN"/>
              </w:rPr>
            </w:pPr>
            <w:r>
              <w:rPr>
                <w:rFonts w:hint="default" w:ascii="仿宋" w:hAnsi="仿宋" w:eastAsia="仿宋" w:cs="仿宋"/>
                <w:color w:val="auto"/>
                <w:kern w:val="0"/>
                <w:sz w:val="22"/>
                <w:szCs w:val="22"/>
                <w:highlight w:val="none"/>
                <w:lang w:val="en-US" w:eastAsia="zh-CN" w:bidi="ar-SA"/>
              </w:rPr>
              <w:t>工业级一级品\≥99%\液体</w:t>
            </w:r>
          </w:p>
        </w:tc>
        <w:tc>
          <w:tcPr>
            <w:tcW w:w="1554" w:type="dxa"/>
            <w:vAlign w:val="center"/>
          </w:tcPr>
          <w:p>
            <w:pPr>
              <w:pStyle w:val="5"/>
              <w:ind w:left="0" w:leftChars="0" w:firstLine="0" w:firstLineChars="0"/>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i w:val="0"/>
                <w:iCs w:val="0"/>
                <w:color w:val="auto"/>
                <w:spacing w:val="0"/>
                <w:kern w:val="0"/>
                <w:sz w:val="22"/>
                <w:szCs w:val="22"/>
                <w:highlight w:val="none"/>
                <w:u w:val="none"/>
                <w:lang w:val="en-US" w:eastAsia="zh-CN" w:bidi="ar"/>
              </w:rPr>
              <w:t>180000KG</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2"/>
                <w:szCs w:val="22"/>
                <w:lang w:eastAsia="zh-CN"/>
              </w:rPr>
            </w:pPr>
            <w:r>
              <w:rPr>
                <w:rFonts w:hint="eastAsia" w:ascii="仿宋" w:hAnsi="仿宋" w:eastAsia="仿宋" w:cs="仿宋"/>
                <w:b w:val="0"/>
                <w:bCs w:val="0"/>
                <w:sz w:val="22"/>
                <w:szCs w:val="22"/>
                <w:lang w:eastAsia="zh-CN"/>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天津市滨海新区南港工业园区泰汇道6号  中海油（天津）油田化工有限公司</w:t>
            </w:r>
          </w:p>
        </w:tc>
        <w:tc>
          <w:tcPr>
            <w:tcW w:w="2207" w:type="dxa"/>
            <w:vAlign w:val="center"/>
          </w:tcPr>
          <w:p>
            <w:pPr>
              <w:pStyle w:val="5"/>
              <w:rPr>
                <w:rFonts w:hint="eastAsia" w:ascii="仿宋" w:hAnsi="仿宋" w:eastAsia="仿宋" w:cs="仿宋"/>
                <w:b w:val="0"/>
                <w:bCs w:val="0"/>
                <w:color w:val="000000"/>
                <w:sz w:val="22"/>
                <w:szCs w:val="22"/>
                <w:lang w:eastAsia="zh-CN"/>
              </w:rPr>
            </w:pPr>
            <w:r>
              <w:rPr>
                <w:rFonts w:hint="eastAsia" w:ascii="仿宋" w:hAnsi="仿宋" w:eastAsia="仿宋" w:cs="仿宋"/>
                <w:b w:val="0"/>
                <w:bCs w:val="0"/>
                <w:color w:val="000000"/>
                <w:sz w:val="22"/>
                <w:szCs w:val="22"/>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2"/>
                <w:szCs w:val="22"/>
                <w:lang w:val="en-US" w:eastAsia="zh-CN"/>
              </w:rPr>
              <w:t>45</w:t>
            </w:r>
            <w:r>
              <w:rPr>
                <w:rFonts w:hint="eastAsia" w:ascii="仿宋" w:hAnsi="仿宋" w:eastAsia="仿宋" w:cs="仿宋"/>
                <w:b w:val="0"/>
                <w:bCs w:val="0"/>
                <w:color w:val="000000"/>
                <w:sz w:val="22"/>
                <w:szCs w:val="22"/>
              </w:rPr>
              <w:t>个日历日内以银行电汇支付订单价款</w:t>
            </w:r>
            <w:r>
              <w:rPr>
                <w:rFonts w:hint="eastAsia" w:ascii="仿宋" w:hAnsi="仿宋" w:eastAsia="仿宋" w:cs="仿宋"/>
                <w:b w:val="0"/>
                <w:bCs w:val="0"/>
                <w:color w:val="000000"/>
                <w:sz w:val="22"/>
                <w:szCs w:val="22"/>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8929"/>
      <w:bookmarkStart w:id="3" w:name="_Toc13249326"/>
    </w:p>
    <w:p>
      <w:pPr>
        <w:pStyle w:val="32"/>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0.36吨</w:t>
      </w:r>
    </w:p>
    <w:p>
      <w:pPr>
        <w:pStyle w:val="32"/>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spacing w:line="360" w:lineRule="auto"/>
        <w:ind w:firstLine="560" w:firstLineChars="200"/>
        <w:rPr>
          <w:rFonts w:hint="eastAsia" w:ascii="仿宋" w:hAnsi="仿宋" w:eastAsia="仿宋" w:cs="仿宋"/>
          <w:color w:val="000000"/>
          <w:spacing w:val="0"/>
          <w:sz w:val="28"/>
          <w:szCs w:val="28"/>
          <w:highlight w:val="none"/>
          <w:lang w:val="en-US" w:eastAsia="zh-CN"/>
        </w:rPr>
      </w:pPr>
      <w:r>
        <w:rPr>
          <w:rFonts w:hint="eastAsia" w:ascii="仿宋" w:hAnsi="仿宋" w:eastAsia="仿宋" w:cs="仿宋"/>
          <w:sz w:val="28"/>
          <w:szCs w:val="28"/>
          <w:highlight w:val="none"/>
          <w:lang w:val="en-US" w:eastAsia="zh-CN"/>
        </w:rPr>
        <w:t>按照《CGBZ-ⅡHF0501-2025 采购标准-N,N-二甲基乙醇胺（＞99.0%）</w:t>
      </w:r>
      <w:r>
        <w:rPr>
          <w:rFonts w:hint="eastAsia" w:ascii="仿宋" w:hAnsi="仿宋" w:eastAsia="仿宋" w:cs="仿宋"/>
          <w:color w:val="000000"/>
          <w:spacing w:val="0"/>
          <w:sz w:val="28"/>
          <w:szCs w:val="28"/>
          <w:highlight w:val="none"/>
          <w:lang w:val="en-US" w:eastAsia="zh-CN"/>
        </w:rPr>
        <w:t>》技术要求中的技术指标要求执行。</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3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jc w:val="center"/>
        </w:trPr>
        <w:tc>
          <w:tcPr>
            <w:tcW w:w="2808" w:type="pct"/>
            <w:tcBorders>
              <w:tl2br w:val="nil"/>
              <w:tr2bl w:val="nil"/>
            </w:tcBorders>
            <w:shd w:val="clear" w:color="auto" w:fill="auto"/>
            <w:vAlign w:val="center"/>
          </w:tcPr>
          <w:p>
            <w:pPr>
              <w:widowControl/>
              <w:jc w:val="center"/>
              <w:rPr>
                <w:rFonts w:hint="default" w:ascii="Times New Roman" w:hAnsi="Times New Roman" w:eastAsia="仿宋" w:cs="Times New Roman"/>
                <w:b/>
                <w:bCs/>
                <w:color w:val="000000"/>
                <w:sz w:val="28"/>
                <w:szCs w:val="28"/>
              </w:rPr>
            </w:pPr>
            <w:r>
              <w:rPr>
                <w:rFonts w:hint="default" w:ascii="Times New Roman" w:hAnsi="Times New Roman" w:eastAsia="仿宋" w:cs="Times New Roman"/>
                <w:b/>
                <w:bCs/>
                <w:color w:val="000000"/>
                <w:sz w:val="28"/>
                <w:szCs w:val="28"/>
              </w:rPr>
              <w:t>项目</w:t>
            </w:r>
          </w:p>
        </w:tc>
        <w:tc>
          <w:tcPr>
            <w:tcW w:w="2191" w:type="pct"/>
            <w:tcBorders>
              <w:tl2br w:val="nil"/>
              <w:tr2bl w:val="nil"/>
            </w:tcBorders>
            <w:shd w:val="clear" w:color="auto" w:fill="auto"/>
            <w:vAlign w:val="center"/>
          </w:tcPr>
          <w:p>
            <w:pPr>
              <w:widowControl/>
              <w:jc w:val="center"/>
              <w:rPr>
                <w:rFonts w:hint="default" w:ascii="Times New Roman" w:hAnsi="Times New Roman" w:eastAsia="仿宋" w:cs="Times New Roman"/>
                <w:b/>
                <w:bCs/>
                <w:color w:val="000000"/>
                <w:sz w:val="28"/>
                <w:szCs w:val="28"/>
              </w:rPr>
            </w:pPr>
            <w:r>
              <w:rPr>
                <w:rFonts w:hint="default" w:ascii="Times New Roman" w:hAnsi="Times New Roman" w:eastAsia="仿宋" w:cs="Times New Roman"/>
                <w:b/>
                <w:bCs/>
                <w:color w:val="000000"/>
                <w:sz w:val="28"/>
                <w:szCs w:val="28"/>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808"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rPr>
              <w:t>外观</w:t>
            </w:r>
          </w:p>
        </w:tc>
        <w:tc>
          <w:tcPr>
            <w:tcW w:w="2191"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rPr>
            </w:pPr>
            <w:r>
              <w:rPr>
                <w:rFonts w:hint="default" w:ascii="Times New Roman" w:hAnsi="Times New Roman" w:eastAsia="仿宋" w:cs="Times New Roman"/>
                <w:color w:val="000000"/>
                <w:sz w:val="28"/>
                <w:szCs w:val="28"/>
                <w:lang w:val="en-US" w:eastAsia="zh-CN"/>
              </w:rPr>
              <w:t>常温下，无色至微黄色透明液体，无机械杂质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jc w:val="center"/>
        </w:trPr>
        <w:tc>
          <w:tcPr>
            <w:tcW w:w="2808"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密度（20℃），g/cm</w:t>
            </w:r>
            <w:r>
              <w:rPr>
                <w:rFonts w:hint="default" w:ascii="Times New Roman" w:hAnsi="Times New Roman" w:eastAsia="仿宋" w:cs="Times New Roman"/>
                <w:color w:val="000000"/>
                <w:sz w:val="28"/>
                <w:szCs w:val="28"/>
                <w:vertAlign w:val="superscript"/>
                <w:lang w:val="en-US" w:eastAsia="zh-CN"/>
              </w:rPr>
              <w:t>3</w:t>
            </w:r>
          </w:p>
        </w:tc>
        <w:tc>
          <w:tcPr>
            <w:tcW w:w="2191"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rPr>
            </w:pPr>
            <w:r>
              <w:rPr>
                <w:rFonts w:hint="default" w:ascii="Times New Roman" w:hAnsi="Times New Roman" w:eastAsia="仿宋" w:cs="Times New Roman"/>
                <w:color w:val="000000"/>
                <w:sz w:val="28"/>
                <w:szCs w:val="28"/>
                <w:lang w:val="en-US" w:eastAsia="zh-CN"/>
              </w:rPr>
              <w:t>0.87~0.92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808"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 xml:space="preserve">N,N-二甲基乙醇胺含量，w/% </w:t>
            </w:r>
          </w:p>
        </w:tc>
        <w:tc>
          <w:tcPr>
            <w:tcW w:w="2191"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2808"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水含量，w/%</w:t>
            </w:r>
          </w:p>
        </w:tc>
        <w:tc>
          <w:tcPr>
            <w:tcW w:w="2191"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jc w:val="center"/>
        </w:trPr>
        <w:tc>
          <w:tcPr>
            <w:tcW w:w="2808"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与水混溶性</w:t>
            </w:r>
          </w:p>
        </w:tc>
        <w:tc>
          <w:tcPr>
            <w:tcW w:w="2191" w:type="pct"/>
            <w:tcBorders>
              <w:tl2br w:val="nil"/>
              <w:tr2bl w:val="nil"/>
            </w:tcBorders>
            <w:shd w:val="clear" w:color="auto" w:fill="auto"/>
            <w:vAlign w:val="center"/>
          </w:tcPr>
          <w:p>
            <w:pPr>
              <w:jc w:val="center"/>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lang w:val="en-US" w:eastAsia="zh-CN"/>
              </w:rPr>
              <w:t>任意比例混溶</w:t>
            </w:r>
          </w:p>
        </w:tc>
      </w:tr>
    </w:tbl>
    <w:p>
      <w:pPr>
        <w:pStyle w:val="32"/>
        <w:numPr>
          <w:numId w:val="0"/>
        </w:numPr>
        <w:spacing w:before="120" w:after="120" w:line="360" w:lineRule="auto"/>
        <w:ind w:left="760" w:leftChars="0"/>
        <w:outlineLvl w:val="0"/>
        <w:rPr>
          <w:rFonts w:hint="eastAsia" w:ascii="仿宋" w:hAnsi="仿宋" w:eastAsia="仿宋" w:cs="Times New Roman"/>
          <w:b/>
          <w:bCs/>
          <w:color w:val="auto"/>
          <w:kern w:val="2"/>
          <w:sz w:val="32"/>
          <w:szCs w:val="32"/>
        </w:rPr>
      </w:pPr>
    </w:p>
    <w:bookmarkEnd w:id="2"/>
    <w:bookmarkEnd w:id="3"/>
    <w:p>
      <w:pPr>
        <w:pStyle w:val="32"/>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1"/>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1"/>
          <w:rFonts w:ascii="仿宋" w:hAnsi="仿宋" w:eastAsia="仿宋" w:cs="Times New Roman"/>
          <w:sz w:val="28"/>
          <w:szCs w:val="28"/>
          <w:lang w:bidi="ar"/>
        </w:rPr>
        <w:t>huangjx14@cnooc.com.cn</w:t>
      </w:r>
      <w:r>
        <w:rPr>
          <w:rStyle w:val="21"/>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1"/>
          <w:rFonts w:hint="eastAsia" w:ascii="仿宋" w:hAnsi="仿宋" w:eastAsia="仿宋" w:cs="Times New Roman"/>
          <w:sz w:val="28"/>
          <w:szCs w:val="28"/>
          <w:lang w:bidi="ar"/>
        </w:rPr>
      </w:pPr>
      <w:r>
        <w:rPr>
          <w:rStyle w:val="21"/>
          <w:rFonts w:hint="eastAsia" w:ascii="仿宋" w:hAnsi="仿宋" w:eastAsia="仿宋" w:cs="Times New Roman"/>
          <w:sz w:val="28"/>
          <w:szCs w:val="28"/>
          <w:lang w:bidi="ar"/>
        </w:rPr>
        <w:t>社会监督电话：022-25802262</w:t>
      </w: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ind w:left="0" w:leftChars="0" w:firstLine="0" w:firstLineChars="0"/>
        <w:rPr>
          <w:rStyle w:val="21"/>
          <w:rFonts w:hint="eastAsia"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1"/>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3"/>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申请人</w:t>
            </w:r>
            <w:r>
              <w:rPr>
                <w:rFonts w:hint="eastAsia" w:ascii="仿宋" w:hAnsi="仿宋" w:eastAsia="仿宋" w:cs="仿宋"/>
                <w:sz w:val="24"/>
                <w:szCs w:val="24"/>
                <w:lang w:val="en-US" w:eastAsia="zh-CN"/>
              </w:rPr>
              <w:t>具备安全生产许可证，且其范围包含【N,N-二甲基乙醇胺或N,N-二甲基-2-羟基乙胺或2-二甲氨基乙醇】。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r>
              <w:rPr>
                <w:rFonts w:hint="default" w:ascii="仿宋" w:hAnsi="仿宋" w:eastAsia="仿宋" w:cs="仿宋"/>
                <w:sz w:val="24"/>
                <w:szCs w:val="24"/>
                <w:lang w:val="en-US" w:eastAsia="zh-CN"/>
              </w:rPr>
              <w:t>.该项采购仅允许制造商参与，不接受代理商、贸易商。</w:t>
            </w:r>
          </w:p>
          <w:p>
            <w:pPr>
              <w:pStyle w:val="33"/>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3"/>
              <w:numPr>
                <w:ilvl w:val="0"/>
                <w:numId w:val="2"/>
              </w:numPr>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N,N-二甲基乙醇胺</w:t>
            </w:r>
            <w:r>
              <w:rPr>
                <w:rFonts w:hint="default" w:ascii="仿宋" w:hAnsi="仿宋" w:eastAsia="仿宋" w:cs="仿宋"/>
                <w:sz w:val="24"/>
                <w:szCs w:val="24"/>
                <w:lang w:val="en-US" w:eastAsia="zh-CN"/>
              </w:rPr>
              <w:t xml:space="preserve">或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  </w:t>
            </w:r>
            <w:bookmarkStart w:id="4" w:name="_GoBack"/>
            <w:bookmarkEnd w:id="4"/>
          </w:p>
        </w:tc>
      </w:tr>
    </w:tbl>
    <w:p>
      <w:pPr>
        <w:pStyle w:val="8"/>
        <w:rPr>
          <w:rFonts w:ascii="仿宋" w:hAnsi="仿宋" w:eastAsia="仿宋"/>
        </w:rPr>
      </w:pPr>
    </w:p>
    <w:p>
      <w:pPr>
        <w:pStyle w:val="8"/>
        <w:rPr>
          <w:rFonts w:ascii="仿宋" w:hAnsi="仿宋" w:eastAsia="仿宋"/>
        </w:rPr>
      </w:pPr>
    </w:p>
    <w:p>
      <w:pPr>
        <w:pStyle w:val="8"/>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DF653"/>
    <w:multiLevelType w:val="singleLevel"/>
    <w:tmpl w:val="BC7DF653"/>
    <w:lvl w:ilvl="0" w:tentative="0">
      <w:start w:val="1"/>
      <w:numFmt w:val="decimal"/>
      <w:suff w:val="nothing"/>
      <w:lvlText w:val="%1）"/>
      <w:lvlJc w:val="left"/>
    </w:lvl>
  </w:abstractNum>
  <w:abstractNum w:abstractNumId="1">
    <w:nsid w:val="BF016F70"/>
    <w:multiLevelType w:val="singleLevel"/>
    <w:tmpl w:val="BF016F70"/>
    <w:lvl w:ilvl="0" w:tentative="0">
      <w:start w:val="2"/>
      <w:numFmt w:val="decimal"/>
      <w:suff w:val="nothing"/>
      <w:lvlText w:val="%1、"/>
      <w:lvlJc w:val="left"/>
      <w:pPr>
        <w:ind w:left="76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F3F2B2F"/>
    <w:rsid w:val="11380EA0"/>
    <w:rsid w:val="113C79BD"/>
    <w:rsid w:val="11511F61"/>
    <w:rsid w:val="11A46680"/>
    <w:rsid w:val="125D5E2E"/>
    <w:rsid w:val="12902616"/>
    <w:rsid w:val="13D053C0"/>
    <w:rsid w:val="145F157F"/>
    <w:rsid w:val="173061A8"/>
    <w:rsid w:val="176C72BF"/>
    <w:rsid w:val="18001EB7"/>
    <w:rsid w:val="194400BE"/>
    <w:rsid w:val="1A9429E0"/>
    <w:rsid w:val="1D0A73B1"/>
    <w:rsid w:val="1DB23D88"/>
    <w:rsid w:val="1E66474C"/>
    <w:rsid w:val="1ECC2895"/>
    <w:rsid w:val="1FC305F0"/>
    <w:rsid w:val="20CC42AE"/>
    <w:rsid w:val="216F239A"/>
    <w:rsid w:val="2245341D"/>
    <w:rsid w:val="226C0F7C"/>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8F1AF2"/>
    <w:rsid w:val="34C346A0"/>
    <w:rsid w:val="356928AF"/>
    <w:rsid w:val="372B09DB"/>
    <w:rsid w:val="38521F98"/>
    <w:rsid w:val="386579B7"/>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 w:val="7D042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table of authorities"/>
    <w:basedOn w:val="1"/>
    <w:next w:val="1"/>
    <w:qFormat/>
    <w:uiPriority w:val="0"/>
    <w:pPr>
      <w:spacing w:line="360" w:lineRule="auto"/>
      <w:ind w:firstLine="480" w:firstLineChars="200"/>
    </w:pPr>
    <w:rPr>
      <w:rFonts w:ascii="Times New Roman" w:hAnsi="Times New Roman" w:eastAsiaTheme="minorEastAsia"/>
      <w:sz w:val="24"/>
    </w:rPr>
  </w:style>
  <w:style w:type="paragraph" w:styleId="7">
    <w:name w:val="Date"/>
    <w:basedOn w:val="1"/>
    <w:next w:val="1"/>
    <w:link w:val="29"/>
    <w:semiHidden/>
    <w:unhideWhenUsed/>
    <w:qFormat/>
    <w:uiPriority w:val="99"/>
    <w:pPr>
      <w:ind w:left="100" w:leftChars="2500"/>
    </w:pPr>
  </w:style>
  <w:style w:type="paragraph" w:styleId="8">
    <w:name w:val="footer"/>
    <w:basedOn w:val="1"/>
    <w:link w:val="27"/>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ascii="monospace" w:hAnsi="monospace" w:eastAsia="monospace" w:cs="monospace"/>
      <w:sz w:val="20"/>
    </w:rPr>
  </w:style>
  <w:style w:type="character" w:styleId="25">
    <w:name w:val="HTML Sample"/>
    <w:basedOn w:val="13"/>
    <w:semiHidden/>
    <w:unhideWhenUsed/>
    <w:qFormat/>
    <w:uiPriority w:val="99"/>
    <w:rPr>
      <w:rFonts w:hint="default" w:ascii="monospace" w:hAnsi="monospace" w:eastAsia="monospace" w:cs="monospace"/>
    </w:rPr>
  </w:style>
  <w:style w:type="character" w:customStyle="1" w:styleId="26">
    <w:name w:val="页眉 字符"/>
    <w:basedOn w:val="13"/>
    <w:link w:val="9"/>
    <w:qFormat/>
    <w:uiPriority w:val="99"/>
    <w:rPr>
      <w:sz w:val="18"/>
      <w:szCs w:val="18"/>
    </w:rPr>
  </w:style>
  <w:style w:type="character" w:customStyle="1" w:styleId="27">
    <w:name w:val="页脚 字符"/>
    <w:basedOn w:val="13"/>
    <w:link w:val="8"/>
    <w:qFormat/>
    <w:uiPriority w:val="99"/>
    <w:rPr>
      <w:sz w:val="18"/>
      <w:szCs w:val="18"/>
    </w:rPr>
  </w:style>
  <w:style w:type="paragraph" w:styleId="28">
    <w:name w:val="List Paragraph"/>
    <w:basedOn w:val="1"/>
    <w:qFormat/>
    <w:uiPriority w:val="34"/>
    <w:pPr>
      <w:ind w:firstLine="420" w:firstLineChars="200"/>
    </w:pPr>
  </w:style>
  <w:style w:type="character" w:customStyle="1" w:styleId="29">
    <w:name w:val="日期 字符"/>
    <w:basedOn w:val="13"/>
    <w:link w:val="7"/>
    <w:semiHidden/>
    <w:qFormat/>
    <w:uiPriority w:val="99"/>
  </w:style>
  <w:style w:type="character" w:customStyle="1" w:styleId="30">
    <w:name w:val="fontstyle01"/>
    <w:basedOn w:val="13"/>
    <w:qFormat/>
    <w:uiPriority w:val="0"/>
    <w:rPr>
      <w:rFonts w:hint="default" w:ascii="CIDFont+F4" w:hAnsi="CIDFont+F4"/>
      <w:color w:val="000000"/>
      <w:sz w:val="24"/>
      <w:szCs w:val="24"/>
    </w:rPr>
  </w:style>
  <w:style w:type="table" w:customStyle="1" w:styleId="31">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Table Paragraph"/>
    <w:basedOn w:val="1"/>
    <w:qFormat/>
    <w:uiPriority w:val="0"/>
    <w:pPr>
      <w:jc w:val="left"/>
    </w:pPr>
    <w:rPr>
      <w:kern w:val="0"/>
      <w:sz w:val="22"/>
      <w:lang w:eastAsia="en-US"/>
    </w:rPr>
  </w:style>
  <w:style w:type="paragraph" w:customStyle="1" w:styleId="34">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5">
    <w:name w:val="comboiconspanclear"/>
    <w:basedOn w:val="13"/>
    <w:qFormat/>
    <w:uiPriority w:val="0"/>
  </w:style>
  <w:style w:type="character" w:customStyle="1" w:styleId="36">
    <w:name w:val="comboiconspan"/>
    <w:basedOn w:val="13"/>
    <w:qFormat/>
    <w:uiPriority w:val="0"/>
  </w:style>
  <w:style w:type="character" w:customStyle="1" w:styleId="37">
    <w:name w:val="ui-icon48"/>
    <w:basedOn w:val="13"/>
    <w:qFormat/>
    <w:uiPriority w:val="0"/>
  </w:style>
  <w:style w:type="character" w:customStyle="1" w:styleId="38">
    <w:name w:val="clear"/>
    <w:basedOn w:val="13"/>
    <w:qFormat/>
    <w:uiPriority w:val="0"/>
  </w:style>
  <w:style w:type="character" w:customStyle="1" w:styleId="39">
    <w:name w:val="select"/>
    <w:basedOn w:val="13"/>
    <w:qFormat/>
    <w:uiPriority w:val="0"/>
  </w:style>
  <w:style w:type="paragraph" w:customStyle="1" w:styleId="40">
    <w:name w:val="_Style 37"/>
    <w:basedOn w:val="1"/>
    <w:next w:val="1"/>
    <w:qFormat/>
    <w:uiPriority w:val="0"/>
    <w:pPr>
      <w:pBdr>
        <w:bottom w:val="single" w:color="auto" w:sz="6" w:space="1"/>
      </w:pBdr>
      <w:jc w:val="center"/>
    </w:pPr>
    <w:rPr>
      <w:rFonts w:ascii="Arial" w:eastAsia="宋体"/>
      <w:vanish/>
      <w:sz w:val="16"/>
    </w:rPr>
  </w:style>
  <w:style w:type="paragraph" w:customStyle="1" w:styleId="41">
    <w:name w:val="_Style 38"/>
    <w:basedOn w:val="1"/>
    <w:next w:val="1"/>
    <w:qFormat/>
    <w:uiPriority w:val="0"/>
    <w:pPr>
      <w:pBdr>
        <w:top w:val="single" w:color="auto" w:sz="6" w:space="1"/>
      </w:pBdr>
      <w:jc w:val="center"/>
    </w:pPr>
    <w:rPr>
      <w:rFonts w:ascii="Arial" w:eastAsia="宋体"/>
      <w:vanish/>
      <w:sz w:val="16"/>
    </w:rPr>
  </w:style>
  <w:style w:type="character" w:customStyle="1" w:styleId="42">
    <w:name w:val="font31"/>
    <w:basedOn w:val="13"/>
    <w:qFormat/>
    <w:uiPriority w:val="0"/>
    <w:rPr>
      <w:rFonts w:hint="default" w:ascii="Times New Roman" w:hAnsi="Times New Roman" w:cs="Times New Roman"/>
      <w:color w:val="000000"/>
      <w:sz w:val="24"/>
      <w:szCs w:val="24"/>
      <w:u w:val="none"/>
    </w:rPr>
  </w:style>
  <w:style w:type="table" w:customStyle="1" w:styleId="43">
    <w:name w:val="网格型3"/>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14</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2026-09-11T08:38:25Z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