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before="120" w:after="120"/>
        <w:ind w:right="-20"/>
        <w:jc w:val="right"/>
        <w:rPr>
          <w:rFonts w:ascii="Arial" w:hAnsi="Arial" w:eastAsia="微软雅黑" w:cs="Arial"/>
          <w:b/>
          <w:bCs/>
          <w:spacing w:val="2"/>
          <w:w w:val="99"/>
          <w:sz w:val="52"/>
          <w:szCs w:val="52"/>
        </w:rPr>
      </w:pPr>
      <w:r>
        <w:rPr>
          <w:rFonts w:ascii="Segoe UI" w:hAnsi="Segoe UI" w:eastAsia="Segoe UI" w:cs="Segoe UI"/>
          <w:b/>
          <w:bCs/>
          <w:i w:val="0"/>
          <w:iCs w:val="0"/>
          <w:caps w:val="0"/>
          <w:color w:val="262626"/>
          <w:spacing w:val="0"/>
          <w:sz w:val="21"/>
          <w:szCs w:val="21"/>
          <w:shd w:val="clear" w:fill="FFFFFF"/>
        </w:rPr>
        <w:t>MMC-TR-QT-2026-027</w:t>
      </w:r>
    </w:p>
    <w:p>
      <w:pPr>
        <w:autoSpaceDE w:val="0"/>
        <w:autoSpaceDN w:val="0"/>
        <w:spacing w:before="120" w:after="120"/>
        <w:ind w:right="-20"/>
        <w:jc w:val="center"/>
        <w:rPr>
          <w:rFonts w:ascii="Arial" w:hAnsi="Arial" w:eastAsia="微软雅黑" w:cs="Arial"/>
          <w:b/>
          <w:spacing w:val="2"/>
          <w:w w:val="99"/>
          <w:sz w:val="52"/>
          <w:szCs w:val="52"/>
        </w:rPr>
      </w:pPr>
      <w:r>
        <w:rPr>
          <w:rFonts w:ascii="Arial" w:hAnsi="Arial" w:eastAsia="微软雅黑" w:cs="Arial"/>
          <w:b/>
          <w:spacing w:val="2"/>
          <w:w w:val="99"/>
          <w:sz w:val="52"/>
          <w:szCs w:val="52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1990090</wp:posOffset>
            </wp:positionH>
            <wp:positionV relativeFrom="paragraph">
              <wp:posOffset>155575</wp:posOffset>
            </wp:positionV>
            <wp:extent cx="1596390" cy="1438275"/>
            <wp:effectExtent l="0" t="0" r="0" b="0"/>
            <wp:wrapTight wrapText="bothSides">
              <wp:wrapPolygon>
                <wp:start x="7475" y="0"/>
                <wp:lineTo x="2320" y="4577"/>
                <wp:lineTo x="1289" y="6008"/>
                <wp:lineTo x="0" y="8583"/>
                <wp:lineTo x="0" y="15163"/>
                <wp:lineTo x="1289" y="18310"/>
                <wp:lineTo x="1289" y="18882"/>
                <wp:lineTo x="5155" y="21457"/>
                <wp:lineTo x="5928" y="21457"/>
                <wp:lineTo x="11084" y="21457"/>
                <wp:lineTo x="11857" y="21457"/>
                <wp:lineTo x="15465" y="18882"/>
                <wp:lineTo x="15723" y="18310"/>
                <wp:lineTo x="17527" y="13732"/>
                <wp:lineTo x="21394" y="12016"/>
                <wp:lineTo x="21394" y="8869"/>
                <wp:lineTo x="14692" y="4577"/>
                <wp:lineTo x="9537" y="0"/>
                <wp:lineTo x="7475" y="0"/>
              </wp:wrapPolygon>
            </wp:wrapTight>
            <wp:docPr id="1026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639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autoSpaceDE w:val="0"/>
        <w:autoSpaceDN w:val="0"/>
        <w:spacing w:before="120" w:after="120"/>
        <w:ind w:right="-20"/>
        <w:jc w:val="center"/>
        <w:rPr>
          <w:rFonts w:ascii="Arial" w:hAnsi="Arial" w:eastAsia="微软雅黑" w:cs="Arial"/>
          <w:b/>
          <w:spacing w:val="2"/>
          <w:w w:val="99"/>
          <w:sz w:val="52"/>
          <w:szCs w:val="52"/>
        </w:rPr>
      </w:pPr>
    </w:p>
    <w:p>
      <w:pPr>
        <w:jc w:val="center"/>
        <w:rPr>
          <w:rFonts w:ascii="Arial" w:hAnsi="Arial" w:eastAsia="微软雅黑" w:cs="Arial"/>
          <w:spacing w:val="2"/>
          <w:w w:val="99"/>
          <w:sz w:val="52"/>
          <w:szCs w:val="52"/>
          <w:lang w:eastAsia="zh-CN"/>
        </w:rPr>
      </w:pPr>
    </w:p>
    <w:p>
      <w:pPr>
        <w:jc w:val="center"/>
        <w:rPr>
          <w:rFonts w:ascii="Arial" w:hAnsi="Arial" w:eastAsia="微软雅黑" w:cs="Arial"/>
          <w:spacing w:val="2"/>
          <w:w w:val="99"/>
          <w:sz w:val="52"/>
          <w:szCs w:val="52"/>
          <w:lang w:eastAsia="zh-CN"/>
        </w:rPr>
      </w:pPr>
    </w:p>
    <w:p>
      <w:pPr>
        <w:jc w:val="center"/>
        <w:rPr>
          <w:rFonts w:ascii="Arial" w:hAnsi="Arial" w:eastAsia="微软雅黑" w:cs="Arial"/>
          <w:color w:val="auto"/>
          <w:spacing w:val="2"/>
          <w:w w:val="99"/>
          <w:sz w:val="52"/>
          <w:szCs w:val="52"/>
          <w:lang w:eastAsia="zh-CN"/>
        </w:rPr>
      </w:pPr>
      <w:r>
        <w:rPr>
          <w:rFonts w:ascii="Arial" w:hAnsi="Arial" w:eastAsia="微软雅黑" w:cs="Arial"/>
          <w:spacing w:val="2"/>
          <w:w w:val="99"/>
          <w:sz w:val="52"/>
          <w:szCs w:val="52"/>
          <w:lang w:eastAsia="zh-CN"/>
        </w:rPr>
        <w:t>中海油能源</w:t>
      </w:r>
      <w:r>
        <w:rPr>
          <w:rFonts w:ascii="Arial" w:hAnsi="Arial" w:eastAsia="微软雅黑" w:cs="Arial"/>
          <w:color w:val="auto"/>
          <w:spacing w:val="2"/>
          <w:w w:val="99"/>
          <w:sz w:val="52"/>
          <w:szCs w:val="52"/>
          <w:lang w:eastAsia="zh-CN"/>
        </w:rPr>
        <w:t>发展股份有限公司</w:t>
      </w:r>
    </w:p>
    <w:p>
      <w:pPr>
        <w:jc w:val="center"/>
        <w:rPr>
          <w:rFonts w:hint="eastAsia" w:ascii="微软雅黑" w:hAnsi="微软雅黑" w:eastAsia="微软雅黑" w:cs="Arial"/>
          <w:color w:val="auto"/>
          <w:spacing w:val="2"/>
          <w:w w:val="99"/>
          <w:sz w:val="52"/>
          <w:szCs w:val="52"/>
          <w:u w:val="single"/>
          <w:lang w:val="en-US" w:eastAsia="zh-CN"/>
        </w:rPr>
      </w:pPr>
    </w:p>
    <w:p>
      <w:pPr>
        <w:jc w:val="center"/>
        <w:rPr>
          <w:rFonts w:hint="default" w:ascii="微软雅黑" w:hAnsi="微软雅黑" w:eastAsia="微软雅黑" w:cs="Arial"/>
          <w:color w:val="auto"/>
          <w:spacing w:val="2"/>
          <w:w w:val="99"/>
          <w:sz w:val="52"/>
          <w:szCs w:val="52"/>
          <w:u w:val="single"/>
          <w:lang w:val="en-US" w:eastAsia="zh-CN"/>
        </w:rPr>
      </w:pPr>
      <w:r>
        <w:rPr>
          <w:rFonts w:hint="eastAsia" w:ascii="微软雅黑" w:hAnsi="微软雅黑" w:eastAsia="微软雅黑" w:cs="Arial"/>
          <w:color w:val="auto"/>
          <w:spacing w:val="2"/>
          <w:w w:val="99"/>
          <w:sz w:val="52"/>
          <w:szCs w:val="52"/>
          <w:u w:val="single"/>
          <w:lang w:val="en-US" w:eastAsia="zh-CN"/>
        </w:rPr>
        <w:t>焊材</w:t>
      </w:r>
    </w:p>
    <w:p>
      <w:pPr>
        <w:jc w:val="center"/>
        <w:rPr>
          <w:rFonts w:ascii="Arial" w:hAnsi="Arial" w:eastAsia="微软雅黑" w:cs="Arial"/>
          <w:b/>
          <w:w w:val="99"/>
          <w:sz w:val="44"/>
          <w:szCs w:val="44"/>
        </w:rPr>
      </w:pPr>
      <w:r>
        <w:rPr>
          <w:rFonts w:ascii="Arial" w:hAnsi="Arial" w:eastAsia="微软雅黑" w:cs="Arial"/>
          <w:b/>
          <w:color w:val="auto"/>
          <w:spacing w:val="2"/>
          <w:w w:val="99"/>
          <w:sz w:val="52"/>
          <w:szCs w:val="52"/>
          <w:lang w:eastAsia="zh-CN"/>
        </w:rPr>
        <w:t>采购技术要</w:t>
      </w:r>
      <w:r>
        <w:rPr>
          <w:rFonts w:ascii="Arial" w:hAnsi="Arial" w:eastAsia="微软雅黑" w:cs="Arial"/>
          <w:b/>
          <w:spacing w:val="2"/>
          <w:w w:val="99"/>
          <w:sz w:val="52"/>
          <w:szCs w:val="52"/>
          <w:lang w:eastAsia="zh-CN"/>
        </w:rPr>
        <w:t>求</w:t>
      </w:r>
      <w:bookmarkStart w:id="0" w:name="_Toc13249324"/>
      <w:bookmarkStart w:id="1" w:name="_Toc13248927"/>
      <w:r>
        <w:rPr>
          <w:rFonts w:ascii="Arial" w:hAnsi="Arial" w:eastAsia="微软雅黑" w:cs="Arial"/>
          <w:b/>
          <w:spacing w:val="2"/>
          <w:w w:val="99"/>
          <w:sz w:val="52"/>
          <w:szCs w:val="52"/>
          <w:lang w:eastAsia="zh-CN"/>
        </w:rPr>
        <w:t>书</w:t>
      </w:r>
    </w:p>
    <w:p>
      <w:pPr>
        <w:autoSpaceDE w:val="0"/>
        <w:autoSpaceDN w:val="0"/>
        <w:spacing w:before="120" w:after="120" w:line="720" w:lineRule="auto"/>
        <w:ind w:right="-20" w:firstLine="640" w:firstLineChars="200"/>
        <w:rPr>
          <w:rFonts w:hint="default" w:ascii="Arial Unicode MS" w:eastAsia="Arial Unicode MS" w:cs="Arial Unicode MS"/>
          <w:spacing w:val="2"/>
          <w:w w:val="99"/>
          <w:sz w:val="32"/>
          <w:szCs w:val="32"/>
          <w:lang w:val="en-US" w:eastAsia="zh-CN"/>
        </w:rPr>
      </w:pPr>
      <w:r>
        <w:rPr>
          <w:rFonts w:hint="eastAsia" w:ascii="Arial Unicode MS" w:eastAsia="Arial Unicode MS" w:cs="Arial Unicode MS"/>
          <w:spacing w:val="2"/>
          <w:w w:val="99"/>
          <w:sz w:val="32"/>
          <w:szCs w:val="32"/>
          <w:lang w:val="en-US" w:eastAsia="zh-CN"/>
        </w:rPr>
        <w:t>引用技术标准编号：ASME BPVC.II.C-2019</w:t>
      </w:r>
    </w:p>
    <w:p>
      <w:pPr>
        <w:autoSpaceDE w:val="0"/>
        <w:autoSpaceDN w:val="0"/>
        <w:spacing w:before="120" w:after="120" w:line="720" w:lineRule="auto"/>
        <w:ind w:right="-20" w:firstLine="649"/>
        <w:rPr>
          <w:rFonts w:hint="eastAsia" w:ascii="Arial Unicode MS" w:eastAsia="Arial Unicode MS" w:cs="Arial Unicode MS"/>
          <w:spacing w:val="2"/>
          <w:w w:val="99"/>
          <w:sz w:val="32"/>
          <w:szCs w:val="32"/>
          <w:lang w:eastAsia="zh-CN"/>
        </w:rPr>
      </w:pPr>
      <w:r>
        <w:rPr>
          <w:rFonts w:hint="eastAsia" w:ascii="Arial Unicode MS" w:eastAsia="Arial Unicode MS" w:cs="Arial Unicode MS"/>
          <w:spacing w:val="2"/>
          <w:w w:val="99"/>
          <w:sz w:val="32"/>
          <w:szCs w:val="32"/>
          <w:lang w:eastAsia="zh-CN"/>
        </w:rPr>
        <w:t>编</w:t>
      </w:r>
      <w:r>
        <w:rPr>
          <w:rFonts w:hint="eastAsia" w:ascii="Arial Unicode MS" w:eastAsia="Arial Unicode MS" w:cs="Arial Unicode MS"/>
          <w:spacing w:val="2"/>
          <w:w w:val="99"/>
          <w:sz w:val="32"/>
          <w:szCs w:val="32"/>
          <w:lang w:val="en-US" w:eastAsia="zh-CN"/>
        </w:rPr>
        <w:t xml:space="preserve">  </w:t>
      </w:r>
      <w:r>
        <w:rPr>
          <w:rFonts w:hint="eastAsia" w:ascii="Arial Unicode MS" w:eastAsia="Arial Unicode MS" w:cs="Arial Unicode MS"/>
          <w:spacing w:val="2"/>
          <w:w w:val="99"/>
          <w:sz w:val="32"/>
          <w:szCs w:val="32"/>
          <w:lang w:eastAsia="zh-CN"/>
        </w:rPr>
        <w:t>制</w:t>
      </w:r>
      <w:r>
        <w:rPr>
          <w:rFonts w:hint="eastAsia" w:ascii="Arial Unicode MS" w:eastAsia="Arial Unicode MS" w:cs="Arial Unicode MS"/>
          <w:spacing w:val="2"/>
          <w:w w:val="99"/>
          <w:sz w:val="32"/>
          <w:szCs w:val="32"/>
          <w:lang w:val="en-US" w:eastAsia="zh-CN"/>
        </w:rPr>
        <w:t xml:space="preserve">  人</w:t>
      </w:r>
      <w:r>
        <w:rPr>
          <w:rFonts w:hint="eastAsia" w:ascii="Arial Unicode MS" w:eastAsia="Arial Unicode MS" w:cs="Arial Unicode MS"/>
          <w:spacing w:val="2"/>
          <w:w w:val="99"/>
          <w:sz w:val="32"/>
          <w:szCs w:val="32"/>
          <w:lang w:eastAsia="zh-CN"/>
        </w:rPr>
        <w:t>：</w:t>
      </w:r>
      <w:r>
        <w:rPr>
          <w:rFonts w:hint="eastAsia" w:ascii="Arial Unicode MS" w:eastAsia="Arial Unicode MS" w:cs="Arial Unicode MS"/>
          <w:spacing w:val="2"/>
          <w:w w:val="99"/>
          <w:sz w:val="32"/>
          <w:szCs w:val="32"/>
          <w:u w:val="single"/>
          <w:lang w:eastAsia="zh-CN"/>
        </w:rPr>
        <w:t xml:space="preserve">            </w:t>
      </w:r>
      <w:r>
        <w:rPr>
          <w:rFonts w:hint="eastAsia" w:ascii="Arial Unicode MS" w:eastAsia="Arial Unicode MS" w:cs="Arial Unicode MS"/>
          <w:spacing w:val="2"/>
          <w:w w:val="99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Arial Unicode MS" w:eastAsia="Arial Unicode MS" w:cs="Arial Unicode MS"/>
          <w:spacing w:val="2"/>
          <w:w w:val="99"/>
          <w:sz w:val="32"/>
          <w:szCs w:val="32"/>
          <w:u w:val="single"/>
          <w:lang w:eastAsia="zh-CN"/>
        </w:rPr>
        <w:t xml:space="preserve">    </w:t>
      </w:r>
    </w:p>
    <w:p>
      <w:pPr>
        <w:autoSpaceDE w:val="0"/>
        <w:autoSpaceDN w:val="0"/>
        <w:spacing w:before="120" w:after="120" w:line="720" w:lineRule="auto"/>
        <w:ind w:right="-20" w:firstLine="649"/>
        <w:rPr>
          <w:rFonts w:hint="eastAsia" w:ascii="Arial Unicode MS" w:eastAsia="Arial Unicode MS" w:cs="Arial Unicode MS"/>
          <w:spacing w:val="2"/>
          <w:w w:val="99"/>
          <w:sz w:val="32"/>
          <w:szCs w:val="32"/>
          <w:u w:val="single"/>
          <w:lang w:eastAsia="zh-CN"/>
        </w:rPr>
      </w:pPr>
      <w:r>
        <w:rPr>
          <w:rFonts w:hint="eastAsia" w:ascii="Arial Unicode MS" w:eastAsia="Arial Unicode MS" w:cs="Arial Unicode MS"/>
          <w:spacing w:val="2"/>
          <w:w w:val="99"/>
          <w:sz w:val="32"/>
          <w:szCs w:val="32"/>
          <w:lang w:val="en-US" w:eastAsia="zh-CN"/>
        </w:rPr>
        <w:t>作业部经理</w:t>
      </w:r>
      <w:r>
        <w:rPr>
          <w:rFonts w:hint="eastAsia" w:ascii="Arial Unicode MS" w:eastAsia="Arial Unicode MS" w:cs="Arial Unicode MS"/>
          <w:spacing w:val="2"/>
          <w:w w:val="99"/>
          <w:sz w:val="32"/>
          <w:szCs w:val="32"/>
          <w:lang w:eastAsia="zh-CN"/>
        </w:rPr>
        <w:t>：</w:t>
      </w:r>
      <w:r>
        <w:rPr>
          <w:rFonts w:hint="eastAsia" w:ascii="Arial Unicode MS" w:eastAsia="Arial Unicode MS" w:cs="Arial Unicode MS"/>
          <w:spacing w:val="2"/>
          <w:w w:val="99"/>
          <w:sz w:val="32"/>
          <w:szCs w:val="32"/>
          <w:u w:val="single"/>
          <w:lang w:eastAsia="zh-CN"/>
        </w:rPr>
        <w:t xml:space="preserve">        </w:t>
      </w:r>
      <w:r>
        <w:rPr>
          <w:rFonts w:hint="eastAsia" w:ascii="Arial Unicode MS" w:eastAsia="Arial Unicode MS" w:cs="Arial Unicode MS"/>
          <w:spacing w:val="2"/>
          <w:w w:val="99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Arial Unicode MS" w:eastAsia="Arial Unicode MS" w:cs="Arial Unicode MS"/>
          <w:spacing w:val="2"/>
          <w:w w:val="99"/>
          <w:sz w:val="32"/>
          <w:szCs w:val="32"/>
          <w:u w:val="single"/>
          <w:lang w:eastAsia="zh-CN"/>
        </w:rPr>
        <w:t xml:space="preserve">    </w:t>
      </w:r>
      <w:r>
        <w:rPr>
          <w:rFonts w:hint="eastAsia" w:ascii="Arial Unicode MS" w:eastAsia="Arial Unicode MS" w:cs="Arial Unicode MS"/>
          <w:spacing w:val="2"/>
          <w:w w:val="99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Arial Unicode MS" w:eastAsia="Arial Unicode MS" w:cs="Arial Unicode MS"/>
          <w:spacing w:val="2"/>
          <w:w w:val="99"/>
          <w:sz w:val="32"/>
          <w:szCs w:val="32"/>
          <w:u w:val="single"/>
          <w:lang w:eastAsia="zh-CN"/>
        </w:rPr>
        <w:t xml:space="preserve">    </w:t>
      </w:r>
    </w:p>
    <w:p>
      <w:pPr>
        <w:autoSpaceDE w:val="0"/>
        <w:autoSpaceDN w:val="0"/>
        <w:spacing w:before="120" w:after="120" w:line="720" w:lineRule="auto"/>
        <w:ind w:right="-20" w:firstLine="649"/>
        <w:rPr>
          <w:rFonts w:ascii="Arial Unicode MS" w:eastAsia="Arial Unicode MS" w:cs="Arial Unicode MS"/>
          <w:spacing w:val="2"/>
          <w:w w:val="99"/>
          <w:sz w:val="32"/>
          <w:szCs w:val="32"/>
          <w:lang w:eastAsia="zh-CN"/>
        </w:rPr>
      </w:pPr>
      <w:r>
        <w:rPr>
          <w:rFonts w:hint="eastAsia" w:ascii="Arial Unicode MS" w:eastAsia="Arial Unicode MS" w:cs="Arial Unicode MS"/>
          <w:spacing w:val="2"/>
          <w:w w:val="99"/>
          <w:sz w:val="32"/>
          <w:szCs w:val="32"/>
          <w:lang w:val="en-US" w:eastAsia="zh-CN"/>
        </w:rPr>
        <w:t>技术中心经理/主任工程师</w:t>
      </w:r>
      <w:r>
        <w:rPr>
          <w:rFonts w:hint="eastAsia" w:ascii="Arial Unicode MS" w:eastAsia="Arial Unicode MS" w:cs="Arial Unicode MS"/>
          <w:spacing w:val="2"/>
          <w:w w:val="99"/>
          <w:sz w:val="32"/>
          <w:szCs w:val="32"/>
          <w:lang w:eastAsia="zh-CN"/>
        </w:rPr>
        <w:t>：</w:t>
      </w:r>
      <w:r>
        <w:rPr>
          <w:rFonts w:hint="eastAsia" w:ascii="Arial Unicode MS" w:eastAsia="Arial Unicode MS" w:cs="Arial Unicode MS"/>
          <w:spacing w:val="2"/>
          <w:w w:val="99"/>
          <w:sz w:val="32"/>
          <w:szCs w:val="32"/>
          <w:u w:val="single"/>
          <w:lang w:eastAsia="zh-CN"/>
        </w:rPr>
        <w:t xml:space="preserve">           </w:t>
      </w:r>
      <w:r>
        <w:rPr>
          <w:rFonts w:hint="eastAsia" w:ascii="Arial Unicode MS" w:eastAsia="Arial Unicode MS" w:cs="Arial Unicode MS"/>
          <w:spacing w:val="2"/>
          <w:w w:val="99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Arial Unicode MS" w:eastAsia="Arial Unicode MS" w:cs="Arial Unicode MS"/>
          <w:spacing w:val="2"/>
          <w:w w:val="99"/>
          <w:sz w:val="32"/>
          <w:szCs w:val="32"/>
          <w:u w:val="single"/>
          <w:lang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20" w:after="120" w:line="15" w:lineRule="auto"/>
        <w:ind w:right="-23" w:firstLine="640" w:firstLineChars="200"/>
        <w:textAlignment w:val="auto"/>
        <w:rPr>
          <w:rFonts w:hint="eastAsia" w:ascii="Arial Unicode MS" w:eastAsia="Arial Unicode MS" w:cs="Arial Unicode MS"/>
          <w:spacing w:val="2"/>
          <w:w w:val="99"/>
          <w:sz w:val="36"/>
          <w:szCs w:val="36"/>
          <w:lang w:eastAsia="zh-CN"/>
        </w:rPr>
      </w:pPr>
      <w:r>
        <w:rPr>
          <w:rFonts w:hint="eastAsia" w:ascii="Arial Unicode MS" w:eastAsia="Arial Unicode MS" w:cs="Arial Unicode MS"/>
          <w:spacing w:val="2"/>
          <w:w w:val="99"/>
          <w:sz w:val="32"/>
          <w:szCs w:val="32"/>
          <w:lang w:val="en-US" w:eastAsia="zh-CN"/>
        </w:rPr>
        <w:t>总工/技术主管领导：</w:t>
      </w:r>
      <w:r>
        <w:rPr>
          <w:rFonts w:hint="eastAsia" w:ascii="Arial Unicode MS" w:eastAsia="Arial Unicode MS" w:cs="Arial Unicode MS"/>
          <w:spacing w:val="2"/>
          <w:w w:val="99"/>
          <w:sz w:val="32"/>
          <w:szCs w:val="32"/>
          <w:u w:val="single"/>
          <w:lang w:eastAsia="zh-CN"/>
        </w:rPr>
        <w:t xml:space="preserve">           </w:t>
      </w:r>
      <w:r>
        <w:rPr>
          <w:rFonts w:hint="eastAsia" w:ascii="Arial Unicode MS" w:eastAsia="Arial Unicode MS" w:cs="Arial Unicode MS"/>
          <w:spacing w:val="2"/>
          <w:w w:val="99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Arial Unicode MS" w:eastAsia="Arial Unicode MS" w:cs="Arial Unicode MS"/>
          <w:spacing w:val="2"/>
          <w:w w:val="99"/>
          <w:sz w:val="32"/>
          <w:szCs w:val="32"/>
          <w:u w:val="single"/>
          <w:lang w:eastAsia="zh-CN"/>
        </w:rPr>
        <w:t xml:space="preserve"> </w:t>
      </w:r>
    </w:p>
    <w:bookmarkEnd w:id="0"/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20" w:after="120" w:line="15" w:lineRule="auto"/>
        <w:ind w:right="-23" w:firstLine="600" w:firstLineChars="200"/>
        <w:textAlignment w:val="auto"/>
        <w:rPr>
          <w:rFonts w:ascii="Arial" w:hAnsi="Arial" w:eastAsia="微软雅黑" w:cs="Arial"/>
          <w:sz w:val="30"/>
          <w:szCs w:val="30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fmt="decimal" w:start="0"/>
          <w:cols w:space="425" w:num="1"/>
          <w:docGrid w:type="lines" w:linePitch="312" w:charSpace="0"/>
        </w:sectPr>
      </w:pPr>
    </w:p>
    <w:p>
      <w:pPr>
        <w:pStyle w:val="2"/>
        <w:numPr>
          <w:ilvl w:val="0"/>
          <w:numId w:val="0"/>
        </w:numPr>
        <w:spacing w:before="0" w:after="0" w:line="360" w:lineRule="auto"/>
        <w:ind w:leftChars="0"/>
        <w:rPr>
          <w:rFonts w:hint="eastAsia" w:ascii="Arial" w:hAnsi="Arial" w:eastAsia="微软雅黑" w:cs="Arial"/>
          <w:sz w:val="24"/>
          <w:szCs w:val="24"/>
          <w:lang w:eastAsia="zh-CN"/>
        </w:rPr>
      </w:pPr>
      <w:r>
        <w:rPr>
          <w:rFonts w:hint="eastAsia" w:ascii="Arial" w:hAnsi="Arial" w:eastAsia="微软雅黑" w:cs="Arial"/>
          <w:sz w:val="30"/>
          <w:szCs w:val="30"/>
          <w:lang w:val="en-US" w:eastAsia="zh-CN"/>
        </w:rPr>
        <w:t>一、需求</w:t>
      </w:r>
      <w:r>
        <w:rPr>
          <w:rFonts w:ascii="Arial" w:hAnsi="Arial" w:eastAsia="微软雅黑" w:cs="Arial"/>
          <w:sz w:val="30"/>
          <w:szCs w:val="30"/>
        </w:rPr>
        <w:t>概况</w:t>
      </w:r>
    </w:p>
    <w:p>
      <w:pPr>
        <w:pStyle w:val="7"/>
        <w:spacing w:line="360" w:lineRule="auto"/>
        <w:ind w:left="221" w:right="125" w:firstLine="480"/>
        <w:rPr>
          <w:rFonts w:hint="eastAsia" w:ascii="Arial" w:hAnsi="Arial" w:eastAsia="微软雅黑" w:cs="Arial"/>
          <w:sz w:val="24"/>
          <w:szCs w:val="24"/>
          <w:lang w:eastAsia="zh-CN"/>
        </w:rPr>
      </w:pPr>
      <w:r>
        <w:rPr>
          <w:rFonts w:hint="eastAsia" w:ascii="Arial" w:hAnsi="Arial" w:eastAsia="微软雅黑" w:cs="Arial"/>
          <w:sz w:val="24"/>
          <w:szCs w:val="24"/>
          <w:lang w:eastAsia="zh-CN"/>
        </w:rPr>
        <w:t>为满足湛江产品制造中心隔水套管生产需要，现决定针对隔水套管生产所需要的</w:t>
      </w:r>
      <w:r>
        <w:rPr>
          <w:rFonts w:hint="eastAsia" w:ascii="Arial" w:hAnsi="Arial" w:eastAsia="微软雅黑" w:cs="Arial"/>
          <w:sz w:val="24"/>
          <w:szCs w:val="24"/>
          <w:lang w:val="en-US" w:eastAsia="zh-CN"/>
        </w:rPr>
        <w:t>焊接材料</w:t>
      </w:r>
      <w:r>
        <w:rPr>
          <w:rFonts w:hint="eastAsia" w:ascii="Arial" w:hAnsi="Arial" w:eastAsia="微软雅黑" w:cs="Arial"/>
          <w:sz w:val="24"/>
          <w:szCs w:val="24"/>
          <w:lang w:eastAsia="zh-CN"/>
        </w:rPr>
        <w:t>进行</w:t>
      </w:r>
      <w:r>
        <w:rPr>
          <w:rFonts w:ascii="Arial" w:hAnsi="Arial" w:eastAsia="微软雅黑" w:cs="Arial"/>
          <w:sz w:val="24"/>
          <w:szCs w:val="24"/>
          <w:lang w:eastAsia="zh-CN"/>
        </w:rPr>
        <w:t>采购</w:t>
      </w:r>
      <w:r>
        <w:rPr>
          <w:rFonts w:hint="eastAsia" w:ascii="Arial" w:hAnsi="Arial" w:eastAsia="微软雅黑" w:cs="Arial"/>
          <w:sz w:val="24"/>
          <w:szCs w:val="24"/>
          <w:lang w:eastAsia="zh-CN"/>
        </w:rPr>
        <w:t>。</w:t>
      </w:r>
    </w:p>
    <w:p>
      <w:pPr>
        <w:pStyle w:val="7"/>
        <w:spacing w:line="360" w:lineRule="auto"/>
        <w:ind w:left="221" w:right="125" w:firstLine="480"/>
        <w:rPr>
          <w:rFonts w:hint="eastAsia" w:ascii="Arial" w:hAnsi="Arial" w:eastAsia="微软雅黑" w:cs="Arial"/>
          <w:sz w:val="24"/>
          <w:szCs w:val="24"/>
          <w:lang w:eastAsia="zh-CN"/>
        </w:rPr>
      </w:pPr>
      <w:r>
        <w:rPr>
          <w:rFonts w:hint="eastAsia" w:ascii="Arial" w:hAnsi="Arial" w:eastAsia="微软雅黑" w:cs="Arial"/>
          <w:sz w:val="24"/>
          <w:szCs w:val="24"/>
          <w:lang w:eastAsia="zh-CN"/>
        </w:rPr>
        <w:t>标准应用情况概述：本需求引用《焊条、焊丝及填充金属》ASME  BPVC.II.C-2019 采购标准和《承压设备用焊接材料订货技术条件第</w:t>
      </w:r>
      <w:r>
        <w:rPr>
          <w:rFonts w:hint="eastAsia" w:ascii="Arial" w:hAnsi="Arial" w:eastAsia="微软雅黑" w:cs="Arial"/>
          <w:sz w:val="24"/>
          <w:szCs w:val="24"/>
          <w:lang w:val="en-US" w:eastAsia="zh-CN"/>
        </w:rPr>
        <w:t>4部分：埋弧焊钢焊丝和焊剂</w:t>
      </w:r>
      <w:r>
        <w:rPr>
          <w:rFonts w:hint="eastAsia" w:ascii="Arial" w:hAnsi="Arial" w:eastAsia="微软雅黑" w:cs="Arial"/>
          <w:sz w:val="24"/>
          <w:szCs w:val="24"/>
          <w:lang w:eastAsia="zh-CN"/>
        </w:rPr>
        <w:t>》</w:t>
      </w:r>
      <w:r>
        <w:rPr>
          <w:rFonts w:hint="default" w:ascii="Arial" w:hAnsi="Arial" w:eastAsia="微软雅黑" w:cs="Arial"/>
          <w:sz w:val="24"/>
          <w:szCs w:val="24"/>
          <w:lang w:val="en-US" w:eastAsia="zh-CN"/>
        </w:rPr>
        <w:t>NB/T 47018.</w:t>
      </w:r>
      <w:r>
        <w:rPr>
          <w:rFonts w:hint="eastAsia" w:ascii="Arial" w:hAnsi="Arial" w:eastAsia="微软雅黑" w:cs="Arial"/>
          <w:sz w:val="24"/>
          <w:szCs w:val="24"/>
          <w:lang w:val="en-US" w:eastAsia="zh-CN"/>
        </w:rPr>
        <w:t>4</w:t>
      </w:r>
      <w:r>
        <w:rPr>
          <w:rFonts w:hint="eastAsia" w:ascii="Arial" w:hAnsi="Arial" w:eastAsia="微软雅黑" w:cs="Arial"/>
          <w:sz w:val="24"/>
          <w:szCs w:val="24"/>
          <w:lang w:eastAsia="zh-CN"/>
        </w:rPr>
        <w:t>。</w:t>
      </w:r>
    </w:p>
    <w:p>
      <w:pPr>
        <w:pStyle w:val="2"/>
        <w:numPr>
          <w:ilvl w:val="0"/>
          <w:numId w:val="1"/>
        </w:numPr>
        <w:spacing w:before="0" w:after="0" w:line="360" w:lineRule="auto"/>
        <w:ind w:leftChars="0"/>
        <w:rPr>
          <w:rFonts w:hint="eastAsia" w:ascii="Arial" w:hAnsi="Arial" w:eastAsia="微软雅黑" w:cs="Arial"/>
          <w:sz w:val="30"/>
          <w:szCs w:val="30"/>
          <w:lang w:val="en-US" w:eastAsia="zh-CN"/>
        </w:rPr>
      </w:pPr>
      <w:r>
        <w:rPr>
          <w:rFonts w:hint="eastAsia" w:ascii="Arial" w:hAnsi="Arial" w:eastAsia="微软雅黑" w:cs="Arial"/>
          <w:sz w:val="30"/>
          <w:szCs w:val="30"/>
          <w:lang w:val="en-US" w:eastAsia="zh-CN"/>
        </w:rPr>
        <w:t>需求一览表</w:t>
      </w:r>
    </w:p>
    <w:tbl>
      <w:tblPr>
        <w:tblStyle w:val="13"/>
        <w:tblW w:w="1059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933"/>
        <w:gridCol w:w="1035"/>
        <w:gridCol w:w="5857"/>
        <w:gridCol w:w="968"/>
        <w:gridCol w:w="650"/>
        <w:gridCol w:w="5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序号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小类编码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物资名称</w:t>
            </w:r>
          </w:p>
        </w:tc>
        <w:tc>
          <w:tcPr>
            <w:tcW w:w="5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技术规格型号</w:t>
            </w:r>
          </w:p>
        </w:tc>
        <w:tc>
          <w:tcPr>
            <w:tcW w:w="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b/>
                <w:bCs/>
                <w:color w:val="auto"/>
                <w:spacing w:val="-2"/>
                <w:sz w:val="18"/>
                <w:szCs w:val="18"/>
              </w:rPr>
              <w:t>数量及单</w:t>
            </w:r>
            <w:r>
              <w:rPr>
                <w:b/>
                <w:bCs/>
                <w:color w:val="auto"/>
                <w:sz w:val="18"/>
                <w:szCs w:val="18"/>
              </w:rPr>
              <w:t>位</w:t>
            </w: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eastAsia="宋体"/>
                <w:b/>
                <w:bCs/>
                <w:color w:val="auto"/>
                <w:spacing w:val="-2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pacing w:val="-2"/>
                <w:sz w:val="18"/>
                <w:szCs w:val="18"/>
                <w:lang w:eastAsia="zh-CN"/>
              </w:rPr>
              <w:t>交货地点</w:t>
            </w:r>
          </w:p>
        </w:tc>
        <w:tc>
          <w:tcPr>
            <w:tcW w:w="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eastAsia="宋体"/>
                <w:b/>
                <w:bCs/>
                <w:color w:val="auto"/>
                <w:spacing w:val="-2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pacing w:val="-2"/>
                <w:sz w:val="18"/>
                <w:szCs w:val="18"/>
                <w:lang w:eastAsia="zh-CN"/>
              </w:rPr>
              <w:t>交货期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4" w:hRule="atLeast"/>
          <w:jc w:val="center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A170201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碳钢药芯焊丝</w:t>
            </w:r>
          </w:p>
        </w:tc>
        <w:tc>
          <w:tcPr>
            <w:tcW w:w="5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Specification规格：ф1.2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Requirement标准：AWS A5.20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Class级别：E71T-1C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熔敷金属扩散氢含量：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10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mL/100g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Impact Temp冲击温度：-20℃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冲击功平均值应≥50J，冲击功最小值应≥35J。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卖方在投标阶段至少提供1份满足上述要求的质量历史证明文件。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焊材有船级社认证的材料（CCS、BV、ABS、DNV最少其中一家），卖方在投标阶段至少提供1份满足上述要求的船级社认证文件。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焊材原厂外包装标识船级社认证及海工专用字样。</w:t>
            </w:r>
          </w:p>
        </w:tc>
        <w:tc>
          <w:tcPr>
            <w:tcW w:w="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1500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KG</w:t>
            </w:r>
          </w:p>
        </w:tc>
        <w:tc>
          <w:tcPr>
            <w:tcW w:w="65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广东省湛江市坡头区南油一区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湛江产品制造中心大院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53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合同签订后30天内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4" w:hRule="atLeast"/>
          <w:jc w:val="center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A170201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碳钢焊丝</w:t>
            </w:r>
          </w:p>
        </w:tc>
        <w:tc>
          <w:tcPr>
            <w:tcW w:w="5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Specification规格：Ø1.2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Requirement标准：AWS A5.18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Class级别：ER70S-G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卖方在投标阶段至少提供1份满足上述要求的质量历史证明文件。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焊材有船级社认证的材料（CCS、BV、ABS、DNV最少其中一家），卖方在投标阶段至少提供1份满足上述要求的船级社认证文件。</w:t>
            </w:r>
          </w:p>
        </w:tc>
        <w:tc>
          <w:tcPr>
            <w:tcW w:w="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KG</w:t>
            </w:r>
          </w:p>
        </w:tc>
        <w:tc>
          <w:tcPr>
            <w:tcW w:w="65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53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  <w:jc w:val="center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A170201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碳钢焊丝</w:t>
            </w:r>
          </w:p>
        </w:tc>
        <w:tc>
          <w:tcPr>
            <w:tcW w:w="5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Specification规格：Ø4.0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Requirement标准：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NB/T 47018.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4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Class级别：S49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2 FB-SU34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卖方在投标阶段至少提供1份满足上述要求的质量历史证明文件。</w:t>
            </w:r>
          </w:p>
        </w:tc>
        <w:tc>
          <w:tcPr>
            <w:tcW w:w="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2000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KG</w:t>
            </w:r>
          </w:p>
        </w:tc>
        <w:tc>
          <w:tcPr>
            <w:tcW w:w="65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53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4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A170301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碳钢</w:t>
            </w:r>
            <w:bookmarkStart w:id="2" w:name="_GoBack"/>
            <w:bookmarkEnd w:id="2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焊剂</w:t>
            </w:r>
          </w:p>
        </w:tc>
        <w:tc>
          <w:tcPr>
            <w:tcW w:w="5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Requirement标准：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NB/T 47018.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4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Class级别：S A FB 1 67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卖方在投标阶段至少提供1份满足上述要求的质量历史证明文件。</w:t>
            </w:r>
          </w:p>
        </w:tc>
        <w:tc>
          <w:tcPr>
            <w:tcW w:w="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4000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KG</w:t>
            </w:r>
          </w:p>
        </w:tc>
        <w:tc>
          <w:tcPr>
            <w:tcW w:w="65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53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</w:p>
        </w:tc>
      </w:tr>
    </w:tbl>
    <w:p>
      <w:pPr>
        <w:pStyle w:val="21"/>
        <w:spacing w:before="120" w:after="120"/>
        <w:outlineLvl w:val="0"/>
        <w:rPr>
          <w:rFonts w:hint="eastAsia" w:ascii="微软雅黑" w:hAnsi="微软雅黑" w:eastAsia="微软雅黑" w:cs="微软雅黑"/>
          <w:b/>
          <w:bCs/>
          <w:color w:val="auto"/>
          <w:spacing w:val="1"/>
          <w:sz w:val="30"/>
          <w:szCs w:val="30"/>
        </w:rPr>
      </w:pPr>
      <w:r>
        <w:rPr>
          <w:rFonts w:hint="eastAsia" w:ascii="微软雅黑" w:hAnsi="微软雅黑" w:eastAsia="微软雅黑" w:cs="Times New Roman"/>
          <w:color w:val="auto"/>
          <w:spacing w:val="-3"/>
          <w:kern w:val="0"/>
          <w:sz w:val="21"/>
          <w:szCs w:val="21"/>
          <w:lang w:val="en-US" w:eastAsia="zh-CN" w:bidi="ar-SA"/>
        </w:rPr>
        <w:t>补充说明：1.质量历史证明文件为实测值的焊材出厂证书、焊材外包装实物照片、试验报告、焊接工艺评定报告等文件之一。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33" w:line="480" w:lineRule="auto"/>
        <w:textAlignment w:val="auto"/>
        <w:outlineLvl w:val="2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spacing w:val="1"/>
          <w:sz w:val="30"/>
          <w:szCs w:val="30"/>
        </w:rPr>
        <w:t>三、</w:t>
      </w:r>
      <w:r>
        <w:rPr>
          <w:rFonts w:hint="eastAsia" w:ascii="微软雅黑" w:hAnsi="微软雅黑" w:eastAsia="微软雅黑" w:cs="微软雅黑"/>
          <w:b/>
          <w:bCs/>
          <w:kern w:val="44"/>
          <w:sz w:val="30"/>
          <w:szCs w:val="30"/>
          <w:lang w:val="en-US" w:eastAsia="zh-CN" w:bidi="ar-SA"/>
        </w:rPr>
        <w:t>执行标准</w:t>
      </w:r>
      <w:r>
        <w:rPr>
          <w:rFonts w:hint="eastAsia" w:ascii="微软雅黑" w:hAnsi="微软雅黑" w:eastAsia="微软雅黑" w:cs="微软雅黑"/>
          <w:b/>
          <w:bCs/>
          <w:spacing w:val="1"/>
          <w:sz w:val="30"/>
          <w:szCs w:val="30"/>
        </w:rPr>
        <w:t>/</w:t>
      </w:r>
      <w:r>
        <w:rPr>
          <w:rFonts w:hint="eastAsia" w:ascii="微软雅黑" w:hAnsi="微软雅黑" w:eastAsia="微软雅黑" w:cs="微软雅黑"/>
          <w:b/>
          <w:bCs/>
          <w:kern w:val="44"/>
          <w:sz w:val="30"/>
          <w:szCs w:val="30"/>
          <w:lang w:val="en-US" w:eastAsia="zh-CN" w:bidi="ar-SA"/>
        </w:rPr>
        <w:t>规范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Arial" w:hAnsi="Arial" w:eastAsia="微软雅黑" w:cs="Arial"/>
          <w:sz w:val="24"/>
          <w:szCs w:val="24"/>
          <w:lang w:val="en-US" w:eastAsia="zh-CN" w:bidi="ar-SA"/>
        </w:rPr>
      </w:pPr>
      <w:r>
        <w:rPr>
          <w:rFonts w:hint="eastAsia" w:ascii="Arial" w:hAnsi="Arial" w:eastAsia="微软雅黑" w:cs="Arial"/>
          <w:sz w:val="24"/>
          <w:szCs w:val="24"/>
          <w:lang w:val="en-US" w:eastAsia="zh-CN"/>
        </w:rPr>
        <w:t>1.</w:t>
      </w:r>
      <w:r>
        <w:rPr>
          <w:rFonts w:hint="eastAsia" w:ascii="Arial" w:hAnsi="Arial" w:eastAsia="微软雅黑" w:cs="Arial"/>
          <w:sz w:val="24"/>
          <w:szCs w:val="24"/>
          <w:lang w:val="en-US" w:eastAsia="zh-CN" w:bidi="ar-SA"/>
        </w:rPr>
        <w:t>ASME BPVC.II.C-2019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Arial" w:hAnsi="Arial" w:eastAsia="微软雅黑" w:cs="Arial"/>
          <w:sz w:val="24"/>
          <w:szCs w:val="24"/>
          <w:lang w:val="en-US" w:eastAsia="zh-CN" w:bidi="ar-SA"/>
        </w:rPr>
      </w:pPr>
      <w:r>
        <w:rPr>
          <w:rFonts w:hint="eastAsia" w:ascii="Arial" w:hAnsi="Arial" w:eastAsia="微软雅黑" w:cs="Arial"/>
          <w:sz w:val="24"/>
          <w:szCs w:val="24"/>
          <w:lang w:val="en-US" w:eastAsia="zh-CN" w:bidi="ar-SA"/>
        </w:rPr>
        <w:t>2.</w:t>
      </w:r>
      <w:r>
        <w:rPr>
          <w:rFonts w:hint="default" w:ascii="Arial" w:hAnsi="Arial" w:eastAsia="微软雅黑" w:cs="Arial"/>
          <w:sz w:val="24"/>
          <w:szCs w:val="24"/>
          <w:lang w:val="en-US" w:eastAsia="zh-CN" w:bidi="ar-SA"/>
        </w:rPr>
        <w:t>NB/T 47018.</w:t>
      </w:r>
      <w:r>
        <w:rPr>
          <w:rFonts w:hint="eastAsia" w:ascii="Arial" w:hAnsi="Arial" w:eastAsia="微软雅黑" w:cs="Arial"/>
          <w:sz w:val="24"/>
          <w:szCs w:val="24"/>
          <w:lang w:val="en-US" w:eastAsia="zh-CN" w:bidi="ar-SA"/>
        </w:rPr>
        <w:t>4</w:t>
      </w:r>
    </w:p>
    <w:p>
      <w:pPr>
        <w:numPr>
          <w:ilvl w:val="0"/>
          <w:numId w:val="0"/>
        </w:numPr>
        <w:spacing w:before="164" w:line="222" w:lineRule="auto"/>
        <w:ind w:leftChars="0"/>
        <w:outlineLvl w:val="2"/>
        <w:rPr>
          <w:rFonts w:hint="default" w:ascii="Arial" w:hAnsi="Arial" w:eastAsia="微软雅黑" w:cs="Arial"/>
          <w:sz w:val="24"/>
          <w:szCs w:val="24"/>
          <w:lang w:val="en-US" w:eastAsia="zh-CN" w:bidi="ar-SA"/>
        </w:rPr>
      </w:pPr>
      <w:r>
        <w:rPr>
          <w:rFonts w:hint="eastAsia" w:ascii="Arial" w:hAnsi="Arial" w:eastAsia="微软雅黑" w:cs="Arial"/>
          <w:b/>
          <w:bCs/>
          <w:kern w:val="44"/>
          <w:sz w:val="30"/>
          <w:szCs w:val="30"/>
          <w:lang w:val="en-US" w:eastAsia="zh-CN" w:bidi="ar-SA"/>
        </w:rPr>
        <w:t>四</w:t>
      </w:r>
      <w:r>
        <w:rPr>
          <w:rFonts w:ascii="黑体" w:hAnsi="黑体" w:eastAsia="黑体" w:cs="黑体"/>
          <w:b/>
          <w:bCs/>
          <w:spacing w:val="4"/>
          <w:sz w:val="31"/>
          <w:szCs w:val="31"/>
        </w:rPr>
        <w:t>、</w:t>
      </w:r>
      <w:r>
        <w:rPr>
          <w:rFonts w:hint="eastAsia" w:ascii="Arial" w:hAnsi="Arial" w:eastAsia="微软雅黑" w:cs="Arial"/>
          <w:b/>
          <w:bCs/>
          <w:kern w:val="44"/>
          <w:sz w:val="30"/>
          <w:szCs w:val="30"/>
          <w:lang w:val="en-US" w:eastAsia="zh-CN" w:bidi="ar-SA"/>
        </w:rPr>
        <w:t>技术要求</w:t>
      </w:r>
    </w:p>
    <w:p>
      <w:pPr>
        <w:pStyle w:val="21"/>
        <w:spacing w:before="120" w:after="120"/>
        <w:outlineLvl w:val="0"/>
        <w:rPr>
          <w:rFonts w:hint="eastAsia" w:ascii="Arial" w:hAnsi="Arial" w:eastAsia="微软雅黑" w:cs="Arial"/>
          <w:b/>
          <w:bCs/>
          <w:color w:val="FF0000"/>
          <w:sz w:val="24"/>
          <w:szCs w:val="24"/>
          <w:highlight w:val="none"/>
          <w:lang w:val="en-US" w:eastAsia="zh-CN"/>
        </w:rPr>
      </w:pPr>
      <w:r>
        <w:rPr>
          <w:rFonts w:hint="eastAsia" w:ascii="Arial" w:hAnsi="Arial" w:eastAsia="微软雅黑" w:cs="Arial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  <w:t>★</w:t>
      </w:r>
      <w:r>
        <w:rPr>
          <w:rFonts w:hint="eastAsia" w:ascii="Arial" w:hAnsi="Arial" w:eastAsia="微软雅黑" w:cs="Arial"/>
          <w:sz w:val="24"/>
          <w:szCs w:val="24"/>
          <w:highlight w:val="none"/>
          <w:lang w:val="en-US" w:eastAsia="zh-CN"/>
        </w:rPr>
        <w:t>每一项焊材要求的“质量历史证明文件”都需要在投标阶段提供。</w:t>
      </w:r>
      <w:r>
        <w:rPr>
          <w:rFonts w:hint="eastAsia" w:ascii="微软雅黑" w:hAnsi="微软雅黑" w:eastAsia="微软雅黑" w:cs="Times New Roman"/>
          <w:b/>
          <w:bCs/>
          <w:color w:val="FF0000"/>
          <w:spacing w:val="-3"/>
          <w:kern w:val="0"/>
          <w:sz w:val="21"/>
          <w:szCs w:val="21"/>
          <w:highlight w:val="none"/>
          <w:lang w:val="en-US" w:eastAsia="zh-CN" w:bidi="ar-SA"/>
        </w:rPr>
        <w:t>质量历史证明文件为实测值的焊材出厂证书、焊材外包装实物照片、试验报告、焊接工艺评定报告等文件之一。</w:t>
      </w:r>
    </w:p>
    <w:p>
      <w:pPr>
        <w:pStyle w:val="7"/>
        <w:spacing w:line="360" w:lineRule="auto"/>
        <w:ind w:left="0" w:leftChars="0" w:right="125" w:firstLine="0" w:firstLineChars="0"/>
        <w:rPr>
          <w:rFonts w:hint="default" w:ascii="Arial" w:hAnsi="Arial" w:eastAsia="微软雅黑" w:cs="Arial"/>
          <w:sz w:val="24"/>
          <w:szCs w:val="24"/>
          <w:highlight w:val="none"/>
          <w:lang w:val="en-US" w:eastAsia="zh-CN"/>
        </w:rPr>
      </w:pPr>
      <w:r>
        <w:rPr>
          <w:rFonts w:hint="eastAsia" w:ascii="Arial" w:hAnsi="Arial" w:eastAsia="微软雅黑" w:cs="Arial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  <w:t>★</w:t>
      </w:r>
      <w:r>
        <w:rPr>
          <w:rFonts w:hint="eastAsia" w:ascii="Arial" w:hAnsi="Arial" w:eastAsia="微软雅黑" w:cs="Arial"/>
          <w:sz w:val="24"/>
          <w:szCs w:val="24"/>
          <w:highlight w:val="none"/>
          <w:lang w:val="en-US" w:eastAsia="zh-CN"/>
        </w:rPr>
        <w:t>对于要求有船级社认证的材料的每一项焊材，船级社认证文件都需要在投标阶段提供。</w:t>
      </w:r>
    </w:p>
    <w:p>
      <w:pPr>
        <w:pStyle w:val="7"/>
        <w:spacing w:line="360" w:lineRule="auto"/>
        <w:ind w:left="0" w:leftChars="0" w:right="125" w:firstLine="0" w:firstLineChars="0"/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</w:pPr>
      <w:r>
        <w:rPr>
          <w:rFonts w:hint="eastAsia" w:ascii="Arial" w:hAnsi="Arial" w:eastAsia="微软雅黑" w:cs="Arial"/>
          <w:sz w:val="24"/>
          <w:szCs w:val="24"/>
          <w:highlight w:val="none"/>
          <w:lang w:val="en-US" w:eastAsia="zh-CN"/>
        </w:rPr>
        <w:t>3.</w:t>
      </w:r>
      <w:r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  <w:t>★</w:t>
      </w:r>
      <w:r>
        <w:rPr>
          <w:rFonts w:hint="eastAsia" w:ascii="Arial" w:hAnsi="Arial" w:eastAsia="微软雅黑" w:cs="Arial"/>
          <w:sz w:val="24"/>
          <w:szCs w:val="24"/>
          <w:highlight w:val="none"/>
          <w:lang w:val="en-US" w:eastAsia="zh-CN"/>
        </w:rPr>
        <w:t xml:space="preserve">碳钢药芯焊丝\Φ1.2\AWS A5.20 E71T-1C </w:t>
      </w:r>
      <w:r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  <w:t>【完全引用《焊条、焊丝及填充金属》ASME BPVC.II.C-2019中SFA-5.</w:t>
      </w:r>
      <w:r>
        <w:rPr>
          <w:rFonts w:hint="eastAsia" w:ascii="Arial" w:hAnsi="Arial" w:eastAsia="微软雅黑" w:cs="Arial"/>
          <w:sz w:val="24"/>
          <w:szCs w:val="24"/>
          <w:highlight w:val="none"/>
          <w:lang w:val="en-US" w:eastAsia="zh-CN"/>
        </w:rPr>
        <w:t>20</w:t>
      </w:r>
      <w:r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  <w:t>弧焊用碳钢药芯焊丝标准】</w:t>
      </w:r>
    </w:p>
    <w:p>
      <w:pPr>
        <w:pStyle w:val="7"/>
        <w:spacing w:line="360" w:lineRule="auto"/>
        <w:ind w:left="221" w:right="125" w:firstLine="480"/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</w:pPr>
      <w:r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  <w:t>以下为引用标准中所列条款：</w:t>
      </w:r>
    </w:p>
    <w:p>
      <w:pPr>
        <w:pStyle w:val="7"/>
        <w:spacing w:line="360" w:lineRule="auto"/>
        <w:ind w:left="221" w:right="125" w:firstLine="480"/>
        <w:jc w:val="left"/>
        <w:rPr>
          <w:rFonts w:hint="default" w:ascii="Arial" w:hAnsi="Arial" w:eastAsia="微软雅黑" w:cs="Arial"/>
          <w:sz w:val="24"/>
          <w:szCs w:val="24"/>
          <w:highlight w:val="none"/>
          <w:lang w:val="en-US" w:eastAsia="zh-CN"/>
        </w:rPr>
      </w:pPr>
      <w:r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  <w:t>a)弧焊用碳钢药芯焊丝的化学成分要求符合E71T-1C类别。</w:t>
      </w:r>
    </w:p>
    <w:p>
      <w:pPr>
        <w:pStyle w:val="7"/>
        <w:spacing w:line="360" w:lineRule="auto"/>
        <w:ind w:left="0" w:leftChars="0" w:right="125" w:firstLine="0" w:firstLineChars="0"/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</w:pPr>
      <w:r>
        <w:rPr>
          <w:rFonts w:hint="eastAsia" w:ascii="Arial" w:hAnsi="Arial" w:eastAsia="微软雅黑" w:cs="Arial"/>
          <w:sz w:val="24"/>
          <w:szCs w:val="24"/>
          <w:highlight w:val="none"/>
          <w:lang w:val="en-US" w:eastAsia="zh-CN"/>
        </w:rPr>
        <w:t>4.</w:t>
      </w:r>
      <w:r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  <w:t>★碳钢气保</w:t>
      </w:r>
      <w:r>
        <w:rPr>
          <w:rFonts w:hint="eastAsia" w:ascii="Arial" w:hAnsi="Arial" w:eastAsia="微软雅黑" w:cs="Arial"/>
          <w:sz w:val="24"/>
          <w:szCs w:val="24"/>
          <w:highlight w:val="none"/>
          <w:lang w:val="en-US" w:eastAsia="zh-CN"/>
        </w:rPr>
        <w:t>焊丝</w:t>
      </w:r>
      <w:r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  <w:t>\Φ</w:t>
      </w:r>
      <w:r>
        <w:rPr>
          <w:rFonts w:hint="eastAsia" w:ascii="Arial" w:hAnsi="Arial" w:eastAsia="微软雅黑" w:cs="Arial"/>
          <w:sz w:val="24"/>
          <w:szCs w:val="24"/>
          <w:highlight w:val="none"/>
          <w:lang w:val="en-US" w:eastAsia="zh-CN"/>
        </w:rPr>
        <w:t>1.2</w:t>
      </w:r>
      <w:r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  <w:t>\AWS A5.1</w:t>
      </w:r>
      <w:r>
        <w:rPr>
          <w:rFonts w:hint="eastAsia" w:ascii="Arial" w:hAnsi="Arial" w:eastAsia="微软雅黑" w:cs="Arial"/>
          <w:sz w:val="24"/>
          <w:szCs w:val="24"/>
          <w:highlight w:val="none"/>
          <w:lang w:val="en-US" w:eastAsia="zh-CN"/>
        </w:rPr>
        <w:t xml:space="preserve">8 ER70S-G </w:t>
      </w:r>
      <w:r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  <w:t>【完全引用《焊条、焊丝及填充金属》ASME BPVC.II.C-2019中SFA-5.</w:t>
      </w:r>
      <w:r>
        <w:rPr>
          <w:rFonts w:hint="eastAsia" w:ascii="Arial" w:hAnsi="Arial" w:eastAsia="微软雅黑" w:cs="Arial"/>
          <w:sz w:val="24"/>
          <w:szCs w:val="24"/>
          <w:highlight w:val="none"/>
          <w:lang w:val="en-US" w:eastAsia="zh-CN"/>
        </w:rPr>
        <w:t>18</w:t>
      </w:r>
      <w:r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  <w:t>气体保护焊用碳钢焊丝和填充丝标准】</w:t>
      </w:r>
    </w:p>
    <w:p>
      <w:pPr>
        <w:pStyle w:val="7"/>
        <w:spacing w:line="360" w:lineRule="auto"/>
        <w:ind w:left="221" w:right="125" w:firstLine="480"/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</w:pPr>
      <w:r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  <w:t>以下为引用标准中所列条款：</w:t>
      </w:r>
    </w:p>
    <w:p>
      <w:pPr>
        <w:pStyle w:val="7"/>
        <w:numPr>
          <w:ilvl w:val="0"/>
          <w:numId w:val="0"/>
        </w:numPr>
        <w:spacing w:line="360" w:lineRule="auto"/>
        <w:ind w:leftChars="200" w:right="125" w:rightChars="0" w:firstLine="240" w:firstLineChars="100"/>
        <w:jc w:val="left"/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</w:pPr>
      <w:r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  <w:t>a)气体保护焊用碳钢焊丝的化学成分要求符合</w:t>
      </w:r>
      <w:r>
        <w:rPr>
          <w:rFonts w:hint="eastAsia" w:ascii="Arial" w:hAnsi="Arial" w:eastAsia="微软雅黑" w:cs="Arial"/>
          <w:sz w:val="24"/>
          <w:szCs w:val="24"/>
          <w:highlight w:val="none"/>
          <w:lang w:val="en-US" w:eastAsia="zh-CN"/>
        </w:rPr>
        <w:t>ER70S-G</w:t>
      </w:r>
      <w:r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  <w:t>类别。</w:t>
      </w:r>
    </w:p>
    <w:p>
      <w:pPr>
        <w:pStyle w:val="7"/>
        <w:spacing w:line="360" w:lineRule="auto"/>
        <w:ind w:left="0" w:leftChars="0" w:right="125" w:firstLine="0" w:firstLineChars="0"/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</w:pPr>
      <w:r>
        <w:rPr>
          <w:rFonts w:hint="eastAsia" w:ascii="Arial" w:hAnsi="Arial" w:eastAsia="微软雅黑" w:cs="Arial"/>
          <w:sz w:val="24"/>
          <w:szCs w:val="24"/>
          <w:highlight w:val="none"/>
          <w:lang w:val="en-US" w:eastAsia="zh-CN"/>
        </w:rPr>
        <w:t>5.</w:t>
      </w:r>
      <w:r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  <w:t>★</w:t>
      </w:r>
      <w:r>
        <w:rPr>
          <w:rFonts w:hint="eastAsia" w:ascii="Arial" w:hAnsi="Arial" w:eastAsia="微软雅黑" w:cs="Arial"/>
          <w:sz w:val="24"/>
          <w:szCs w:val="24"/>
          <w:highlight w:val="none"/>
          <w:lang w:val="en-US" w:eastAsia="zh-CN"/>
        </w:rPr>
        <w:t>碳钢埋弧焊丝和焊剂\Φ4.0\</w:t>
      </w:r>
      <w:r>
        <w:rPr>
          <w:rFonts w:hint="default" w:ascii="Arial" w:hAnsi="Arial" w:eastAsia="微软雅黑" w:cs="Arial"/>
          <w:sz w:val="24"/>
          <w:szCs w:val="24"/>
          <w:highlight w:val="none"/>
          <w:lang w:val="en-US" w:eastAsia="zh-CN"/>
        </w:rPr>
        <w:t>NB/T 47018.</w:t>
      </w:r>
      <w:r>
        <w:rPr>
          <w:rFonts w:hint="eastAsia" w:ascii="Arial" w:hAnsi="Arial" w:eastAsia="微软雅黑" w:cs="Arial"/>
          <w:sz w:val="24"/>
          <w:szCs w:val="24"/>
          <w:highlight w:val="none"/>
          <w:lang w:val="en-US" w:eastAsia="zh-CN"/>
        </w:rPr>
        <w:t>4 【完全应</w:t>
      </w:r>
      <w:r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  <w:t>用《承压设备用焊接材料订货技术条件第</w:t>
      </w:r>
      <w:r>
        <w:rPr>
          <w:rFonts w:hint="eastAsia" w:ascii="Arial" w:hAnsi="Arial" w:eastAsia="微软雅黑" w:cs="Arial"/>
          <w:sz w:val="24"/>
          <w:szCs w:val="24"/>
          <w:highlight w:val="none"/>
          <w:lang w:val="en-US" w:eastAsia="zh-CN"/>
        </w:rPr>
        <w:t>4部分：埋弧焊钢焊丝和焊剂</w:t>
      </w:r>
      <w:r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  <w:t>》</w:t>
      </w:r>
      <w:r>
        <w:rPr>
          <w:rFonts w:hint="default" w:ascii="Arial" w:hAnsi="Arial" w:eastAsia="微软雅黑" w:cs="Arial"/>
          <w:sz w:val="24"/>
          <w:szCs w:val="24"/>
          <w:highlight w:val="none"/>
          <w:lang w:val="en-US" w:eastAsia="zh-CN"/>
        </w:rPr>
        <w:t>NB/T 47018.</w:t>
      </w:r>
      <w:r>
        <w:rPr>
          <w:rFonts w:hint="eastAsia" w:ascii="Arial" w:hAnsi="Arial" w:eastAsia="微软雅黑" w:cs="Arial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  <w:t>中埋弧焊丝和埋弧焊剂标准】</w:t>
      </w:r>
    </w:p>
    <w:p>
      <w:pPr>
        <w:pStyle w:val="7"/>
        <w:spacing w:line="360" w:lineRule="auto"/>
        <w:ind w:left="221" w:right="125" w:firstLine="480"/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</w:pPr>
      <w:r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  <w:t>以下为引用标准中所列条款：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20" w:firstLineChars="200"/>
        <w:textAlignment w:val="auto"/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</w:pPr>
      <w:r>
        <w:rPr>
          <w:highlight w:val="none"/>
        </w:rPr>
        <w:drawing>
          <wp:inline distT="0" distB="0" distL="114300" distR="114300">
            <wp:extent cx="5272405" cy="1289685"/>
            <wp:effectExtent l="0" t="0" r="444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28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spacing w:line="360" w:lineRule="auto"/>
        <w:ind w:left="0" w:leftChars="0" w:right="125" w:firstLine="0" w:firstLineChars="0"/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</w:pPr>
      <w:r>
        <w:rPr>
          <w:rFonts w:hint="eastAsia" w:ascii="Arial" w:hAnsi="Arial" w:eastAsia="微软雅黑" w:cs="Arial"/>
          <w:b/>
          <w:bCs/>
          <w:kern w:val="44"/>
          <w:sz w:val="30"/>
          <w:szCs w:val="30"/>
          <w:highlight w:val="none"/>
          <w:lang w:val="en-US" w:eastAsia="zh-CN" w:bidi="ar-SA"/>
        </w:rPr>
        <w:t>五、标识、包装、运输和存储</w:t>
      </w:r>
    </w:p>
    <w:p>
      <w:pPr>
        <w:pStyle w:val="7"/>
        <w:spacing w:line="360" w:lineRule="auto"/>
        <w:ind w:left="0" w:leftChars="0" w:right="125" w:firstLine="0" w:firstLineChars="0"/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</w:pPr>
      <w:r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  <w:t>1. 焊材包装上应有生产单位、型号、牌号、执行标准、生产日期等明显标识。</w:t>
      </w:r>
    </w:p>
    <w:p>
      <w:pPr>
        <w:pStyle w:val="7"/>
        <w:spacing w:line="360" w:lineRule="auto"/>
        <w:ind w:left="0" w:leftChars="0" w:right="125" w:firstLine="0" w:firstLineChars="0"/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</w:pPr>
      <w:r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  <w:t>2. 交货焊材的存放、保管，应符合下列规定：</w:t>
      </w:r>
    </w:p>
    <w:p>
      <w:pPr>
        <w:pStyle w:val="7"/>
        <w:spacing w:line="360" w:lineRule="auto"/>
        <w:ind w:left="221" w:right="125" w:firstLine="480"/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</w:pPr>
      <w:r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  <w:t>a.焊材库必须干燥通风，库房内不得放置有害气体和腐蚀性介质；</w:t>
      </w:r>
    </w:p>
    <w:p>
      <w:pPr>
        <w:pStyle w:val="7"/>
        <w:spacing w:line="360" w:lineRule="auto"/>
        <w:ind w:left="0" w:leftChars="0" w:right="125" w:firstLine="720" w:firstLineChars="300"/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</w:pPr>
      <w:r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  <w:t>b.焊材库房内温度不得低于5℃,空气相对湿度不应高于60%;</w:t>
      </w:r>
    </w:p>
    <w:p>
      <w:pPr>
        <w:pStyle w:val="7"/>
        <w:spacing w:line="360" w:lineRule="auto"/>
        <w:ind w:left="221" w:right="125" w:firstLine="480"/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</w:pPr>
      <w:r>
        <w:rPr>
          <w:rFonts w:hint="eastAsia" w:ascii="Arial" w:hAnsi="Arial" w:eastAsia="微软雅黑" w:cs="Arial"/>
          <w:sz w:val="24"/>
          <w:szCs w:val="24"/>
          <w:highlight w:val="none"/>
          <w:lang w:val="en-US" w:eastAsia="zh-CN"/>
        </w:rPr>
        <w:t>c</w:t>
      </w:r>
      <w:r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  <w:t>.焊接材料存放，离开地面和墙壁距离均不得大于300mm,并严防焊材受潮；</w:t>
      </w:r>
    </w:p>
    <w:p>
      <w:pPr>
        <w:pStyle w:val="7"/>
        <w:spacing w:line="360" w:lineRule="auto"/>
        <w:ind w:left="0" w:leftChars="0" w:right="125" w:firstLine="720" w:firstLineChars="300"/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</w:pPr>
      <w:r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  <w:t>d.焊材应按种类、牌号、批号、规格和入库时间分类存放。</w:t>
      </w:r>
    </w:p>
    <w:p>
      <w:pPr>
        <w:spacing w:before="104" w:line="222" w:lineRule="auto"/>
        <w:ind w:left="9"/>
        <w:outlineLvl w:val="1"/>
        <w:rPr>
          <w:rFonts w:ascii="黑体" w:hAnsi="黑体" w:eastAsia="黑体" w:cs="黑体"/>
          <w:sz w:val="32"/>
          <w:szCs w:val="32"/>
          <w:highlight w:val="none"/>
        </w:rPr>
      </w:pPr>
      <w:r>
        <w:rPr>
          <w:rFonts w:hint="eastAsia" w:ascii="Arial" w:hAnsi="Arial" w:eastAsia="微软雅黑" w:cs="Arial"/>
          <w:b/>
          <w:bCs/>
          <w:kern w:val="44"/>
          <w:sz w:val="30"/>
          <w:szCs w:val="30"/>
          <w:highlight w:val="none"/>
          <w:lang w:val="en-US" w:eastAsia="zh-CN" w:bidi="ar-SA"/>
        </w:rPr>
        <w:t>六、技术文件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125" w:firstLine="0" w:firstLineChars="0"/>
        <w:textAlignment w:val="auto"/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</w:pPr>
      <w:r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  <w:t>1. 产品交付技术文件要求：提供焊材最新标准的材质证明、检测报告。</w:t>
      </w:r>
    </w:p>
    <w:p>
      <w:pPr>
        <w:spacing w:before="104" w:line="222" w:lineRule="auto"/>
        <w:ind w:left="9"/>
        <w:outlineLvl w:val="1"/>
        <w:rPr>
          <w:rFonts w:hint="eastAsia" w:ascii="Arial" w:hAnsi="Arial" w:eastAsia="微软雅黑" w:cs="Arial"/>
          <w:b/>
          <w:bCs/>
          <w:kern w:val="44"/>
          <w:sz w:val="30"/>
          <w:szCs w:val="30"/>
          <w:highlight w:val="none"/>
          <w:lang w:val="en-US" w:eastAsia="zh-CN" w:bidi="ar-SA"/>
        </w:rPr>
      </w:pPr>
      <w:r>
        <w:rPr>
          <w:rFonts w:hint="eastAsia" w:ascii="Arial" w:hAnsi="Arial" w:eastAsia="微软雅黑" w:cs="Arial"/>
          <w:b/>
          <w:bCs/>
          <w:kern w:val="44"/>
          <w:sz w:val="30"/>
          <w:szCs w:val="30"/>
          <w:highlight w:val="none"/>
          <w:lang w:val="en-US" w:eastAsia="zh-CN" w:bidi="ar-SA"/>
        </w:rPr>
        <w:t>七、技术服务与售后服务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125" w:firstLine="0" w:firstLineChars="0"/>
        <w:textAlignment w:val="auto"/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</w:pPr>
      <w:r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  <w:t>1. 卖方应及时、有效、准确提供技术服务，及时回复、解决买方提出的与货物有关的技术问题，卖方应对与本合同有关的供货、设备及技术接口、技术资料、技术服务等全部问题负责。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125" w:firstLine="0" w:firstLineChars="0"/>
        <w:textAlignment w:val="auto"/>
        <w:rPr>
          <w:rFonts w:ascii="黑体" w:hAnsi="黑体" w:eastAsia="黑体" w:cs="黑体"/>
          <w:sz w:val="20"/>
          <w:szCs w:val="20"/>
          <w:highlight w:val="none"/>
        </w:rPr>
      </w:pPr>
      <w:r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  <w:t>2. 如果焊材在焊接使用过程中发现质量性能等问题，卖方应根据买方反馈的情况及时提供 对策，在必要时指派服务人员到现场或买方指定的其它地点提供技术服务，若属于货物产 品质量问题厂商须无偿予以更换。</w:t>
      </w:r>
    </w:p>
    <w:p>
      <w:pPr>
        <w:spacing w:before="205" w:line="222" w:lineRule="auto"/>
        <w:ind w:left="9"/>
        <w:outlineLvl w:val="1"/>
        <w:rPr>
          <w:rFonts w:ascii="黑体" w:hAnsi="黑体" w:eastAsia="黑体" w:cs="黑体"/>
          <w:sz w:val="32"/>
          <w:szCs w:val="32"/>
          <w:highlight w:val="none"/>
        </w:rPr>
      </w:pPr>
      <w:r>
        <w:rPr>
          <w:rFonts w:hint="eastAsia" w:ascii="Arial" w:hAnsi="Arial" w:eastAsia="微软雅黑" w:cs="Arial"/>
          <w:b/>
          <w:bCs/>
          <w:kern w:val="44"/>
          <w:sz w:val="30"/>
          <w:szCs w:val="30"/>
          <w:highlight w:val="none"/>
          <w:lang w:val="en-US" w:eastAsia="zh-CN" w:bidi="ar-SA"/>
        </w:rPr>
        <w:t>八、质量保证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125" w:firstLine="0" w:firstLineChars="0"/>
        <w:textAlignment w:val="auto"/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</w:pPr>
      <w:r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  <w:t>1. 货物质保期为一年，从买方最终验收签字生效之日算起，在质保期内实行“三包”服务。 卖方自接到服务通告后，8小时内做出响应；对买方不能自行解决的问题，卖方人员应在24小时内到达用户现场。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125" w:firstLine="0" w:firstLineChars="0"/>
        <w:textAlignment w:val="auto"/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</w:pPr>
      <w:r>
        <w:rPr>
          <w:rFonts w:hint="eastAsia" w:ascii="Arial" w:hAnsi="Arial" w:eastAsia="微软雅黑" w:cs="Arial"/>
          <w:sz w:val="24"/>
          <w:szCs w:val="24"/>
          <w:highlight w:val="none"/>
          <w:lang w:eastAsia="zh-CN"/>
        </w:rPr>
        <w:t>2. 质保期内由于卖方设计、制造、运输、安装及调试原因造成的产品损坏，卖方须无 偿予以更换并重新计算质保期。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125" w:firstLine="0" w:firstLineChars="0"/>
        <w:textAlignment w:val="auto"/>
        <w:rPr>
          <w:rFonts w:hint="eastAsia" w:ascii="Arial" w:hAnsi="Arial" w:eastAsia="微软雅黑" w:cs="Arial"/>
          <w:b/>
          <w:bCs/>
          <w:kern w:val="44"/>
          <w:sz w:val="30"/>
          <w:szCs w:val="30"/>
          <w:lang w:val="en-US" w:eastAsia="zh-CN" w:bidi="ar-SA"/>
        </w:rPr>
      </w:pPr>
      <w:r>
        <w:rPr>
          <w:rFonts w:hint="eastAsia" w:ascii="Arial" w:hAnsi="Arial" w:eastAsia="微软雅黑" w:cs="Arial"/>
          <w:b/>
          <w:bCs/>
          <w:kern w:val="44"/>
          <w:sz w:val="30"/>
          <w:szCs w:val="30"/>
          <w:lang w:val="en-US" w:eastAsia="zh-CN" w:bidi="ar-SA"/>
        </w:rPr>
        <w:t>九、其他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Arial" w:hAnsi="Arial" w:eastAsia="微软雅黑" w:cs="Arial"/>
          <w:sz w:val="24"/>
          <w:szCs w:val="24"/>
          <w:lang w:val="en-US" w:eastAsia="zh-CN" w:bidi="ar-SA"/>
        </w:rPr>
      </w:pPr>
      <w:r>
        <w:rPr>
          <w:rFonts w:hint="eastAsia" w:ascii="Arial" w:hAnsi="Arial" w:eastAsia="微软雅黑" w:cs="Arial"/>
          <w:sz w:val="24"/>
          <w:szCs w:val="24"/>
          <w:lang w:val="en-US" w:eastAsia="zh-CN" w:bidi="ar-SA"/>
        </w:rPr>
        <w:t>1.银行电汇；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Arial" w:hAnsi="Arial" w:eastAsia="微软雅黑" w:cs="Arial"/>
          <w:sz w:val="24"/>
          <w:szCs w:val="24"/>
          <w:lang w:val="en-US" w:eastAsia="zh-CN" w:bidi="ar-SA"/>
        </w:rPr>
      </w:pPr>
      <w:r>
        <w:rPr>
          <w:rFonts w:hint="eastAsia" w:ascii="Arial" w:hAnsi="Arial" w:eastAsia="微软雅黑" w:cs="Arial"/>
          <w:sz w:val="24"/>
          <w:szCs w:val="24"/>
          <w:lang w:val="en-US" w:eastAsia="zh-CN" w:bidi="ar-SA"/>
        </w:rPr>
        <w:t>2.卖方在合同规定的期限内将货物运至交货地点，双方签署到货检验证明。验收合格后，卖方向买方提供有效增值税专用发票区相关支持文件。如果买方对卖方出具的该等发票和提供的相关支持交件无异议，于收到该等发票和相关支持文件之日起四十五（45）日内向卖方支付全部货物价款的100%.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125" w:firstLine="0" w:firstLineChars="0"/>
        <w:textAlignment w:val="auto"/>
        <w:rPr>
          <w:rFonts w:hint="default" w:ascii="Arial" w:hAnsi="Arial" w:eastAsia="微软雅黑" w:cs="Arial"/>
          <w:sz w:val="24"/>
          <w:szCs w:val="24"/>
          <w:lang w:val="en-US"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rial Unicode MS">
    <w:altName w:val="宋体"/>
    <w:panose1 w:val="020B0604020002020204"/>
    <w:charset w:val="86"/>
    <w:family w:val="swiss"/>
    <w:pitch w:val="default"/>
    <w:sig w:usb0="00000000" w:usb1="00000000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uXW5UtAAAAAFAQAADwAAAAAAAAABACAAAAAiAAAAZHJz&#10;L2Rvd25yZXYueG1sUEsBAhQAFAAAAAgAh07iQHVxTJ/TAQAAngMAAA4AAAAAAAAAAQAgAAAAHwEA&#10;AGRycy9lMm9Eb2MueG1sUEsFBgAAAAAGAAYAWQEAAG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7A48F8"/>
    <w:rsid w:val="176F3409"/>
    <w:rsid w:val="1E257A1E"/>
    <w:rsid w:val="1EDE2240"/>
    <w:rsid w:val="45817FF0"/>
    <w:rsid w:val="587A22B3"/>
    <w:rsid w:val="5EEB3412"/>
    <w:rsid w:val="62D5145D"/>
    <w:rsid w:val="74F964A0"/>
    <w:rsid w:val="7C2A0AD7"/>
    <w:rsid w:val="7D5D1FE3"/>
    <w:rsid w:val="BF9E1A0C"/>
    <w:rsid w:val="BFFFBA2A"/>
    <w:rsid w:val="DB7F04D8"/>
    <w:rsid w:val="DDFD549C"/>
    <w:rsid w:val="FBFF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="Calibri" w:hAnsi="Calibri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2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qFormat/>
    <w:uiPriority w:val="1"/>
    <w:pPr>
      <w:spacing w:line="479" w:lineRule="exact"/>
      <w:outlineLvl w:val="1"/>
    </w:pPr>
    <w:rPr>
      <w:rFonts w:ascii="Microsoft YaHei UI" w:hAnsi="Microsoft YaHei UI" w:eastAsia="Microsoft YaHei UI"/>
      <w:spacing w:val="2"/>
      <w:sz w:val="32"/>
      <w:szCs w:val="32"/>
      <w:lang w:eastAsia="zh-CN"/>
    </w:rPr>
  </w:style>
  <w:style w:type="paragraph" w:styleId="4">
    <w:name w:val="heading 3"/>
    <w:basedOn w:val="1"/>
    <w:next w:val="1"/>
    <w:link w:val="25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6"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 w:eastAsia="宋体" w:cs="宋体"/>
      <w:b/>
      <w:bCs/>
      <w:sz w:val="28"/>
      <w:szCs w:val="28"/>
    </w:rPr>
  </w:style>
  <w:style w:type="character" w:default="1" w:styleId="15">
    <w:name w:val="Default Paragraph Font"/>
    <w:qFormat/>
    <w:uiPriority w:val="1"/>
  </w:style>
  <w:style w:type="table" w:default="1" w:styleId="1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link w:val="18"/>
    <w:qFormat/>
    <w:uiPriority w:val="1"/>
    <w:pPr>
      <w:ind w:firstLine="200" w:firstLineChars="200"/>
      <w:jc w:val="both"/>
    </w:pPr>
    <w:rPr>
      <w:rFonts w:ascii="Microsoft YaHei UI" w:hAnsi="Microsoft YaHei UI" w:eastAsia="Microsoft YaHei UI"/>
      <w:sz w:val="21"/>
      <w:szCs w:val="21"/>
    </w:rPr>
  </w:style>
  <w:style w:type="paragraph" w:styleId="8">
    <w:name w:val="toc 3"/>
    <w:basedOn w:val="1"/>
    <w:next w:val="1"/>
    <w:qFormat/>
    <w:uiPriority w:val="39"/>
    <w:pPr>
      <w:widowControl/>
      <w:spacing w:after="100" w:line="259" w:lineRule="auto"/>
      <w:ind w:left="440"/>
    </w:pPr>
    <w:rPr>
      <w:rFonts w:cs="Times New Roman"/>
      <w:lang w:eastAsia="zh-CN"/>
    </w:rPr>
  </w:style>
  <w:style w:type="paragraph" w:styleId="9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link w:val="2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qFormat/>
    <w:uiPriority w:val="39"/>
    <w:pPr>
      <w:widowControl/>
      <w:spacing w:after="100" w:line="259" w:lineRule="auto"/>
    </w:pPr>
    <w:rPr>
      <w:rFonts w:cs="Times New Roman"/>
      <w:lang w:eastAsia="zh-CN"/>
    </w:rPr>
  </w:style>
  <w:style w:type="paragraph" w:styleId="12">
    <w:name w:val="toc 2"/>
    <w:basedOn w:val="1"/>
    <w:next w:val="1"/>
    <w:qFormat/>
    <w:uiPriority w:val="39"/>
    <w:pPr>
      <w:ind w:left="420" w:leftChars="200"/>
    </w:pPr>
  </w:style>
  <w:style w:type="table" w:styleId="14">
    <w:name w:val="Table Grid"/>
    <w:basedOn w:val="1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2 字符"/>
    <w:basedOn w:val="15"/>
    <w:link w:val="3"/>
    <w:qFormat/>
    <w:uiPriority w:val="1"/>
    <w:rPr>
      <w:rFonts w:ascii="Microsoft YaHei UI" w:hAnsi="Microsoft YaHei UI" w:eastAsia="Microsoft YaHei UI"/>
      <w:spacing w:val="2"/>
      <w:kern w:val="0"/>
      <w:sz w:val="32"/>
      <w:szCs w:val="32"/>
    </w:rPr>
  </w:style>
  <w:style w:type="table" w:customStyle="1" w:styleId="17">
    <w:name w:val="Table Normal"/>
    <w:qFormat/>
    <w:uiPriority w:val="2"/>
    <w:pPr>
      <w:widowControl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">
    <w:name w:val="正文文本 字符"/>
    <w:basedOn w:val="15"/>
    <w:link w:val="7"/>
    <w:qFormat/>
    <w:uiPriority w:val="1"/>
    <w:rPr>
      <w:rFonts w:ascii="Microsoft YaHei UI" w:hAnsi="Microsoft YaHei UI" w:eastAsia="Microsoft YaHei UI"/>
      <w:kern w:val="0"/>
      <w:szCs w:val="21"/>
      <w:lang w:eastAsia="en-US"/>
    </w:rPr>
  </w:style>
  <w:style w:type="paragraph" w:customStyle="1" w:styleId="19">
    <w:name w:val="正文_0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0">
    <w:name w:val="Table Paragraph"/>
    <w:basedOn w:val="1"/>
    <w:qFormat/>
    <w:uiPriority w:val="1"/>
  </w:style>
  <w:style w:type="paragraph" w:customStyle="1" w:styleId="21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character" w:customStyle="1" w:styleId="22">
    <w:name w:val="页眉 字符"/>
    <w:basedOn w:val="15"/>
    <w:link w:val="10"/>
    <w:qFormat/>
    <w:uiPriority w:val="99"/>
    <w:rPr>
      <w:kern w:val="0"/>
      <w:sz w:val="18"/>
      <w:szCs w:val="18"/>
      <w:lang w:eastAsia="en-US"/>
    </w:rPr>
  </w:style>
  <w:style w:type="character" w:customStyle="1" w:styleId="23">
    <w:name w:val="页脚 字符"/>
    <w:basedOn w:val="15"/>
    <w:link w:val="9"/>
    <w:qFormat/>
    <w:uiPriority w:val="99"/>
    <w:rPr>
      <w:kern w:val="0"/>
      <w:sz w:val="18"/>
      <w:szCs w:val="18"/>
      <w:lang w:eastAsia="en-US"/>
    </w:rPr>
  </w:style>
  <w:style w:type="paragraph" w:styleId="24">
    <w:name w:val="List Paragraph"/>
    <w:basedOn w:val="1"/>
    <w:qFormat/>
    <w:uiPriority w:val="34"/>
    <w:pPr>
      <w:ind w:firstLine="420" w:firstLineChars="200"/>
      <w:jc w:val="both"/>
    </w:pPr>
    <w:rPr>
      <w:kern w:val="2"/>
      <w:sz w:val="21"/>
      <w:lang w:eastAsia="zh-CN"/>
    </w:rPr>
  </w:style>
  <w:style w:type="character" w:customStyle="1" w:styleId="25">
    <w:name w:val="标题 3 字符"/>
    <w:basedOn w:val="15"/>
    <w:link w:val="4"/>
    <w:qFormat/>
    <w:uiPriority w:val="9"/>
    <w:rPr>
      <w:b/>
      <w:bCs/>
      <w:kern w:val="0"/>
      <w:sz w:val="32"/>
      <w:szCs w:val="32"/>
      <w:lang w:eastAsia="en-US"/>
    </w:rPr>
  </w:style>
  <w:style w:type="character" w:customStyle="1" w:styleId="26">
    <w:name w:val="标题 4 字符"/>
    <w:basedOn w:val="15"/>
    <w:link w:val="5"/>
    <w:qFormat/>
    <w:uiPriority w:val="9"/>
    <w:rPr>
      <w:rFonts w:ascii="Cambria" w:hAnsi="Cambria" w:eastAsia="宋体" w:cs="宋体"/>
      <w:b/>
      <w:bCs/>
      <w:kern w:val="0"/>
      <w:sz w:val="28"/>
      <w:szCs w:val="28"/>
      <w:lang w:eastAsia="en-US"/>
    </w:rPr>
  </w:style>
  <w:style w:type="character" w:customStyle="1" w:styleId="27">
    <w:name w:val="标题 1 字符"/>
    <w:basedOn w:val="15"/>
    <w:link w:val="2"/>
    <w:qFormat/>
    <w:uiPriority w:val="9"/>
    <w:rPr>
      <w:b/>
      <w:bCs/>
      <w:kern w:val="44"/>
      <w:sz w:val="44"/>
      <w:szCs w:val="44"/>
      <w:lang w:eastAsia="en-US"/>
    </w:rPr>
  </w:style>
  <w:style w:type="paragraph" w:customStyle="1" w:styleId="28">
    <w:name w:val="Table Text"/>
    <w:basedOn w:val="1"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2332</Words>
  <Characters>3114</Characters>
  <Paragraphs>141</Paragraphs>
  <TotalTime>24</TotalTime>
  <ScaleCrop>false</ScaleCrop>
  <LinksUpToDate>false</LinksUpToDate>
  <CharactersWithSpaces>3271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2019-09-27T11:31:00Z</dcterms:created>
  <dc:creator>王琴</dc:creator>
  <cp:lastModifiedBy>CNOOC</cp:lastModifiedBy>
  <cp:lastPrinted>2026-06-12T01:36:00Z</cp:lastPrinted>
  <dcterms:modified xsi:type="dcterms:W3CDTF">2026-06-12T06:44:31Z</dcterms:modified>
  <cp:revision>1629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65DCC4ED2119492CB242A71D8D08ADDF</vt:lpwstr>
  </property>
  <property fmtid="{D5CDD505-2E9C-101B-9397-08002B2CF9AE}" pid="4" name="KSOTemplateDocerSaveRecord">
    <vt:lpwstr>eyJoZGlkIjoiMzEwNTM5NzYwMDRjMzkwZTVkZjY2ODkwMGIxNGU0OTUiLCJ1c2VySWQiOiIxNDc1ODgwMjk3In0=</vt:lpwstr>
  </property>
</Properties>
</file>