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9"/>
        <w:rPr>
          <w:rFonts w:hint="eastAsia" w:eastAsiaTheme="minorEastAsia"/>
          <w:color w:val="C00000"/>
          <w:highlight w:val="none"/>
          <w:lang w:eastAsia="zh-CN"/>
        </w:rPr>
      </w:pPr>
      <w:r>
        <w:rPr>
          <w:rFonts w:hint="eastAsia" w:ascii="黑体" w:hAnsi="黑体" w:eastAsia="黑体"/>
          <w:b/>
          <w:color w:val="000000" w:themeColor="text1"/>
          <w:sz w:val="36"/>
          <w:szCs w:val="36"/>
          <w:highlight w:val="none"/>
          <w14:textFill>
            <w14:solidFill>
              <w14:schemeClr w14:val="tx1"/>
            </w14:solidFill>
          </w14:textFill>
        </w:rPr>
        <w:t>供应商承诺</w:t>
      </w:r>
      <w:r>
        <w:rPr>
          <w:rFonts w:hint="eastAsia" w:ascii="黑体" w:hAnsi="黑体" w:eastAsia="黑体"/>
          <w:b/>
          <w:color w:val="000000" w:themeColor="text1"/>
          <w:sz w:val="36"/>
          <w:szCs w:val="36"/>
          <w:highlight w:val="none"/>
          <w:lang w:val="en-US" w:eastAsia="zh-CN"/>
          <w14:textFill>
            <w14:solidFill>
              <w14:schemeClr w14:val="tx1"/>
            </w14:solidFill>
          </w14:textFill>
        </w:rPr>
        <w:t>书</w:t>
      </w:r>
      <w:r>
        <w:rPr>
          <w:rFonts w:hint="eastAsia"/>
          <w:lang w:eastAsia="zh-CN"/>
        </w:rPr>
        <w:t>（</w:t>
      </w:r>
      <w:r>
        <w:rPr>
          <w:rFonts w:hint="eastAsia"/>
          <w:lang w:val="en-US" w:eastAsia="zh-CN"/>
        </w:rPr>
        <w:t>制造商、集成商适用</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中海油能源发展股份有限公司：</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我公司/单位对以下情况经认真核查后确认及承诺如下</w:t>
      </w:r>
      <w:r>
        <w:rPr>
          <w:rFonts w:hint="eastAsia" w:ascii="宋体" w:hAnsi="宋体" w:eastAsia="宋体" w:cs="宋体"/>
          <w:b/>
          <w:bCs/>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经查询</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信用中国”网站（https://www.creditchina.gov.cn/）或</w:t>
      </w:r>
      <w:r>
        <w:rPr>
          <w:rFonts w:hint="eastAsia" w:ascii="宋体" w:hAnsi="宋体" w:eastAsia="宋体" w:cs="宋体"/>
          <w:color w:val="000000" w:themeColor="text1"/>
          <w:sz w:val="21"/>
          <w:szCs w:val="21"/>
          <w:highlight w:val="none"/>
          <w14:textFill>
            <w14:solidFill>
              <w14:schemeClr w14:val="tx1"/>
            </w14:solidFill>
          </w14:textFill>
        </w:rPr>
        <w:t>“中国执行信息公开网”网站（http://zxgk.court.gov.cn/），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被列入失信被执行人名单；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经查询“国家企业信用信息公示系统”（http://www.gsxt.gov.cn），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被列入严重违法失信企业名单</w:t>
      </w:r>
      <w:r>
        <w:rPr>
          <w:rFonts w:hint="eastAsia" w:ascii="宋体" w:hAnsi="宋体" w:eastAsia="宋体" w:cs="宋体"/>
          <w:color w:val="000000" w:themeColor="text1"/>
          <w:sz w:val="21"/>
          <w:szCs w:val="21"/>
          <w:highlight w:val="none"/>
          <w:lang w:eastAsia="zh-CN"/>
          <w14:textFill>
            <w14:solidFill>
              <w14:schemeClr w14:val="tx1"/>
            </w14:solidFill>
          </w14:textFill>
        </w:rPr>
        <w:t>（事业单位、大学除外）</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经查询“中国裁判文书网”（http://wenshu.court.gov.cn），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我公司及法定代表人和拟委任的项目负责人近三年（20**年*月*日-报价截止日前）不</w:t>
      </w:r>
      <w:r>
        <w:rPr>
          <w:rFonts w:hint="eastAsia" w:ascii="宋体" w:hAnsi="宋体" w:eastAsia="宋体" w:cs="宋体"/>
          <w:color w:val="000000" w:themeColor="text1"/>
          <w:sz w:val="21"/>
          <w:szCs w:val="21"/>
          <w:highlight w:val="none"/>
          <w14:textFill>
            <w14:solidFill>
              <w14:schemeClr w14:val="tx1"/>
            </w14:solidFill>
          </w14:textFill>
        </w:rPr>
        <w:t>存在行贿犯罪记录；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我公司与本采购项目其他应答人</w:t>
      </w:r>
      <w:r>
        <w:rPr>
          <w:rFonts w:hint="eastAsia" w:ascii="宋体" w:hAnsi="宋体" w:eastAsia="宋体" w:cs="宋体"/>
          <w:color w:val="000000" w:themeColor="text1"/>
          <w:sz w:val="21"/>
          <w:szCs w:val="21"/>
          <w:highlight w:val="none"/>
          <w:lang w:val="en-US"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存在</w:t>
      </w:r>
      <w:r>
        <w:rPr>
          <w:rFonts w:hint="eastAsia" w:ascii="宋体" w:hAnsi="宋体" w:eastAsia="宋体" w:cs="宋体"/>
          <w:b/>
          <w:bCs/>
          <w:color w:val="000000" w:themeColor="text1"/>
          <w:sz w:val="21"/>
          <w:szCs w:val="21"/>
          <w:highlight w:val="none"/>
          <w:lang w:eastAsia="zh-CN"/>
          <w14:textFill>
            <w14:solidFill>
              <w14:schemeClr w14:val="tx1"/>
            </w14:solidFill>
          </w14:textFill>
        </w:rPr>
        <w:t>控股关系或管理关系</w:t>
      </w:r>
      <w:r>
        <w:rPr>
          <w:rFonts w:hint="eastAsia" w:ascii="宋体" w:hAnsi="宋体" w:eastAsia="宋体" w:cs="宋体"/>
          <w:color w:val="000000" w:themeColor="text1"/>
          <w:sz w:val="21"/>
          <w:szCs w:val="21"/>
          <w:highlight w:val="none"/>
          <w:lang w:eastAsia="zh-CN"/>
          <w14:textFill>
            <w14:solidFill>
              <w14:schemeClr w14:val="tx1"/>
            </w14:solidFill>
          </w14:textFill>
        </w:rPr>
        <w:t>、单位负责人为同一人，同一自然人同时持有两家公司非公开上市股份的情形。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经</w:t>
      </w:r>
      <w:r>
        <w:rPr>
          <w:rFonts w:hint="eastAsia" w:ascii="宋体" w:hAnsi="宋体" w:eastAsia="宋体" w:cs="宋体"/>
          <w:color w:val="000000" w:themeColor="text1"/>
          <w:sz w:val="21"/>
          <w:szCs w:val="21"/>
          <w:highlight w:val="none"/>
          <w:lang w:val="en-US" w:eastAsia="zh-CN"/>
          <w14:textFill>
            <w14:solidFill>
              <w14:schemeClr w14:val="tx1"/>
            </w14:solidFill>
          </w14:textFill>
        </w:rPr>
        <w:t>确认，我公司</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不存在中国海油员工</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（不含中国海油正式派出的）、海油发展离职未满三年的员工在我公司担任股东、法人代表、董事、监事和其他任职人员</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6、我公司如涉及雇用农民工，承诺与农民工签订劳动合同，及时、足额发放工资、缴纳社会保险费用，且不拖欠农民工工资。</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default" w:ascii="宋体" w:hAnsi="宋体" w:eastAsia="宋体" w:cs="宋体"/>
          <w:kern w:val="0"/>
          <w:sz w:val="21"/>
          <w:szCs w:val="21"/>
          <w:highlight w:val="none"/>
          <w:lang w:val="en-US" w:eastAsia="zh-CN" w:bidi="ar-SA"/>
        </w:rPr>
      </w:pPr>
      <w:r>
        <w:rPr>
          <w:rFonts w:hint="eastAsia" w:cs="宋体"/>
          <w:color w:val="000000" w:themeColor="text1"/>
          <w:sz w:val="21"/>
          <w:szCs w:val="21"/>
          <w:highlight w:val="none"/>
          <w:lang w:val="en-US" w:eastAsia="zh-CN"/>
          <w14:textFill>
            <w14:solidFill>
              <w14:schemeClr w14:val="tx1"/>
            </w14:solidFill>
          </w14:textFill>
        </w:rPr>
        <w:t>7、我公司承</w:t>
      </w:r>
      <w:r>
        <w:rPr>
          <w:rFonts w:hint="eastAsia" w:ascii="宋体" w:hAnsi="宋体" w:eastAsia="宋体" w:cs="宋体"/>
          <w:kern w:val="0"/>
          <w:sz w:val="21"/>
          <w:szCs w:val="21"/>
          <w:highlight w:val="none"/>
          <w:lang w:val="en-US" w:eastAsia="zh-CN" w:bidi="ar-SA"/>
        </w:rPr>
        <w:t>诺积极响应国家节能减排和绿色环保政策，切实推进绿色供应链建设。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8、我公司为：□中小微企业；□大型企业；□国有企业、事业单位、大学；□境外或港澳台企业。</w:t>
      </w:r>
    </w:p>
    <w:p>
      <w:pPr>
        <w:pStyle w:val="5"/>
        <w:keepNext w:val="0"/>
        <w:keepLines w:val="0"/>
        <w:pageBreakBefore w:val="0"/>
        <w:widowControl w:val="0"/>
        <w:kinsoku/>
        <w:wordWrap/>
        <w:overflowPunct/>
        <w:topLinePunct w:val="0"/>
        <w:autoSpaceDE/>
        <w:autoSpaceDN/>
        <w:bidi w:val="0"/>
        <w:adjustRightInd/>
        <w:snapToGrid/>
        <w:spacing w:line="360" w:lineRule="auto"/>
        <w:ind w:left="0" w:firstLine="420"/>
        <w:textAlignment w:val="auto"/>
        <w:rPr>
          <w:rFonts w:hint="eastAsia" w:cs="宋体"/>
          <w:b/>
          <w:bCs/>
          <w:color w:val="000000" w:themeColor="text1"/>
          <w:kern w:val="2"/>
          <w:sz w:val="21"/>
          <w:szCs w:val="21"/>
          <w:highlight w:val="none"/>
          <w:lang w:val="en-US" w:eastAsia="zh-CN"/>
          <w14:textFill>
            <w14:solidFill>
              <w14:schemeClr w14:val="tx1"/>
            </w14:solidFill>
          </w14:textFill>
        </w:rPr>
      </w:pPr>
      <w:r>
        <w:rPr>
          <w:rFonts w:hint="eastAsia" w:cs="宋体"/>
          <w:b/>
          <w:bCs/>
          <w:color w:val="000000" w:themeColor="text1"/>
          <w:kern w:val="2"/>
          <w:sz w:val="21"/>
          <w:szCs w:val="21"/>
          <w:highlight w:val="none"/>
          <w:lang w:val="en-US" w:eastAsia="zh-CN"/>
          <w14:textFill>
            <w14:solidFill>
              <w14:schemeClr w14:val="tx1"/>
            </w14:solidFill>
          </w14:textFill>
        </w:rPr>
        <w:t>9、</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我公司此次</w:t>
      </w:r>
      <w:r>
        <w:rPr>
          <w:rFonts w:hint="eastAsia" w:cs="宋体"/>
          <w:b/>
          <w:bCs/>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涉及供应商属性为：□</w:t>
      </w:r>
      <w:r>
        <w:rPr>
          <w:rFonts w:hint="eastAsia" w:cs="宋体"/>
          <w:b/>
          <w:bCs/>
          <w:color w:val="000000" w:themeColor="text1"/>
          <w:sz w:val="21"/>
          <w:szCs w:val="21"/>
          <w:highlight w:val="none"/>
          <w:lang w:val="en-US" w:eastAsia="zh-CN"/>
          <w14:textFill>
            <w14:solidFill>
              <w14:schemeClr w14:val="tx1"/>
            </w14:solidFill>
          </w14:textFill>
        </w:rPr>
        <w:t>制造商；</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w:t>
      </w:r>
      <w:r>
        <w:rPr>
          <w:rFonts w:hint="eastAsia" w:cs="宋体"/>
          <w:b/>
          <w:bCs/>
          <w:color w:val="000000" w:themeColor="text1"/>
          <w:sz w:val="21"/>
          <w:szCs w:val="21"/>
          <w:highlight w:val="none"/>
          <w:lang w:val="en-US" w:eastAsia="zh-CN"/>
          <w14:textFill>
            <w14:solidFill>
              <w14:schemeClr w14:val="tx1"/>
            </w14:solidFill>
          </w14:textFill>
        </w:rPr>
        <w:t>集成商；并按照附件5.8提供属性证明书和相关支持文件</w:t>
      </w:r>
      <w:r>
        <w:rPr>
          <w:rFonts w:hint="eastAsia" w:cs="宋体"/>
          <w:b/>
          <w:bCs/>
          <w:color w:val="000000" w:themeColor="text1"/>
          <w:kern w:val="2"/>
          <w:sz w:val="21"/>
          <w:szCs w:val="21"/>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rPr>
      </w:pPr>
      <w:r>
        <w:rPr>
          <w:rFonts w:hint="eastAsia" w:ascii="宋体" w:hAnsi="宋体" w:eastAsia="宋体" w:cs="宋体"/>
          <w:b/>
          <w:bCs/>
          <w:color w:val="000000" w:themeColor="text1"/>
          <w:sz w:val="21"/>
          <w:szCs w:val="21"/>
          <w:highlight w:val="none"/>
          <w14:textFill>
            <w14:solidFill>
              <w14:schemeClr w14:val="tx1"/>
            </w14:solidFill>
          </w14:textFill>
        </w:rPr>
        <w:t>郑重承诺：</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在</w:t>
      </w:r>
      <w:r>
        <w:rPr>
          <w:rFonts w:hint="eastAsia" w:ascii="宋体" w:hAnsi="宋体" w:eastAsia="宋体" w:cs="宋体"/>
          <w:color w:val="000000" w:themeColor="text1"/>
          <w:sz w:val="21"/>
          <w:szCs w:val="21"/>
          <w:highlight w:val="none"/>
          <w:lang w:val="en-US" w:eastAsia="zh-CN"/>
          <w14:textFill>
            <w14:solidFill>
              <w14:schemeClr w14:val="tx1"/>
            </w14:solidFill>
          </w14:textFill>
        </w:rPr>
        <w:t>本次</w:t>
      </w:r>
      <w:r>
        <w:rPr>
          <w:rFonts w:hint="eastAsia" w:ascii="宋体" w:hAnsi="宋体" w:eastAsia="宋体" w:cs="宋体"/>
          <w:color w:val="000000" w:themeColor="text1"/>
          <w:sz w:val="21"/>
          <w:szCs w:val="21"/>
          <w:highlight w:val="none"/>
          <w14:textFill>
            <w14:solidFill>
              <w14:schemeClr w14:val="tx1"/>
            </w14:solidFill>
          </w14:textFill>
        </w:rPr>
        <w:t>采办项目中</w:t>
      </w:r>
      <w:r>
        <w:rPr>
          <w:rFonts w:hint="eastAsia" w:ascii="宋体" w:hAnsi="宋体" w:eastAsia="宋体" w:cs="宋体"/>
          <w:color w:val="000000" w:themeColor="text1"/>
          <w:sz w:val="21"/>
          <w:szCs w:val="21"/>
          <w:highlight w:val="none"/>
          <w:lang w:val="en-US" w:eastAsia="zh-CN"/>
          <w14:textFill>
            <w14:solidFill>
              <w14:schemeClr w14:val="tx1"/>
            </w14:solidFill>
          </w14:textFill>
        </w:rPr>
        <w:t>将严格遵守法律法规和中国海油各项管理要求</w:t>
      </w:r>
      <w:r>
        <w:rPr>
          <w:rFonts w:hint="eastAsia" w:ascii="宋体" w:hAnsi="宋体" w:eastAsia="宋体" w:cs="宋体"/>
          <w:color w:val="000000" w:themeColor="text1"/>
          <w:sz w:val="21"/>
          <w:szCs w:val="21"/>
          <w:highlight w:val="none"/>
          <w14:textFill>
            <w14:solidFill>
              <w14:schemeClr w14:val="tx1"/>
            </w14:solidFill>
          </w14:textFill>
        </w:rPr>
        <w:t>，不发生关联公司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共同</w:t>
      </w:r>
      <w:r>
        <w:rPr>
          <w:rFonts w:hint="eastAsia" w:ascii="宋体" w:hAnsi="宋体" w:eastAsia="宋体" w:cs="宋体"/>
          <w:color w:val="000000" w:themeColor="text1"/>
          <w:sz w:val="21"/>
          <w:szCs w:val="21"/>
          <w:highlight w:val="none"/>
          <w14:textFill>
            <w14:solidFill>
              <w14:schemeClr w14:val="tx1"/>
            </w14:solidFill>
          </w14:textFill>
        </w:rPr>
        <w:t>参与</w:t>
      </w:r>
      <w:r>
        <w:rPr>
          <w:rFonts w:hint="eastAsia" w:ascii="宋体" w:hAnsi="宋体" w:eastAsia="宋体" w:cs="宋体"/>
          <w:color w:val="000000" w:themeColor="text1"/>
          <w:sz w:val="21"/>
          <w:szCs w:val="21"/>
          <w:highlight w:val="none"/>
          <w:lang w:val="en-US" w:eastAsia="zh-CN"/>
          <w14:textFill>
            <w14:solidFill>
              <w14:schemeClr w14:val="tx1"/>
            </w14:solidFill>
          </w14:textFill>
        </w:rPr>
        <w:t>采办</w:t>
      </w:r>
      <w:r>
        <w:rPr>
          <w:rFonts w:hint="eastAsia" w:ascii="宋体" w:hAnsi="宋体" w:eastAsia="宋体" w:cs="宋体"/>
          <w:color w:val="000000" w:themeColor="text1"/>
          <w:sz w:val="21"/>
          <w:szCs w:val="21"/>
          <w:highlight w:val="none"/>
          <w14:textFill>
            <w14:solidFill>
              <w14:schemeClr w14:val="tx1"/>
            </w14:solidFill>
          </w14:textFill>
        </w:rPr>
        <w:t>竞争情况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不发生围标串标情况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我公司所提供信息真实、准确、合法、有效，不存在为规避中海油能源发展股份有限公司（简称“海油发展”）有关要求采取的变通行为</w:t>
      </w:r>
      <w:r>
        <w:rPr>
          <w:rFonts w:hint="eastAsia" w:ascii="宋体" w:hAnsi="宋体" w:eastAsia="宋体" w:cs="宋体"/>
          <w:color w:val="000000" w:themeColor="text1"/>
          <w:sz w:val="21"/>
          <w:szCs w:val="21"/>
          <w:highlight w:val="none"/>
          <w:lang w:eastAsia="zh-CN"/>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lang w:eastAsia="zh-CN"/>
          <w14:textFill>
            <w14:solidFill>
              <w14:schemeClr w14:val="tx1"/>
            </w14:solidFill>
          </w14:textFill>
        </w:rPr>
        <w:t>将严格遵守国家相关法律法规</w:t>
      </w:r>
      <w:r>
        <w:rPr>
          <w:rFonts w:hint="eastAsia" w:ascii="宋体" w:hAnsi="宋体" w:eastAsia="宋体" w:cs="宋体"/>
          <w:color w:val="000000" w:themeColor="text1"/>
          <w:sz w:val="21"/>
          <w:szCs w:val="21"/>
          <w:highlight w:val="none"/>
          <w:lang w:val="en-US"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lang w:eastAsia="zh-CN"/>
          <w14:textFill>
            <w14:solidFill>
              <w14:schemeClr w14:val="tx1"/>
            </w14:solidFill>
          </w14:textFill>
        </w:rPr>
        <w:t>对供应商管理</w:t>
      </w:r>
      <w:r>
        <w:rPr>
          <w:rFonts w:hint="eastAsia" w:ascii="宋体" w:hAnsi="宋体" w:eastAsia="宋体" w:cs="宋体"/>
          <w:color w:val="000000" w:themeColor="text1"/>
          <w:sz w:val="21"/>
          <w:szCs w:val="21"/>
          <w:highlight w:val="none"/>
          <w:lang w:val="en-US" w:eastAsia="zh-CN"/>
          <w14:textFill>
            <w14:solidFill>
              <w14:schemeClr w14:val="tx1"/>
            </w14:solidFill>
          </w14:textFill>
        </w:rPr>
        <w:t>及准入时效</w:t>
      </w:r>
      <w:r>
        <w:rPr>
          <w:rFonts w:hint="eastAsia" w:ascii="宋体" w:hAnsi="宋体" w:eastAsia="宋体" w:cs="宋体"/>
          <w:color w:val="000000" w:themeColor="text1"/>
          <w:sz w:val="21"/>
          <w:szCs w:val="21"/>
          <w:highlight w:val="none"/>
          <w:lang w:eastAsia="zh-CN"/>
          <w14:textFill>
            <w14:solidFill>
              <w14:schemeClr w14:val="tx1"/>
            </w14:solidFill>
          </w14:textFill>
        </w:rPr>
        <w:t>的要求，</w:t>
      </w:r>
      <w:r>
        <w:rPr>
          <w:rFonts w:hint="eastAsia" w:ascii="宋体" w:hAnsi="宋体" w:eastAsia="宋体" w:cs="宋体"/>
          <w:color w:val="000000" w:themeColor="text1"/>
          <w:sz w:val="21"/>
          <w:szCs w:val="21"/>
          <w:highlight w:val="none"/>
          <w14:textFill>
            <w14:solidFill>
              <w14:schemeClr w14:val="tx1"/>
            </w14:solidFill>
          </w14:textFill>
        </w:rPr>
        <w:t>无条件接</w:t>
      </w:r>
      <w:r>
        <w:rPr>
          <w:rFonts w:hint="eastAsia" w:ascii="宋体" w:hAnsi="宋体" w:eastAsia="宋体" w:cs="宋体"/>
          <w:color w:val="000000" w:themeColor="text1"/>
          <w:sz w:val="21"/>
          <w:szCs w:val="21"/>
          <w:highlight w:val="none"/>
          <w:lang w:val="en-US" w:eastAsia="zh-CN"/>
          <w14:textFill>
            <w14:solidFill>
              <w14:schemeClr w14:val="tx1"/>
            </w14:solidFill>
          </w14:textFill>
        </w:rPr>
        <w:t>受</w:t>
      </w:r>
      <w:r>
        <w:rPr>
          <w:rFonts w:hint="eastAsia" w:ascii="宋体" w:hAnsi="宋体" w:eastAsia="宋体" w:cs="宋体"/>
          <w:color w:val="000000" w:themeColor="text1"/>
          <w:sz w:val="21"/>
          <w:szCs w:val="21"/>
          <w:highlight w:val="none"/>
          <w14:textFill>
            <w14:solidFill>
              <w14:schemeClr w14:val="tx1"/>
            </w14:solidFill>
          </w14:textFill>
        </w:rPr>
        <w:t>和配合海油发展或海油发展委托的有关机构进行的与上述内容相关的</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现场考察、核查与审计</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若现场考察、核查与审计发现本供应商承诺内容与实际情况存在实质性偏差，采购人有权取消我公司/单位成交资格并按照</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进行处理。</w:t>
      </w:r>
      <w:r>
        <w:rPr>
          <w:rFonts w:hint="eastAsia" w:ascii="宋体" w:hAnsi="宋体" w:eastAsia="宋体" w:cs="宋体"/>
          <w:color w:val="000000" w:themeColor="text1"/>
          <w:sz w:val="21"/>
          <w:szCs w:val="21"/>
          <w:highlight w:val="none"/>
          <w14:textFill>
            <w14:solidFill>
              <w14:schemeClr w14:val="tx1"/>
            </w14:solidFill>
          </w14:textFill>
        </w:rPr>
        <w:t>上述</w:t>
      </w:r>
      <w:r>
        <w:rPr>
          <w:rFonts w:hint="eastAsia" w:ascii="宋体" w:hAnsi="宋体" w:eastAsia="宋体" w:cs="宋体"/>
          <w:color w:val="000000" w:themeColor="text1"/>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sz w:val="21"/>
          <w:szCs w:val="21"/>
          <w:highlight w:val="none"/>
          <w14:textFill>
            <w14:solidFill>
              <w14:schemeClr w14:val="tx1"/>
            </w14:solidFill>
          </w14:textFill>
        </w:rPr>
        <w:t>信息如有虚假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不实或在中标后违反，</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将承担相关责任，并按照</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无条件</w:t>
      </w:r>
      <w:r>
        <w:rPr>
          <w:rFonts w:hint="eastAsia" w:ascii="宋体" w:hAnsi="宋体" w:eastAsia="宋体" w:cs="宋体"/>
          <w:color w:val="000000" w:themeColor="text1"/>
          <w:sz w:val="21"/>
          <w:szCs w:val="21"/>
          <w:highlight w:val="none"/>
          <w14:textFill>
            <w14:solidFill>
              <w14:schemeClr w14:val="tx1"/>
            </w14:solidFill>
          </w14:textFill>
        </w:rPr>
        <w:t>接受处</w:t>
      </w:r>
      <w:r>
        <w:rPr>
          <w:rFonts w:hint="eastAsia" w:ascii="宋体" w:hAnsi="宋体" w:eastAsia="宋体" w:cs="宋体"/>
          <w:color w:val="000000" w:themeColor="text1"/>
          <w:sz w:val="21"/>
          <w:szCs w:val="21"/>
          <w:highlight w:val="none"/>
          <w:lang w:val="en-US"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540"/>
        <w:jc w:val="center"/>
        <w:textAlignment w:val="auto"/>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（公司/单位盖章）</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年    月    日</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CD20B2"/>
    <w:multiLevelType w:val="multilevel"/>
    <w:tmpl w:val="20CD20B2"/>
    <w:lvl w:ilvl="0" w:tentative="0">
      <w:start w:val="1"/>
      <w:numFmt w:val="decimal"/>
      <w:pStyle w:val="4"/>
      <w:lvlText w:val="%1"/>
      <w:lvlJc w:val="left"/>
      <w:pPr>
        <w:ind w:left="0" w:firstLine="0"/>
      </w:pPr>
      <w:rPr>
        <w:rFonts w:hint="default" w:ascii="Times New Roman" w:hAnsi="Times New Roman" w:eastAsia="黑体" w:cs="Times New Roman"/>
        <w:color w:val="000000"/>
      </w:rPr>
    </w:lvl>
    <w:lvl w:ilvl="1" w:tentative="0">
      <w:start w:val="1"/>
      <w:numFmt w:val="decimal"/>
      <w:lvlText w:val="%1.%2"/>
      <w:lvlJc w:val="left"/>
      <w:pPr>
        <w:ind w:left="-31" w:firstLine="315"/>
      </w:pPr>
      <w:rPr>
        <w:rFonts w:hint="default" w:ascii="Times New Roman" w:hAnsi="Times New Roman" w:eastAsia="黑体" w:cs="Times New Roman"/>
        <w:b w:val="0"/>
        <w:bCs w:val="0"/>
        <w:i w:val="0"/>
        <w:iCs w:val="0"/>
        <w:caps w:val="0"/>
        <w:smallCaps w:val="0"/>
        <w:strike w:val="0"/>
        <w:dstrike w:val="0"/>
        <w:snapToGrid w:val="0"/>
        <w:vanish w:val="0"/>
        <w:color w:val="000000"/>
        <w:spacing w:val="0"/>
        <w:w w:val="0"/>
        <w:kern w:val="0"/>
        <w:position w:val="0"/>
        <w:sz w:val="24"/>
        <w:szCs w:val="24"/>
        <w:u w:val="none" w:color="000000"/>
        <w:shd w:val="clear" w:color="000000" w:fill="000000"/>
        <w:vertAlign w:val="baseline"/>
        <w:lang w:val="zh-CN" w:eastAsia="zh-CN" w:bidi="zh-CN"/>
      </w:rPr>
    </w:lvl>
    <w:lvl w:ilvl="2" w:tentative="0">
      <w:start w:val="1"/>
      <w:numFmt w:val="decimal"/>
      <w:lvlText w:val="%1.%2.%3"/>
      <w:lvlJc w:val="left"/>
      <w:pPr>
        <w:ind w:left="-142" w:firstLine="0"/>
      </w:pPr>
      <w:rPr>
        <w:rFonts w:hint="default" w:ascii="Times New Roman" w:hAnsi="Times New Roman" w:eastAsia="黑体" w:cs="Times New Roman"/>
        <w:b w:val="0"/>
        <w:bCs w:val="0"/>
        <w:i w:val="0"/>
        <w:iCs w:val="0"/>
        <w:caps w:val="0"/>
        <w:smallCaps w:val="0"/>
        <w:strike w:val="0"/>
        <w:dstrike w:val="0"/>
        <w:snapToGrid w:val="0"/>
        <w:vanish w:val="0"/>
        <w:color w:val="000000"/>
        <w:spacing w:val="0"/>
        <w:w w:val="0"/>
        <w:kern w:val="0"/>
        <w:position w:val="0"/>
        <w:sz w:val="24"/>
        <w:szCs w:val="24"/>
        <w:u w:val="none" w:color="000000"/>
        <w:shd w:val="clear" w:color="000000" w:fill="000000"/>
        <w:vertAlign w:val="baseline"/>
        <w:lang w:val="zh-CN" w:eastAsia="zh-CN" w:bidi="zh-CN"/>
      </w:rPr>
    </w:lvl>
    <w:lvl w:ilvl="3" w:tentative="0">
      <w:start w:val="1"/>
      <w:numFmt w:val="decimal"/>
      <w:lvlText w:val="%1.%2.%3.%4."/>
      <w:lvlJc w:val="left"/>
      <w:pPr>
        <w:ind w:left="-37" w:firstLine="0"/>
      </w:pPr>
      <w:rPr>
        <w:rFonts w:hint="eastAsia" w:ascii="黑体" w:hAnsi="黑体" w:eastAsia="黑体"/>
      </w:rPr>
    </w:lvl>
    <w:lvl w:ilvl="4" w:tentative="0">
      <w:start w:val="1"/>
      <w:numFmt w:val="decimal"/>
      <w:lvlText w:val="%1.%2.%3.%4.%5."/>
      <w:lvlJc w:val="left"/>
      <w:pPr>
        <w:ind w:left="-142" w:firstLine="0"/>
      </w:pPr>
      <w:rPr>
        <w:rFonts w:hint="eastAsia"/>
      </w:rPr>
    </w:lvl>
    <w:lvl w:ilvl="5" w:tentative="0">
      <w:start w:val="1"/>
      <w:numFmt w:val="decimal"/>
      <w:lvlText w:val="%1.%2.%3.%4.%5.%6."/>
      <w:lvlJc w:val="left"/>
      <w:pPr>
        <w:ind w:left="-142" w:firstLine="0"/>
      </w:pPr>
      <w:rPr>
        <w:rFonts w:hint="eastAsia"/>
      </w:rPr>
    </w:lvl>
    <w:lvl w:ilvl="6" w:tentative="0">
      <w:start w:val="1"/>
      <w:numFmt w:val="decimal"/>
      <w:lvlText w:val="%1.%2.%3.%4.%5.%6.%7."/>
      <w:lvlJc w:val="left"/>
      <w:pPr>
        <w:ind w:left="-142" w:firstLine="0"/>
      </w:pPr>
      <w:rPr>
        <w:rFonts w:hint="eastAsia"/>
      </w:rPr>
    </w:lvl>
    <w:lvl w:ilvl="7" w:tentative="0">
      <w:start w:val="1"/>
      <w:numFmt w:val="decimal"/>
      <w:lvlText w:val="%1.%2.%3.%4.%5.%6.%7.%8."/>
      <w:lvlJc w:val="left"/>
      <w:pPr>
        <w:ind w:left="-142" w:firstLine="0"/>
      </w:pPr>
      <w:rPr>
        <w:rFonts w:hint="eastAsia"/>
      </w:rPr>
    </w:lvl>
    <w:lvl w:ilvl="8" w:tentative="0">
      <w:start w:val="1"/>
      <w:numFmt w:val="decimal"/>
      <w:lvlText w:val="%1.%2.%3.%4.%5.%6.%7.%8.%9."/>
      <w:lvlJc w:val="left"/>
      <w:pPr>
        <w:ind w:left="-142"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21313"/>
    <w:rsid w:val="0A5D485C"/>
    <w:rsid w:val="4A921313"/>
    <w:rsid w:val="63141A79"/>
    <w:rsid w:val="73C769B7"/>
    <w:rsid w:val="74C56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0"/>
    <w:pPr>
      <w:widowControl w:val="0"/>
      <w:numPr>
        <w:ilvl w:val="0"/>
        <w:numId w:val="1"/>
      </w:numPr>
      <w:spacing w:line="360" w:lineRule="auto"/>
      <w:outlineLvl w:val="0"/>
    </w:pPr>
    <w:rPr>
      <w:rFonts w:ascii="Times New Roman" w:hAnsi="Times New Roman" w:eastAsia="黑体" w:cs="Times New Roman"/>
      <w:bCs/>
      <w:kern w:val="44"/>
      <w:szCs w:val="44"/>
      <w:lang w:val="zh-CN"/>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snapToGrid w:val="0"/>
      <w:jc w:val="left"/>
    </w:pPr>
    <w:rPr>
      <w:sz w:val="18"/>
      <w:szCs w:val="18"/>
    </w:rPr>
  </w:style>
  <w:style w:type="paragraph" w:styleId="3">
    <w:name w:val="Normal Indent"/>
    <w:basedOn w:val="1"/>
    <w:next w:val="1"/>
    <w:qFormat/>
    <w:uiPriority w:val="0"/>
    <w:pPr>
      <w:ind w:firstLine="420" w:firstLineChars="200"/>
    </w:pPr>
    <w:rPr>
      <w:rFonts w:ascii="Times New Roman" w:hAnsi="Times New Roman"/>
      <w:szCs w:val="24"/>
    </w:rPr>
  </w:style>
  <w:style w:type="paragraph" w:styleId="5">
    <w:name w:val="Body Text"/>
    <w:basedOn w:val="1"/>
    <w:next w:val="1"/>
    <w:qFormat/>
    <w:uiPriority w:val="1"/>
    <w:pPr>
      <w:spacing w:line="360" w:lineRule="exact"/>
      <w:ind w:firstLine="200" w:firstLineChars="200"/>
    </w:pPr>
    <w:rPr>
      <w:rFonts w:ascii="Microsoft YaHei UI" w:hAnsi="Microsoft YaHei UI"/>
      <w:sz w:val="21"/>
      <w:szCs w:val="21"/>
    </w:rPr>
  </w:style>
  <w:style w:type="paragraph" w:styleId="6">
    <w:name w:val="Plain Text"/>
    <w:basedOn w:val="1"/>
    <w:qFormat/>
    <w:uiPriority w:val="0"/>
    <w:pPr>
      <w:keepNext w:val="0"/>
    </w:pPr>
    <w:rPr>
      <w:rFonts w:ascii="宋体" w:hAnsi="Courier New" w:eastAsia="宋体" w:cs="Courier New"/>
      <w:szCs w:val="21"/>
    </w:rPr>
  </w:style>
  <w:style w:type="paragraph" w:customStyle="1" w:styleId="9">
    <w:name w:val="Normal_16"/>
    <w:qFormat/>
    <w:uiPriority w:val="0"/>
    <w:rPr>
      <w:rFonts w:ascii="Times New Roman" w:hAnsi="Times New Roman" w:eastAsia="Times New Roman" w:cs="Times New Roman"/>
      <w:sz w:val="24"/>
      <w:szCs w:val="24"/>
      <w:lang w:val="en-US" w:eastAsia="en-US" w:bidi="ar-SA"/>
    </w:rPr>
  </w:style>
  <w:style w:type="paragraph" w:styleId="10">
    <w:name w:val="List Paragraph"/>
    <w:basedOn w:val="1"/>
    <w:qFormat/>
    <w:uiPriority w:val="34"/>
    <w:pPr>
      <w:widowControl/>
      <w:ind w:firstLine="420"/>
    </w:pPr>
    <w:rPr>
      <w:rFonts w:ascii="Calibri" w:hAnsi="Calibri" w:eastAsia="宋体" w:cs="Calibri"/>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2025-04-28T01:39:00Z</dcterms:created>
  <dc:creator>Administrator</dc:creator>
  <cp:lastModifiedBy>戴群俐</cp:lastModifiedBy>
  <dcterms:modified xsi:type="dcterms:W3CDTF">2026-01-12T02:33:43Z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C73BA382C4674B74B942955E5A528A19</vt:lpwstr>
  </property>
</Properties>
</file>