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2"/>
        </w:tabs>
        <w:spacing w:line="360" w:lineRule="auto"/>
        <w:ind w:firstLine="420" w:firstLineChars="200"/>
        <w:rPr>
          <w:rFonts w:ascii="宋体" w:hAnsi="宋体" w:eastAsia="宋体"/>
          <w:sz w:val="21"/>
          <w:lang w:eastAsia="zh-CN"/>
        </w:rPr>
      </w:pPr>
      <w:permStart w:id="0" w:edGrp="everyone"/>
    </w:p>
    <w:p>
      <w:pPr>
        <w:shd w:val="clear" w:color="000000" w:fill="auto"/>
        <w:wordWrap w:val="0"/>
        <w:adjustRightInd w:val="0"/>
        <w:snapToGrid w:val="0"/>
        <w:spacing w:line="360" w:lineRule="auto"/>
        <w:jc w:val="center"/>
        <w:outlineLvl w:val="0"/>
        <w:rPr>
          <w:rFonts w:ascii="黑体" w:hAnsi="黑体" w:eastAsia="黑体" w:cs="Times New Roman"/>
          <w:sz w:val="36"/>
          <w:szCs w:val="36"/>
          <w:lang w:eastAsia="zh-CN"/>
        </w:rPr>
      </w:pPr>
      <w:bookmarkStart w:id="0" w:name="_Toc256000044"/>
      <w:bookmarkStart w:id="1" w:name="import_20230326223451234_0"/>
      <w:r>
        <w:rPr>
          <w:rFonts w:hint="eastAsia" w:ascii="黑体" w:hAnsi="黑体" w:eastAsia="黑体" w:cs="Times New Roman"/>
          <w:sz w:val="36"/>
          <w:szCs w:val="36"/>
          <w:lang w:eastAsia="zh-CN"/>
        </w:rPr>
        <w:t xml:space="preserve">  供货</w:t>
      </w:r>
      <w:r>
        <w:rPr>
          <w:rFonts w:ascii="黑体" w:hAnsi="黑体" w:eastAsia="黑体" w:cs="Times New Roman"/>
          <w:sz w:val="36"/>
          <w:szCs w:val="36"/>
          <w:lang w:eastAsia="zh-CN"/>
        </w:rPr>
        <w:t>要求</w:t>
      </w:r>
      <w:bookmarkEnd w:id="0"/>
    </w:p>
    <w:p>
      <w:pPr>
        <w:adjustRightInd w:val="0"/>
        <w:snapToGrid w:val="0"/>
        <w:spacing w:before="120" w:beforeLines="50" w:line="312" w:lineRule="auto"/>
        <w:jc w:val="center"/>
        <w:rPr>
          <w:rFonts w:ascii="Times New Roman" w:hAnsi="Times New Roman" w:eastAsia="宋体" w:cs="Times New Roman"/>
          <w:sz w:val="24"/>
          <w:szCs w:val="24"/>
          <w:lang w:eastAsia="zh-CN"/>
        </w:rPr>
      </w:pPr>
    </w:p>
    <w:p>
      <w:pPr>
        <w:adjustRightInd w:val="0"/>
        <w:snapToGrid w:val="0"/>
        <w:spacing w:before="120" w:beforeLines="50" w:line="312" w:lineRule="auto"/>
        <w:outlineLvl w:val="1"/>
        <w:rPr>
          <w:rFonts w:ascii="Times New Roman" w:hAnsi="Times New Roman" w:eastAsia="宋体" w:cs="Times New Roman"/>
          <w:b/>
          <w:sz w:val="24"/>
          <w:szCs w:val="24"/>
          <w:lang w:eastAsia="zh-CN"/>
        </w:rPr>
      </w:pPr>
      <w:bookmarkStart w:id="2" w:name="_Toc256000045"/>
      <w:r>
        <w:rPr>
          <w:rFonts w:ascii="Times New Roman" w:hAnsi="Times New Roman" w:eastAsia="宋体" w:cs="Times New Roman"/>
          <w:b/>
          <w:sz w:val="24"/>
          <w:szCs w:val="24"/>
          <w:lang w:eastAsia="zh-CN"/>
        </w:rPr>
        <w:t>一、项目简介</w:t>
      </w:r>
      <w:bookmarkEnd w:id="2"/>
      <w:bookmarkStart w:id="16" w:name="_GoBack"/>
      <w:bookmarkEnd w:id="16"/>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中海广东天然气有限责任公司及下述的中海油珠海天然气有限责任责任公司</w:t>
      </w:r>
      <w:r>
        <w:rPr>
          <w:rFonts w:ascii="Times New Roman" w:hAnsi="Times New Roman" w:eastAsia="宋体" w:cs="Times New Roman"/>
          <w:sz w:val="24"/>
          <w:szCs w:val="24"/>
          <w:lang w:eastAsia="zh-CN"/>
        </w:rPr>
        <w:t>分布在</w:t>
      </w:r>
      <w:r>
        <w:rPr>
          <w:rFonts w:hint="default" w:ascii="Times New Roman" w:hAnsi="Times New Roman" w:eastAsia="宋体" w:cs="Times New Roman"/>
          <w:sz w:val="24"/>
          <w:szCs w:val="24"/>
          <w:u w:val="none"/>
          <w:lang w:val="en-US" w:eastAsia="zh-CN"/>
        </w:rPr>
        <w:t>广东省珠海市、中山市各</w:t>
      </w:r>
      <w:r>
        <w:rPr>
          <w:rFonts w:ascii="Times New Roman" w:hAnsi="Times New Roman" w:eastAsia="宋体" w:cs="Times New Roman"/>
          <w:sz w:val="24"/>
          <w:szCs w:val="24"/>
          <w:lang w:eastAsia="zh-CN"/>
        </w:rPr>
        <w:t>区域，分布具有点多、面广的特点，为满足所属单位安全、新鲜、优质的食材以及高效的配送服务需求进行餐饮食材等物资配送服务招标，合同由</w:t>
      </w:r>
      <w:r>
        <w:rPr>
          <w:rFonts w:hint="default" w:ascii="Times New Roman" w:hAnsi="Times New Roman" w:eastAsia="宋体" w:cs="Times New Roman"/>
          <w:sz w:val="24"/>
          <w:szCs w:val="24"/>
          <w:u w:val="none"/>
          <w:lang w:eastAsia="zh-CN"/>
        </w:rPr>
        <w:t>中海</w:t>
      </w:r>
      <w:r>
        <w:rPr>
          <w:rFonts w:hint="default" w:ascii="Times New Roman" w:hAnsi="Times New Roman" w:eastAsia="宋体" w:cs="Times New Roman"/>
          <w:sz w:val="24"/>
          <w:szCs w:val="24"/>
          <w:u w:val="none"/>
          <w:lang w:val="en-US" w:eastAsia="zh-CN"/>
        </w:rPr>
        <w:t>广东天然气</w:t>
      </w:r>
      <w:r>
        <w:rPr>
          <w:rFonts w:hint="default" w:ascii="Times New Roman" w:hAnsi="Times New Roman" w:eastAsia="宋体" w:cs="Times New Roman"/>
          <w:sz w:val="24"/>
          <w:szCs w:val="24"/>
          <w:u w:val="none"/>
          <w:lang w:eastAsia="zh-CN"/>
        </w:rPr>
        <w:t>有限责任公司</w:t>
      </w:r>
      <w:r>
        <w:rPr>
          <w:rFonts w:hint="default" w:ascii="Times New Roman" w:hAnsi="Times New Roman" w:eastAsia="宋体" w:cs="Times New Roman"/>
          <w:sz w:val="24"/>
          <w:szCs w:val="24"/>
          <w:u w:val="none"/>
          <w:lang w:val="en-US" w:eastAsia="zh-CN"/>
        </w:rPr>
        <w:t>与下</w:t>
      </w:r>
      <w:r>
        <w:rPr>
          <w:rFonts w:hint="default" w:ascii="Times New Roman" w:hAnsi="Times New Roman" w:eastAsia="宋体" w:cs="Times New Roman"/>
          <w:sz w:val="24"/>
          <w:szCs w:val="24"/>
          <w:u w:val="none"/>
          <w:lang w:eastAsia="zh-CN"/>
        </w:rPr>
        <w:t>属单位</w:t>
      </w:r>
      <w:r>
        <w:rPr>
          <w:rFonts w:ascii="Times New Roman" w:hAnsi="Times New Roman" w:eastAsia="宋体" w:cs="Times New Roman"/>
          <w:sz w:val="24"/>
          <w:szCs w:val="24"/>
          <w:lang w:eastAsia="zh-CN"/>
        </w:rPr>
        <w:t>（以下简称甲方</w:t>
      </w:r>
      <w:r>
        <w:rPr>
          <w:rFonts w:hint="eastAsia" w:ascii="Calibri" w:hAnsi="Calibri" w:eastAsia="宋体" w:cs="Times New Roman"/>
          <w:sz w:val="24"/>
          <w:szCs w:val="24"/>
          <w:lang w:eastAsia="zh-CN"/>
        </w:rPr>
        <w:t>，</w:t>
      </w:r>
      <w:r>
        <w:rPr>
          <w:rFonts w:hint="eastAsia" w:ascii="Times New Roman" w:hAnsi="Times New Roman" w:eastAsia="宋体" w:cs="Times New Roman"/>
          <w:sz w:val="24"/>
          <w:szCs w:val="24"/>
          <w:lang w:eastAsia="zh-CN"/>
        </w:rPr>
        <w:t>具体见附件1</w:t>
      </w:r>
      <w:r>
        <w:rPr>
          <w:rFonts w:ascii="Times New Roman" w:hAnsi="Times New Roman" w:eastAsia="宋体" w:cs="Times New Roman"/>
          <w:sz w:val="24"/>
          <w:szCs w:val="24"/>
          <w:lang w:eastAsia="zh-CN"/>
        </w:rPr>
        <w:t xml:space="preserve">）分别签订。 </w:t>
      </w:r>
    </w:p>
    <w:p>
      <w:pPr>
        <w:adjustRightInd w:val="0"/>
        <w:snapToGrid w:val="0"/>
        <w:spacing w:before="120" w:beforeLines="50" w:line="312" w:lineRule="auto"/>
        <w:outlineLvl w:val="1"/>
        <w:rPr>
          <w:rFonts w:ascii="Times New Roman" w:hAnsi="Times New Roman" w:eastAsia="宋体" w:cs="Times New Roman"/>
          <w:b/>
          <w:sz w:val="24"/>
          <w:szCs w:val="24"/>
          <w:lang w:eastAsia="zh-CN"/>
        </w:rPr>
      </w:pPr>
      <w:bookmarkStart w:id="3" w:name="_Toc256000046"/>
      <w:r>
        <w:rPr>
          <w:rFonts w:ascii="Times New Roman" w:hAnsi="Times New Roman" w:eastAsia="宋体" w:cs="Times New Roman"/>
          <w:b/>
          <w:sz w:val="24"/>
          <w:szCs w:val="24"/>
          <w:lang w:eastAsia="zh-CN"/>
        </w:rPr>
        <w:t>二、供货范围</w:t>
      </w:r>
      <w:bookmarkEnd w:id="3"/>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 xml:space="preserve">按照甲方要求每日向甲方食堂配送餐饮食材，餐饮食材种类包括肉禽蛋奶类，水产类，蔬菜类，主副食品、调味品、油脂等各类餐饮食材物资。 </w:t>
      </w:r>
    </w:p>
    <w:p>
      <w:pPr>
        <w:adjustRightInd w:val="0"/>
        <w:snapToGrid w:val="0"/>
        <w:spacing w:before="120" w:beforeLines="50" w:line="312" w:lineRule="auto"/>
        <w:outlineLvl w:val="1"/>
        <w:rPr>
          <w:rFonts w:ascii="Times New Roman" w:hAnsi="Times New Roman" w:eastAsia="宋体" w:cs="Times New Roman"/>
          <w:b/>
          <w:sz w:val="24"/>
          <w:szCs w:val="24"/>
          <w:lang w:eastAsia="zh-CN"/>
        </w:rPr>
      </w:pPr>
      <w:bookmarkStart w:id="4" w:name="_Toc256000047"/>
      <w:r>
        <w:rPr>
          <w:rFonts w:ascii="Times New Roman" w:hAnsi="Times New Roman" w:eastAsia="宋体" w:cs="Times New Roman"/>
          <w:b/>
          <w:sz w:val="24"/>
          <w:szCs w:val="24"/>
          <w:lang w:eastAsia="zh-CN"/>
        </w:rPr>
        <w:t>三、</w:t>
      </w:r>
      <w:r>
        <w:rPr>
          <w:rFonts w:hint="eastAsia" w:ascii="Times New Roman" w:hAnsi="Times New Roman" w:eastAsia="宋体" w:cs="Times New Roman"/>
          <w:b/>
          <w:sz w:val="24"/>
          <w:szCs w:val="24"/>
          <w:lang w:eastAsia="zh-CN"/>
        </w:rPr>
        <w:t>配送要求</w:t>
      </w:r>
      <w:bookmarkEnd w:id="4"/>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1.甲方每天1</w:t>
      </w:r>
      <w:r>
        <w:rPr>
          <w:rFonts w:hint="eastAsia" w:ascii="Times New Roman" w:hAnsi="Times New Roman" w:eastAsia="宋体" w:cs="Times New Roman"/>
          <w:sz w:val="24"/>
          <w:szCs w:val="24"/>
          <w:lang w:eastAsia="zh-CN"/>
        </w:rPr>
        <w:t>5</w:t>
      </w:r>
      <w:r>
        <w:rPr>
          <w:rFonts w:ascii="Times New Roman" w:hAnsi="Times New Roman" w:eastAsia="宋体" w:cs="Times New Roman"/>
          <w:sz w:val="24"/>
          <w:szCs w:val="24"/>
          <w:lang w:eastAsia="zh-CN"/>
        </w:rPr>
        <w:t>:00前将次日食材需求通知乙方，乙方应于每天</w:t>
      </w:r>
      <w:r>
        <w:rPr>
          <w:rFonts w:hint="eastAsia" w:ascii="Times New Roman" w:hAnsi="Times New Roman" w:eastAsia="宋体" w:cs="Times New Roman"/>
          <w:sz w:val="24"/>
          <w:szCs w:val="24"/>
          <w:lang w:val="en-US" w:eastAsia="zh-CN"/>
        </w:rPr>
        <w:t>5</w:t>
      </w:r>
      <w:r>
        <w:rPr>
          <w:rFonts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lang w:eastAsia="zh-CN"/>
        </w:rPr>
        <w:t>0-</w:t>
      </w:r>
      <w:r>
        <w:rPr>
          <w:rFonts w:hint="eastAsia" w:ascii="Times New Roman" w:hAnsi="Times New Roman" w:eastAsia="宋体" w:cs="Times New Roman"/>
          <w:sz w:val="24"/>
          <w:szCs w:val="24"/>
          <w:lang w:val="en-US" w:eastAsia="zh-CN"/>
        </w:rPr>
        <w:t>7</w:t>
      </w:r>
      <w:r>
        <w:rPr>
          <w:rFonts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0</w:t>
      </w:r>
      <w:r>
        <w:rPr>
          <w:rFonts w:ascii="Times New Roman" w:hAnsi="Times New Roman" w:eastAsia="宋体" w:cs="Times New Roman"/>
          <w:sz w:val="24"/>
          <w:szCs w:val="24"/>
          <w:lang w:eastAsia="zh-CN"/>
        </w:rPr>
        <w:t>0按照甲方要求配送食材。如遇特殊情况需要调整配送时间，甲方提前通知乙方。不可抗力等重大原因除外，不得延迟送货。乙方确因特殊情况需推迟送货的，须提前</w:t>
      </w:r>
      <w:r>
        <w:rPr>
          <w:rFonts w:hint="eastAsia" w:ascii="Times New Roman" w:hAnsi="Times New Roman" w:eastAsia="宋体" w:cs="Times New Roman"/>
          <w:sz w:val="24"/>
          <w:szCs w:val="24"/>
          <w:lang w:eastAsia="zh-CN"/>
        </w:rPr>
        <w:t>4</w:t>
      </w:r>
      <w:r>
        <w:rPr>
          <w:rFonts w:ascii="Times New Roman" w:hAnsi="Times New Roman" w:eastAsia="宋体" w:cs="Times New Roman"/>
          <w:sz w:val="24"/>
          <w:szCs w:val="24"/>
          <w:lang w:eastAsia="zh-CN"/>
        </w:rPr>
        <w:t>小时通知甲方。乙方延误交货时间的，甲方有权自行采购，乙方承担甲方由此产生的一切损失（包括直接经济损失和间接经济损失）。</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2.应急响应服务：甲方因工作需要临时增加供货要求或提前用餐等特殊情况，乙方必须在接到甲方通知后2小时内按照标准进行供货并交到甲方指定地点，保证供货的时间及质量。</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3.乙方应在甲方所属单位附近设置相应的营业场所或配送机构（不得外包、转包），并拥有一定面积的冷库（自有或租赁），配备相应配送人员及运输车辆，满足2小时内配送到甲方所属单位的能力。</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4.乙方配送食材应使用冷链车辆，</w:t>
      </w:r>
      <w:r>
        <w:rPr>
          <w:rFonts w:hint="eastAsia" w:ascii="Times New Roman" w:hAnsi="Times New Roman" w:eastAsia="宋体" w:cs="Times New Roman"/>
          <w:sz w:val="24"/>
          <w:szCs w:val="24"/>
          <w:lang w:eastAsia="zh-CN"/>
        </w:rPr>
        <w:t>配送人员要有相应的证件，每年做一次健康体检，配送人员要满足食堂餐饮行业的健康证明，配送全程正确穿戴劳保防护用品。乙方应承担其配送人员在供货期间活动所造成的所有法律责任</w:t>
      </w:r>
      <w:r>
        <w:rPr>
          <w:rFonts w:ascii="Times New Roman" w:hAnsi="Times New Roman" w:eastAsia="宋体" w:cs="Times New Roman"/>
          <w:sz w:val="24"/>
          <w:szCs w:val="24"/>
          <w:lang w:eastAsia="zh-CN"/>
        </w:rPr>
        <w:t>。冷藏车要求清洁卫生，符合国家的有关规定。乙方需配有车况良好的配送车辆及身体健康、车技熟练专职司机针对需求方进行配送物品，车辆及人员均须有购买意外险等保险，如在配送过程中车辆发生意外、故障，人员发生伤亡，甲方将不予负责。</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5.乙方应配备相应</w:t>
      </w:r>
      <w:r>
        <w:rPr>
          <w:rFonts w:hint="eastAsia" w:ascii="Times New Roman" w:hAnsi="Times New Roman" w:eastAsia="宋体" w:cs="Times New Roman"/>
          <w:sz w:val="24"/>
          <w:szCs w:val="24"/>
          <w:lang w:eastAsia="zh-CN"/>
        </w:rPr>
        <w:t>食材</w:t>
      </w:r>
      <w:r>
        <w:rPr>
          <w:rFonts w:ascii="Times New Roman" w:hAnsi="Times New Roman" w:eastAsia="宋体" w:cs="Times New Roman"/>
          <w:sz w:val="24"/>
          <w:szCs w:val="24"/>
          <w:lang w:eastAsia="zh-CN"/>
        </w:rPr>
        <w:t>检测</w:t>
      </w:r>
      <w:r>
        <w:rPr>
          <w:rFonts w:hint="eastAsia" w:ascii="Times New Roman" w:hAnsi="Times New Roman" w:eastAsia="宋体" w:cs="Times New Roman"/>
          <w:sz w:val="24"/>
          <w:szCs w:val="24"/>
          <w:lang w:eastAsia="zh-CN"/>
        </w:rPr>
        <w:t>能力</w:t>
      </w:r>
      <w:r>
        <w:rPr>
          <w:rFonts w:ascii="Times New Roman" w:hAnsi="Times New Roman" w:eastAsia="宋体" w:cs="Times New Roman"/>
          <w:sz w:val="24"/>
          <w:szCs w:val="24"/>
          <w:lang w:eastAsia="zh-CN"/>
        </w:rPr>
        <w:t>（可外委有资质第三方）。</w:t>
      </w:r>
    </w:p>
    <w:p>
      <w:pPr>
        <w:adjustRightInd w:val="0"/>
        <w:snapToGrid w:val="0"/>
        <w:spacing w:before="120" w:beforeLines="50" w:line="312" w:lineRule="auto"/>
        <w:outlineLvl w:val="1"/>
        <w:rPr>
          <w:rFonts w:ascii="Times New Roman" w:hAnsi="Times New Roman" w:eastAsia="宋体" w:cs="Times New Roman"/>
          <w:b/>
          <w:sz w:val="24"/>
          <w:szCs w:val="24"/>
          <w:lang w:eastAsia="zh-CN"/>
        </w:rPr>
      </w:pPr>
      <w:bookmarkStart w:id="5" w:name="_Toc256000048"/>
      <w:r>
        <w:rPr>
          <w:rFonts w:ascii="Times New Roman" w:hAnsi="Times New Roman" w:eastAsia="宋体" w:cs="Times New Roman"/>
          <w:b/>
          <w:sz w:val="24"/>
          <w:szCs w:val="24"/>
          <w:lang w:eastAsia="zh-CN"/>
        </w:rPr>
        <w:t>四、采购要求</w:t>
      </w:r>
      <w:bookmarkEnd w:id="5"/>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1.质量要求：</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 xml:space="preserve">（1）乙方所供的食材须符合《中华人民共和国食品安全法》要求。 </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2）所供应食材须符合国家行业生产及经营标准，货真价实，均能提供相应批次的合格检验证明；对食材供应链进行明确，食材的源头与乙方要有固定的合法的供应关系，严禁乙方收购非标准产品供应给甲方。乙方应对食材的来源和质量标准有详尽的描述。验收须提出行业标准和感官标准。如无质量标准，则需由乙方按国家和行业的要求自行描述。食材制造商须获得食品生产许可证，来源应当是受到地方政府部门监管的流通市场或具有相关资质的厂家生产。</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 xml:space="preserve">（3）每次送肉禽食材时，提供的肉类均为定点屠宰厂（场）经检疫和肉品品质检验合格的货物，具有由定点屠宰厂（场）加盖验讫印章并出具《畜产品检验证明》或《动物检疫合格证明》及《肉品品质检验合格证》，且加盖供应商公章；冻货包装食材须提供带有“CMA”标识的检验检测报告，须加盖受检单位和供应商公章。交货时须提供本批次产品的出厂（库）检验合格证明，随车同行。肉制品须出具半年内有效的《卫生检疫报告》及《产品合格证》。 </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4）所有产品符合产品行业及国家相关要求。鲜肉类应外观检测新鲜肉质柔软有光泽、无腐臭变质异味、无寄生虫、无粘液、无渗出液体，全部来源于正规肉联厂，保证为当日新鲜肉。（鲜肉类利用率不低于98%）。冷冻肉要求肉体冻实而坚硬，无化冻现象，肉质紧密而有弹性，色泽均匀，不粘手，交货时干净、新鲜、无异味。冷冻禽类食材解冻后净重量不少于90％，冷冻肉类食材解冻后净重量不少于92%，解冻时间为4小时以内（室温20℃）。所有冷冻食材要求清晰列出产品品牌、规格、类型、包装方式、包装净重、含冰量等相关参数。货物保质期在12月内的（不含12个月），货物自生产日期至甲方收货日期不超过货物保质期的1/4；保质期12个月以上的（含12个月）甲方收货日期不超过货物保质期的1/3。</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（5）熟食类必须来源于正规店家，保证为当天（24小时）生产的食材，并符合该类食材的行业标准。</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（6）所供食品均符合国家食品安全标准，达到国家规定质量安全标准，每批产品均有食品生产许可证编号。</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（7）定型包装类食品原料应具有SC标记，所有食品采购供应必须有详细登记， 来源、产地、检测、去向、数量等均有详细记录，确保所有食品安全并能溯源。所有冷冻食材要求清晰列出产品 品牌、规格、类型、包装方式、包装净重、含冰量等相关参数。</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8）供货期间，一旦发现乙方故意提供假冒伪劣、偷工减料、三无产品将一票否决制，甲方有权立即解除供货协议，如在需求方使用过程中发现提供产品为以上所述情况由此带来需求方使（食）用后人员身体不适或受伤害，甲方有权追究乙方相关赔偿责任。</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（9）甲方有权委托当地质检部门对产品的质量进行抽样复检，存在不合格的，乙方应承担由此发生的一切费用。</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（10）乙方要按照需求方要求提供大宗产品带CMA标识年度检测证明。</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2.安全要求：</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（1）乙方必须遵守国家规定的《食品安全法》、《农产品质量安全法》等法律和行政法规的规定，严禁配送假冒、变质、过期的产品。</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（2）乙方须对甲方购买的食材合理分类、分装，不得混装，运输过程应采取相应的保鲜防护措施。</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3）乙方应充分理解并认真遵循本招标文件的要求，所提供的货物必须满足招标文件要求。保证供应的货物均为正规生产、新鲜（冰鲜除外）、检验合格、无毒、无腐烂、无辐射、无侵权、无变质货品，符合国家有关卫生、质量、包装和保质标准。</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（4）货物有包装的，货物的包装必须完整清洁（无损、无污、无皱），甲方有权拒收包装不整齐、已拆封的货物。</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（5）如因乙方所送货物造成食物中毒等事故，乙方应承担全部法律责任。</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3.数量要求：</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应保证斤、两的准确性；以甲方的验收数量为准，乙方每次随货携带送货清单，食材经双方验收后须签字确认。</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bookmarkStart w:id="6" w:name="_Toc30077_0"/>
      <w:r>
        <w:rPr>
          <w:rFonts w:hint="eastAsia" w:ascii="Times New Roman" w:hAnsi="Times New Roman" w:eastAsia="宋体" w:cs="Times New Roman"/>
          <w:sz w:val="24"/>
          <w:szCs w:val="24"/>
          <w:lang w:eastAsia="zh-CN"/>
        </w:rPr>
        <w:t>4.包装、装卸、运输、保管及保险</w:t>
      </w:r>
      <w:bookmarkEnd w:id="6"/>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（1）包装必须与运输方式相适应，包装方式的确定及包装费用均由乙方负责；由于不适当的包装而造成货物在运输过程中有任何损坏、丢失由乙方负责。</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 xml:space="preserve">（2）食材运输须采用符合卫生标准的外包装和运载工具，并且要保持清洁和定期消毒。运输车厢的内仓，包括地面、墙面和顶，应使用抗腐蚀、防潮，易清洁消毒的材料。车厢内无不良气味、异味。 </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（3）包装应足以承受整个过程中的运输、转运、装卸、储存等，充分考虑到运输途中的各种情况（如暴露于恶劣气候等）和当地的气候特点，以及露天存放的需要。</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 xml:space="preserve">（4）冷藏、冷冻食材须用专用冷藏、冷冻载具运输，应当有必要的保温设备并在整个运输过程中保持安全的冷藏、冷冻温度。特别是对于长途运输的食材，保证食材在运输全过程处于合适的温度范围。整个运输过程应科学合理，运输车辆应定期清洁，保持性能稳定，符合规定的温度要求，使运输食材处于恒定的环境中。 </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 xml:space="preserve">（5）送货车辆应保持清洁；食材堆放科学合理，避免造成食材的交叉污染；如对温度有要求的食材应确定食材的温度，记录送货车辆温度，并记录存档。 </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（6）货物在现场的保管由乙方负责，直至验收完毕。</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（7）乙方保证所提供的食材都是正规合法符合国家相关规定的食材，每种食材的信息应与订购清单一致。保证不送不新鲜及长期积压污损的食材。</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（8）乙方中标后为乙方购买食品安全责任保险或公众责任保险，保额在1000万元（含）以上。</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 xml:space="preserve">（9）乙方送货车辆应实行2小时配送圈运作，肉类和冰鲜类等需冷藏保鲜的食材，用冷藏车配送，保证肉类中心温度控制在-2至7℃的范围之内，保证运输过程冷链不中断。商品到达目的地时外包装箱干爽，无软化现象。 </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 xml:space="preserve">（10）在本环节中应保证冷藏食材脱离冷链时间不得超过20分钟，冷冻食材脱离冷链时间不得超过10分钟。 </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11）每一包装箱（如有）两个侧面用不褪色的油漆和明显易见的中文字样做出标记。标记内容包括：箱（件）号、装运标志（唛头）、毛重（kg）、尺码（长×宽×高，用mm表示）、净重（kg）、到货地址、收货人名称、货物名称、合同编号以及“勿近潮湿”、“小心轻放”、“此边向上”等。</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5.其他要求</w:t>
      </w:r>
    </w:p>
    <w:p>
      <w:pPr>
        <w:adjustRightInd w:val="0"/>
        <w:snapToGrid w:val="0"/>
        <w:spacing w:before="120" w:beforeLines="50" w:line="312" w:lineRule="auto"/>
        <w:ind w:firstLine="480" w:firstLineChars="200"/>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（1）甲方有权视食堂实际需求，要求乙方对配送产品进行初加工，如食物的去皮、研磨等。</w:t>
      </w:r>
    </w:p>
    <w:p>
      <w:pPr>
        <w:adjustRightInd w:val="0"/>
        <w:snapToGrid w:val="0"/>
        <w:spacing w:before="120" w:beforeLines="50" w:line="312" w:lineRule="auto"/>
        <w:ind w:firstLine="480" w:firstLineChars="200"/>
        <w:rPr>
          <w:rFonts w:ascii="Times New Roman" w:hAnsi="Times New Roman" w:eastAsia="宋体" w:cs="Times New Roman"/>
          <w:sz w:val="28"/>
          <w:szCs w:val="28"/>
          <w:lang w:eastAsia="zh-CN"/>
        </w:rPr>
      </w:pPr>
      <w:r>
        <w:rPr>
          <w:rFonts w:hint="eastAsia" w:ascii="Times New Roman" w:hAnsi="Times New Roman" w:eastAsia="宋体" w:cs="Times New Roman"/>
          <w:sz w:val="24"/>
          <w:szCs w:val="24"/>
          <w:lang w:eastAsia="zh-CN"/>
        </w:rPr>
        <w:t>（2）乙方所开具的发票应该能够满足甲方的要求，即发票货物类别可开具蔬菜、肉禽、海鲜、调料等明细。</w:t>
      </w:r>
    </w:p>
    <w:p>
      <w:pPr>
        <w:adjustRightInd w:val="0"/>
        <w:snapToGrid w:val="0"/>
        <w:spacing w:before="120" w:beforeLines="50" w:line="312" w:lineRule="auto"/>
        <w:outlineLvl w:val="1"/>
        <w:rPr>
          <w:rFonts w:ascii="Times New Roman" w:hAnsi="Times New Roman" w:eastAsia="宋体" w:cs="宋体"/>
          <w:b/>
          <w:sz w:val="24"/>
          <w:szCs w:val="24"/>
          <w:lang w:eastAsia="zh-CN"/>
        </w:rPr>
      </w:pPr>
      <w:bookmarkStart w:id="7" w:name="_Toc256000049"/>
      <w:r>
        <w:rPr>
          <w:rFonts w:hint="eastAsia" w:ascii="Times New Roman" w:hAnsi="Times New Roman" w:eastAsia="宋体" w:cs="宋体"/>
          <w:b/>
          <w:sz w:val="24"/>
          <w:szCs w:val="24"/>
          <w:lang w:eastAsia="zh-CN"/>
        </w:rPr>
        <w:t>五、交付与验收</w:t>
      </w:r>
      <w:bookmarkEnd w:id="7"/>
    </w:p>
    <w:p>
      <w:pPr>
        <w:adjustRightInd w:val="0"/>
        <w:snapToGrid w:val="0"/>
        <w:spacing w:before="120" w:beforeLines="50" w:line="312" w:lineRule="auto"/>
        <w:ind w:right="348" w:rightChars="158"/>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（一）交付时间和地点</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交付地点：甲方指定地点（详见附件1）</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交付时间：满足第三条要求，具体以甲方通知为准。</w:t>
      </w:r>
    </w:p>
    <w:p>
      <w:pPr>
        <w:adjustRightInd w:val="0"/>
        <w:snapToGrid w:val="0"/>
        <w:spacing w:before="120" w:beforeLines="50" w:line="312" w:lineRule="auto"/>
        <w:ind w:right="348" w:rightChars="158"/>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（二）验收</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 xml:space="preserve">1.检验流程 </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 xml:space="preserve">（1）一是要作好卸货前的检查。验收人员卸货前应对场地和验收设备做好准备，并对商品的外观质量进行初步了解。二是应采取当场验收的方式，验收人须认真检验食材的质量要求，按索证→过磅→入库的程序完成验收；三是须进行抽查验收，抽查样本数视实际情况而定，一般不超过10%。 </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检验食材的依据和标准：</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嗅觉检验：即用嗅觉器官来鉴定原料的气味，如出现异味，说明已变质。</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视觉检验：视觉检验范围最广，凡是能用肉眼根据经验判断品质的都可以用这种方法对原料的外部特征进行检验，以确定其品质的好坏。</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味觉检验：可根据原料的味觉特征变化情况来鉴定品质好坏。</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听觉检验：有些原料可以根据听觉检验的方法鉴定品质的好坏、如鸡蛋，可以用手摇动，然后听声音来鉴定。</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触觉检验：触觉是物质刺激皮肤的表面的感觉，手指是敏感的，接触原料可以检验原料组织的粗细、弹性、硬度等，以确定其品质好坏。</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2）验收工作人员应比较相关文件，以确保食材品种符合要求。如确定有所差异，应即刻通知送货人员。如发现食材有损坏的情况，应在相关单据上记录所有损坏情况，并对货物损坏情况进行拍照并存档。对于食材验收的全部信息数据，甲方的验收人员应和乙方一起确认，并保留双方签字单据。 每次配送蔬菜提供乙方农药自检记录，生鲜肉提供屠宰单位出具的《动物检疫合格证》，包装类食材外包装应完整，有明确的生产日期、质保期、合格证等符合法律法规要求的信息，不得提供“三无”产品。</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 xml:space="preserve">2.退（补）货流程 </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 xml:space="preserve">对不符合甲方采购要求的食材由验收人员提出清退，退货前应实行留板备案，如双方对质量争议可送国家质监部门检测。出现退（补）货情况，应及时报告。在退货过程中，对有碍公共卫生安全的食材，应按国家有关规定处理或进行协议销毁，而不是退货给供应商。 </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 xml:space="preserve">3.验收记录 </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 xml:space="preserve">每次采购的食材都要登记记录，注明名称、数量等事项并在采购登记记录上签明意见和验收人的名字及日期。 </w:t>
      </w:r>
    </w:p>
    <w:p>
      <w:pPr>
        <w:numPr>
          <w:ilvl w:val="0"/>
          <w:numId w:val="1"/>
        </w:num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乙方应在送货前提前通知甲方送货时间，以便做好交收工作。如乙方未能按时交货的，乙方有权自行采购，并由乙方承担因此产生的一切损失和费用（包括直接经济损失和间接经济损失）。</w:t>
      </w:r>
    </w:p>
    <w:p>
      <w:pPr>
        <w:adjustRightInd w:val="0"/>
        <w:snapToGrid w:val="0"/>
        <w:spacing w:before="120" w:beforeLines="50" w:line="312" w:lineRule="auto"/>
        <w:outlineLvl w:val="1"/>
        <w:rPr>
          <w:rFonts w:ascii="Times New Roman" w:hAnsi="Times New Roman" w:eastAsia="宋体" w:cs="宋体"/>
          <w:b/>
          <w:sz w:val="24"/>
          <w:szCs w:val="24"/>
          <w:lang w:eastAsia="zh-CN"/>
        </w:rPr>
      </w:pPr>
      <w:bookmarkStart w:id="8" w:name="_Toc256000050"/>
      <w:r>
        <w:rPr>
          <w:rFonts w:hint="eastAsia" w:ascii="Times New Roman" w:hAnsi="Times New Roman" w:eastAsia="宋体" w:cs="宋体"/>
          <w:b/>
          <w:sz w:val="24"/>
          <w:szCs w:val="24"/>
          <w:lang w:eastAsia="zh-CN"/>
        </w:rPr>
        <w:t>六、售后服务</w:t>
      </w:r>
      <w:bookmarkEnd w:id="8"/>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1.如果甲方发现乙方人送货的货物质量有问题，有权要求乙方对有问题的货物立刻进行更换。</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2.乙方须有专人负责货品供应事宜，按照约定及时响应需求，安排配送，并承担相应的售后服务。</w:t>
      </w:r>
    </w:p>
    <w:p>
      <w:pPr>
        <w:adjustRightInd w:val="0"/>
        <w:snapToGrid w:val="0"/>
        <w:spacing w:before="120" w:beforeLines="50" w:line="312" w:lineRule="auto"/>
        <w:ind w:right="348" w:rightChars="158"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3.售后服务方式为乙方上门服务。非甲方的人为原因而出现产品质量问题，由乙方负责包换或包退。并承担上述情况产生的一切费用。</w:t>
      </w:r>
    </w:p>
    <w:p>
      <w:pPr>
        <w:adjustRightInd w:val="0"/>
        <w:snapToGrid w:val="0"/>
        <w:spacing w:before="120" w:beforeLines="50" w:line="312" w:lineRule="auto"/>
        <w:outlineLvl w:val="1"/>
        <w:rPr>
          <w:rFonts w:ascii="Times New Roman" w:hAnsi="Times New Roman" w:eastAsia="宋体" w:cs="宋体"/>
          <w:b/>
          <w:sz w:val="24"/>
          <w:szCs w:val="24"/>
          <w:lang w:eastAsia="zh-CN"/>
        </w:rPr>
      </w:pPr>
      <w:bookmarkStart w:id="9" w:name="_Toc13762_0"/>
      <w:bookmarkStart w:id="10" w:name="_Toc256000051"/>
      <w:r>
        <w:rPr>
          <w:rFonts w:hint="eastAsia" w:ascii="Times New Roman" w:hAnsi="Times New Roman" w:eastAsia="宋体" w:cs="宋体"/>
          <w:b/>
          <w:sz w:val="24"/>
          <w:szCs w:val="24"/>
          <w:lang w:eastAsia="zh-CN"/>
        </w:rPr>
        <w:t>七、</w:t>
      </w:r>
      <w:bookmarkEnd w:id="9"/>
      <w:r>
        <w:rPr>
          <w:rFonts w:hint="eastAsia" w:ascii="Times New Roman" w:hAnsi="Times New Roman" w:eastAsia="宋体" w:cs="宋体"/>
          <w:b/>
          <w:sz w:val="24"/>
          <w:szCs w:val="24"/>
          <w:lang w:eastAsia="zh-CN"/>
        </w:rPr>
        <w:t>合同执行</w:t>
      </w:r>
      <w:bookmarkEnd w:id="10"/>
    </w:p>
    <w:p>
      <w:pPr>
        <w:numPr>
          <w:ilvl w:val="12"/>
          <w:numId w:val="0"/>
        </w:numPr>
        <w:adjustRightInd w:val="0"/>
        <w:snapToGrid w:val="0"/>
        <w:spacing w:before="120" w:beforeLines="50" w:line="312" w:lineRule="auto"/>
        <w:ind w:left="0"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1.乙方供货期间如因违约遭甲方投诉（如数量不足、货不对版、短斤缺两、质量问题、送货不及时等），每月投诉天数占当月送货天数数量20%以上将予以警告，并在2天内整改，整改期或以后仍被投诉，甲方有权立即解除供货协议，且不承担任何责任。乙方必须在送菜当天按甲方要求的时间将采购的食品送至甲方指定地点（非乙方主观原因，需提供相关证明文件），每超过一个小时扣违约金人民币1000元，最高单次违约金不超过人民币24000元；当月累计达到出现4次未配送情况，甲方有权终止本合同并选用备选供应商，并将乙方列为海油供应商名录禁用名单。</w:t>
      </w:r>
    </w:p>
    <w:p>
      <w:pPr>
        <w:adjustRightInd w:val="0"/>
        <w:snapToGrid w:val="0"/>
        <w:spacing w:before="120" w:beforeLines="50" w:line="312" w:lineRule="auto"/>
        <w:ind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2.合同采用1+1+1年模式，实际年限不超过3年，合同每执行期满1年的前30天内甲方对乙方配送服务及食材质量进行评定，评定成绩按照月度评分数取平均值，乙方服务平均分达80分（含）以上自动延续一年，乙方需对扣分项作出改进，平均分80分以下甲方有权解除合同而不承担任何责任。具体考核见附件3</w:t>
      </w:r>
    </w:p>
    <w:p>
      <w:pPr>
        <w:adjustRightInd w:val="0"/>
        <w:snapToGrid w:val="0"/>
        <w:spacing w:before="120" w:beforeLines="50" w:line="312" w:lineRule="auto"/>
        <w:ind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4.本合同由中海广东天然气有限责任公司作为招标人，最终合同由招标人所属单位分别与中标人签订，所属单位名单并不限于附件1所列单位。同时，招标人不承诺所属单位均执行本次采购结果并签订合同。</w:t>
      </w:r>
    </w:p>
    <w:p>
      <w:pPr>
        <w:adjustRightInd w:val="0"/>
        <w:snapToGrid w:val="0"/>
        <w:spacing w:before="120" w:beforeLines="50" w:line="312" w:lineRule="auto"/>
        <w:outlineLvl w:val="1"/>
        <w:rPr>
          <w:rFonts w:ascii="Times New Roman" w:hAnsi="Times New Roman" w:eastAsia="宋体" w:cs="宋体"/>
          <w:b/>
          <w:sz w:val="24"/>
          <w:szCs w:val="24"/>
          <w:lang w:eastAsia="zh-CN"/>
        </w:rPr>
      </w:pPr>
      <w:bookmarkStart w:id="11" w:name="_Toc256000052"/>
      <w:r>
        <w:rPr>
          <w:rFonts w:hint="eastAsia" w:ascii="Times New Roman" w:hAnsi="Times New Roman" w:eastAsia="宋体" w:cs="宋体"/>
          <w:b/>
          <w:sz w:val="24"/>
          <w:szCs w:val="24"/>
          <w:lang w:eastAsia="zh-CN"/>
        </w:rPr>
        <w:t>八、供货价格与结算</w:t>
      </w:r>
      <w:bookmarkEnd w:id="11"/>
    </w:p>
    <w:p>
      <w:pPr>
        <w:adjustRightInd w:val="0"/>
        <w:snapToGrid w:val="0"/>
        <w:spacing w:before="120" w:beforeLines="50" w:line="312" w:lineRule="auto"/>
        <w:ind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1.市场价格调研：每月</w:t>
      </w:r>
      <w:r>
        <w:rPr>
          <w:rFonts w:hint="eastAsia" w:ascii="宋体" w:hAnsi="宋体" w:eastAsia="宋体" w:cs="宋体"/>
          <w:color w:val="000000"/>
          <w:sz w:val="24"/>
          <w:szCs w:val="24"/>
          <w:lang w:val="en-US" w:eastAsia="zh-CN"/>
        </w:rPr>
        <w:t>27</w:t>
      </w:r>
      <w:r>
        <w:rPr>
          <w:rFonts w:hint="eastAsia" w:ascii="宋体" w:hAnsi="宋体" w:eastAsia="宋体" w:cs="宋体"/>
          <w:color w:val="000000"/>
          <w:sz w:val="24"/>
          <w:szCs w:val="24"/>
          <w:lang w:eastAsia="zh-CN"/>
        </w:rPr>
        <w:t>日为</w:t>
      </w:r>
      <w:r>
        <w:rPr>
          <w:rFonts w:hint="eastAsia" w:ascii="宋体" w:hAnsi="宋体" w:eastAsia="宋体" w:cs="宋体"/>
          <w:color w:val="000000"/>
          <w:sz w:val="24"/>
          <w:szCs w:val="24"/>
          <w:lang w:val="en-US" w:eastAsia="zh-CN"/>
        </w:rPr>
        <w:t>次月价格调研</w:t>
      </w:r>
      <w:r>
        <w:rPr>
          <w:rFonts w:hint="eastAsia" w:ascii="宋体" w:hAnsi="宋体" w:eastAsia="宋体" w:cs="宋体"/>
          <w:color w:val="000000"/>
          <w:sz w:val="24"/>
          <w:szCs w:val="24"/>
          <w:lang w:eastAsia="zh-CN"/>
        </w:rPr>
        <w:t>基准日。甲方每月组织相关人员、餐饮业务外包方管理人员（如有）、乙方三方共同在当地指定市场（或蔬菜生鲜门市，或当地超市）进行一次市场价格调研，调研结果均价作为</w:t>
      </w:r>
      <w:r>
        <w:rPr>
          <w:rFonts w:hint="eastAsia" w:ascii="宋体" w:hAnsi="宋体" w:eastAsia="宋体" w:cs="宋体"/>
          <w:color w:val="000000"/>
          <w:sz w:val="24"/>
          <w:szCs w:val="24"/>
          <w:lang w:val="en-US" w:eastAsia="zh-CN"/>
        </w:rPr>
        <w:t>次月</w:t>
      </w:r>
      <w:r>
        <w:rPr>
          <w:rFonts w:hint="eastAsia" w:ascii="宋体" w:hAnsi="宋体" w:eastAsia="宋体" w:cs="宋体"/>
          <w:color w:val="000000"/>
          <w:sz w:val="24"/>
          <w:szCs w:val="24"/>
          <w:lang w:eastAsia="zh-CN"/>
        </w:rPr>
        <w:t>结算的基准价，具体基准日以甲方确定时间为准。</w:t>
      </w:r>
    </w:p>
    <w:p>
      <w:pPr>
        <w:adjustRightInd w:val="0"/>
        <w:snapToGrid w:val="0"/>
        <w:spacing w:before="120" w:beforeLines="50" w:line="312" w:lineRule="auto"/>
        <w:ind w:firstLine="480" w:firstLineChars="200"/>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2.基准价定价办法：以</w:t>
      </w:r>
      <w:r>
        <w:rPr>
          <w:rFonts w:hint="eastAsia" w:ascii="宋体" w:hAnsi="宋体" w:eastAsia="宋体" w:cs="宋体"/>
          <w:color w:val="000000"/>
          <w:sz w:val="24"/>
          <w:szCs w:val="24"/>
          <w:lang w:val="en-US" w:eastAsia="zh-CN"/>
        </w:rPr>
        <w:t>属地鹏泰超市</w:t>
      </w:r>
      <w:r>
        <w:rPr>
          <w:rFonts w:hint="eastAsia" w:ascii="宋体" w:hAnsi="宋体" w:eastAsia="宋体" w:cs="宋体"/>
          <w:color w:val="000000"/>
          <w:sz w:val="24"/>
          <w:szCs w:val="24"/>
          <w:lang w:eastAsia="zh-CN"/>
        </w:rPr>
        <w:t>的</w:t>
      </w:r>
      <w:r>
        <w:rPr>
          <w:rFonts w:hint="eastAsia" w:ascii="宋体" w:hAnsi="宋体" w:eastAsia="宋体" w:cs="宋体"/>
          <w:color w:val="000000"/>
          <w:sz w:val="24"/>
          <w:szCs w:val="24"/>
          <w:lang w:val="en-US" w:eastAsia="zh-CN"/>
        </w:rPr>
        <w:t>价格为</w:t>
      </w:r>
      <w:r>
        <w:rPr>
          <w:rFonts w:hint="eastAsia" w:ascii="宋体" w:hAnsi="宋体" w:eastAsia="宋体" w:cs="宋体"/>
          <w:color w:val="000000"/>
          <w:sz w:val="24"/>
          <w:szCs w:val="24"/>
          <w:lang w:eastAsia="zh-CN"/>
        </w:rPr>
        <w:t>依据，对超市未经销的食料甲方可依据市场价格自行参考天猫超市或京东超市确定。如果乙方食料价格高于市场价格调研后计算的供货价格，甲方有权要求乙方降低价格，否则甲方在结算时扣除单价差额。（具体参考超市、门市、市场见附件4）</w:t>
      </w:r>
    </w:p>
    <w:p>
      <w:pPr>
        <w:adjustRightInd w:val="0"/>
        <w:snapToGrid w:val="0"/>
        <w:spacing w:before="120" w:beforeLines="50" w:line="312" w:lineRule="auto"/>
        <w:ind w:firstLine="480" w:firstLineChars="200"/>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3.费用按核定后的基准价格的_%（100%-折扣率_%）进行结算。在合同执行期间，乙方折扣率（...%）固定不变。</w:t>
      </w:r>
    </w:p>
    <w:p>
      <w:pPr>
        <w:adjustRightInd w:val="0"/>
        <w:snapToGrid w:val="0"/>
        <w:spacing w:before="120" w:beforeLines="50" w:line="312" w:lineRule="auto"/>
        <w:ind w:firstLine="480" w:firstLineChars="200"/>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4.本项目食材报价包括：供应商货物、包装、运输费、服务费、检测费、加工费、管理费、搬运费等所有产生的费用。</w:t>
      </w:r>
    </w:p>
    <w:p>
      <w:pPr>
        <w:adjustRightInd w:val="0"/>
        <w:snapToGrid w:val="0"/>
        <w:spacing w:before="120" w:beforeLines="50" w:line="312" w:lineRule="auto"/>
        <w:ind w:firstLine="480" w:firstLineChars="200"/>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t>5.乙方配送食材的种类和数量由甲方根据实际需要制定。协议供货资格的取得并不意味着食材（服务）的售出，甲方无法预计也无法保证向乙方采购的数量。最终供货食材及数量以甲方提前通知的数量为准。甲方有权对供货清单作适当修改调整或对食材数量作适量增加或减少。</w:t>
      </w:r>
    </w:p>
    <w:p>
      <w:pPr>
        <w:adjustRightInd w:val="0"/>
        <w:snapToGrid w:val="0"/>
        <w:spacing w:before="120" w:beforeLines="50" w:line="312" w:lineRule="auto"/>
        <w:ind w:firstLine="480" w:firstLineChars="200"/>
        <w:rPr>
          <w:rFonts w:ascii="Times New Roman" w:hAnsi="Times New Roman" w:eastAsia="宋体" w:cs="Times New Roman"/>
          <w:color w:val="000000"/>
          <w:sz w:val="24"/>
          <w:szCs w:val="24"/>
          <w:lang w:eastAsia="zh-CN"/>
        </w:rPr>
      </w:pPr>
      <w:r>
        <w:rPr>
          <w:rFonts w:ascii="Times New Roman" w:hAnsi="Times New Roman" w:eastAsia="宋体" w:cs="Times New Roman"/>
          <w:color w:val="000000"/>
          <w:sz w:val="24"/>
          <w:szCs w:val="24"/>
          <w:lang w:eastAsia="zh-CN"/>
        </w:rPr>
        <w:br w:type="page"/>
      </w:r>
    </w:p>
    <w:p>
      <w:pPr>
        <w:ind w:firstLine="420"/>
        <w:outlineLvl w:val="1"/>
        <w:rPr>
          <w:rFonts w:ascii="黑体" w:hAnsi="黑体" w:eastAsia="黑体" w:cs="Times New Roman"/>
          <w:kern w:val="2"/>
          <w:sz w:val="28"/>
          <w:szCs w:val="28"/>
          <w:lang w:eastAsia="zh-CN"/>
        </w:rPr>
      </w:pPr>
      <w:bookmarkStart w:id="12" w:name="_Toc256000053"/>
      <w:r>
        <w:rPr>
          <w:rFonts w:hint="eastAsia" w:ascii="黑体" w:hAnsi="黑体" w:eastAsia="黑体" w:cs="Times New Roman"/>
          <w:kern w:val="2"/>
          <w:sz w:val="28"/>
          <w:szCs w:val="28"/>
          <w:lang w:eastAsia="zh-CN"/>
        </w:rPr>
        <w:t>附件</w:t>
      </w:r>
      <w:r>
        <w:rPr>
          <w:rFonts w:ascii="黑体" w:hAnsi="黑体" w:eastAsia="黑体" w:cs="Times New Roman"/>
          <w:kern w:val="2"/>
          <w:sz w:val="28"/>
          <w:szCs w:val="28"/>
          <w:lang w:eastAsia="zh-CN"/>
        </w:rPr>
        <w:t>1</w:t>
      </w:r>
      <w:r>
        <w:rPr>
          <w:rFonts w:hint="eastAsia" w:ascii="黑体" w:hAnsi="黑体" w:eastAsia="黑体" w:cs="Times New Roman"/>
          <w:kern w:val="2"/>
          <w:sz w:val="28"/>
          <w:szCs w:val="28"/>
          <w:lang w:eastAsia="zh-CN"/>
        </w:rPr>
        <w:t>：所属单位名单</w:t>
      </w:r>
      <w:bookmarkEnd w:id="12"/>
    </w:p>
    <w:tbl>
      <w:tblPr>
        <w:tblStyle w:val="16"/>
        <w:tblW w:w="8539" w:type="dxa"/>
        <w:jc w:val="center"/>
        <w:tblLayout w:type="fixed"/>
        <w:tblCellMar>
          <w:top w:w="0" w:type="dxa"/>
          <w:left w:w="108" w:type="dxa"/>
          <w:bottom w:w="0" w:type="dxa"/>
          <w:right w:w="108" w:type="dxa"/>
        </w:tblCellMar>
      </w:tblPr>
      <w:tblGrid>
        <w:gridCol w:w="456"/>
        <w:gridCol w:w="2213"/>
        <w:gridCol w:w="1641"/>
        <w:gridCol w:w="1317"/>
        <w:gridCol w:w="2912"/>
      </w:tblGrid>
      <w:tr>
        <w:tblPrEx>
          <w:tblCellMar>
            <w:top w:w="0" w:type="dxa"/>
            <w:left w:w="108" w:type="dxa"/>
            <w:bottom w:w="0" w:type="dxa"/>
            <w:right w:w="108" w:type="dxa"/>
          </w:tblCellMar>
        </w:tblPrEx>
        <w:trPr>
          <w:jc w:val="center"/>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序号</w:t>
            </w:r>
          </w:p>
        </w:tc>
        <w:tc>
          <w:tcPr>
            <w:tcW w:w="2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项目单位</w:t>
            </w:r>
          </w:p>
        </w:tc>
        <w:tc>
          <w:tcPr>
            <w:tcW w:w="5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配送地点（按配送地点填写）</w:t>
            </w:r>
          </w:p>
        </w:tc>
      </w:tr>
      <w:tr>
        <w:tblPrEx>
          <w:tblCellMar>
            <w:top w:w="0" w:type="dxa"/>
            <w:left w:w="108" w:type="dxa"/>
            <w:bottom w:w="0" w:type="dxa"/>
            <w:right w:w="108" w:type="dxa"/>
          </w:tblCellMar>
        </w:tblPrEx>
        <w:trPr>
          <w:jc w:val="center"/>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省</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市</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区/镇（具体地址）</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中海广东天然气有限责任公司</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珠海</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高新区唐家湾镇大学路101号清华科技园5栋裙楼3楼</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珠海</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hint="eastAsia" w:ascii="宋体" w:hAnsi="宋体" w:eastAsia="宋体" w:cs="宋体"/>
                <w:color w:val="000000"/>
                <w:sz w:val="20"/>
                <w:szCs w:val="20"/>
                <w:lang w:eastAsia="zh-CN" w:bidi="ar"/>
              </w:rPr>
            </w:pPr>
            <w:r>
              <w:rPr>
                <w:rFonts w:hint="eastAsia" w:ascii="宋体" w:hAnsi="宋体" w:eastAsia="宋体" w:cs="宋体"/>
                <w:color w:val="000000"/>
                <w:sz w:val="20"/>
                <w:szCs w:val="20"/>
                <w:lang w:eastAsia="zh-CN" w:bidi="ar"/>
              </w:rPr>
              <w:t>横琴新区观鹤路36号</w:t>
            </w:r>
          </w:p>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横琴机关食堂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珠海</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hint="eastAsia" w:ascii="宋体" w:hAnsi="宋体" w:eastAsia="宋体" w:cs="宋体"/>
                <w:color w:val="000000"/>
                <w:sz w:val="20"/>
                <w:szCs w:val="20"/>
                <w:lang w:eastAsia="zh-CN" w:bidi="ar"/>
              </w:rPr>
            </w:pPr>
            <w:r>
              <w:rPr>
                <w:rFonts w:hint="eastAsia" w:ascii="宋体" w:hAnsi="宋体" w:eastAsia="宋体" w:cs="宋体"/>
                <w:color w:val="000000"/>
                <w:sz w:val="20"/>
                <w:szCs w:val="20"/>
                <w:lang w:eastAsia="zh-CN" w:bidi="ar"/>
              </w:rPr>
              <w:t>珠海市南屏镇广昌村内</w:t>
            </w:r>
          </w:p>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南屏分输站食堂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hint="default"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bidi="ar-SA"/>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hint="default"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bidi="ar-SA"/>
              </w:rPr>
              <w:t>珠海</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hint="eastAsia" w:ascii="宋体" w:hAnsi="宋体" w:eastAsia="宋体" w:cs="宋体"/>
                <w:color w:val="000000"/>
                <w:sz w:val="20"/>
                <w:szCs w:val="20"/>
                <w:lang w:eastAsia="zh-CN" w:bidi="ar"/>
              </w:rPr>
            </w:pPr>
            <w:r>
              <w:rPr>
                <w:rFonts w:hint="eastAsia" w:ascii="宋体" w:hAnsi="宋体" w:cs="宋体"/>
                <w:color w:val="000000"/>
                <w:sz w:val="20"/>
                <w:szCs w:val="20"/>
                <w:lang w:val="en-US" w:eastAsia="zh-CN" w:bidi="ar"/>
              </w:rPr>
              <w:t>香洲区香工路2号旁洪湾末站</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珠海</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hint="eastAsia" w:ascii="宋体" w:hAnsi="宋体" w:eastAsia="宋体" w:cs="宋体"/>
                <w:color w:val="000000"/>
                <w:sz w:val="20"/>
                <w:szCs w:val="20"/>
                <w:lang w:eastAsia="zh-CN" w:bidi="ar"/>
              </w:rPr>
            </w:pPr>
            <w:r>
              <w:rPr>
                <w:rFonts w:hint="eastAsia" w:ascii="宋体" w:hAnsi="宋体" w:eastAsia="宋体" w:cs="宋体"/>
                <w:color w:val="000000"/>
                <w:sz w:val="20"/>
                <w:szCs w:val="20"/>
                <w:lang w:eastAsia="zh-CN" w:bidi="ar"/>
              </w:rPr>
              <w:t>横琴新区环岛北路末端</w:t>
            </w:r>
          </w:p>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珠海终端横琴首站食堂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珠海</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珠海高栏港经济区装备制造区珠海电厂侧高栏港分输站食堂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珠海</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金湾区南水镇石化仓储区风鹰北路高栏终端旁荔湾首站食堂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珠海</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hint="eastAsia" w:ascii="宋体" w:hAnsi="宋体" w:eastAsia="宋体" w:cs="宋体"/>
                <w:color w:val="000000"/>
                <w:sz w:val="20"/>
                <w:szCs w:val="20"/>
                <w:lang w:eastAsia="zh-CN" w:bidi="ar"/>
              </w:rPr>
            </w:pPr>
            <w:r>
              <w:rPr>
                <w:rFonts w:hint="eastAsia" w:ascii="宋体" w:hAnsi="宋体" w:eastAsia="宋体" w:cs="宋体"/>
                <w:color w:val="000000"/>
                <w:sz w:val="20"/>
                <w:szCs w:val="20"/>
                <w:lang w:eastAsia="zh-CN" w:bidi="ar"/>
              </w:rPr>
              <w:t xml:space="preserve">高栏港经济区南水桥旁  </w:t>
            </w:r>
          </w:p>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临港分输站食堂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珠海</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金湾区南水镇鸡啼门大桥西南侧钰海电厂末站食堂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中山</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南朗镇白企村南朗综合站食堂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中山</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翠亨新区嘉明电厂旁横门末站食堂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中山</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民众镇平二聚峰化工厂旁民众分输站食堂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中山</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三角镇粤电中山电厂内三角分输站食堂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中山</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古镇镇同兴南路古镇综合站食堂</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中山</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hint="eastAsia" w:ascii="宋体" w:hAnsi="宋体" w:eastAsia="宋体" w:cs="宋体"/>
                <w:color w:val="000000"/>
                <w:sz w:val="20"/>
                <w:szCs w:val="20"/>
                <w:lang w:eastAsia="zh-CN" w:bidi="ar"/>
              </w:rPr>
            </w:pPr>
            <w:r>
              <w:rPr>
                <w:rFonts w:hint="eastAsia" w:ascii="宋体" w:hAnsi="宋体" w:eastAsia="宋体" w:cs="宋体"/>
                <w:color w:val="000000"/>
                <w:sz w:val="20"/>
                <w:szCs w:val="20"/>
                <w:lang w:eastAsia="zh-CN" w:bidi="ar"/>
              </w:rPr>
              <w:t>小榄镇永宁瑞和路</w:t>
            </w:r>
          </w:p>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（永安电厂侧）</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中海油珠海天然气有限责任公司</w:t>
            </w:r>
          </w:p>
        </w:tc>
        <w:tc>
          <w:tcPr>
            <w:tcW w:w="16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广东</w:t>
            </w:r>
          </w:p>
        </w:tc>
        <w:tc>
          <w:tcPr>
            <w:tcW w:w="13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eastAsia="zh-CN" w:bidi="ar"/>
              </w:rPr>
              <w:t>珠海</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珠海市金湾区平沙镇颖华路161号</w:t>
            </w:r>
          </w:p>
        </w:tc>
      </w:tr>
      <w:tr>
        <w:tblPrEx>
          <w:tblCellMar>
            <w:top w:w="0" w:type="dxa"/>
            <w:left w:w="108" w:type="dxa"/>
            <w:bottom w:w="0" w:type="dxa"/>
            <w:right w:w="108" w:type="dxa"/>
          </w:tblCellMar>
        </w:tblPrEx>
        <w:trPr>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2"/>
              </w:numPr>
              <w:snapToGrid w:val="0"/>
              <w:spacing w:line="360" w:lineRule="auto"/>
              <w:ind w:left="0" w:firstLine="0" w:firstLineChars="0"/>
              <w:jc w:val="center"/>
              <w:textAlignment w:val="center"/>
              <w:rPr>
                <w:rFonts w:ascii="宋体" w:hAnsi="宋体" w:eastAsia="宋体" w:cs="宋体"/>
                <w:color w:val="000000"/>
                <w:sz w:val="20"/>
                <w:szCs w:val="20"/>
                <w:lang w:eastAsia="zh-CN" w:bidi="ar"/>
              </w:rPr>
            </w:pPr>
          </w:p>
        </w:tc>
        <w:tc>
          <w:tcPr>
            <w:tcW w:w="2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6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ascii="宋体" w:hAnsi="宋体" w:eastAsia="宋体" w:cs="宋体"/>
                <w:color w:val="000000"/>
                <w:sz w:val="20"/>
                <w:szCs w:val="20"/>
                <w:lang w:eastAsia="zh-CN"/>
              </w:rPr>
            </w:pP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textAlignment w:val="center"/>
              <w:rPr>
                <w:rFonts w:hint="eastAsia" w:ascii="宋体" w:hAnsi="宋体" w:eastAsia="宋体" w:cs="宋体"/>
                <w:color w:val="000000"/>
                <w:sz w:val="20"/>
                <w:szCs w:val="20"/>
                <w:lang w:eastAsia="zh-CN" w:bidi="ar"/>
              </w:rPr>
            </w:pPr>
            <w:r>
              <w:rPr>
                <w:rFonts w:hint="eastAsia" w:ascii="宋体" w:hAnsi="宋体" w:eastAsia="宋体" w:cs="宋体"/>
                <w:color w:val="000000"/>
                <w:sz w:val="20"/>
                <w:szCs w:val="20"/>
                <w:lang w:eastAsia="zh-CN" w:bidi="ar"/>
              </w:rPr>
              <w:t>珠海市横琴粤澳深度合作区</w:t>
            </w:r>
          </w:p>
          <w:p>
            <w:pPr>
              <w:snapToGrid w:val="0"/>
              <w:spacing w:line="360" w:lineRule="auto"/>
              <w:jc w:val="center"/>
              <w:textAlignment w:val="center"/>
              <w:rPr>
                <w:rFonts w:ascii="宋体" w:hAnsi="宋体" w:eastAsia="宋体" w:cs="宋体"/>
                <w:color w:val="000000"/>
                <w:sz w:val="20"/>
                <w:szCs w:val="20"/>
                <w:lang w:eastAsia="zh-CN"/>
              </w:rPr>
            </w:pPr>
            <w:r>
              <w:rPr>
                <w:rFonts w:hint="eastAsia" w:ascii="宋体" w:hAnsi="宋体" w:eastAsia="宋体" w:cs="宋体"/>
                <w:color w:val="000000"/>
                <w:sz w:val="20"/>
                <w:szCs w:val="20"/>
                <w:lang w:eastAsia="zh-CN" w:bidi="ar"/>
              </w:rPr>
              <w:t>港兴路中海油横琴调压站</w:t>
            </w:r>
          </w:p>
        </w:tc>
      </w:tr>
    </w:tbl>
    <w:p>
      <w:pPr>
        <w:spacing w:after="120"/>
        <w:ind w:left="0" w:leftChars="0" w:firstLine="0" w:firstLineChars="0"/>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注：1.上述单位仅为潜在合同执行单位，并非最终执行单位。</w:t>
      </w:r>
    </w:p>
    <w:p>
      <w:pPr>
        <w:spacing w:after="120"/>
        <w:ind w:left="440" w:leftChars="200" w:firstLine="0" w:firstLineChars="0"/>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zh-CN"/>
        </w:rPr>
        <w:t>2.甲方有权调整配送单位、地址、合同执行之间而无需乙方同意。</w:t>
      </w:r>
    </w:p>
    <w:p>
      <w:pPr>
        <w:snapToGrid w:val="0"/>
        <w:spacing w:before="120" w:beforeLines="50" w:line="312" w:lineRule="auto"/>
        <w:outlineLvl w:val="1"/>
        <w:rPr>
          <w:rFonts w:ascii="黑体" w:hAnsi="黑体" w:eastAsia="黑体" w:cs="Times New Roman"/>
          <w:kern w:val="2"/>
          <w:sz w:val="28"/>
          <w:szCs w:val="28"/>
          <w:lang w:eastAsia="zh-CN"/>
        </w:rPr>
      </w:pPr>
      <w:bookmarkStart w:id="13" w:name="_Toc256000054"/>
      <w:r>
        <w:rPr>
          <w:rFonts w:hint="eastAsia" w:ascii="黑体" w:hAnsi="黑体" w:eastAsia="黑体" w:cs="Times New Roman"/>
          <w:kern w:val="2"/>
          <w:sz w:val="28"/>
          <w:szCs w:val="28"/>
          <w:lang w:eastAsia="zh-CN"/>
        </w:rPr>
        <w:t>附件</w:t>
      </w:r>
      <w:r>
        <w:rPr>
          <w:rFonts w:ascii="黑体" w:hAnsi="黑体" w:eastAsia="黑体" w:cs="Times New Roman"/>
          <w:kern w:val="2"/>
          <w:sz w:val="28"/>
          <w:szCs w:val="28"/>
          <w:lang w:eastAsia="zh-CN"/>
        </w:rPr>
        <w:t>2</w:t>
      </w:r>
      <w:r>
        <w:rPr>
          <w:rFonts w:hint="eastAsia" w:ascii="黑体" w:hAnsi="黑体" w:eastAsia="黑体" w:cs="Times New Roman"/>
          <w:kern w:val="2"/>
          <w:sz w:val="28"/>
          <w:szCs w:val="28"/>
          <w:lang w:eastAsia="zh-CN"/>
        </w:rPr>
        <w:t>餐饮食材标准</w:t>
      </w:r>
      <w:bookmarkEnd w:id="13"/>
    </w:p>
    <w:p>
      <w:pPr>
        <w:adjustRightInd w:val="0"/>
        <w:snapToGrid w:val="0"/>
        <w:spacing w:before="120" w:beforeLines="50" w:line="312" w:lineRule="auto"/>
        <w:ind w:firstLine="480" w:firstLineChars="200"/>
        <w:jc w:val="both"/>
        <w:rPr>
          <w:rFonts w:ascii="Times New Roman" w:hAnsi="Times New Roman" w:eastAsia="宋体" w:cs="Times New Roman"/>
          <w:bCs/>
          <w:sz w:val="24"/>
          <w:szCs w:val="24"/>
          <w:lang w:eastAsia="zh-CN"/>
        </w:rPr>
      </w:pPr>
      <w:r>
        <w:rPr>
          <w:rFonts w:ascii="Times New Roman" w:hAnsi="Times New Roman" w:eastAsia="宋体" w:cs="Times New Roman"/>
          <w:bCs/>
          <w:sz w:val="24"/>
          <w:szCs w:val="24"/>
          <w:lang w:eastAsia="zh-CN"/>
        </w:rPr>
        <w:t>一、水果类</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1．所有水果必须符合国家有关标准，保证新鲜、无异味、无霉烂变质。</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2．所有水果必须保证食用安全，绝无农药等有害物质的留存。</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3．所有水果在交付采购人前必须经过前期处理，使用率达到99%或以上。</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4．水果种类以苹果、梨子、香蕉、橙子、柑桔以及时令水果。</w:t>
      </w:r>
    </w:p>
    <w:p>
      <w:pPr>
        <w:adjustRightInd w:val="0"/>
        <w:snapToGrid w:val="0"/>
        <w:spacing w:before="120" w:beforeLines="50" w:line="312" w:lineRule="auto"/>
        <w:ind w:firstLine="481" w:firstLineChars="200"/>
        <w:jc w:val="both"/>
        <w:rPr>
          <w:rFonts w:ascii="Times New Roman" w:hAnsi="Times New Roman" w:eastAsia="宋体" w:cs="Times New Roman"/>
          <w:sz w:val="24"/>
          <w:szCs w:val="24"/>
          <w:lang w:eastAsia="zh-CN"/>
        </w:rPr>
      </w:pPr>
      <w:r>
        <w:rPr>
          <w:rFonts w:ascii="Times New Roman" w:hAnsi="Times New Roman" w:eastAsia="宋体" w:cs="Times New Roman"/>
          <w:b/>
          <w:sz w:val="24"/>
          <w:szCs w:val="24"/>
          <w:lang w:eastAsia="zh-CN"/>
        </w:rPr>
        <w:t>苹果：</w:t>
      </w:r>
      <w:r>
        <w:rPr>
          <w:rFonts w:ascii="Times New Roman" w:hAnsi="Times New Roman" w:eastAsia="宋体" w:cs="Times New Roman"/>
          <w:sz w:val="24"/>
          <w:szCs w:val="24"/>
          <w:lang w:eastAsia="zh-CN"/>
        </w:rPr>
        <w:t>具有本品种特有的外形，大小均匀，果面光滑有光泽；具有本品种应有的自然色泽、新鲜洁净、无斑点，不起皱、无裂口、无压痕及其他机械损伤和冻伤黑斑；果身重、硬朗。</w:t>
      </w:r>
    </w:p>
    <w:p>
      <w:pPr>
        <w:adjustRightInd w:val="0"/>
        <w:snapToGrid w:val="0"/>
        <w:spacing w:before="120" w:beforeLines="50" w:line="312" w:lineRule="auto"/>
        <w:ind w:firstLine="481" w:firstLineChars="200"/>
        <w:jc w:val="both"/>
        <w:rPr>
          <w:rFonts w:ascii="Times New Roman" w:hAnsi="Times New Roman" w:eastAsia="宋体" w:cs="Times New Roman"/>
          <w:sz w:val="24"/>
          <w:szCs w:val="24"/>
          <w:lang w:eastAsia="zh-CN"/>
        </w:rPr>
      </w:pPr>
      <w:r>
        <w:rPr>
          <w:rFonts w:ascii="Times New Roman" w:hAnsi="Times New Roman" w:eastAsia="宋体" w:cs="Times New Roman"/>
          <w:b/>
          <w:sz w:val="24"/>
          <w:szCs w:val="24"/>
          <w:lang w:eastAsia="zh-CN"/>
        </w:rPr>
        <w:t>梨子：</w:t>
      </w:r>
      <w:r>
        <w:rPr>
          <w:rFonts w:ascii="Times New Roman" w:hAnsi="Times New Roman" w:eastAsia="宋体" w:cs="Times New Roman"/>
          <w:sz w:val="24"/>
          <w:szCs w:val="24"/>
          <w:lang w:eastAsia="zh-CN"/>
        </w:rPr>
        <w:t>果形端正，大小均匀，无畸形果，带果柄；果面新鲜洁净，无刺划伤，无压痕，无病虫害；重身结实，味道爽甜。</w:t>
      </w:r>
    </w:p>
    <w:p>
      <w:pPr>
        <w:adjustRightInd w:val="0"/>
        <w:snapToGrid w:val="0"/>
        <w:spacing w:before="120" w:beforeLines="50" w:line="312" w:lineRule="auto"/>
        <w:ind w:firstLine="481" w:firstLineChars="200"/>
        <w:jc w:val="both"/>
        <w:rPr>
          <w:rFonts w:ascii="Times New Roman" w:hAnsi="Times New Roman" w:eastAsia="宋体" w:cs="Times New Roman"/>
          <w:sz w:val="24"/>
          <w:szCs w:val="24"/>
          <w:lang w:eastAsia="zh-CN"/>
        </w:rPr>
      </w:pPr>
      <w:r>
        <w:rPr>
          <w:rFonts w:ascii="Times New Roman" w:hAnsi="Times New Roman" w:eastAsia="宋体" w:cs="Times New Roman"/>
          <w:b/>
          <w:sz w:val="24"/>
          <w:szCs w:val="24"/>
          <w:lang w:eastAsia="zh-CN"/>
        </w:rPr>
        <w:t>香蕉：</w:t>
      </w:r>
      <w:r>
        <w:rPr>
          <w:rFonts w:ascii="Times New Roman" w:hAnsi="Times New Roman" w:eastAsia="宋体" w:cs="Times New Roman"/>
          <w:sz w:val="24"/>
          <w:szCs w:val="24"/>
          <w:lang w:eastAsia="zh-CN"/>
        </w:rPr>
        <w:t>果实丰满，果形端正，梳炳完整，不缺只口，单果均匀；色泽自然、光亮；皮色青黄，果面光滑。无病黑斑，无虫疤，无霉菌，无创伤；果肉稍硬；果皮可剥或易剥。</w:t>
      </w:r>
    </w:p>
    <w:p>
      <w:pPr>
        <w:adjustRightInd w:val="0"/>
        <w:snapToGrid w:val="0"/>
        <w:spacing w:before="120" w:beforeLines="50" w:line="312" w:lineRule="auto"/>
        <w:ind w:firstLine="481" w:firstLineChars="200"/>
        <w:jc w:val="both"/>
        <w:rPr>
          <w:rFonts w:ascii="Times New Roman" w:hAnsi="Times New Roman" w:eastAsia="宋体" w:cs="Times New Roman"/>
          <w:sz w:val="24"/>
          <w:szCs w:val="24"/>
          <w:lang w:eastAsia="zh-CN"/>
        </w:rPr>
      </w:pPr>
      <w:r>
        <w:rPr>
          <w:rFonts w:ascii="Times New Roman" w:hAnsi="Times New Roman" w:eastAsia="宋体" w:cs="Times New Roman"/>
          <w:b/>
          <w:sz w:val="24"/>
          <w:szCs w:val="24"/>
          <w:lang w:eastAsia="zh-CN"/>
        </w:rPr>
        <w:t>橙子：</w:t>
      </w:r>
      <w:r>
        <w:rPr>
          <w:rFonts w:ascii="Times New Roman" w:hAnsi="Times New Roman" w:eastAsia="宋体" w:cs="Times New Roman"/>
          <w:sz w:val="24"/>
          <w:szCs w:val="24"/>
          <w:lang w:eastAsia="zh-CN"/>
        </w:rPr>
        <w:t>大小均匀，皮光滑并有光泽，手感重，无机械损伤。难剥离，果汁多，味可口无萎蔫。</w:t>
      </w:r>
    </w:p>
    <w:p>
      <w:pPr>
        <w:adjustRightInd w:val="0"/>
        <w:snapToGrid w:val="0"/>
        <w:spacing w:before="120" w:beforeLines="50" w:line="312" w:lineRule="auto"/>
        <w:ind w:firstLine="481" w:firstLineChars="200"/>
        <w:jc w:val="both"/>
        <w:rPr>
          <w:rFonts w:ascii="Times New Roman" w:hAnsi="Times New Roman" w:eastAsia="宋体" w:cs="Times New Roman"/>
          <w:sz w:val="24"/>
          <w:szCs w:val="24"/>
          <w:lang w:eastAsia="zh-CN"/>
        </w:rPr>
      </w:pPr>
      <w:r>
        <w:rPr>
          <w:rFonts w:ascii="Times New Roman" w:hAnsi="Times New Roman" w:eastAsia="宋体" w:cs="Times New Roman"/>
          <w:b/>
          <w:sz w:val="24"/>
          <w:szCs w:val="24"/>
          <w:lang w:eastAsia="zh-CN"/>
        </w:rPr>
        <w:t>柑桔：</w:t>
      </w:r>
      <w:r>
        <w:rPr>
          <w:rFonts w:ascii="Times New Roman" w:hAnsi="Times New Roman" w:eastAsia="宋体" w:cs="Times New Roman"/>
          <w:sz w:val="24"/>
          <w:szCs w:val="24"/>
          <w:lang w:eastAsia="zh-CN"/>
        </w:rPr>
        <w:t>果实大近似球形，无异状突起瘤、无病虫害所呈现的绿斑、黑斑，无霉烂，无机械伤，果面清新洁净，大小均匀，果实无萎蔫，色泽自然。</w:t>
      </w:r>
    </w:p>
    <w:p>
      <w:pPr>
        <w:adjustRightInd w:val="0"/>
        <w:snapToGrid w:val="0"/>
        <w:spacing w:before="120" w:beforeLines="50" w:line="312" w:lineRule="auto"/>
        <w:ind w:firstLine="480" w:firstLineChars="200"/>
        <w:jc w:val="both"/>
        <w:rPr>
          <w:rFonts w:ascii="Times New Roman" w:hAnsi="Times New Roman" w:eastAsia="宋体" w:cs="Times New Roman"/>
          <w:bCs/>
          <w:sz w:val="24"/>
          <w:szCs w:val="24"/>
          <w:lang w:eastAsia="zh-CN"/>
        </w:rPr>
      </w:pPr>
      <w:r>
        <w:rPr>
          <w:rFonts w:ascii="Times New Roman" w:hAnsi="Times New Roman" w:eastAsia="宋体" w:cs="Times New Roman"/>
          <w:bCs/>
          <w:sz w:val="24"/>
          <w:szCs w:val="24"/>
          <w:lang w:eastAsia="zh-CN"/>
        </w:rPr>
        <w:t>二、粮油面类</w:t>
      </w:r>
    </w:p>
    <w:p>
      <w:pPr>
        <w:adjustRightInd w:val="0"/>
        <w:snapToGrid w:val="0"/>
        <w:spacing w:before="120" w:beforeLines="50" w:line="312" w:lineRule="auto"/>
        <w:ind w:firstLine="481" w:firstLineChars="200"/>
        <w:jc w:val="both"/>
        <w:rPr>
          <w:rFonts w:ascii="Times New Roman" w:hAnsi="Times New Roman" w:eastAsia="宋体" w:cs="Times New Roman"/>
          <w:sz w:val="24"/>
          <w:szCs w:val="24"/>
          <w:lang w:eastAsia="zh-CN"/>
        </w:rPr>
      </w:pPr>
      <w:r>
        <w:rPr>
          <w:rFonts w:ascii="Times New Roman" w:hAnsi="Times New Roman" w:eastAsia="宋体" w:cs="Times New Roman"/>
          <w:b/>
          <w:sz w:val="24"/>
          <w:szCs w:val="24"/>
          <w:lang w:eastAsia="zh-CN"/>
        </w:rPr>
        <w:t>1．供应食材的质量要求：</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1.1大米、调和油、面粉、豆类食材必须为非转基因食材。</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1.2大米、调和油、面粉、豆类食材必须符合卫生，不得有腐烂、变质、油脂酸败、霉变、生虫、污秽不结、混有异物或者其他直观性状异常，并可能对人体健康有害的物质。</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1.3大米、调和油、面粉、豆类食材剩余保存期不得少于原有保质期的三分之二。</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1.4大米、调和油：要提供SC认证、国家机关发出的食材检验合格证书。</w:t>
      </w:r>
      <w:r>
        <w:rPr>
          <w:rFonts w:ascii="Times New Roman" w:hAnsi="Times New Roman" w:eastAsia="宋体" w:cs="Times New Roman"/>
          <w:b/>
          <w:sz w:val="24"/>
          <w:szCs w:val="24"/>
          <w:lang w:eastAsia="zh-CN"/>
        </w:rPr>
        <w:t>包装食品</w:t>
      </w:r>
      <w:r>
        <w:rPr>
          <w:rFonts w:ascii="Times New Roman" w:hAnsi="Times New Roman" w:eastAsia="宋体" w:cs="Times New Roman"/>
          <w:sz w:val="24"/>
          <w:szCs w:val="24"/>
          <w:lang w:eastAsia="zh-CN"/>
        </w:rPr>
        <w:t>：包装箱完整，同时包装箱要印有注册商标、生产厂家名称、厂址、出厂日期、食材合格证、保质期限、食材成份、厂家电话号码。</w:t>
      </w:r>
      <w:r>
        <w:rPr>
          <w:rFonts w:ascii="Times New Roman" w:hAnsi="Times New Roman" w:eastAsia="宋体" w:cs="Times New Roman"/>
          <w:b/>
          <w:sz w:val="24"/>
          <w:szCs w:val="24"/>
          <w:lang w:eastAsia="zh-CN"/>
        </w:rPr>
        <w:t>散装豆类</w:t>
      </w:r>
      <w:r>
        <w:rPr>
          <w:rFonts w:ascii="Times New Roman" w:hAnsi="Times New Roman" w:eastAsia="宋体" w:cs="Times New Roman"/>
          <w:sz w:val="24"/>
          <w:szCs w:val="24"/>
          <w:lang w:eastAsia="zh-CN"/>
        </w:rPr>
        <w:t>：提供生产厂家营业执照、卫生许可证、国家机关发出的食材检验合格证书。乙方所提供食材质量必须要符合行业标准要求，不得有掺假、变质、变味、过期等现象出现，严禁伪劣、假冒、无证不合格食材进入仓库。</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1.5乙方在供应过程中，如果发生出现质量问题或造成食物中毒，如变质等情况，经查实后确属乙方责任，乙方应承担全部责任，主要包括食物中毒人员医疗费、误工费、事故处理费等，直至追究刑事责任。</w:t>
      </w:r>
    </w:p>
    <w:p>
      <w:pPr>
        <w:adjustRightInd w:val="0"/>
        <w:snapToGrid w:val="0"/>
        <w:spacing w:before="120" w:beforeLines="50" w:line="312" w:lineRule="auto"/>
        <w:ind w:firstLine="481" w:firstLineChars="200"/>
        <w:jc w:val="both"/>
        <w:rPr>
          <w:rFonts w:ascii="Times New Roman" w:hAnsi="Times New Roman" w:eastAsia="宋体" w:cs="Times New Roman"/>
          <w:sz w:val="24"/>
          <w:szCs w:val="24"/>
          <w:lang w:eastAsia="zh-CN"/>
        </w:rPr>
      </w:pPr>
      <w:r>
        <w:rPr>
          <w:rFonts w:ascii="Times New Roman" w:hAnsi="Times New Roman" w:eastAsia="宋体" w:cs="Times New Roman"/>
          <w:b/>
          <w:sz w:val="24"/>
          <w:szCs w:val="24"/>
          <w:lang w:eastAsia="zh-CN"/>
        </w:rPr>
        <w:t>2．执行标准：</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2.1大米品种要求为国家标准一级大米，且须为一年内生产的米。</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2.2米类执行标准：以国家最新标准为准，国家标准一级大米，不含添加剂。</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2.3大米的质量标准：除符合标准一级大米外，要求：</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碎米总量≤15%</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小碎米总量≤1%</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不完善粒≤3%</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黄米粒按国家标准执行。</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2.4油类执行标准：以国家最新标准为准。</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2.5油类质量要求：</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食用油品种必须色泽好，透明度高，无浑浊，无沉淀和悬浮物，粘度小，无分层现象，气味正常，无酸臭异味。</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严格执行国家相关质量标准及卫生安全标准，色泽、气味、霉变、真菌毒素、重金属污染物、农药等严格控制在国家标准范围内（原粮及成品粮色泽、气味必须正常。霉变粒不得超过2％。</w:t>
      </w:r>
      <w:r>
        <w:rPr>
          <w:rFonts w:ascii="Times New Roman" w:hAnsi="Times New Roman" w:eastAsia="宋体" w:cs="Times New Roman"/>
          <w:b/>
          <w:sz w:val="24"/>
          <w:szCs w:val="24"/>
          <w:lang w:eastAsia="zh-CN"/>
        </w:rPr>
        <w:t>真菌毒素</w:t>
      </w:r>
      <w:r>
        <w:rPr>
          <w:rFonts w:ascii="Times New Roman" w:hAnsi="Times New Roman" w:eastAsia="宋体" w:cs="Times New Roman"/>
          <w:sz w:val="24"/>
          <w:szCs w:val="24"/>
          <w:lang w:eastAsia="zh-CN"/>
        </w:rPr>
        <w:t>：黄曲霉毒素B1（5</w:t>
      </w:r>
      <w:r>
        <w:rPr>
          <w:rFonts w:ascii="Times New Roman" w:hAnsi="Times New Roman" w:eastAsia="宋体" w:cs="Times New Roman"/>
          <w:sz w:val="24"/>
          <w:szCs w:val="24"/>
        </w:rPr>
        <w:t>μ</w:t>
      </w:r>
      <w:r>
        <w:rPr>
          <w:rFonts w:ascii="Times New Roman" w:hAnsi="Times New Roman" w:eastAsia="宋体" w:cs="Times New Roman"/>
          <w:sz w:val="24"/>
          <w:szCs w:val="24"/>
          <w:lang w:eastAsia="zh-CN"/>
        </w:rPr>
        <w:t>g/kg～20</w:t>
      </w:r>
      <w:r>
        <w:rPr>
          <w:rFonts w:ascii="Times New Roman" w:hAnsi="Times New Roman" w:eastAsia="宋体" w:cs="Times New Roman"/>
          <w:sz w:val="24"/>
          <w:szCs w:val="24"/>
        </w:rPr>
        <w:t>μ</w:t>
      </w:r>
      <w:r>
        <w:rPr>
          <w:rFonts w:ascii="Times New Roman" w:hAnsi="Times New Roman" w:eastAsia="宋体" w:cs="Times New Roman"/>
          <w:sz w:val="24"/>
          <w:szCs w:val="24"/>
          <w:lang w:eastAsia="zh-CN"/>
        </w:rPr>
        <w:t>g/kg）、脱氧雪腐镰刀菌烯醇（≤1000</w:t>
      </w:r>
      <w:r>
        <w:rPr>
          <w:rFonts w:ascii="Times New Roman" w:hAnsi="Times New Roman" w:eastAsia="宋体" w:cs="Times New Roman"/>
          <w:sz w:val="24"/>
          <w:szCs w:val="24"/>
        </w:rPr>
        <w:t>μ</w:t>
      </w:r>
      <w:r>
        <w:rPr>
          <w:rFonts w:ascii="Times New Roman" w:hAnsi="Times New Roman" w:eastAsia="宋体" w:cs="Times New Roman"/>
          <w:sz w:val="24"/>
          <w:szCs w:val="24"/>
          <w:lang w:eastAsia="zh-CN"/>
        </w:rPr>
        <w:t>g/kg）、玉米赤霉烯酮（≤60</w:t>
      </w:r>
      <w:r>
        <w:rPr>
          <w:rFonts w:ascii="Times New Roman" w:hAnsi="Times New Roman" w:eastAsia="宋体" w:cs="Times New Roman"/>
          <w:sz w:val="24"/>
          <w:szCs w:val="24"/>
        </w:rPr>
        <w:t>μ</w:t>
      </w:r>
      <w:r>
        <w:rPr>
          <w:rFonts w:ascii="Times New Roman" w:hAnsi="Times New Roman" w:eastAsia="宋体" w:cs="Times New Roman"/>
          <w:sz w:val="24"/>
          <w:szCs w:val="24"/>
          <w:lang w:eastAsia="zh-CN"/>
        </w:rPr>
        <w:t>g/kg）、赭曲霉毒素A（5</w:t>
      </w:r>
      <w:r>
        <w:rPr>
          <w:rFonts w:ascii="Times New Roman" w:hAnsi="Times New Roman" w:eastAsia="宋体" w:cs="Times New Roman"/>
          <w:sz w:val="24"/>
          <w:szCs w:val="24"/>
        </w:rPr>
        <w:t>μ</w:t>
      </w:r>
      <w:r>
        <w:rPr>
          <w:rFonts w:ascii="Times New Roman" w:hAnsi="Times New Roman" w:eastAsia="宋体" w:cs="Times New Roman"/>
          <w:sz w:val="24"/>
          <w:szCs w:val="24"/>
          <w:lang w:eastAsia="zh-CN"/>
        </w:rPr>
        <w:t>g/kg）。重金属污染物：铅（≤0.2mg/kg）、镉(0.1 mg/kg～0.2 mg/kg)、汞（0.02 mg/kg）、无机砷（0.1 mg/kg～0.2 mg/kg）。农药：对磷化物、马拉硫磷等140余种农药规定了最大残留限量）。并根据用户需求的食用油等级保质保量完成供货。</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要求提供的食用油生产厂家信誉良好，有明确的食材标签，有生产日期、保质期、质量等级，并标明初制油的加工工艺(即用浸出法生产，还是用压榨法生产的)和是否用转基因油料生产，不得以次充好、以假乱真。如将毛油当一级或二级油进行销售，将低价位的植物油掺入高价位植物油中进行销售，牟取暴利，一经查处，乙方将承担全部责任。</w:t>
      </w:r>
    </w:p>
    <w:p>
      <w:pPr>
        <w:adjustRightInd w:val="0"/>
        <w:snapToGrid w:val="0"/>
        <w:spacing w:before="120" w:beforeLines="50" w:line="312" w:lineRule="auto"/>
        <w:ind w:firstLine="480" w:firstLineChars="200"/>
        <w:jc w:val="both"/>
        <w:rPr>
          <w:rFonts w:ascii="Times New Roman" w:hAnsi="Times New Roman" w:eastAsia="宋体" w:cs="Times New Roman"/>
          <w:bCs/>
          <w:sz w:val="24"/>
          <w:szCs w:val="24"/>
          <w:lang w:eastAsia="zh-CN"/>
        </w:rPr>
      </w:pPr>
      <w:r>
        <w:rPr>
          <w:rFonts w:ascii="Times New Roman" w:hAnsi="Times New Roman" w:eastAsia="宋体" w:cs="Times New Roman"/>
          <w:bCs/>
          <w:sz w:val="24"/>
          <w:szCs w:val="24"/>
          <w:lang w:eastAsia="zh-CN"/>
        </w:rPr>
        <w:t>三、米面豆制品</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生干面制品（挂面、排粉、通心粉),生湿面制品（面条、切面、饺子皮、馄饨皮、烧麦皮等），米粉制品（米粉、米线、年糕、春卷皮、河粉、粿条等）</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1.原料应符合相应绿色食品标准要求。</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2.食品添加剂应符合NY/T 392的规定。</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3.加工用水应符合GB 5749的规定。</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4.生产过程应符合GB 5749的规定。</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面制品：色泽均匀一致；外表光滑有韧性；无酸味、霉味；无杂质；煮熟后，口感不粘，不牙碜，柔软爽口。</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米制品：颜色呈白色、色泽基本均匀一致；气味正常，无异味；组织形态基本均匀一致，表面光滑，口感爽滑，有韧感，不夹生，不粘牙；无杂质。</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油面筋：颜色金黄，光亮；外形完整、松空脆轻，油香味浓。</w:t>
      </w:r>
    </w:p>
    <w:p>
      <w:pPr>
        <w:adjustRightInd w:val="0"/>
        <w:snapToGrid w:val="0"/>
        <w:spacing w:before="120" w:beforeLines="50" w:line="312" w:lineRule="auto"/>
        <w:ind w:firstLine="480" w:firstLineChars="200"/>
        <w:jc w:val="both"/>
        <w:rPr>
          <w:rFonts w:ascii="Times New Roman" w:hAnsi="Times New Roman" w:eastAsia="宋体" w:cs="Times New Roman"/>
          <w:bCs/>
          <w:sz w:val="24"/>
          <w:szCs w:val="24"/>
          <w:lang w:eastAsia="zh-CN"/>
        </w:rPr>
      </w:pPr>
      <w:r>
        <w:rPr>
          <w:rFonts w:ascii="Times New Roman" w:hAnsi="Times New Roman" w:eastAsia="宋体" w:cs="Times New Roman"/>
          <w:bCs/>
          <w:sz w:val="24"/>
          <w:szCs w:val="24"/>
          <w:lang w:eastAsia="zh-CN"/>
        </w:rPr>
        <w:t>四、瓜果蔬菜类</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1．食材质量及验收标准：</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色泽新鲜，不脱水，无腐烂，无虫害。乙方所供应的食材必须为正规厂家的食材，来源必须清晰。蔬菜来源应当于受到地方政府部门监管的自有基地、蔬菜基地或蔬菜专业流通市场，严禁收购散户农民的蔬菜供应。瓜、果、蔬菜必须是优质食材，不得含有残留农药或污染物，乙方必须保证所供应的蔬菜符合卫生质量标准，同时承担因所供蔬菜问题引起的一切事故后果。卫生质量指标，应符合我国无公害蔬菜上的卫生指标规定。</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2．蔬菜包装与标志要求</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包装：容器（框、箱、袋）要求清洁、干燥、牢固、透气，无污染、无异味、无霉变现象。</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标志：每件包装必须按《农产品包装和标示管理办法》贴标签，并标明产地、品种、净含量、生产单位及地址和采收日期。</w:t>
      </w: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25"/>
        <w:gridCol w:w="42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b/>
                <w:sz w:val="24"/>
                <w:szCs w:val="24"/>
              </w:rPr>
              <w:t>项目</w:t>
            </w:r>
          </w:p>
        </w:tc>
        <w:tc>
          <w:tcPr>
            <w:tcW w:w="4281"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b/>
                <w:sz w:val="24"/>
                <w:szCs w:val="24"/>
              </w:rPr>
              <w:t>指标（mg/kg）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甲胺磷</w:t>
            </w:r>
          </w:p>
        </w:tc>
        <w:tc>
          <w:tcPr>
            <w:tcW w:w="4281"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不得检出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甲拌磷</w:t>
            </w:r>
          </w:p>
        </w:tc>
        <w:tc>
          <w:tcPr>
            <w:tcW w:w="4281"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不得检出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025"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氧化乐果</w:t>
            </w:r>
          </w:p>
        </w:tc>
        <w:tc>
          <w:tcPr>
            <w:tcW w:w="4281"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不得检出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甲基对硫磷</w:t>
            </w:r>
          </w:p>
        </w:tc>
        <w:tc>
          <w:tcPr>
            <w:tcW w:w="4281"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不得检出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呋喃丹</w:t>
            </w:r>
          </w:p>
        </w:tc>
        <w:tc>
          <w:tcPr>
            <w:tcW w:w="4281"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不得检出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single" w:color="auto" w:sz="4" w:space="0"/>
              <w:left w:val="single" w:color="000000" w:sz="4" w:space="0"/>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百菌清</w:t>
            </w:r>
          </w:p>
        </w:tc>
        <w:tc>
          <w:tcPr>
            <w:tcW w:w="4281" w:type="dxa"/>
            <w:tcBorders>
              <w:top w:val="single" w:color="auto" w:sz="4" w:space="0"/>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025" w:type="dxa"/>
            <w:tcBorders>
              <w:top w:val="nil"/>
              <w:left w:val="single" w:color="000000" w:sz="4" w:space="0"/>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多菌灵</w:t>
            </w:r>
          </w:p>
        </w:tc>
        <w:tc>
          <w:tcPr>
            <w:tcW w:w="428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nil"/>
              <w:left w:val="single" w:color="000000" w:sz="4" w:space="0"/>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克百威</w:t>
            </w:r>
          </w:p>
        </w:tc>
        <w:tc>
          <w:tcPr>
            <w:tcW w:w="428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nil"/>
              <w:left w:val="single" w:color="000000" w:sz="4" w:space="0"/>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汞（以Hg计）</w:t>
            </w:r>
          </w:p>
        </w:tc>
        <w:tc>
          <w:tcPr>
            <w:tcW w:w="428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nil"/>
              <w:left w:val="single" w:color="000000" w:sz="4" w:space="0"/>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铅（以Pb计）</w:t>
            </w:r>
          </w:p>
        </w:tc>
        <w:tc>
          <w:tcPr>
            <w:tcW w:w="428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025" w:type="dxa"/>
            <w:tcBorders>
              <w:top w:val="nil"/>
              <w:left w:val="single" w:color="000000" w:sz="4" w:space="0"/>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砷（以As计）</w:t>
            </w:r>
          </w:p>
        </w:tc>
        <w:tc>
          <w:tcPr>
            <w:tcW w:w="428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nil"/>
              <w:left w:val="single" w:color="000000" w:sz="4" w:space="0"/>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氟（以F计）</w:t>
            </w:r>
          </w:p>
        </w:tc>
        <w:tc>
          <w:tcPr>
            <w:tcW w:w="428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nil"/>
              <w:left w:val="single" w:color="000000" w:sz="4" w:space="0"/>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硝酸盐（以NaNO3计）</w:t>
            </w:r>
          </w:p>
        </w:tc>
        <w:tc>
          <w:tcPr>
            <w:tcW w:w="428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瓜果类≤600；叶菜根茎类≤1200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25" w:type="dxa"/>
            <w:tcBorders>
              <w:top w:val="nil"/>
              <w:left w:val="single" w:color="000000" w:sz="4" w:space="0"/>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亚硝酸盐（以NaNO2计）</w:t>
            </w:r>
          </w:p>
        </w:tc>
        <w:tc>
          <w:tcPr>
            <w:tcW w:w="428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≤4</w:t>
            </w:r>
          </w:p>
        </w:tc>
      </w:tr>
    </w:tbl>
    <w:p>
      <w:pPr>
        <w:adjustRightInd w:val="0"/>
        <w:snapToGrid w:val="0"/>
        <w:spacing w:before="120" w:beforeLines="50" w:line="312" w:lineRule="auto"/>
        <w:ind w:firstLine="481" w:firstLineChars="200"/>
        <w:jc w:val="both"/>
        <w:rPr>
          <w:rFonts w:ascii="Times New Roman" w:hAnsi="Times New Roman" w:eastAsia="宋体" w:cs="Times New Roman"/>
          <w:sz w:val="24"/>
          <w:szCs w:val="24"/>
        </w:rPr>
      </w:pPr>
      <w:r>
        <w:rPr>
          <w:rFonts w:ascii="Times New Roman" w:hAnsi="Times New Roman" w:eastAsia="宋体" w:cs="Times New Roman"/>
          <w:b/>
          <w:sz w:val="24"/>
          <w:szCs w:val="24"/>
        </w:rPr>
        <w:t>3．瓜果蔬菜具体要求：</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3.1</w:t>
      </w:r>
      <w:r>
        <w:rPr>
          <w:rFonts w:ascii="Times New Roman" w:hAnsi="Times New Roman" w:eastAsia="宋体" w:cs="Times New Roman"/>
          <w:b/>
          <w:sz w:val="24"/>
          <w:szCs w:val="24"/>
          <w:lang w:eastAsia="zh-CN"/>
        </w:rPr>
        <w:t>蔬菜色泽</w:t>
      </w:r>
      <w:r>
        <w:rPr>
          <w:rFonts w:ascii="Times New Roman" w:hAnsi="Times New Roman" w:eastAsia="宋体" w:cs="Times New Roman"/>
          <w:sz w:val="24"/>
          <w:szCs w:val="24"/>
          <w:lang w:eastAsia="zh-CN"/>
        </w:rPr>
        <w:t>：各种蔬菜都应具有本品种固有的颜色，大多数有发亮的光泽；</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3.2</w:t>
      </w:r>
      <w:r>
        <w:rPr>
          <w:rFonts w:ascii="Times New Roman" w:hAnsi="Times New Roman" w:eastAsia="宋体" w:cs="Times New Roman"/>
          <w:b/>
          <w:sz w:val="24"/>
          <w:szCs w:val="24"/>
          <w:lang w:eastAsia="zh-CN"/>
        </w:rPr>
        <w:t>蔬菜气味</w:t>
      </w:r>
      <w:r>
        <w:rPr>
          <w:rFonts w:ascii="Times New Roman" w:hAnsi="Times New Roman" w:eastAsia="宋体" w:cs="Times New Roman"/>
          <w:sz w:val="24"/>
          <w:szCs w:val="24"/>
          <w:lang w:eastAsia="zh-CN"/>
        </w:rPr>
        <w:t>：不允许有腐烂变质的亚硝酸盐味和其他异常气味；</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3.3</w:t>
      </w:r>
      <w:r>
        <w:rPr>
          <w:rFonts w:ascii="Times New Roman" w:hAnsi="Times New Roman" w:eastAsia="宋体" w:cs="Times New Roman"/>
          <w:b/>
          <w:sz w:val="24"/>
          <w:szCs w:val="24"/>
          <w:lang w:eastAsia="zh-CN"/>
        </w:rPr>
        <w:t>蔬菜滋味</w:t>
      </w:r>
      <w:r>
        <w:rPr>
          <w:rFonts w:ascii="Times New Roman" w:hAnsi="Times New Roman" w:eastAsia="宋体" w:cs="Times New Roman"/>
          <w:sz w:val="24"/>
          <w:szCs w:val="24"/>
          <w:lang w:eastAsia="zh-CN"/>
        </w:rPr>
        <w:t>：因品种不同而各异，多数蔬菜滋味甘淡、甜酸、清爽鲜美，少数具有辛酸、苦涩等特殊风味以刺激食欲，如失去本品种原有的滋味即为异常；</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3.4</w:t>
      </w:r>
      <w:r>
        <w:rPr>
          <w:rFonts w:ascii="Times New Roman" w:hAnsi="Times New Roman" w:eastAsia="宋体" w:cs="Times New Roman"/>
          <w:b/>
          <w:sz w:val="24"/>
          <w:szCs w:val="24"/>
          <w:lang w:eastAsia="zh-CN"/>
        </w:rPr>
        <w:t>从蔬菜形态看</w:t>
      </w:r>
      <w:r>
        <w:rPr>
          <w:rFonts w:ascii="Times New Roman" w:hAnsi="Times New Roman" w:eastAsia="宋体" w:cs="Times New Roman"/>
          <w:sz w:val="24"/>
          <w:szCs w:val="24"/>
          <w:lang w:eastAsia="zh-CN"/>
        </w:rPr>
        <w:t>：无如萎蔫、枯塌、损伤、病变、虫害侵蚀等引起的形态异常或不新鲜等蔬菜。</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3.5</w:t>
      </w:r>
      <w:r>
        <w:rPr>
          <w:rFonts w:ascii="Times New Roman" w:hAnsi="Times New Roman" w:eastAsia="宋体" w:cs="Times New Roman"/>
          <w:b/>
          <w:sz w:val="24"/>
          <w:szCs w:val="24"/>
          <w:lang w:eastAsia="zh-CN"/>
        </w:rPr>
        <w:t>叶菜类</w:t>
      </w:r>
      <w:r>
        <w:rPr>
          <w:rFonts w:ascii="Times New Roman" w:hAnsi="Times New Roman" w:eastAsia="宋体" w:cs="Times New Roman"/>
          <w:sz w:val="24"/>
          <w:szCs w:val="24"/>
          <w:lang w:eastAsia="zh-CN"/>
        </w:rPr>
        <w:t>：大白菜、小白菜、菠菜、甘蓝、荠菜、空心菜、茼蒿、苋菜、芹菜等绿叶菜类。肉质鲜嫩形态好，色泽正常，茎基部削平，无枯黄叶、病叶、泥土、明显机械伤和病虫害伤，无烧心焦边、腐烂等现象，无抽苔（菜心除外），无畸形、异味，结球叶菜要结球适度，花椰菜应新鲜洁白，不带叶麸，无畸形花。</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3.6</w:t>
      </w:r>
      <w:r>
        <w:rPr>
          <w:rFonts w:ascii="Times New Roman" w:hAnsi="Times New Roman" w:eastAsia="宋体" w:cs="Times New Roman"/>
          <w:b/>
          <w:sz w:val="24"/>
          <w:szCs w:val="24"/>
          <w:lang w:eastAsia="zh-CN"/>
        </w:rPr>
        <w:t>茄果类</w:t>
      </w:r>
      <w:r>
        <w:rPr>
          <w:rFonts w:ascii="Times New Roman" w:hAnsi="Times New Roman" w:eastAsia="宋体" w:cs="Times New Roman"/>
          <w:sz w:val="24"/>
          <w:szCs w:val="24"/>
          <w:lang w:eastAsia="zh-CN"/>
        </w:rPr>
        <w:t>：番茄、茄子、甜椒、辣椒等。果实整洁，成熟度适中；番茄花蒂不明显，无裂果及空洞现象，茄果不能有裂蒂及果皮变硬现象，无腐烂、畸形、异味，无明显机械伤。</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3.7</w:t>
      </w:r>
      <w:r>
        <w:rPr>
          <w:rFonts w:ascii="Times New Roman" w:hAnsi="Times New Roman" w:eastAsia="宋体" w:cs="Times New Roman"/>
          <w:b/>
          <w:sz w:val="24"/>
          <w:szCs w:val="24"/>
          <w:lang w:eastAsia="zh-CN"/>
        </w:rPr>
        <w:t>瓜类</w:t>
      </w:r>
      <w:r>
        <w:rPr>
          <w:rFonts w:ascii="Times New Roman" w:hAnsi="Times New Roman" w:eastAsia="宋体" w:cs="Times New Roman"/>
          <w:sz w:val="24"/>
          <w:szCs w:val="24"/>
          <w:lang w:eastAsia="zh-CN"/>
        </w:rPr>
        <w:t>：黄瓜、冬瓜、丝瓜、苦瓜、南瓜、毛节瓜等。形状、色泽一致，瓜条均匀，无疤点，无断裂，无腐烂、畸形、异味、明显机械伤，不带泥土。</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3.8</w:t>
      </w:r>
      <w:r>
        <w:rPr>
          <w:rFonts w:ascii="Times New Roman" w:hAnsi="Times New Roman" w:eastAsia="宋体" w:cs="Times New Roman"/>
          <w:b/>
          <w:sz w:val="24"/>
          <w:szCs w:val="24"/>
          <w:lang w:eastAsia="zh-CN"/>
        </w:rPr>
        <w:t>根菜类</w:t>
      </w:r>
      <w:r>
        <w:rPr>
          <w:rFonts w:ascii="Times New Roman" w:hAnsi="Times New Roman" w:eastAsia="宋体" w:cs="Times New Roman"/>
          <w:sz w:val="24"/>
          <w:szCs w:val="24"/>
          <w:lang w:eastAsia="zh-CN"/>
        </w:rPr>
        <w:t>：萝卜、胡萝卜等。皮细光滑，大小均匀，肉质脆嫩致密新鲜，无腐烂、畸形、裂痕、糠心、异味，不带泥沙，不带茎叶和须根。</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3.9</w:t>
      </w:r>
      <w:r>
        <w:rPr>
          <w:rFonts w:ascii="Times New Roman" w:hAnsi="Times New Roman" w:eastAsia="宋体" w:cs="Times New Roman"/>
          <w:b/>
          <w:sz w:val="24"/>
          <w:szCs w:val="24"/>
          <w:lang w:eastAsia="zh-CN"/>
        </w:rPr>
        <w:t>薯芋类</w:t>
      </w:r>
      <w:r>
        <w:rPr>
          <w:rFonts w:ascii="Times New Roman" w:hAnsi="Times New Roman" w:eastAsia="宋体" w:cs="Times New Roman"/>
          <w:sz w:val="24"/>
          <w:szCs w:val="24"/>
          <w:lang w:eastAsia="zh-CN"/>
        </w:rPr>
        <w:t>：马铃薯、芋、姜等。色泽一致，不带泥沙，不带须根、茎叶，不干瘪，无腐烂、畸形、异味、明显机械伤、病虫害斑；马铃薯无发芽，皮不变绿。</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3.10</w:t>
      </w:r>
      <w:r>
        <w:rPr>
          <w:rFonts w:ascii="Times New Roman" w:hAnsi="Times New Roman" w:eastAsia="宋体" w:cs="Times New Roman"/>
          <w:b/>
          <w:sz w:val="24"/>
          <w:szCs w:val="24"/>
          <w:lang w:eastAsia="zh-CN"/>
        </w:rPr>
        <w:t>葱蒜类</w:t>
      </w:r>
      <w:r>
        <w:rPr>
          <w:rFonts w:ascii="Times New Roman" w:hAnsi="Times New Roman" w:eastAsia="宋体" w:cs="Times New Roman"/>
          <w:sz w:val="24"/>
          <w:szCs w:val="24"/>
          <w:lang w:eastAsia="zh-CN"/>
        </w:rPr>
        <w:t>：葱、蒜、韭菜、洋葱等。允许葱、青蒜类保留干净须根；葱、蒜、韭菜不带老叶；蒜头、洋葱去根去枯叶；可食部分新鲜幼嫩，无腐烂、畸形、异味。</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3.11</w:t>
      </w:r>
      <w:r>
        <w:rPr>
          <w:rFonts w:ascii="Times New Roman" w:hAnsi="Times New Roman" w:eastAsia="宋体" w:cs="Times New Roman"/>
          <w:b/>
          <w:sz w:val="24"/>
          <w:szCs w:val="24"/>
          <w:lang w:eastAsia="zh-CN"/>
        </w:rPr>
        <w:t>豆类</w:t>
      </w:r>
      <w:r>
        <w:rPr>
          <w:rFonts w:ascii="Times New Roman" w:hAnsi="Times New Roman" w:eastAsia="宋体" w:cs="Times New Roman"/>
          <w:sz w:val="24"/>
          <w:szCs w:val="24"/>
          <w:lang w:eastAsia="zh-CN"/>
        </w:rPr>
        <w:t>：扁豆、豌豆、毛豆等。形态完整，成熟度适中，无腐烂、畸形、异味，豆荚类新鲜、幼嫩、均匀，豆仁类籽粒饱满，较均匀，无发芽，不带泥土杂质。</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3.12</w:t>
      </w:r>
      <w:r>
        <w:rPr>
          <w:rFonts w:ascii="Times New Roman" w:hAnsi="Times New Roman" w:eastAsia="宋体" w:cs="Times New Roman"/>
          <w:b/>
          <w:sz w:val="24"/>
          <w:szCs w:val="24"/>
          <w:lang w:eastAsia="zh-CN"/>
        </w:rPr>
        <w:t>水生菜类</w:t>
      </w:r>
      <w:r>
        <w:rPr>
          <w:rFonts w:ascii="Times New Roman" w:hAnsi="Times New Roman" w:eastAsia="宋体" w:cs="Times New Roman"/>
          <w:sz w:val="24"/>
          <w:szCs w:val="24"/>
          <w:lang w:eastAsia="zh-CN"/>
        </w:rPr>
        <w:t>：藕、慈菇、茭白、马蹄、菱等。肉质嫩，成熟度适中，无腐烂、畸形、异味，无明显机械伤，不带泥土和杂质，不干瘪，茭白不黑心。</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3.13</w:t>
      </w:r>
      <w:r>
        <w:rPr>
          <w:rFonts w:ascii="Times New Roman" w:hAnsi="Times New Roman" w:eastAsia="宋体" w:cs="Times New Roman"/>
          <w:b/>
          <w:sz w:val="24"/>
          <w:szCs w:val="24"/>
          <w:lang w:eastAsia="zh-CN"/>
        </w:rPr>
        <w:t>食用菌类</w:t>
      </w:r>
      <w:r>
        <w:rPr>
          <w:rFonts w:ascii="Times New Roman" w:hAnsi="Times New Roman" w:eastAsia="宋体" w:cs="Times New Roman"/>
          <w:sz w:val="24"/>
          <w:szCs w:val="24"/>
          <w:lang w:eastAsia="zh-CN"/>
        </w:rPr>
        <w:t>：蘑菇、草菇、香菇、木耳等。蘑菇、草菇菌盖圆整略展开，柄粗壮，菌膜紧，菇柄切削平整，不浸泡水（蘑菇允许浸盐水保鲜）；新鲜，无杂质，无畸形菇，无腐烂、异味。</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3.14</w:t>
      </w:r>
      <w:r>
        <w:rPr>
          <w:rFonts w:ascii="Times New Roman" w:hAnsi="Times New Roman" w:eastAsia="宋体" w:cs="Times New Roman"/>
          <w:b/>
          <w:sz w:val="24"/>
          <w:szCs w:val="24"/>
          <w:lang w:eastAsia="zh-CN"/>
        </w:rPr>
        <w:t>芽苗类</w:t>
      </w:r>
      <w:r>
        <w:rPr>
          <w:rFonts w:ascii="Times New Roman" w:hAnsi="Times New Roman" w:eastAsia="宋体" w:cs="Times New Roman"/>
          <w:sz w:val="24"/>
          <w:szCs w:val="24"/>
          <w:lang w:eastAsia="zh-CN"/>
        </w:rPr>
        <w:t>：绿豆芽、黄豆芽、香樁苗等。芽苗幼嫩，不带豆壳杂质，新鲜，不浸水，无腐烂、异味。</w:t>
      </w:r>
    </w:p>
    <w:p>
      <w:pPr>
        <w:adjustRightInd w:val="0"/>
        <w:snapToGrid w:val="0"/>
        <w:spacing w:before="120" w:beforeLines="50" w:line="312" w:lineRule="auto"/>
        <w:ind w:firstLine="480" w:firstLineChars="200"/>
        <w:jc w:val="both"/>
        <w:rPr>
          <w:rFonts w:ascii="Times New Roman" w:hAnsi="Times New Roman" w:eastAsia="宋体" w:cs="Times New Roman"/>
          <w:bCs/>
          <w:sz w:val="24"/>
          <w:szCs w:val="24"/>
          <w:lang w:eastAsia="zh-CN"/>
        </w:rPr>
      </w:pPr>
      <w:r>
        <w:rPr>
          <w:rFonts w:ascii="Times New Roman" w:hAnsi="Times New Roman" w:eastAsia="宋体" w:cs="Times New Roman"/>
          <w:bCs/>
          <w:sz w:val="24"/>
          <w:szCs w:val="24"/>
          <w:lang w:eastAsia="zh-CN"/>
        </w:rPr>
        <w:t>五、禽肉蛋类</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所供食材必须符合《中华人民共和国食品安全法》要求，保证无异味、无霉烂变质；保证货真价实，能提供相应批次的检验合格证明。</w:t>
      </w: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630"/>
        <w:gridCol w:w="990"/>
        <w:gridCol w:w="795"/>
        <w:gridCol w:w="58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single" w:color="000000" w:sz="4" w:space="0"/>
              <w:left w:val="single" w:color="000000" w:sz="4" w:space="0"/>
              <w:bottom w:val="single" w:color="000000" w:sz="4" w:space="0"/>
              <w:right w:val="single" w:color="000000" w:sz="4" w:space="0"/>
            </w:tcBorders>
            <w:shd w:val="clear" w:color="auto" w:fill="D9D9D9"/>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b/>
                <w:color w:val="000000"/>
                <w:sz w:val="24"/>
                <w:szCs w:val="24"/>
              </w:rPr>
              <w:t>序号</w:t>
            </w:r>
          </w:p>
        </w:tc>
        <w:tc>
          <w:tcPr>
            <w:tcW w:w="990" w:type="dxa"/>
            <w:tcBorders>
              <w:top w:val="single" w:color="000000" w:sz="4" w:space="0"/>
              <w:left w:val="nil"/>
              <w:bottom w:val="single" w:color="000000" w:sz="4" w:space="0"/>
              <w:right w:val="single" w:color="000000" w:sz="4" w:space="0"/>
            </w:tcBorders>
            <w:shd w:val="clear" w:color="auto" w:fill="D9D9D9"/>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b/>
                <w:color w:val="000000"/>
                <w:sz w:val="24"/>
                <w:szCs w:val="24"/>
              </w:rPr>
              <w:t>品名</w:t>
            </w:r>
          </w:p>
        </w:tc>
        <w:tc>
          <w:tcPr>
            <w:tcW w:w="795" w:type="dxa"/>
            <w:tcBorders>
              <w:top w:val="single" w:color="000000" w:sz="4" w:space="0"/>
              <w:left w:val="nil"/>
              <w:bottom w:val="single" w:color="000000" w:sz="4" w:space="0"/>
              <w:right w:val="single" w:color="000000" w:sz="4" w:space="0"/>
            </w:tcBorders>
            <w:shd w:val="clear" w:color="auto" w:fill="D9D9D9"/>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b/>
                <w:color w:val="000000"/>
                <w:sz w:val="24"/>
                <w:szCs w:val="24"/>
              </w:rPr>
              <w:t>单位</w:t>
            </w:r>
          </w:p>
        </w:tc>
        <w:tc>
          <w:tcPr>
            <w:tcW w:w="5892" w:type="dxa"/>
            <w:tcBorders>
              <w:top w:val="single" w:color="000000" w:sz="4" w:space="0"/>
              <w:left w:val="nil"/>
              <w:bottom w:val="single" w:color="000000" w:sz="4" w:space="0"/>
              <w:right w:val="single" w:color="000000" w:sz="4" w:space="0"/>
            </w:tcBorders>
            <w:shd w:val="clear" w:color="auto" w:fill="D9D9D9"/>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b/>
                <w:color w:val="000000"/>
                <w:sz w:val="24"/>
                <w:szCs w:val="24"/>
              </w:rPr>
              <w:t>质量要求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边鸡</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整鸡表皮光滑，新鲜肥嫩，无头，无颈，无内脏，重约0.6-1kg，鸡肉的眼球饱满或平坦，皮肤有光泽，因品种不同而呈黄、浅黄、淡红、灰白等色，肌肉切面有光泽，外表微湿润，不粘手。解冻指压后的凹陷恢复慢，且不能完全恢复，具有鸡的正常气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2</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边鸭</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表皮光滑，新鲜肥嫩，无头，无颈，无内脏，重约0.6-1kg，外表微湿润，不粘手，解冻指压后的凹陷恢复慢，且不能完全恢复，具有鸭的正常气味。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3</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白条鸡</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整鸡表皮光滑，新鲜肥嫩，有头颈，有腿翅，无内脏，规格从0.6kg—1.5kg，鸡肉的眼球饱满或平坦，皮肤有光泽，因品种不同而呈黄、浅黄、淡红、灰白等色，肌肉切面有光泽，外表微湿润，不粘手，解冻指压后的凹陷恢复慢，且不能完全恢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4</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白条鸭</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表皮光滑，新鲜肥嫩，无内脏，每只不低于1kg，鸭的眼球饱满或平坦，皮肤有光泽，在品种不同而呈黄、浅黄、淡红、灰白等色，肌肉切面有光泽，外表微湿润，不粘手，解冻指压后的凹陷恢复慢，且不能完全恢复，具有鸭的正常气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5</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鸡壳</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整鸡去肉，即鸡骨架，有颈无头,新鲜，无内脏，骨架颜色纯正，重约0.25kg，外表微湿润，不粘手，具有鸡的正常气味。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6</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鸡腿</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以干净、新鲜、无异味，大小适合规格要求为标准。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7</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鸡翅</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以干净、新鲜、无异味，大小适合规格要求为标准。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8</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鸡翅根</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以干净、新鲜、无异味，大小适合规格要求为标准。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9</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鸡翅尖</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以干净、新鲜、无异味，大小适合规格要求为标准。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10</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鸡爪</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品质新鲜、呈白色或者灰白色、无黄皮趾壳、无血污、血水、无残缺、脚趾根上无黑斑。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11</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鸭腿</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以干净、新鲜、无异味，大小适合规格要求为标准。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12</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光鹅</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外表具有其固有的表皮颜色，肌肉切面有光泽、无绿、紫等异常颜色，无残羽、无破损、无残缺、新切面不发沾；眼球无干缩凹陷或晶体状浑浊现象；具有其固有气味、无异味。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13</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鹅掌</w:t>
            </w:r>
          </w:p>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鸭掌</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个体均匀、无杂毛、干净新鲜。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14</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乳鸽</w:t>
            </w:r>
          </w:p>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鹧鸪</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无破皮、无血斑、内脏喉咙掏净、个体均匀、无病态（皮肉颜色翻红）、无注水。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63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15</w:t>
            </w:r>
          </w:p>
        </w:tc>
        <w:tc>
          <w:tcPr>
            <w:tcW w:w="990"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蛋类</w:t>
            </w:r>
          </w:p>
        </w:tc>
        <w:tc>
          <w:tcPr>
            <w:tcW w:w="795"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892"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新鲜、清洁、完整、无破损；</w:t>
            </w:r>
          </w:p>
        </w:tc>
      </w:tr>
    </w:tbl>
    <w:p>
      <w:pPr>
        <w:adjustRightInd w:val="0"/>
        <w:snapToGrid w:val="0"/>
        <w:spacing w:before="120" w:beforeLines="50" w:line="312" w:lineRule="auto"/>
        <w:ind w:firstLine="480" w:firstLineChars="200"/>
        <w:jc w:val="both"/>
        <w:rPr>
          <w:rFonts w:ascii="Times New Roman" w:hAnsi="Times New Roman" w:eastAsia="宋体" w:cs="Times New Roman"/>
          <w:bCs/>
          <w:sz w:val="24"/>
          <w:szCs w:val="24"/>
          <w:lang w:eastAsia="zh-CN"/>
        </w:rPr>
      </w:pPr>
      <w:r>
        <w:rPr>
          <w:rFonts w:ascii="Times New Roman" w:hAnsi="Times New Roman" w:eastAsia="宋体" w:cs="Times New Roman"/>
          <w:bCs/>
          <w:sz w:val="24"/>
          <w:szCs w:val="24"/>
          <w:lang w:eastAsia="zh-CN"/>
        </w:rPr>
        <w:t>六、活鲜水产类</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所有食材应保持较好的外观和质量等级，符合国家食品部门的有关标准，必须来源于正规厂商。保证无异味、无霉烂变质，交货时必须提供本批次的出库检验合格证明，随车通行。其中，鲜活鱼类（草鱼、大头鱼、白鲫等）的质量要求为：鱼眼睛清亮，角膜透明，眼球略微隆起，鳍展平张开，鳞片上覆有冻结的透明黏液层，皮肤天然色泽明显。</w:t>
      </w:r>
    </w:p>
    <w:p>
      <w:pPr>
        <w:adjustRightInd w:val="0"/>
        <w:snapToGrid w:val="0"/>
        <w:spacing w:before="120" w:beforeLines="50" w:line="312" w:lineRule="auto"/>
        <w:ind w:firstLine="480" w:firstLineChars="200"/>
        <w:jc w:val="both"/>
        <w:rPr>
          <w:rFonts w:ascii="Times New Roman" w:hAnsi="Times New Roman" w:eastAsia="宋体" w:cs="Times New Roman"/>
          <w:bCs/>
          <w:sz w:val="24"/>
          <w:szCs w:val="24"/>
          <w:lang w:eastAsia="zh-CN"/>
        </w:rPr>
      </w:pPr>
      <w:r>
        <w:rPr>
          <w:rFonts w:ascii="Times New Roman" w:hAnsi="Times New Roman" w:eastAsia="宋体" w:cs="Times New Roman"/>
          <w:bCs/>
          <w:sz w:val="24"/>
          <w:szCs w:val="24"/>
          <w:lang w:eastAsia="zh-CN"/>
        </w:rPr>
        <w:t>七、畜肉类</w:t>
      </w:r>
    </w:p>
    <w:p>
      <w:pPr>
        <w:adjustRightInd w:val="0"/>
        <w:snapToGrid w:val="0"/>
        <w:spacing w:before="120" w:beforeLines="50" w:line="312" w:lineRule="auto"/>
        <w:ind w:firstLine="481" w:firstLineChars="200"/>
        <w:jc w:val="both"/>
        <w:rPr>
          <w:rFonts w:ascii="Times New Roman" w:hAnsi="Times New Roman" w:eastAsia="宋体" w:cs="Times New Roman"/>
          <w:sz w:val="24"/>
          <w:szCs w:val="24"/>
        </w:rPr>
      </w:pPr>
      <w:r>
        <w:rPr>
          <w:rFonts w:ascii="Times New Roman" w:hAnsi="Times New Roman" w:eastAsia="宋体" w:cs="Times New Roman"/>
          <w:b/>
          <w:sz w:val="24"/>
          <w:szCs w:val="24"/>
          <w:lang w:eastAsia="zh-CN"/>
        </w:rPr>
        <w:t>1.猪肉类。</w:t>
      </w:r>
      <w:r>
        <w:rPr>
          <w:rFonts w:ascii="Times New Roman" w:hAnsi="Times New Roman" w:eastAsia="宋体" w:cs="Times New Roman"/>
          <w:sz w:val="24"/>
          <w:szCs w:val="24"/>
          <w:lang w:eastAsia="zh-CN"/>
        </w:rPr>
        <w:t>所有食材应保持较好的外观和质量，符合国家食品部门的有关标准，必须来源于正规肉联厂。供货时须提供动物检疫合格证明和肉品品质检验合格证，鲜肉确保每日新鲜，必须去除一切毛污物，肉色呈正常鲜红色，表面有光泽，有正常油脂分泌，触摸略感粘稠，肉质紧密，按压有弹性，无异味，无腐烂变色现象。</w:t>
      </w:r>
      <w:r>
        <w:rPr>
          <w:rFonts w:ascii="Times New Roman" w:hAnsi="Times New Roman" w:eastAsia="宋体" w:cs="Times New Roman"/>
          <w:sz w:val="24"/>
          <w:szCs w:val="24"/>
        </w:rPr>
        <w:t>拒绝配送母猪肉。</w:t>
      </w: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0"/>
        <w:gridCol w:w="1199"/>
        <w:gridCol w:w="806"/>
        <w:gridCol w:w="55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shd w:val="clear" w:color="auto" w:fill="D9D9D9"/>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b/>
                <w:color w:val="000000"/>
                <w:sz w:val="24"/>
                <w:szCs w:val="24"/>
              </w:rPr>
              <w:t>序号</w:t>
            </w:r>
          </w:p>
        </w:tc>
        <w:tc>
          <w:tcPr>
            <w:tcW w:w="1199" w:type="dxa"/>
            <w:tcBorders>
              <w:top w:val="single" w:color="000000" w:sz="4" w:space="0"/>
              <w:left w:val="nil"/>
              <w:bottom w:val="single" w:color="000000" w:sz="4" w:space="0"/>
              <w:right w:val="single" w:color="000000" w:sz="4" w:space="0"/>
            </w:tcBorders>
            <w:shd w:val="clear" w:color="auto" w:fill="D9D9D9"/>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b/>
                <w:color w:val="000000"/>
                <w:sz w:val="24"/>
                <w:szCs w:val="24"/>
              </w:rPr>
              <w:t>品名</w:t>
            </w:r>
          </w:p>
        </w:tc>
        <w:tc>
          <w:tcPr>
            <w:tcW w:w="806" w:type="dxa"/>
            <w:tcBorders>
              <w:top w:val="single" w:color="000000" w:sz="4" w:space="0"/>
              <w:left w:val="nil"/>
              <w:bottom w:val="single" w:color="000000" w:sz="4" w:space="0"/>
              <w:right w:val="single" w:color="000000" w:sz="4" w:space="0"/>
            </w:tcBorders>
            <w:shd w:val="clear" w:color="auto" w:fill="D9D9D9"/>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b/>
                <w:color w:val="000000"/>
                <w:sz w:val="24"/>
                <w:szCs w:val="24"/>
              </w:rPr>
              <w:t>单位</w:t>
            </w:r>
          </w:p>
        </w:tc>
        <w:tc>
          <w:tcPr>
            <w:tcW w:w="5551" w:type="dxa"/>
            <w:tcBorders>
              <w:top w:val="single" w:color="000000" w:sz="4" w:space="0"/>
              <w:left w:val="nil"/>
              <w:bottom w:val="single" w:color="000000" w:sz="4" w:space="0"/>
              <w:right w:val="single" w:color="000000" w:sz="4" w:space="0"/>
            </w:tcBorders>
            <w:shd w:val="clear" w:color="auto" w:fill="D9D9D9"/>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b/>
                <w:color w:val="000000"/>
                <w:sz w:val="24"/>
                <w:szCs w:val="24"/>
              </w:rPr>
              <w:t>质量要求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去皮</w:t>
            </w:r>
          </w:p>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五花肉</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肥瘦比例为6:4，肉呈均匀的鲜红色，有光泽，肉质紧密，有坚实感；肉的外表及切面微湿润，脂肪洁白。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2</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去皮上肉</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肥瘦比例为为2:8，前上肉外层肥肉约1CM，左右较后上肉略少，内层为瘦肉，不带猪皮，后上肉外层肥肉约2-5CM，左右较前上肉略多。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3</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带皮花肉</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带皮，肥瘦每层厚度约1-1.5CM，每条五花肉的肥瘦间隔应大于3层。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4</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瘦肉</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无肥肉，按压无水份溢出。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5</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猪大展</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有肉膜包裹，内藏筋，硬度适中，纹路规则。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6</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梅肉（肉眼，里脊）</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肉质非常细嫩。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7</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鲜排骨</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肉厚度约为5mm左右。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8</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猪大骨</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骨中带骨髓，一头带有大凹巢，另一端有一小实心圆形骨头，上带脆骨，略带肉，肉层薄，约为1-2MM。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9</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扇骨</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位于猪后背，实质为猪胛骨，长度约25CM，基本不带肉。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10</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脊骨</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略带肉，肉层薄。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11</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猪手</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猪前蹄，肉多骨少，呈直形，长度约20CM-25CM，带蹄尖，必须去除一切毛污物。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12</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猪腰</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表面有自然皱纹，不发臭，不发黑。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13</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猪俐</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新鲜猪舌头，灰白色包膜平滑，无异块和肿块，舌体柔软有弹性，无异味，肉质坚实，无骨，无筋膜、韧带。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14</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猪大肠</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肠内掏空，中无杂物，肠壁含油约10%左右，颜色红而偏黄，不发臭，不发黑。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15</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猪肚</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表面有自然皱纹，两层，不打水，含油约10%左右，中无杂物，不腐坏不变质，不发臭。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0" w:type="dxa"/>
            <w:tcBorders>
              <w:top w:val="nil"/>
              <w:left w:val="single" w:color="000000" w:sz="4" w:space="0"/>
              <w:bottom w:val="single" w:color="000000" w:sz="4" w:space="0"/>
              <w:right w:val="single" w:color="000000" w:sz="4" w:space="0"/>
            </w:tcBorders>
            <w:vAlign w:val="center"/>
          </w:tcPr>
          <w:p>
            <w:pPr>
              <w:adjustRightInd w:val="0"/>
              <w:snapToGrid w:val="0"/>
              <w:spacing w:before="120" w:beforeLines="50"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1199"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猪脚</w:t>
            </w:r>
          </w:p>
        </w:tc>
        <w:tc>
          <w:tcPr>
            <w:tcW w:w="806"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rPr>
            </w:pPr>
            <w:r>
              <w:rPr>
                <w:rFonts w:ascii="Times New Roman" w:hAnsi="Times New Roman" w:eastAsia="宋体" w:cs="Times New Roman"/>
                <w:sz w:val="24"/>
                <w:szCs w:val="24"/>
              </w:rPr>
              <w:t>公斤</w:t>
            </w:r>
          </w:p>
        </w:tc>
        <w:tc>
          <w:tcPr>
            <w:tcW w:w="5551" w:type="dxa"/>
            <w:tcBorders>
              <w:top w:val="nil"/>
              <w:left w:val="nil"/>
              <w:bottom w:val="single" w:color="000000" w:sz="4" w:space="0"/>
              <w:right w:val="single" w:color="000000" w:sz="4" w:space="0"/>
            </w:tcBorders>
          </w:tcPr>
          <w:p>
            <w:pPr>
              <w:adjustRightInd w:val="0"/>
              <w:snapToGrid w:val="0"/>
              <w:spacing w:before="120" w:beforeLines="50" w:line="360" w:lineRule="auto"/>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必须去除一切毛污物，无异味，交货以干净、新鲜、大小适合规格要求为标准。</w:t>
            </w:r>
          </w:p>
        </w:tc>
      </w:tr>
    </w:tbl>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2.牛肉类。产品符合国家食品安全要求，质量级别：一级。禁止注水，肉质新鲜，颜色暗红、有光泽，脂肪洁白或淡黄色肉质纤维细腻、紧实，夹有脂肪，肉质微湿，弹性好，指压后能部分立即恢复；</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3.羊肉类。具有羊肉正常气味，无异味；肉色为均匀的红色，有光泽；肌纤维致密，有韧性，指压无水迹溢出；肉质紧密而细腻，有弹性、不粘手。</w:t>
      </w:r>
    </w:p>
    <w:p>
      <w:pPr>
        <w:adjustRightInd w:val="0"/>
        <w:snapToGrid w:val="0"/>
        <w:spacing w:before="120" w:beforeLines="50" w:line="312" w:lineRule="auto"/>
        <w:ind w:firstLine="480" w:firstLineChars="200"/>
        <w:jc w:val="both"/>
        <w:rPr>
          <w:rFonts w:ascii="Times New Roman" w:hAnsi="Times New Roman" w:eastAsia="宋体" w:cs="Times New Roman"/>
          <w:bCs/>
          <w:sz w:val="24"/>
          <w:szCs w:val="24"/>
          <w:lang w:eastAsia="zh-CN"/>
        </w:rPr>
      </w:pPr>
      <w:r>
        <w:rPr>
          <w:rFonts w:ascii="Times New Roman" w:hAnsi="Times New Roman" w:eastAsia="宋体" w:cs="Times New Roman"/>
          <w:bCs/>
          <w:sz w:val="24"/>
          <w:szCs w:val="24"/>
          <w:lang w:eastAsia="zh-CN"/>
        </w:rPr>
        <w:t>八、酱料、干货</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1.食材应当符合国家或行业标准。</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食材包装标签应符合《食品安全国家标准预包装食品标签通则》要求，包括食材名称、配料表、净含量、规格、生产者（或）经销者的名称、地址和联系方式、生产日期和保质期、贮存条件、食材生产许可证编号、食材标准代号等内容。</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3.所有干货干爽、不霉烂、整齐、均匀、完整，无虫蛀、无杂质，保持应有的色泽。冬菇、支竹、木耳类水分含量不能超过国家标准；杂粮需为无公害、绿色食品。</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4.所有干货质量稳定、营养丰富、绿色安全、易于存放、食用方便、干爽不霉烂、无虫蛀杂质，保持规定的色泽。</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5.所有干货从加工、包装、运输、储存等全部符合国家规定标准，尤其是二氧化硫残留量、总砷含量部超过国家卫生标准。</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6.供应有保质期限的食材剩余保存期时长不得少于原有保质期时长的三分之二。</w:t>
      </w:r>
    </w:p>
    <w:p>
      <w:pPr>
        <w:adjustRightInd w:val="0"/>
        <w:snapToGrid w:val="0"/>
        <w:spacing w:before="120" w:beforeLines="50" w:line="312" w:lineRule="auto"/>
        <w:ind w:firstLine="480" w:firstLineChars="200"/>
        <w:jc w:val="both"/>
        <w:rPr>
          <w:rFonts w:ascii="Times New Roman" w:hAnsi="Times New Roman" w:eastAsia="宋体" w:cs="Times New Roman"/>
          <w:bCs/>
          <w:sz w:val="24"/>
          <w:szCs w:val="24"/>
          <w:lang w:eastAsia="zh-CN"/>
        </w:rPr>
      </w:pPr>
      <w:r>
        <w:rPr>
          <w:rFonts w:ascii="Times New Roman" w:hAnsi="Times New Roman" w:eastAsia="宋体" w:cs="Times New Roman"/>
          <w:bCs/>
          <w:sz w:val="24"/>
          <w:szCs w:val="24"/>
          <w:lang w:eastAsia="zh-CN"/>
        </w:rPr>
        <w:t>九、奶制品及饮品类</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1.鲜牛奶：符合国家标准，牛奶中蛋白质的含量应不小于3.3%。鲜牛奶（巴氏消毒奶），有塑料灌装、袋装和纸盒装等包装。采用的是巴氏消毒法，保质期较短，不超过10天，需要在5℃以下环境冷藏。</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2.酸奶：符合国家标准。有完好的包装说明，配料表中牛奶蛋白质含量要超过3.3%。必须以鲜牛奶为原料加入多种益生菌自然发酵而成，不含防腐剂。</w:t>
      </w:r>
    </w:p>
    <w:p>
      <w:pPr>
        <w:adjustRightInd w:val="0"/>
        <w:snapToGrid w:val="0"/>
        <w:spacing w:before="120" w:beforeLines="50" w:line="312" w:lineRule="auto"/>
        <w:ind w:firstLine="480" w:firstLineChars="200"/>
        <w:jc w:val="both"/>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3.饮品：符合国家标准，有灌装、袋装和纸盒装等完好的包装。</w:t>
      </w:r>
    </w:p>
    <w:p>
      <w:pPr>
        <w:adjustRightInd w:val="0"/>
        <w:snapToGrid w:val="0"/>
        <w:spacing w:before="120" w:beforeLines="50" w:line="312" w:lineRule="auto"/>
        <w:ind w:firstLine="480" w:firstLineChars="200"/>
        <w:jc w:val="both"/>
        <w:rPr>
          <w:rFonts w:ascii="Times New Roman" w:hAnsi="Times New Roman" w:eastAsia="Microsoft YaHei UI" w:cs="Times New Roman"/>
          <w:sz w:val="24"/>
          <w:szCs w:val="24"/>
          <w:lang w:eastAsia="zh-CN"/>
        </w:rPr>
      </w:pPr>
    </w:p>
    <w:p>
      <w:pPr>
        <w:rPr>
          <w:rFonts w:ascii="Calibri" w:hAnsi="Calibri" w:eastAsia="宋体" w:cs="Times New Roman"/>
          <w:lang w:eastAsia="zh-CN"/>
        </w:rPr>
      </w:pPr>
    </w:p>
    <w:p>
      <w:pPr>
        <w:snapToGrid w:val="0"/>
        <w:spacing w:before="120" w:beforeLines="50" w:line="312" w:lineRule="auto"/>
        <w:outlineLvl w:val="1"/>
        <w:rPr>
          <w:rFonts w:ascii="黑体" w:hAnsi="黑体" w:eastAsia="黑体" w:cs="Times New Roman"/>
          <w:kern w:val="2"/>
          <w:sz w:val="28"/>
          <w:szCs w:val="28"/>
          <w:lang w:eastAsia="zh-CN"/>
        </w:rPr>
      </w:pPr>
      <w:bookmarkStart w:id="14" w:name="_Toc256000055"/>
      <w:r>
        <w:rPr>
          <w:rFonts w:hint="eastAsia" w:ascii="黑体" w:hAnsi="黑体" w:eastAsia="黑体" w:cs="Times New Roman"/>
          <w:kern w:val="2"/>
          <w:sz w:val="28"/>
          <w:szCs w:val="28"/>
          <w:lang w:eastAsia="zh-CN"/>
        </w:rPr>
        <w:t>附件</w:t>
      </w:r>
      <w:r>
        <w:rPr>
          <w:rFonts w:ascii="黑体" w:hAnsi="黑体" w:eastAsia="黑体" w:cs="Times New Roman"/>
          <w:kern w:val="2"/>
          <w:sz w:val="28"/>
          <w:szCs w:val="28"/>
          <w:lang w:eastAsia="zh-CN"/>
        </w:rPr>
        <w:t>3</w:t>
      </w:r>
      <w:r>
        <w:rPr>
          <w:rFonts w:hint="eastAsia" w:ascii="黑体" w:hAnsi="黑体" w:eastAsia="黑体" w:cs="Times New Roman"/>
          <w:kern w:val="2"/>
          <w:sz w:val="28"/>
          <w:szCs w:val="28"/>
          <w:lang w:eastAsia="zh-CN"/>
        </w:rPr>
        <w:t>：考核表</w:t>
      </w:r>
      <w:bookmarkEnd w:id="14"/>
    </w:p>
    <w:p>
      <w:pPr>
        <w:spacing w:line="360" w:lineRule="auto"/>
        <w:jc w:val="center"/>
        <w:rPr>
          <w:rFonts w:ascii="Times New Roman" w:hAnsi="Times New Roman" w:eastAsia="新宋体" w:cs="Times New Roman"/>
          <w:b/>
          <w:sz w:val="24"/>
          <w:szCs w:val="24"/>
          <w:lang w:eastAsia="zh-CN"/>
        </w:rPr>
      </w:pPr>
      <w:r>
        <w:rPr>
          <w:rFonts w:ascii="Times New Roman" w:hAnsi="Times New Roman" w:eastAsia="新宋体" w:cs="Times New Roman"/>
          <w:b/>
          <w:color w:val="000000"/>
          <w:sz w:val="24"/>
          <w:szCs w:val="24"/>
          <w:lang w:eastAsia="zh-CN"/>
        </w:rPr>
        <w:t>1.供应商绩效评价表（一单一评）</w:t>
      </w:r>
    </w:p>
    <w:p>
      <w:pPr>
        <w:spacing w:line="360" w:lineRule="auto"/>
        <w:ind w:left="360"/>
        <w:jc w:val="center"/>
        <w:rPr>
          <w:rFonts w:ascii="Times New Roman" w:hAnsi="Times New Roman" w:eastAsia="新宋体" w:cs="Times New Roman"/>
          <w:b/>
          <w:sz w:val="24"/>
          <w:szCs w:val="24"/>
          <w:lang w:eastAsia="zh-CN"/>
        </w:rPr>
      </w:pPr>
      <w:r>
        <w:rPr>
          <w:rFonts w:ascii="Times New Roman" w:hAnsi="Times New Roman" w:eastAsia="新宋体" w:cs="Times New Roman"/>
          <w:b/>
          <w:color w:val="000000"/>
          <w:sz w:val="24"/>
          <w:szCs w:val="24"/>
          <w:lang w:eastAsia="zh-CN"/>
        </w:rPr>
        <w:t>供应商月度考核表</w:t>
      </w:r>
    </w:p>
    <w:tbl>
      <w:tblPr>
        <w:tblStyle w:val="16"/>
        <w:tblW w:w="13955" w:type="dxa"/>
        <w:jc w:val="center"/>
        <w:tblLayout w:type="fixed"/>
        <w:tblCellMar>
          <w:top w:w="0" w:type="dxa"/>
          <w:left w:w="0" w:type="dxa"/>
          <w:bottom w:w="0" w:type="dxa"/>
          <w:right w:w="0" w:type="dxa"/>
        </w:tblCellMar>
      </w:tblPr>
      <w:tblGrid>
        <w:gridCol w:w="664"/>
        <w:gridCol w:w="997"/>
        <w:gridCol w:w="1175"/>
        <w:gridCol w:w="935"/>
        <w:gridCol w:w="660"/>
        <w:gridCol w:w="2570"/>
        <w:gridCol w:w="1244"/>
        <w:gridCol w:w="792"/>
        <w:gridCol w:w="1700"/>
        <w:gridCol w:w="2155"/>
        <w:gridCol w:w="1063"/>
      </w:tblGrid>
      <w:tr>
        <w:tblPrEx>
          <w:tblCellMar>
            <w:top w:w="0" w:type="dxa"/>
            <w:left w:w="0" w:type="dxa"/>
            <w:bottom w:w="0" w:type="dxa"/>
            <w:right w:w="0" w:type="dxa"/>
          </w:tblCellMar>
        </w:tblPrEx>
        <w:trPr>
          <w:jc w:val="center"/>
        </w:trPr>
        <w:tc>
          <w:tcPr>
            <w:tcW w:w="13955" w:type="dxa"/>
            <w:gridSpan w:val="11"/>
            <w:tcBorders>
              <w:top w:val="nil"/>
              <w:left w:val="nil"/>
              <w:bottom w:val="single" w:color="000000" w:sz="4" w:space="0"/>
              <w:right w:val="nil"/>
            </w:tcBorders>
            <w:shd w:val="clear" w:color="auto" w:fill="auto"/>
            <w:tcMar>
              <w:top w:w="15" w:type="dxa"/>
              <w:left w:w="15" w:type="dxa"/>
              <w:right w:w="15" w:type="dxa"/>
            </w:tcMar>
            <w:vAlign w:val="center"/>
          </w:tcPr>
          <w:p>
            <w:pPr>
              <w:snapToGrid w:val="0"/>
              <w:spacing w:line="360" w:lineRule="auto"/>
              <w:textAlignment w:val="center"/>
              <w:rPr>
                <w:rFonts w:ascii="宋体" w:hAnsi="宋体" w:eastAsia="宋体" w:cs="宋体"/>
                <w:b/>
                <w:color w:val="000000" w:themeColor="text1"/>
                <w:sz w:val="21"/>
                <w:szCs w:val="21"/>
                <w:lang w:eastAsia="zh-CN"/>
                <w14:textFill>
                  <w14:solidFill>
                    <w14:schemeClr w14:val="tx1"/>
                  </w14:solidFill>
                </w14:textFill>
              </w:rPr>
            </w:pPr>
          </w:p>
        </w:tc>
      </w:tr>
      <w:tr>
        <w:tblPrEx>
          <w:tblCellMar>
            <w:top w:w="0" w:type="dxa"/>
            <w:left w:w="0" w:type="dxa"/>
            <w:bottom w:w="0" w:type="dxa"/>
            <w:right w:w="0" w:type="dxa"/>
          </w:tblCellMar>
        </w:tblPrEx>
        <w:trPr>
          <w:jc w:val="center"/>
        </w:trPr>
        <w:tc>
          <w:tcPr>
            <w:tcW w:w="16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sz w:val="21"/>
                <w:szCs w:val="21"/>
                <w:lang w:bidi="ar"/>
              </w:rPr>
              <w:t>合同名称</w:t>
            </w: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sz w:val="21"/>
                <w:szCs w:val="21"/>
                <w:lang w:bidi="ar"/>
              </w:rPr>
              <w:t>合同编码</w:t>
            </w:r>
          </w:p>
        </w:tc>
        <w:tc>
          <w:tcPr>
            <w:tcW w:w="2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sz w:val="21"/>
                <w:szCs w:val="21"/>
                <w:lang w:bidi="ar"/>
              </w:rPr>
              <w:t>供应商名称</w:t>
            </w:r>
          </w:p>
        </w:tc>
        <w:tc>
          <w:tcPr>
            <w:tcW w:w="24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sz w:val="21"/>
                <w:szCs w:val="21"/>
                <w:lang w:bidi="ar"/>
              </w:rPr>
              <w:t>得分</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rPr>
                <w:rFonts w:ascii="宋体" w:hAnsi="宋体" w:eastAsia="宋体" w:cs="宋体"/>
                <w:b/>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jc w:val="center"/>
        </w:trPr>
        <w:tc>
          <w:tcPr>
            <w:tcW w:w="16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sz w:val="21"/>
                <w:szCs w:val="21"/>
                <w:lang w:bidi="ar"/>
              </w:rPr>
              <w:t>合同金额（元）</w:t>
            </w: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sz w:val="21"/>
                <w:szCs w:val="21"/>
                <w:lang w:bidi="ar"/>
              </w:rPr>
              <w:t>考评区间</w:t>
            </w:r>
          </w:p>
        </w:tc>
        <w:tc>
          <w:tcPr>
            <w:tcW w:w="630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sz w:val="21"/>
                <w:szCs w:val="21"/>
                <w:lang w:bidi="ar"/>
              </w:rPr>
              <w:t>合同执行情况</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rPr>
                <w:rFonts w:ascii="宋体" w:hAnsi="宋体" w:eastAsia="宋体" w:cs="宋体"/>
                <w:b/>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jc w:val="center"/>
        </w:trPr>
        <w:tc>
          <w:tcPr>
            <w:tcW w:w="16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sz w:val="21"/>
                <w:szCs w:val="21"/>
                <w:lang w:bidi="ar"/>
              </w:rPr>
              <w:t>否决项</w:t>
            </w:r>
          </w:p>
        </w:tc>
        <w:tc>
          <w:tcPr>
            <w:tcW w:w="907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textAlignment w:val="center"/>
              <w:rPr>
                <w:rFonts w:ascii="宋体" w:hAnsi="宋体" w:eastAsia="宋体" w:cs="宋体"/>
                <w:b/>
                <w:color w:val="000000" w:themeColor="text1"/>
                <w:sz w:val="21"/>
                <w:szCs w:val="21"/>
                <w:lang w:eastAsia="zh-CN" w:bidi="ar"/>
                <w14:textFill>
                  <w14:solidFill>
                    <w14:schemeClr w14:val="tx1"/>
                  </w14:solidFill>
                </w14:textFill>
              </w:rPr>
            </w:pPr>
            <w:r>
              <w:rPr>
                <w:rFonts w:hint="eastAsia" w:ascii="宋体" w:hAnsi="宋体" w:eastAsia="宋体" w:cs="宋体"/>
                <w:b/>
                <w:color w:val="000000"/>
                <w:sz w:val="21"/>
                <w:szCs w:val="21"/>
                <w:lang w:eastAsia="zh-CN" w:bidi="ar"/>
              </w:rPr>
              <w:t>1.发生安全环保事故造成人员重伤或死亡</w:t>
            </w:r>
          </w:p>
          <w:p>
            <w:pPr>
              <w:snapToGrid w:val="0"/>
              <w:spacing w:line="360" w:lineRule="auto"/>
              <w:textAlignment w:val="center"/>
              <w:rPr>
                <w:rFonts w:ascii="宋体" w:hAnsi="宋体" w:eastAsia="宋体" w:cs="宋体"/>
                <w:b/>
                <w:color w:val="000000" w:themeColor="text1"/>
                <w:sz w:val="21"/>
                <w:szCs w:val="21"/>
                <w:lang w:eastAsia="zh-CN" w:bidi="ar"/>
                <w14:textFill>
                  <w14:solidFill>
                    <w14:schemeClr w14:val="tx1"/>
                  </w14:solidFill>
                </w14:textFill>
              </w:rPr>
            </w:pPr>
            <w:r>
              <w:rPr>
                <w:rFonts w:hint="eastAsia" w:ascii="宋体" w:hAnsi="宋体" w:eastAsia="宋体" w:cs="宋体"/>
                <w:b/>
                <w:color w:val="000000"/>
                <w:sz w:val="21"/>
                <w:szCs w:val="21"/>
                <w:lang w:eastAsia="zh-CN" w:bidi="ar"/>
              </w:rPr>
              <w:t>2.发生安全环保事故或设备设施损坏事故导致直接经济损失达10万元以上</w:t>
            </w:r>
          </w:p>
          <w:p>
            <w:pPr>
              <w:snapToGrid w:val="0"/>
              <w:spacing w:line="360" w:lineRule="auto"/>
              <w:textAlignment w:val="center"/>
              <w:rPr>
                <w:rFonts w:ascii="宋体" w:hAnsi="宋体" w:eastAsia="宋体" w:cs="宋体"/>
                <w:b/>
                <w:color w:val="000000" w:themeColor="text1"/>
                <w:sz w:val="21"/>
                <w:szCs w:val="21"/>
                <w:lang w:eastAsia="zh-CN" w:bidi="ar"/>
                <w14:textFill>
                  <w14:solidFill>
                    <w14:schemeClr w14:val="tx1"/>
                  </w14:solidFill>
                </w14:textFill>
              </w:rPr>
            </w:pPr>
            <w:r>
              <w:rPr>
                <w:rFonts w:hint="eastAsia" w:ascii="宋体" w:hAnsi="宋体" w:eastAsia="宋体" w:cs="宋体"/>
                <w:b/>
                <w:color w:val="000000"/>
                <w:sz w:val="21"/>
                <w:szCs w:val="21"/>
                <w:lang w:eastAsia="zh-CN" w:bidi="ar"/>
              </w:rPr>
              <w:t>3.因乙方违规被甲方或甲方上级单位处罚，且上一年合同到期时，乙方仍在处罚期内</w:t>
            </w:r>
          </w:p>
          <w:p>
            <w:pPr>
              <w:snapToGrid w:val="0"/>
              <w:spacing w:line="360" w:lineRule="auto"/>
              <w:textAlignment w:val="center"/>
              <w:rPr>
                <w:rFonts w:ascii="宋体" w:hAnsi="宋体" w:eastAsia="宋体" w:cs="宋体"/>
                <w:b/>
                <w:color w:val="000000" w:themeColor="text1"/>
                <w:sz w:val="21"/>
                <w:szCs w:val="21"/>
                <w:lang w:eastAsia="zh-CN"/>
                <w14:textFill>
                  <w14:solidFill>
                    <w14:schemeClr w14:val="tx1"/>
                  </w14:solidFill>
                </w14:textFill>
              </w:rPr>
            </w:pPr>
            <w:r>
              <w:rPr>
                <w:rFonts w:hint="eastAsia" w:ascii="宋体" w:hAnsi="宋体" w:eastAsia="宋体" w:cs="宋体"/>
                <w:b/>
                <w:color w:val="000000"/>
                <w:sz w:val="21"/>
                <w:szCs w:val="21"/>
                <w:lang w:eastAsia="zh-CN" w:bidi="ar"/>
              </w:rPr>
              <w:t>出现以上任一项，执行否决项</w:t>
            </w:r>
          </w:p>
        </w:tc>
        <w:tc>
          <w:tcPr>
            <w:tcW w:w="2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sz w:val="21"/>
                <w:szCs w:val="21"/>
                <w:lang w:bidi="ar"/>
              </w:rPr>
              <w:t>是否执行否决项</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rPr>
                <w:rFonts w:ascii="宋体" w:hAnsi="宋体" w:eastAsia="宋体" w:cs="宋体"/>
                <w:b/>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序号</w:t>
            </w:r>
          </w:p>
        </w:tc>
        <w:tc>
          <w:tcPr>
            <w:tcW w:w="9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项目</w:t>
            </w: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内容</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分值</w:t>
            </w:r>
          </w:p>
        </w:tc>
        <w:tc>
          <w:tcPr>
            <w:tcW w:w="52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评分说明</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参考分值</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评分</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备注</w:t>
            </w:r>
          </w:p>
        </w:tc>
      </w:tr>
      <w:tr>
        <w:trPr>
          <w:jc w:val="center"/>
        </w:trPr>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1</w:t>
            </w:r>
          </w:p>
        </w:tc>
        <w:tc>
          <w:tcPr>
            <w:tcW w:w="99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供货</w:t>
            </w: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交付及时性</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20</w:t>
            </w:r>
          </w:p>
        </w:tc>
        <w:tc>
          <w:tcPr>
            <w:tcW w:w="52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按期完成合同约定工作，评优</w:t>
            </w:r>
          </w:p>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因供应商原因有延迟但不影响工期或生产，评良</w:t>
            </w:r>
          </w:p>
          <w:p>
            <w:pPr>
              <w:snapToGrid w:val="0"/>
              <w:spacing w:line="360" w:lineRule="auto"/>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严重影响工期或生产，评差</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sz w:val="21"/>
                <w:szCs w:val="21"/>
                <w:lang w:bidi="ar"/>
              </w:rPr>
              <w:t>18-20  优</w:t>
            </w:r>
          </w:p>
          <w:p>
            <w:pPr>
              <w:snapToGrid w:val="0"/>
              <w:spacing w:line="360" w:lineRule="auto"/>
              <w:jc w:val="center"/>
              <w:textAlignment w:val="center"/>
              <w:rPr>
                <w:rFonts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sz w:val="21"/>
                <w:szCs w:val="21"/>
                <w:lang w:bidi="ar"/>
              </w:rPr>
              <w:t>4-17   良</w:t>
            </w:r>
          </w:p>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0-3    差</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jc w:val="center"/>
        </w:trPr>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eastAsia="zh-CN" w:bidi="ar"/>
              </w:rPr>
              <w:t>货物</w:t>
            </w:r>
            <w:r>
              <w:rPr>
                <w:rFonts w:hint="eastAsia" w:ascii="宋体" w:hAnsi="宋体" w:eastAsia="宋体" w:cs="宋体"/>
                <w:color w:val="000000"/>
                <w:sz w:val="21"/>
                <w:szCs w:val="21"/>
                <w:lang w:bidi="ar"/>
              </w:rPr>
              <w:t>质量</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20</w:t>
            </w:r>
          </w:p>
        </w:tc>
        <w:tc>
          <w:tcPr>
            <w:tcW w:w="52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质量高，评优；</w:t>
            </w:r>
          </w:p>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质量差，评差；</w:t>
            </w:r>
          </w:p>
          <w:p>
            <w:pPr>
              <w:snapToGrid w:val="0"/>
              <w:spacing w:line="360" w:lineRule="auto"/>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满足基本要求，评良</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sz w:val="21"/>
                <w:szCs w:val="21"/>
                <w:lang w:bidi="ar"/>
              </w:rPr>
              <w:t>18-20  优</w:t>
            </w:r>
          </w:p>
          <w:p>
            <w:pPr>
              <w:snapToGrid w:val="0"/>
              <w:spacing w:line="360" w:lineRule="auto"/>
              <w:jc w:val="center"/>
              <w:textAlignment w:val="center"/>
              <w:rPr>
                <w:rFonts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sz w:val="21"/>
                <w:szCs w:val="21"/>
                <w:lang w:bidi="ar"/>
              </w:rPr>
              <w:t>4-17   良</w:t>
            </w:r>
          </w:p>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0-3    差</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jc w:val="center"/>
        </w:trPr>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配合度</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20</w:t>
            </w:r>
          </w:p>
        </w:tc>
        <w:tc>
          <w:tcPr>
            <w:tcW w:w="52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业主管理要求，商务配合度（包括报价、合同签订、付款等事项）</w:t>
            </w:r>
          </w:p>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主动配合，评优；</w:t>
            </w:r>
          </w:p>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不配合，评差；</w:t>
            </w:r>
          </w:p>
          <w:p>
            <w:pPr>
              <w:snapToGrid w:val="0"/>
              <w:spacing w:line="360" w:lineRule="auto"/>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其余情况，评良。</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sz w:val="21"/>
                <w:szCs w:val="21"/>
                <w:lang w:bidi="ar"/>
              </w:rPr>
              <w:t>18-20  优</w:t>
            </w:r>
          </w:p>
          <w:p>
            <w:pPr>
              <w:snapToGrid w:val="0"/>
              <w:spacing w:line="360" w:lineRule="auto"/>
              <w:jc w:val="center"/>
              <w:textAlignment w:val="center"/>
              <w:rPr>
                <w:rFonts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sz w:val="21"/>
                <w:szCs w:val="21"/>
                <w:lang w:bidi="ar"/>
              </w:rPr>
              <w:t>4-17   良</w:t>
            </w:r>
          </w:p>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0-3    差</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jc w:val="center"/>
        </w:trPr>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问题处理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10</w:t>
            </w:r>
          </w:p>
        </w:tc>
        <w:tc>
          <w:tcPr>
            <w:tcW w:w="5266"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无问题处理情况，评优；</w:t>
            </w:r>
          </w:p>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有问题但态度积极并及时解决，评良</w:t>
            </w:r>
          </w:p>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不积极且不及时，评差；</w:t>
            </w:r>
          </w:p>
          <w:p>
            <w:pPr>
              <w:snapToGrid w:val="0"/>
              <w:spacing w:line="360" w:lineRule="auto"/>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其余情况，评良。</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napToGrid w:val="0"/>
              <w:spacing w:line="360" w:lineRule="auto"/>
              <w:jc w:val="center"/>
              <w:textAlignment w:val="center"/>
              <w:rPr>
                <w:rFonts w:ascii="微软雅黑" w:hAnsi="微软雅黑" w:eastAsia="微软雅黑" w:cs="微软雅黑"/>
                <w:color w:val="000000" w:themeColor="text1"/>
                <w:sz w:val="21"/>
                <w:szCs w:val="21"/>
                <w:u w:val="single"/>
                <w:lang w:bidi="ar"/>
                <w14:textFill>
                  <w14:solidFill>
                    <w14:schemeClr w14:val="tx1"/>
                  </w14:solidFill>
                </w14:textFill>
              </w:rPr>
            </w:pPr>
            <w:r>
              <w:rPr>
                <w:rFonts w:hint="eastAsia" w:ascii="宋体" w:hAnsi="宋体" w:eastAsia="宋体" w:cs="宋体"/>
                <w:color w:val="000000"/>
                <w:sz w:val="21"/>
                <w:szCs w:val="21"/>
                <w:lang w:bidi="ar"/>
              </w:rPr>
              <w:t xml:space="preserve">9-10 </w:t>
            </w:r>
            <w:r>
              <w:rPr>
                <w:rFonts w:ascii="微软雅黑" w:hAnsi="微软雅黑" w:eastAsia="微软雅黑" w:cs="微软雅黑"/>
                <w:color w:val="000000"/>
                <w:sz w:val="21"/>
                <w:szCs w:val="21"/>
                <w:u w:val="single"/>
                <w:lang w:bidi="ar"/>
              </w:rPr>
              <w:t xml:space="preserve"> 优</w:t>
            </w:r>
          </w:p>
          <w:p>
            <w:pPr>
              <w:snapToGrid w:val="0"/>
              <w:spacing w:line="360" w:lineRule="auto"/>
              <w:jc w:val="center"/>
              <w:textAlignment w:val="center"/>
              <w:rPr>
                <w:rFonts w:ascii="微软雅黑" w:hAnsi="微软雅黑" w:eastAsia="微软雅黑" w:cs="微软雅黑"/>
                <w:color w:val="000000" w:themeColor="text1"/>
                <w:sz w:val="21"/>
                <w:szCs w:val="21"/>
                <w:u w:val="single"/>
                <w:lang w:bidi="ar"/>
                <w14:textFill>
                  <w14:solidFill>
                    <w14:schemeClr w14:val="tx1"/>
                  </w14:solidFill>
                </w14:textFill>
              </w:rPr>
            </w:pPr>
            <w:r>
              <w:rPr>
                <w:rFonts w:ascii="微软雅黑" w:hAnsi="微软雅黑" w:eastAsia="微软雅黑" w:cs="微软雅黑"/>
                <w:color w:val="000000"/>
                <w:sz w:val="21"/>
                <w:szCs w:val="21"/>
                <w:u w:val="single"/>
                <w:lang w:bidi="ar"/>
              </w:rPr>
              <w:t>3-8   良</w:t>
            </w:r>
          </w:p>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ascii="微软雅黑" w:hAnsi="微软雅黑" w:eastAsia="微软雅黑" w:cs="微软雅黑"/>
                <w:color w:val="000000"/>
                <w:sz w:val="21"/>
                <w:szCs w:val="21"/>
                <w:u w:val="single"/>
                <w:lang w:bidi="ar"/>
              </w:rPr>
              <w:t>0-2   差</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2</w:t>
            </w:r>
          </w:p>
        </w:tc>
        <w:tc>
          <w:tcPr>
            <w:tcW w:w="99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安全环保</w:t>
            </w:r>
          </w:p>
        </w:tc>
        <w:tc>
          <w:tcPr>
            <w:tcW w:w="117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安全环保事故</w:t>
            </w:r>
          </w:p>
        </w:tc>
        <w:tc>
          <w:tcPr>
            <w:tcW w:w="935"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sz w:val="21"/>
                <w:szCs w:val="21"/>
                <w:lang w:bidi="ar"/>
              </w:rPr>
              <w:t>20</w:t>
            </w:r>
          </w:p>
        </w:tc>
        <w:tc>
          <w:tcPr>
            <w:tcW w:w="5266" w:type="dxa"/>
            <w:gridSpan w:val="4"/>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snapToGrid w:val="0"/>
              <w:spacing w:line="360" w:lineRule="auto"/>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未发生安全环保事故，评优；</w:t>
            </w:r>
          </w:p>
          <w:p>
            <w:pPr>
              <w:snapToGrid w:val="0"/>
              <w:spacing w:line="360" w:lineRule="auto"/>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发生安全环保事故或导致设备设施损坏，评差</w:t>
            </w:r>
          </w:p>
        </w:tc>
        <w:tc>
          <w:tcPr>
            <w:tcW w:w="1700" w:type="dxa"/>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snapToGrid w:val="0"/>
              <w:spacing w:line="360" w:lineRule="auto"/>
              <w:jc w:val="center"/>
              <w:textAlignment w:val="center"/>
              <w:rPr>
                <w:rFonts w:ascii="微软雅黑" w:hAnsi="微软雅黑" w:eastAsia="微软雅黑" w:cs="微软雅黑"/>
                <w:color w:val="000000" w:themeColor="text1"/>
                <w:sz w:val="21"/>
                <w:szCs w:val="21"/>
                <w:u w:val="single"/>
                <w:lang w:bidi="ar"/>
                <w14:textFill>
                  <w14:solidFill>
                    <w14:schemeClr w14:val="tx1"/>
                  </w14:solidFill>
                </w14:textFill>
              </w:rPr>
            </w:pPr>
            <w:r>
              <w:rPr>
                <w:rFonts w:hint="eastAsia" w:ascii="宋体" w:hAnsi="宋体" w:eastAsia="宋体" w:cs="宋体"/>
                <w:color w:val="000000"/>
                <w:sz w:val="21"/>
                <w:szCs w:val="21"/>
                <w:lang w:bidi="ar"/>
              </w:rPr>
              <w:t>17-20</w:t>
            </w:r>
            <w:r>
              <w:rPr>
                <w:rFonts w:ascii="微软雅黑" w:hAnsi="微软雅黑" w:eastAsia="微软雅黑" w:cs="微软雅黑"/>
                <w:color w:val="000000"/>
                <w:sz w:val="21"/>
                <w:szCs w:val="21"/>
                <w:u w:val="single"/>
                <w:lang w:bidi="ar"/>
              </w:rPr>
              <w:t xml:space="preserve"> 优</w:t>
            </w:r>
          </w:p>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ascii="微软雅黑" w:hAnsi="微软雅黑" w:eastAsia="微软雅黑" w:cs="微软雅黑"/>
                <w:color w:val="000000"/>
                <w:sz w:val="21"/>
                <w:szCs w:val="21"/>
                <w:u w:val="single"/>
                <w:lang w:bidi="ar"/>
              </w:rPr>
              <w:t>0-16  差</w:t>
            </w:r>
          </w:p>
        </w:tc>
        <w:tc>
          <w:tcPr>
            <w:tcW w:w="2155"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1063"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合同</w:t>
            </w: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合同变更</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bidi="ar"/>
              </w:rPr>
              <w:t>10</w:t>
            </w:r>
          </w:p>
        </w:tc>
        <w:tc>
          <w:tcPr>
            <w:tcW w:w="5266"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合同无变更或在合同变更管理过程中供应商积极配合，评优；</w:t>
            </w:r>
          </w:p>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供应商隐瞒重要事实而产生合同变更或在合同变更管理过程中配合度差，评差;</w:t>
            </w:r>
          </w:p>
          <w:p>
            <w:pPr>
              <w:snapToGrid w:val="0"/>
              <w:spacing w:line="360" w:lineRule="auto"/>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其余情况，评良。</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napToGrid w:val="0"/>
              <w:spacing w:line="360" w:lineRule="auto"/>
              <w:jc w:val="center"/>
              <w:textAlignment w:val="center"/>
              <w:rPr>
                <w:rFonts w:ascii="微软雅黑" w:hAnsi="微软雅黑" w:eastAsia="微软雅黑" w:cs="微软雅黑"/>
                <w:color w:val="000000" w:themeColor="text1"/>
                <w:sz w:val="21"/>
                <w:szCs w:val="21"/>
                <w:u w:val="single"/>
                <w:lang w:bidi="ar"/>
                <w14:textFill>
                  <w14:solidFill>
                    <w14:schemeClr w14:val="tx1"/>
                  </w14:solidFill>
                </w14:textFill>
              </w:rPr>
            </w:pPr>
            <w:r>
              <w:rPr>
                <w:rFonts w:hint="eastAsia" w:ascii="宋体" w:hAnsi="宋体" w:eastAsia="宋体" w:cs="宋体"/>
                <w:color w:val="000000"/>
                <w:sz w:val="21"/>
                <w:szCs w:val="21"/>
                <w:lang w:bidi="ar"/>
              </w:rPr>
              <w:t xml:space="preserve">9-10 </w:t>
            </w:r>
            <w:r>
              <w:rPr>
                <w:rFonts w:ascii="微软雅黑" w:hAnsi="微软雅黑" w:eastAsia="微软雅黑" w:cs="微软雅黑"/>
                <w:color w:val="000000"/>
                <w:sz w:val="21"/>
                <w:szCs w:val="21"/>
                <w:u w:val="single"/>
                <w:lang w:bidi="ar"/>
              </w:rPr>
              <w:t xml:space="preserve"> 优</w:t>
            </w:r>
          </w:p>
          <w:p>
            <w:pPr>
              <w:snapToGrid w:val="0"/>
              <w:spacing w:line="360" w:lineRule="auto"/>
              <w:jc w:val="center"/>
              <w:textAlignment w:val="center"/>
              <w:rPr>
                <w:rFonts w:ascii="微软雅黑" w:hAnsi="微软雅黑" w:eastAsia="微软雅黑" w:cs="微软雅黑"/>
                <w:color w:val="000000" w:themeColor="text1"/>
                <w:sz w:val="21"/>
                <w:szCs w:val="21"/>
                <w:u w:val="single"/>
                <w:lang w:bidi="ar"/>
                <w14:textFill>
                  <w14:solidFill>
                    <w14:schemeClr w14:val="tx1"/>
                  </w14:solidFill>
                </w14:textFill>
              </w:rPr>
            </w:pPr>
            <w:r>
              <w:rPr>
                <w:rFonts w:ascii="微软雅黑" w:hAnsi="微软雅黑" w:eastAsia="微软雅黑" w:cs="微软雅黑"/>
                <w:color w:val="000000"/>
                <w:sz w:val="21"/>
                <w:szCs w:val="21"/>
                <w:u w:val="single"/>
                <w:lang w:bidi="ar"/>
              </w:rPr>
              <w:t>3-8   良</w:t>
            </w:r>
          </w:p>
          <w:p>
            <w:pPr>
              <w:snapToGrid w:val="0"/>
              <w:spacing w:line="360" w:lineRule="auto"/>
              <w:jc w:val="center"/>
              <w:textAlignment w:val="center"/>
              <w:rPr>
                <w:rFonts w:ascii="宋体" w:hAnsi="宋体" w:eastAsia="宋体" w:cs="宋体"/>
                <w:color w:val="000000" w:themeColor="text1"/>
                <w:sz w:val="21"/>
                <w:szCs w:val="21"/>
                <w14:textFill>
                  <w14:solidFill>
                    <w14:schemeClr w14:val="tx1"/>
                  </w14:solidFill>
                </w14:textFill>
              </w:rPr>
            </w:pPr>
            <w:r>
              <w:rPr>
                <w:rFonts w:ascii="微软雅黑" w:hAnsi="微软雅黑" w:eastAsia="微软雅黑" w:cs="微软雅黑"/>
                <w:color w:val="000000"/>
                <w:sz w:val="21"/>
                <w:szCs w:val="21"/>
                <w:u w:val="single"/>
                <w:lang w:bidi="ar"/>
              </w:rPr>
              <w:t>0-2   差</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jc w:val="center"/>
              <w:rPr>
                <w:rFonts w:ascii="宋体" w:hAnsi="宋体" w:eastAsia="宋体" w:cs="宋体"/>
                <w:color w:val="000000" w:themeColor="text1"/>
                <w:sz w:val="21"/>
                <w:szCs w:val="21"/>
                <w14:textFill>
                  <w14:solidFill>
                    <w14:schemeClr w14:val="tx1"/>
                  </w14:solidFill>
                </w14:textFill>
              </w:rPr>
            </w:pPr>
          </w:p>
        </w:tc>
      </w:tr>
      <w:tr>
        <w:tblPrEx>
          <w:tblCellMar>
            <w:top w:w="0" w:type="dxa"/>
            <w:left w:w="0" w:type="dxa"/>
            <w:bottom w:w="0" w:type="dxa"/>
            <w:right w:w="0" w:type="dxa"/>
          </w:tblCellMar>
        </w:tblPrEx>
        <w:trPr>
          <w:jc w:val="center"/>
        </w:trPr>
        <w:tc>
          <w:tcPr>
            <w:tcW w:w="1395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napToGrid w:val="0"/>
              <w:spacing w:line="360" w:lineRule="auto"/>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是否继续履行下一年合同        是 □      否 □</w:t>
            </w:r>
          </w:p>
        </w:tc>
      </w:tr>
      <w:tr>
        <w:tblPrEx>
          <w:tblCellMar>
            <w:top w:w="0" w:type="dxa"/>
            <w:left w:w="0" w:type="dxa"/>
            <w:bottom w:w="0" w:type="dxa"/>
            <w:right w:w="0" w:type="dxa"/>
          </w:tblCellMar>
        </w:tblPrEx>
        <w:trPr>
          <w:jc w:val="center"/>
        </w:trPr>
        <w:tc>
          <w:tcPr>
            <w:tcW w:w="1395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经办人签名：                                                      商务经办人签名：</w:t>
            </w:r>
          </w:p>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p>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r>
              <w:rPr>
                <w:rFonts w:hint="eastAsia" w:ascii="宋体" w:hAnsi="宋体" w:eastAsia="宋体" w:cs="宋体"/>
                <w:color w:val="000000"/>
                <w:sz w:val="21"/>
                <w:szCs w:val="21"/>
                <w:lang w:eastAsia="zh-CN" w:bidi="ar"/>
              </w:rPr>
              <w:t>部门经理签名：                                                    部门经理签名：</w:t>
            </w:r>
          </w:p>
          <w:p>
            <w:pPr>
              <w:snapToGrid w:val="0"/>
              <w:spacing w:line="360" w:lineRule="auto"/>
              <w:textAlignment w:val="center"/>
              <w:rPr>
                <w:rFonts w:ascii="宋体" w:hAnsi="宋体" w:eastAsia="宋体" w:cs="宋体"/>
                <w:color w:val="000000" w:themeColor="text1"/>
                <w:sz w:val="21"/>
                <w:szCs w:val="21"/>
                <w:lang w:eastAsia="zh-CN" w:bidi="ar"/>
                <w14:textFill>
                  <w14:solidFill>
                    <w14:schemeClr w14:val="tx1"/>
                  </w14:solidFill>
                </w14:textFill>
              </w:rPr>
            </w:pPr>
          </w:p>
          <w:p>
            <w:pPr>
              <w:snapToGrid w:val="0"/>
              <w:spacing w:line="360" w:lineRule="auto"/>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分管领导：                                                        分管领导：</w:t>
            </w:r>
          </w:p>
        </w:tc>
      </w:tr>
      <w:tr>
        <w:trPr>
          <w:jc w:val="center"/>
        </w:trPr>
        <w:tc>
          <w:tcPr>
            <w:tcW w:w="1395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napToGrid w:val="0"/>
              <w:spacing w:line="360" w:lineRule="auto"/>
              <w:textAlignment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eastAsia="zh-CN" w:bidi="ar"/>
              </w:rPr>
              <w:t xml:space="preserve">备注： </w:t>
            </w:r>
            <w:r>
              <w:rPr>
                <w:rFonts w:ascii="Times New Roman" w:hAnsi="Times New Roman" w:eastAsia="新宋体" w:cs="Times New Roman"/>
                <w:color w:val="000000"/>
                <w:sz w:val="24"/>
                <w:szCs w:val="24"/>
                <w:lang w:eastAsia="zh-CN"/>
              </w:rPr>
              <w:t>此考核表仅供参考，后由甲方根据实际情况进行调整</w:t>
            </w:r>
          </w:p>
        </w:tc>
      </w:tr>
    </w:tbl>
    <w:p>
      <w:pPr>
        <w:widowControl/>
        <w:spacing w:line="360" w:lineRule="auto"/>
        <w:ind w:firstLine="480" w:firstLineChars="200"/>
        <w:jc w:val="left"/>
        <w:rPr>
          <w:rFonts w:ascii="Times New Roman" w:hAnsi="Times New Roman" w:eastAsia="新宋体" w:cs="Times New Roman"/>
          <w:color w:val="000000"/>
          <w:sz w:val="24"/>
          <w:szCs w:val="24"/>
          <w:lang w:eastAsia="zh-CN"/>
        </w:rPr>
      </w:pPr>
    </w:p>
    <w:p>
      <w:pPr>
        <w:widowControl/>
        <w:spacing w:line="360" w:lineRule="auto"/>
        <w:ind w:firstLine="480" w:firstLineChars="200"/>
        <w:jc w:val="left"/>
        <w:rPr>
          <w:rFonts w:ascii="Times New Roman" w:hAnsi="Times New Roman" w:eastAsia="新宋体" w:cs="Times New Roman"/>
          <w:color w:val="000000"/>
          <w:sz w:val="24"/>
          <w:szCs w:val="24"/>
          <w:lang w:eastAsia="zh-CN"/>
        </w:rPr>
      </w:pPr>
    </w:p>
    <w:p>
      <w:pPr>
        <w:snapToGrid w:val="0"/>
        <w:spacing w:before="120" w:beforeLines="50" w:line="312" w:lineRule="auto"/>
        <w:outlineLvl w:val="1"/>
        <w:rPr>
          <w:rFonts w:ascii="黑体" w:hAnsi="黑体" w:eastAsia="黑体" w:cs="Times New Roman"/>
          <w:kern w:val="2"/>
          <w:sz w:val="28"/>
          <w:szCs w:val="28"/>
          <w:lang w:eastAsia="zh-CN"/>
        </w:rPr>
      </w:pPr>
      <w:bookmarkStart w:id="15" w:name="_Toc256000056"/>
      <w:r>
        <w:rPr>
          <w:rFonts w:hint="eastAsia" w:ascii="黑体" w:hAnsi="黑体" w:eastAsia="黑体" w:cs="Times New Roman"/>
          <w:kern w:val="2"/>
          <w:sz w:val="28"/>
          <w:szCs w:val="28"/>
          <w:lang w:eastAsia="zh-CN"/>
        </w:rPr>
        <w:t>附件</w:t>
      </w:r>
      <w:r>
        <w:rPr>
          <w:rFonts w:ascii="黑体" w:hAnsi="黑体" w:eastAsia="黑体" w:cs="Times New Roman"/>
          <w:kern w:val="2"/>
          <w:sz w:val="28"/>
          <w:szCs w:val="28"/>
          <w:lang w:eastAsia="zh-CN"/>
        </w:rPr>
        <w:t>4</w:t>
      </w:r>
      <w:r>
        <w:rPr>
          <w:rFonts w:hint="eastAsia" w:ascii="黑体" w:hAnsi="黑体" w:eastAsia="黑体" w:cs="Times New Roman"/>
          <w:kern w:val="2"/>
          <w:sz w:val="28"/>
          <w:szCs w:val="28"/>
          <w:lang w:eastAsia="zh-CN"/>
        </w:rPr>
        <w:t>：超市、门市、市场名单</w:t>
      </w:r>
      <w:bookmarkEnd w:id="15"/>
    </w:p>
    <w:tbl>
      <w:tblPr>
        <w:tblStyle w:val="16"/>
        <w:tblW w:w="9298" w:type="dxa"/>
        <w:jc w:val="center"/>
        <w:tblLayout w:type="fixed"/>
        <w:tblCellMar>
          <w:top w:w="0" w:type="dxa"/>
          <w:left w:w="108" w:type="dxa"/>
          <w:bottom w:w="0" w:type="dxa"/>
          <w:right w:w="108" w:type="dxa"/>
        </w:tblCellMar>
      </w:tblPr>
      <w:tblGrid>
        <w:gridCol w:w="846"/>
        <w:gridCol w:w="3260"/>
        <w:gridCol w:w="1701"/>
        <w:gridCol w:w="3491"/>
      </w:tblGrid>
      <w:tr>
        <w:tblPrEx>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eastAsia="zh-CN" w:bidi="ar"/>
              </w:rPr>
              <w:t>序号</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eastAsia="zh-CN" w:bidi="ar"/>
              </w:rPr>
              <w:t>单位</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eastAsia="zh-CN" w:bidi="ar"/>
              </w:rPr>
              <w:t>地区</w:t>
            </w:r>
          </w:p>
        </w:tc>
        <w:tc>
          <w:tcPr>
            <w:tcW w:w="349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eastAsia="zh-CN" w:bidi="ar"/>
              </w:rPr>
              <w:t>定价市场</w:t>
            </w:r>
            <w:r>
              <w:rPr>
                <w:rFonts w:ascii="宋体" w:hAnsi="宋体" w:eastAsia="宋体" w:cs="宋体"/>
                <w:color w:val="000000"/>
                <w:sz w:val="24"/>
                <w:szCs w:val="24"/>
                <w:lang w:eastAsia="zh-CN" w:bidi="ar"/>
              </w:rPr>
              <w:t>/超市名单</w:t>
            </w:r>
          </w:p>
        </w:tc>
      </w:tr>
      <w:tr>
        <w:tblPrEx>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3"/>
              </w:numPr>
              <w:snapToGrid w:val="0"/>
              <w:spacing w:line="360" w:lineRule="auto"/>
              <w:ind w:left="0" w:firstLine="0" w:firstLineChars="0"/>
              <w:jc w:val="right"/>
              <w:textAlignment w:val="center"/>
              <w:rPr>
                <w:rFonts w:ascii="宋体" w:hAnsi="宋体" w:eastAsia="宋体" w:cs="宋体"/>
                <w:color w:val="000000"/>
                <w:sz w:val="24"/>
                <w:szCs w:val="24"/>
                <w:lang w:eastAsia="zh-CN" w:bidi="ar"/>
              </w:rPr>
            </w:pPr>
          </w:p>
        </w:tc>
        <w:tc>
          <w:tcPr>
            <w:tcW w:w="32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textAlignment w:val="center"/>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bidi="ar"/>
              </w:rPr>
              <w:t>中海广东天然气有限责任公司</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广东省</w:t>
            </w:r>
          </w:p>
          <w:p>
            <w:pPr>
              <w:snapToGrid w:val="0"/>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eastAsia="zh-CN" w:bidi="ar"/>
              </w:rPr>
              <w:t>珠海市</w:t>
            </w:r>
          </w:p>
        </w:tc>
        <w:tc>
          <w:tcPr>
            <w:tcW w:w="3491" w:type="dxa"/>
            <w:tcBorders>
              <w:top w:val="single" w:color="auto" w:sz="4" w:space="0"/>
              <w:left w:val="single" w:color="auto" w:sz="4" w:space="0"/>
              <w:bottom w:val="single" w:color="auto" w:sz="4" w:space="0"/>
              <w:right w:val="single" w:color="auto" w:sz="4" w:space="0"/>
            </w:tcBorders>
            <w:shd w:val="clear" w:color="auto" w:fill="auto"/>
          </w:tcPr>
          <w:p>
            <w:pPr>
              <w:snapToGrid w:val="0"/>
              <w:spacing w:line="360" w:lineRule="auto"/>
              <w:jc w:val="center"/>
              <w:textAlignment w:val="center"/>
              <w:rPr>
                <w:rFonts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高新区鹏泰百货宝龙城店（线上</w:t>
            </w:r>
            <w:r>
              <w:rPr>
                <w:rFonts w:ascii="宋体" w:hAnsi="宋体" w:eastAsia="宋体" w:cs="宋体"/>
                <w:color w:val="000000"/>
                <w:sz w:val="24"/>
                <w:szCs w:val="24"/>
                <w:lang w:eastAsia="zh-CN" w:bidi="ar"/>
              </w:rPr>
              <w:t>APP</w:t>
            </w:r>
            <w:r>
              <w:rPr>
                <w:rFonts w:hint="eastAsia" w:ascii="宋体" w:hAnsi="宋体" w:eastAsia="宋体" w:cs="宋体"/>
                <w:color w:val="000000"/>
                <w:sz w:val="24"/>
                <w:szCs w:val="24"/>
                <w:lang w:eastAsia="zh-CN" w:bidi="ar"/>
              </w:rPr>
              <w:t>）</w:t>
            </w:r>
          </w:p>
        </w:tc>
      </w:tr>
      <w:tr>
        <w:tblPrEx>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3"/>
              </w:numPr>
              <w:snapToGrid w:val="0"/>
              <w:spacing w:line="360" w:lineRule="auto"/>
              <w:ind w:left="0" w:firstLine="0" w:firstLineChars="0"/>
              <w:jc w:val="right"/>
              <w:textAlignment w:val="center"/>
              <w:rPr>
                <w:rFonts w:ascii="宋体" w:hAnsi="宋体" w:eastAsia="宋体" w:cs="宋体"/>
                <w:color w:val="000000"/>
                <w:sz w:val="24"/>
                <w:szCs w:val="24"/>
                <w:lang w:eastAsia="zh-CN" w:bidi="ar"/>
              </w:rPr>
            </w:pPr>
          </w:p>
        </w:tc>
        <w:tc>
          <w:tcPr>
            <w:tcW w:w="3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ascii="宋体" w:hAnsi="宋体" w:eastAsia="宋体" w:cs="宋体"/>
                <w:color w:val="000000"/>
                <w:sz w:val="24"/>
                <w:szCs w:val="24"/>
                <w:lang w:eastAsia="zh-CN"/>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广东省</w:t>
            </w:r>
          </w:p>
          <w:p>
            <w:pPr>
              <w:snapToGrid w:val="0"/>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eastAsia="zh-CN" w:bidi="ar"/>
              </w:rPr>
              <w:t>珠海市</w:t>
            </w:r>
          </w:p>
        </w:tc>
        <w:tc>
          <w:tcPr>
            <w:tcW w:w="3491" w:type="dxa"/>
            <w:tcBorders>
              <w:top w:val="single" w:color="auto" w:sz="4" w:space="0"/>
              <w:left w:val="single" w:color="auto" w:sz="4" w:space="0"/>
              <w:bottom w:val="single" w:color="auto" w:sz="4" w:space="0"/>
              <w:right w:val="single" w:color="auto" w:sz="4" w:space="0"/>
            </w:tcBorders>
            <w:shd w:val="clear" w:color="auto" w:fill="auto"/>
          </w:tcPr>
          <w:p>
            <w:pPr>
              <w:snapToGrid w:val="0"/>
              <w:spacing w:line="360" w:lineRule="auto"/>
              <w:jc w:val="center"/>
              <w:textAlignment w:val="center"/>
              <w:rPr>
                <w:rFonts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高新区唐家综合市场</w:t>
            </w:r>
          </w:p>
        </w:tc>
      </w:tr>
      <w:tr>
        <w:trPr>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3"/>
              </w:numPr>
              <w:snapToGrid w:val="0"/>
              <w:spacing w:line="360" w:lineRule="auto"/>
              <w:ind w:left="0" w:firstLine="0" w:firstLineChars="0"/>
              <w:jc w:val="right"/>
              <w:textAlignment w:val="center"/>
              <w:rPr>
                <w:rFonts w:ascii="宋体" w:hAnsi="宋体" w:eastAsia="宋体" w:cs="宋体"/>
                <w:color w:val="000000"/>
                <w:sz w:val="24"/>
                <w:szCs w:val="24"/>
                <w:lang w:eastAsia="zh-CN" w:bidi="ar"/>
              </w:rPr>
            </w:pPr>
          </w:p>
        </w:tc>
        <w:tc>
          <w:tcPr>
            <w:tcW w:w="32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textAlignment w:val="center"/>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bidi="ar"/>
              </w:rPr>
              <w:t>中海油珠海天然气有限责任公司</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广东省</w:t>
            </w:r>
          </w:p>
          <w:p>
            <w:pPr>
              <w:snapToGrid w:val="0"/>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eastAsia="zh-CN" w:bidi="ar"/>
              </w:rPr>
              <w:t>珠海市</w:t>
            </w:r>
          </w:p>
        </w:tc>
        <w:tc>
          <w:tcPr>
            <w:tcW w:w="3491" w:type="dxa"/>
            <w:tcBorders>
              <w:top w:val="single" w:color="auto" w:sz="4" w:space="0"/>
              <w:left w:val="single" w:color="auto" w:sz="4" w:space="0"/>
              <w:bottom w:val="single" w:color="auto" w:sz="4" w:space="0"/>
              <w:right w:val="single" w:color="auto" w:sz="4" w:space="0"/>
            </w:tcBorders>
            <w:shd w:val="clear" w:color="auto" w:fill="auto"/>
          </w:tcPr>
          <w:p>
            <w:pPr>
              <w:snapToGrid w:val="0"/>
              <w:spacing w:line="360" w:lineRule="auto"/>
              <w:jc w:val="center"/>
              <w:textAlignment w:val="center"/>
              <w:rPr>
                <w:rFonts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高新区鹏泰百货宝龙城店（线上</w:t>
            </w:r>
            <w:r>
              <w:rPr>
                <w:rFonts w:ascii="宋体" w:hAnsi="宋体" w:eastAsia="宋体" w:cs="宋体"/>
                <w:color w:val="000000"/>
                <w:sz w:val="24"/>
                <w:szCs w:val="24"/>
                <w:lang w:eastAsia="zh-CN" w:bidi="ar"/>
              </w:rPr>
              <w:t>APP</w:t>
            </w:r>
            <w:r>
              <w:rPr>
                <w:rFonts w:hint="eastAsia" w:ascii="宋体" w:hAnsi="宋体" w:eastAsia="宋体" w:cs="宋体"/>
                <w:color w:val="000000"/>
                <w:sz w:val="24"/>
                <w:szCs w:val="24"/>
                <w:lang w:eastAsia="zh-CN" w:bidi="ar"/>
              </w:rPr>
              <w:t>）</w:t>
            </w:r>
          </w:p>
        </w:tc>
      </w:tr>
      <w:tr>
        <w:tblPrEx>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3"/>
              </w:numPr>
              <w:snapToGrid w:val="0"/>
              <w:spacing w:line="360" w:lineRule="auto"/>
              <w:ind w:left="0" w:firstLine="0" w:firstLineChars="0"/>
              <w:jc w:val="right"/>
              <w:textAlignment w:val="center"/>
              <w:rPr>
                <w:rFonts w:ascii="宋体" w:hAnsi="宋体" w:eastAsia="宋体" w:cs="宋体"/>
                <w:color w:val="000000"/>
                <w:sz w:val="24"/>
                <w:szCs w:val="24"/>
                <w:lang w:eastAsia="zh-CN" w:bidi="ar"/>
              </w:rPr>
            </w:pPr>
          </w:p>
        </w:tc>
        <w:tc>
          <w:tcPr>
            <w:tcW w:w="3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ascii="宋体" w:hAnsi="宋体" w:eastAsia="宋体" w:cs="宋体"/>
                <w:color w:val="000000"/>
                <w:sz w:val="24"/>
                <w:szCs w:val="24"/>
                <w:lang w:eastAsia="zh-CN"/>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广东省</w:t>
            </w:r>
          </w:p>
          <w:p>
            <w:pPr>
              <w:snapToGrid w:val="0"/>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eastAsia="zh-CN" w:bidi="ar"/>
              </w:rPr>
              <w:t>珠海市</w:t>
            </w:r>
          </w:p>
        </w:tc>
        <w:tc>
          <w:tcPr>
            <w:tcW w:w="3491" w:type="dxa"/>
            <w:tcBorders>
              <w:top w:val="single" w:color="auto" w:sz="4" w:space="0"/>
              <w:left w:val="single" w:color="auto" w:sz="4" w:space="0"/>
              <w:bottom w:val="single" w:color="auto" w:sz="4" w:space="0"/>
              <w:right w:val="single" w:color="auto" w:sz="4" w:space="0"/>
            </w:tcBorders>
            <w:shd w:val="clear" w:color="auto" w:fill="auto"/>
          </w:tcPr>
          <w:p>
            <w:pPr>
              <w:snapToGrid w:val="0"/>
              <w:spacing w:line="360" w:lineRule="auto"/>
              <w:jc w:val="center"/>
              <w:textAlignment w:val="center"/>
              <w:rPr>
                <w:rFonts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高新区唐家综合市场</w:t>
            </w:r>
          </w:p>
        </w:tc>
      </w:tr>
    </w:tbl>
    <w:p>
      <w:pPr>
        <w:spacing w:after="120"/>
        <w:ind w:left="0" w:leftChars="0" w:firstLine="0" w:firstLineChars="0"/>
        <w:rPr>
          <w:rFonts w:ascii="Times New Roman" w:hAnsi="Times New Roman" w:eastAsia="新宋体" w:cs="Times New Roman"/>
          <w:kern w:val="2"/>
          <w:sz w:val="24"/>
          <w:szCs w:val="24"/>
          <w:lang w:eastAsia="zh-CN"/>
        </w:rPr>
      </w:pPr>
    </w:p>
    <w:p>
      <w:pPr>
        <w:spacing w:after="120"/>
        <w:ind w:left="0" w:leftChars="0" w:firstLine="0" w:firstLineChars="0"/>
        <w:rPr>
          <w:rFonts w:ascii="Times New Roman" w:hAnsi="Times New Roman" w:eastAsia="新宋体" w:cs="Times New Roman"/>
          <w:kern w:val="2"/>
          <w:sz w:val="24"/>
          <w:szCs w:val="24"/>
          <w:lang w:eastAsia="zh-CN"/>
        </w:rPr>
      </w:pPr>
      <w:r>
        <w:rPr>
          <w:rFonts w:ascii="Times New Roman" w:hAnsi="Times New Roman" w:eastAsia="新宋体" w:cs="Times New Roman"/>
          <w:kern w:val="2"/>
          <w:sz w:val="24"/>
          <w:szCs w:val="24"/>
          <w:lang w:eastAsia="zh-CN"/>
        </w:rPr>
        <w:t>注：1.甲方合同执行过程中根据需要可以对</w:t>
      </w:r>
      <w:r>
        <w:rPr>
          <w:rFonts w:hint="eastAsia" w:ascii="Times New Roman" w:hAnsi="Times New Roman" w:eastAsia="新宋体" w:cs="Times New Roman"/>
          <w:kern w:val="2"/>
          <w:sz w:val="24"/>
          <w:szCs w:val="24"/>
          <w:lang w:eastAsia="zh-CN"/>
        </w:rPr>
        <w:t>市场/超市</w:t>
      </w:r>
      <w:r>
        <w:rPr>
          <w:rFonts w:ascii="Times New Roman" w:hAnsi="Times New Roman" w:eastAsia="新宋体" w:cs="Times New Roman"/>
          <w:kern w:val="2"/>
          <w:sz w:val="24"/>
          <w:szCs w:val="24"/>
          <w:lang w:eastAsia="zh-CN"/>
        </w:rPr>
        <w:t>名单进行增减、修改而无需乙方同意；</w:t>
      </w:r>
    </w:p>
    <w:p>
      <w:pPr>
        <w:numPr>
          <w:ilvl w:val="0"/>
          <w:numId w:val="4"/>
        </w:numPr>
        <w:spacing w:after="120"/>
        <w:ind w:left="0" w:leftChars="0" w:firstLine="480" w:firstLineChars="200"/>
        <w:rPr>
          <w:rFonts w:ascii="Times New Roman" w:hAnsi="Times New Roman" w:eastAsia="新宋体" w:cs="Times New Roman"/>
          <w:kern w:val="2"/>
          <w:sz w:val="24"/>
          <w:szCs w:val="24"/>
          <w:lang w:eastAsia="zh-CN"/>
        </w:rPr>
      </w:pPr>
      <w:r>
        <w:rPr>
          <w:rFonts w:hint="eastAsia" w:ascii="Times New Roman" w:hAnsi="Times New Roman" w:eastAsia="新宋体" w:cs="Times New Roman"/>
          <w:kern w:val="2"/>
          <w:sz w:val="24"/>
          <w:szCs w:val="24"/>
          <w:lang w:eastAsia="zh-CN"/>
        </w:rPr>
        <w:t>存在两个以上定价市场/超市名单的，依据市场调研价格取平均值；</w:t>
      </w:r>
    </w:p>
    <w:p>
      <w:pPr>
        <w:spacing w:after="120"/>
        <w:ind w:left="0" w:leftChars="0" w:firstLine="480" w:firstLineChars="200"/>
        <w:rPr>
          <w:rFonts w:ascii="Times New Roman" w:hAnsi="Times New Roman" w:eastAsia="新宋体" w:cs="Times New Roman"/>
          <w:kern w:val="2"/>
          <w:sz w:val="24"/>
          <w:szCs w:val="24"/>
          <w:highlight w:val="yellow"/>
          <w:lang w:eastAsia="zh-CN"/>
        </w:rPr>
      </w:pPr>
      <w:r>
        <w:rPr>
          <w:rFonts w:hint="eastAsia" w:ascii="Times New Roman" w:hAnsi="Times New Roman" w:eastAsia="新宋体" w:cs="Times New Roman"/>
          <w:kern w:val="2"/>
          <w:sz w:val="24"/>
          <w:szCs w:val="24"/>
          <w:highlight w:val="yellow"/>
          <w:lang w:eastAsia="zh-CN"/>
        </w:rPr>
        <w:t>3.甲方所需材料在定价市场/超市名单中无价格，以参照</w:t>
      </w:r>
      <w:r>
        <w:rPr>
          <w:rFonts w:ascii="Times New Roman" w:hAnsi="Times New Roman" w:eastAsia="新宋体" w:cs="Times New Roman"/>
          <w:kern w:val="2"/>
          <w:sz w:val="24"/>
          <w:szCs w:val="24"/>
          <w:highlight w:val="yellow"/>
          <w:lang w:eastAsia="zh-CN"/>
        </w:rPr>
        <w:t>当地</w:t>
      </w:r>
      <w:r>
        <w:rPr>
          <w:rFonts w:hint="eastAsia" w:ascii="Times New Roman" w:hAnsi="Times New Roman" w:eastAsia="新宋体" w:cs="Times New Roman"/>
          <w:kern w:val="2"/>
          <w:sz w:val="24"/>
          <w:szCs w:val="24"/>
          <w:highlight w:val="yellow"/>
          <w:lang w:eastAsia="zh-CN"/>
        </w:rPr>
        <w:t>苏宁超市APP、大润发APP、盒马APP</w:t>
      </w:r>
      <w:r>
        <w:rPr>
          <w:rFonts w:ascii="Times New Roman" w:hAnsi="Times New Roman" w:eastAsia="新宋体" w:cs="Times New Roman"/>
          <w:kern w:val="2"/>
          <w:sz w:val="24"/>
          <w:szCs w:val="24"/>
          <w:highlight w:val="yellow"/>
          <w:lang w:eastAsia="zh-CN"/>
        </w:rPr>
        <w:t>、</w:t>
      </w:r>
      <w:r>
        <w:rPr>
          <w:rFonts w:hint="eastAsia" w:ascii="Times New Roman" w:hAnsi="Times New Roman" w:eastAsia="新宋体" w:cs="Times New Roman"/>
          <w:kern w:val="2"/>
          <w:sz w:val="24"/>
          <w:szCs w:val="24"/>
          <w:highlight w:val="yellow"/>
          <w:lang w:eastAsia="zh-CN"/>
        </w:rPr>
        <w:t>朴朴超市APP、七鲜APP、京东超市或天猫超市价格作为基准价，具有由甲乙双方协商，最终由甲方选定；</w:t>
      </w:r>
    </w:p>
    <w:p>
      <w:pPr>
        <w:spacing w:after="120"/>
        <w:ind w:left="0" w:leftChars="0" w:firstLine="480" w:firstLineChars="200"/>
        <w:rPr>
          <w:rFonts w:ascii="Times New Roman" w:hAnsi="Times New Roman" w:eastAsia="新宋体" w:cs="Times New Roman"/>
          <w:kern w:val="2"/>
          <w:sz w:val="24"/>
          <w:szCs w:val="24"/>
          <w:lang w:eastAsia="zh-CN"/>
        </w:rPr>
      </w:pPr>
      <w:r>
        <w:rPr>
          <w:rFonts w:hint="eastAsia" w:ascii="Times New Roman" w:hAnsi="Times New Roman" w:eastAsia="新宋体" w:cs="Times New Roman"/>
          <w:kern w:val="2"/>
          <w:sz w:val="24"/>
          <w:szCs w:val="24"/>
          <w:lang w:eastAsia="zh-CN"/>
        </w:rPr>
        <w:t>4.广东管道有权</w:t>
      </w:r>
      <w:r>
        <w:rPr>
          <w:rFonts w:ascii="Times New Roman" w:hAnsi="Times New Roman" w:eastAsia="新宋体" w:cs="Times New Roman"/>
          <w:kern w:val="2"/>
          <w:sz w:val="24"/>
          <w:szCs w:val="24"/>
          <w:lang w:eastAsia="zh-CN"/>
        </w:rPr>
        <w:t>新增的甲方</w:t>
      </w:r>
      <w:r>
        <w:rPr>
          <w:rFonts w:hint="eastAsia" w:ascii="Times New Roman" w:hAnsi="Times New Roman" w:eastAsia="新宋体" w:cs="Times New Roman"/>
          <w:kern w:val="2"/>
          <w:sz w:val="24"/>
          <w:szCs w:val="24"/>
          <w:lang w:eastAsia="zh-CN"/>
        </w:rPr>
        <w:t>合同执行单位而无需乙方同意</w:t>
      </w:r>
      <w:r>
        <w:rPr>
          <w:rFonts w:ascii="Times New Roman" w:hAnsi="Times New Roman" w:eastAsia="新宋体" w:cs="Times New Roman"/>
          <w:kern w:val="2"/>
          <w:sz w:val="24"/>
          <w:szCs w:val="24"/>
          <w:lang w:eastAsia="zh-CN"/>
        </w:rPr>
        <w:t>。</w:t>
      </w:r>
      <w:permEnd w:id="0"/>
      <w:bookmarkEnd w:id="1"/>
    </w:p>
    <w:sectPr>
      <w:footerReference r:id="rId3" w:type="default"/>
      <w:pgSz w:w="11907" w:h="16840"/>
      <w:pgMar w:top="1418" w:right="1418" w:bottom="1418" w:left="1418" w:header="0" w:footer="919" w:gutter="0"/>
      <w:pgBorders>
        <w:top w:val="none" w:sz="0" w:space="0"/>
        <w:left w:val="none" w:sz="0" w:space="0"/>
        <w:bottom w:val="none" w:sz="0" w:space="0"/>
        <w:right w:val="none" w:sz="0" w:space="0"/>
      </w:pgBorders>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icrosoft YaHei UI">
    <w:altName w:val="Droid Sans Fallback"/>
    <w:panose1 w:val="020B0503020204020204"/>
    <w:charset w:val="86"/>
    <w:family w:val="swiss"/>
    <w:pitch w:val="default"/>
    <w:sig w:usb0="00000000" w:usb1="00000000"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Noto Sans CJK DemiLight">
    <w:altName w:val="华文中宋"/>
    <w:panose1 w:val="00000000000000000000"/>
    <w:charset w:val="86"/>
    <w:family w:val="swiss"/>
    <w:pitch w:val="default"/>
    <w:sig w:usb0="00000000" w:usb1="00000000" w:usb2="00000016" w:usb3="00000000" w:csb0="002E0107" w:csb1="00000000"/>
  </w:font>
  <w:font w:name="华文中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Segoe UI Symbol">
    <w:altName w:val="Noto Sans"/>
    <w:panose1 w:val="020B0502040204020203"/>
    <w:charset w:val="00"/>
    <w:family w:val="swiss"/>
    <w:pitch w:val="default"/>
    <w:sig w:usb0="00000000" w:usb1="00000000" w:usb2="00040000" w:usb3="04000000" w:csb0="00000001" w:csb1="40000000"/>
  </w:font>
  <w:font w:name="Noto Sans">
    <w:panose1 w:val="020B0502040504020204"/>
    <w:charset w:val="00"/>
    <w:family w:val="auto"/>
    <w:pitch w:val="default"/>
    <w:sig w:usb0="E00002FF" w:usb1="4000201F" w:usb2="08000029" w:usb3="00100000" w:csb0="0000019F" w:csb1="00000000"/>
  </w:font>
  <w:font w:name="Microsoft JhengHei">
    <w:altName w:val="方正书宋_GBK"/>
    <w:panose1 w:val="020B0604030504040204"/>
    <w:charset w:val="88"/>
    <w:family w:val="swiss"/>
    <w:pitch w:val="default"/>
    <w:sig w:usb0="00000000" w:usb1="00000000" w:usb2="00000016" w:usb3="00000000" w:csb0="00100009"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Liberation Serif">
    <w:panose1 w:val="02020603050405020304"/>
    <w:charset w:val="00"/>
    <w:family w:val="auto"/>
    <w:pitch w:val="default"/>
    <w:sig w:usb0="A00002AF" w:usb1="500078FB" w:usb2="00000000" w:usb3="00000000" w:csb0="6000009F" w:csb1="DFD70000"/>
  </w:font>
  <w:font w:name="Arial">
    <w:altName w:val="DejaVu Sans"/>
    <w:panose1 w:val="00000000000000000000"/>
    <w:charset w:val="00"/>
    <w:family w:val="auto"/>
    <w:pitch w:val="default"/>
    <w:sig w:usb0="00000000" w:usb1="00000000" w:usb2="00000000" w:usb3="00000000" w:csb0="0000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tag w:val="{&quot;index&quot;:2}"/>
      <w:id w:val="198332867"/>
    </w:sdtPr>
    <w:sdtContent>
      <w:p>
        <w:pPr>
          <w:pStyle w:val="7"/>
          <w:jc w:val="center"/>
        </w:pPr>
        <w:r>
          <w:fldChar w:fldCharType="begin"/>
        </w:r>
        <w:r>
          <w:instrText xml:space="preserve"> PAGE   \* MERGEFORMAT </w:instrText>
        </w:r>
        <w:r>
          <w:fldChar w:fldCharType="separate"/>
        </w:r>
        <w:r>
          <w:rPr>
            <w:lang w:val="zh-CN"/>
          </w:rPr>
          <w:t>127</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826346"/>
    <w:multiLevelType w:val="singleLevel"/>
    <w:tmpl w:val="D9826346"/>
    <w:lvl w:ilvl="0" w:tentative="0">
      <w:start w:val="2"/>
      <w:numFmt w:val="decimal"/>
      <w:lvlText w:val="%1."/>
      <w:lvlJc w:val="left"/>
      <w:pPr>
        <w:tabs>
          <w:tab w:val="left" w:pos="312"/>
        </w:tabs>
      </w:pPr>
    </w:lvl>
  </w:abstractNum>
  <w:abstractNum w:abstractNumId="1">
    <w:nsid w:val="2E482D44"/>
    <w:multiLevelType w:val="multilevel"/>
    <w:tmpl w:val="2E482D44"/>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22572C3"/>
    <w:multiLevelType w:val="multilevel"/>
    <w:tmpl w:val="322572C3"/>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4D77E14"/>
    <w:multiLevelType w:val="singleLevel"/>
    <w:tmpl w:val="34D77E14"/>
    <w:lvl w:ilvl="0" w:tentative="0">
      <w:start w:val="4"/>
      <w:numFmt w:val="decimal"/>
      <w:lvlText w:val="%1."/>
      <w:lvlJc w:val="left"/>
      <w:pPr>
        <w:tabs>
          <w:tab w:val="left" w:pos="312"/>
        </w:tabs>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A6"/>
    <w:rsid w:val="00084B00"/>
    <w:rsid w:val="00143DBA"/>
    <w:rsid w:val="001F6EC7"/>
    <w:rsid w:val="003C3736"/>
    <w:rsid w:val="00401256"/>
    <w:rsid w:val="004C0EC0"/>
    <w:rsid w:val="004C7BA6"/>
    <w:rsid w:val="004E73CB"/>
    <w:rsid w:val="005F1FAA"/>
    <w:rsid w:val="00713A0F"/>
    <w:rsid w:val="00714B55"/>
    <w:rsid w:val="00734ECA"/>
    <w:rsid w:val="0076551A"/>
    <w:rsid w:val="00820450"/>
    <w:rsid w:val="008F2D12"/>
    <w:rsid w:val="00996629"/>
    <w:rsid w:val="00B808A3"/>
    <w:rsid w:val="00C81ECB"/>
    <w:rsid w:val="00CF61DD"/>
    <w:rsid w:val="00D5432D"/>
    <w:rsid w:val="00DC1012"/>
    <w:rsid w:val="00DF14D6"/>
    <w:rsid w:val="00EF0E87"/>
    <w:rsid w:val="00F24065"/>
    <w:rsid w:val="00F81457"/>
    <w:rsid w:val="00FD40F0"/>
    <w:rsid w:val="00FF2D69"/>
    <w:rsid w:val="01F304E5"/>
    <w:rsid w:val="02732290"/>
    <w:rsid w:val="031F2043"/>
    <w:rsid w:val="04133956"/>
    <w:rsid w:val="055C5931"/>
    <w:rsid w:val="06F87FA6"/>
    <w:rsid w:val="0926412B"/>
    <w:rsid w:val="0AE20BF7"/>
    <w:rsid w:val="0AE5406E"/>
    <w:rsid w:val="0B9A2BAF"/>
    <w:rsid w:val="0BCE3FEB"/>
    <w:rsid w:val="0C6277CC"/>
    <w:rsid w:val="110348F8"/>
    <w:rsid w:val="114A6727"/>
    <w:rsid w:val="12670789"/>
    <w:rsid w:val="12B17AB7"/>
    <w:rsid w:val="15292780"/>
    <w:rsid w:val="162273B2"/>
    <w:rsid w:val="189C74D9"/>
    <w:rsid w:val="19075F1D"/>
    <w:rsid w:val="1B4071CF"/>
    <w:rsid w:val="2040567B"/>
    <w:rsid w:val="21644CBF"/>
    <w:rsid w:val="22C11685"/>
    <w:rsid w:val="23305525"/>
    <w:rsid w:val="233E1DDF"/>
    <w:rsid w:val="24565E2F"/>
    <w:rsid w:val="27170005"/>
    <w:rsid w:val="29B06764"/>
    <w:rsid w:val="29CF4231"/>
    <w:rsid w:val="29F5210E"/>
    <w:rsid w:val="30D75AEA"/>
    <w:rsid w:val="35694157"/>
    <w:rsid w:val="37872BBB"/>
    <w:rsid w:val="37F721E9"/>
    <w:rsid w:val="3B4079DC"/>
    <w:rsid w:val="3C74119C"/>
    <w:rsid w:val="3D510A39"/>
    <w:rsid w:val="3D7C31AA"/>
    <w:rsid w:val="3E5B6889"/>
    <w:rsid w:val="3E9F59AB"/>
    <w:rsid w:val="41240AEC"/>
    <w:rsid w:val="471F1376"/>
    <w:rsid w:val="47A46D73"/>
    <w:rsid w:val="47EB050B"/>
    <w:rsid w:val="4BCB5E91"/>
    <w:rsid w:val="4CCB52C6"/>
    <w:rsid w:val="4D9F5DBE"/>
    <w:rsid w:val="4DFE2A04"/>
    <w:rsid w:val="4F8814FA"/>
    <w:rsid w:val="4FB302A0"/>
    <w:rsid w:val="51A5722D"/>
    <w:rsid w:val="52235939"/>
    <w:rsid w:val="53637D7D"/>
    <w:rsid w:val="597638E0"/>
    <w:rsid w:val="5B355814"/>
    <w:rsid w:val="5B77560D"/>
    <w:rsid w:val="5DF59CED"/>
    <w:rsid w:val="5FC52ECB"/>
    <w:rsid w:val="60A26D69"/>
    <w:rsid w:val="611543D6"/>
    <w:rsid w:val="62832BCA"/>
    <w:rsid w:val="638D02E2"/>
    <w:rsid w:val="64594686"/>
    <w:rsid w:val="645C76B6"/>
    <w:rsid w:val="652D5A29"/>
    <w:rsid w:val="65680AED"/>
    <w:rsid w:val="66AC525B"/>
    <w:rsid w:val="67A3232D"/>
    <w:rsid w:val="686601D3"/>
    <w:rsid w:val="68AC3A2C"/>
    <w:rsid w:val="69A705EB"/>
    <w:rsid w:val="6A360751"/>
    <w:rsid w:val="6A551EA2"/>
    <w:rsid w:val="6C7B1A99"/>
    <w:rsid w:val="6C9611B5"/>
    <w:rsid w:val="6EBE06B8"/>
    <w:rsid w:val="73846912"/>
    <w:rsid w:val="74C75E01"/>
    <w:rsid w:val="768D428E"/>
    <w:rsid w:val="79091A6F"/>
    <w:rsid w:val="790A0AB8"/>
    <w:rsid w:val="7B115F2F"/>
    <w:rsid w:val="7B8A3945"/>
    <w:rsid w:val="7C2C3CCC"/>
    <w:rsid w:val="7F9F5E60"/>
    <w:rsid w:val="7FB36366"/>
    <w:rsid w:val="7FFE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unhideWhenUsed/>
    <w:qFormat/>
    <w:uiPriority w:val="99"/>
    <w:pPr>
      <w:spacing w:line="580" w:lineRule="exact"/>
      <w:ind w:firstLine="420" w:firstLineChars="200"/>
      <w:jc w:val="both"/>
    </w:pPr>
    <w:rPr>
      <w:rFonts w:ascii="仿宋_GB2312" w:hAnsi="Calibri" w:eastAsia="仿宋_GB2312" w:cs="Times New Roman"/>
      <w:kern w:val="2"/>
      <w:sz w:val="32"/>
      <w:szCs w:val="20"/>
      <w:lang w:eastAsia="zh-CN"/>
    </w:rPr>
  </w:style>
  <w:style w:type="paragraph" w:styleId="3">
    <w:name w:val="annotation text"/>
    <w:basedOn w:val="1"/>
    <w:qFormat/>
    <w:uiPriority w:val="0"/>
    <w:pPr>
      <w:jc w:val="left"/>
    </w:pPr>
  </w:style>
  <w:style w:type="paragraph" w:styleId="4">
    <w:name w:val="Body Text"/>
    <w:basedOn w:val="1"/>
    <w:qFormat/>
    <w:uiPriority w:val="1"/>
    <w:pPr>
      <w:ind w:firstLine="200" w:firstLineChars="200"/>
      <w:jc w:val="both"/>
    </w:pPr>
    <w:rPr>
      <w:rFonts w:ascii="Microsoft YaHei UI" w:hAnsi="Microsoft YaHei UI" w:eastAsia="Microsoft YaHei UI"/>
      <w:sz w:val="21"/>
      <w:szCs w:val="21"/>
    </w:rPr>
  </w:style>
  <w:style w:type="paragraph" w:styleId="5">
    <w:name w:val="Body Text Indent"/>
    <w:basedOn w:val="1"/>
    <w:semiHidden/>
    <w:unhideWhenUsed/>
    <w:qFormat/>
    <w:uiPriority w:val="99"/>
    <w:pPr>
      <w:spacing w:after="120"/>
      <w:ind w:left="420" w:leftChars="200"/>
    </w:pPr>
    <w:rPr>
      <w:rFonts w:ascii="Calibri" w:hAnsi="Calibri" w:eastAsia="宋体" w:cs="Times New Roman"/>
    </w:rPr>
  </w:style>
  <w:style w:type="paragraph" w:styleId="6">
    <w:name w:val="toc 3"/>
    <w:basedOn w:val="1"/>
    <w:next w:val="1"/>
    <w:unhideWhenUsed/>
    <w:qFormat/>
    <w:uiPriority w:val="39"/>
    <w:pPr>
      <w:tabs>
        <w:tab w:val="right" w:leader="dot" w:pos="8830"/>
      </w:tabs>
      <w:ind w:left="565" w:leftChars="257" w:firstLine="312" w:firstLineChars="142"/>
    </w:pPr>
  </w:style>
  <w:style w:type="paragraph" w:styleId="7">
    <w:name w:val="footer"/>
    <w:basedOn w:val="1"/>
    <w:unhideWhenUsed/>
    <w:qFormat/>
    <w:uiPriority w:val="99"/>
    <w:pPr>
      <w:tabs>
        <w:tab w:val="center" w:pos="4153"/>
        <w:tab w:val="right" w:pos="8306"/>
      </w:tabs>
      <w:snapToGrid w:val="0"/>
    </w:pPr>
    <w:rPr>
      <w:sz w:val="18"/>
      <w:szCs w:val="18"/>
    </w:rPr>
  </w:style>
  <w:style w:type="paragraph" w:styleId="8">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6"/>
    <w:basedOn w:val="1"/>
    <w:next w:val="1"/>
    <w:qFormat/>
    <w:uiPriority w:val="39"/>
    <w:pPr>
      <w:widowControl/>
      <w:overflowPunct w:val="0"/>
      <w:autoSpaceDE w:val="0"/>
      <w:autoSpaceDN w:val="0"/>
      <w:adjustRightInd w:val="0"/>
      <w:ind w:left="1000"/>
      <w:textAlignment w:val="baseline"/>
    </w:pPr>
    <w:rPr>
      <w:rFonts w:ascii="Calibri" w:hAnsi="Calibri" w:eastAsia="宋体" w:cs="Times New Roman"/>
      <w:sz w:val="18"/>
      <w:szCs w:val="20"/>
    </w:rPr>
  </w:style>
  <w:style w:type="paragraph" w:styleId="11">
    <w:name w:val="Body Text Indent 3"/>
    <w:basedOn w:val="1"/>
    <w:qFormat/>
    <w:uiPriority w:val="0"/>
    <w:pPr>
      <w:autoSpaceDE w:val="0"/>
      <w:autoSpaceDN w:val="0"/>
      <w:adjustRightInd w:val="0"/>
      <w:spacing w:line="360" w:lineRule="auto"/>
      <w:ind w:left="720" w:firstLine="540"/>
    </w:pPr>
    <w:rPr>
      <w:rFonts w:ascii="仿宋_GB2312" w:hAnsi="Calibri" w:eastAsia="仿宋_GB2312" w:cs="Times New Roman"/>
      <w:color w:val="000000"/>
      <w:sz w:val="28"/>
    </w:rPr>
  </w:style>
  <w:style w:type="paragraph" w:styleId="12">
    <w:name w:val="toc 2"/>
    <w:basedOn w:val="1"/>
    <w:next w:val="1"/>
    <w:unhideWhenUsed/>
    <w:qFormat/>
    <w:uiPriority w:val="39"/>
    <w:pPr>
      <w:tabs>
        <w:tab w:val="left" w:pos="1045"/>
        <w:tab w:val="right" w:leader="dot" w:pos="8828"/>
      </w:tabs>
      <w:ind w:left="440" w:leftChars="200"/>
    </w:pPr>
  </w:style>
  <w:style w:type="paragraph" w:styleId="13">
    <w:name w:val="Normal (Web)"/>
    <w:basedOn w:val="1"/>
    <w:qFormat/>
    <w:uiPriority w:val="0"/>
    <w:rPr>
      <w:sz w:val="24"/>
    </w:rPr>
  </w:style>
  <w:style w:type="paragraph" w:styleId="14">
    <w:name w:val="Body Text First Indent"/>
    <w:basedOn w:val="4"/>
    <w:next w:val="10"/>
    <w:semiHidden/>
    <w:qFormat/>
    <w:uiPriority w:val="0"/>
    <w:pPr>
      <w:ind w:firstLine="561"/>
      <w:jc w:val="left"/>
    </w:pPr>
    <w:rPr>
      <w:rFonts w:cs="Times New Roman"/>
      <w:sz w:val="22"/>
    </w:rPr>
  </w:style>
  <w:style w:type="paragraph" w:styleId="15">
    <w:name w:val="Body Text First Indent 2"/>
    <w:basedOn w:val="5"/>
    <w:semiHidden/>
    <w:unhideWhenUsed/>
    <w:qFormat/>
    <w:uiPriority w:val="99"/>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qFormat/>
    <w:uiPriority w:val="0"/>
    <w:rPr>
      <w:color w:val="954F72"/>
      <w:u w:val="single"/>
    </w:rPr>
  </w:style>
  <w:style w:type="character" w:styleId="20">
    <w:name w:val="Hyperlink"/>
    <w:basedOn w:val="18"/>
    <w:qFormat/>
    <w:uiPriority w:val="99"/>
    <w:rPr>
      <w:color w:val="0563C1"/>
      <w:u w:val="single"/>
    </w:rPr>
  </w:style>
  <w:style w:type="character" w:styleId="21">
    <w:name w:val="annotation reference"/>
    <w:basedOn w:val="18"/>
    <w:qFormat/>
    <w:uiPriority w:val="99"/>
    <w:rPr>
      <w:sz w:val="21"/>
      <w:szCs w:val="21"/>
    </w:rPr>
  </w:style>
  <w:style w:type="character" w:customStyle="1" w:styleId="22">
    <w:name w:val="页眉 字符"/>
    <w:basedOn w:val="18"/>
    <w:link w:val="8"/>
    <w:qFormat/>
    <w:uiPriority w:val="0"/>
    <w:rPr>
      <w:sz w:val="18"/>
      <w:szCs w:val="18"/>
      <w:lang w:eastAsia="en-US"/>
    </w:rPr>
  </w:style>
  <w:style w:type="paragraph" w:customStyle="1" w:styleId="23">
    <w:name w:val="标题 33"/>
    <w:basedOn w:val="1"/>
    <w:qFormat/>
    <w:uiPriority w:val="1"/>
    <w:pPr>
      <w:ind w:left="237" w:right="5" w:rightChars="5"/>
      <w:outlineLvl w:val="3"/>
    </w:pPr>
    <w:rPr>
      <w:rFonts w:ascii="Noto Sans CJK DemiLight" w:hAnsi="Noto Sans CJK DemiLight" w:eastAsia="Noto Sans CJK DemiLight" w:cs="Times New Roman"/>
      <w:sz w:val="28"/>
      <w:szCs w:val="28"/>
    </w:rPr>
  </w:style>
  <w:style w:type="table" w:customStyle="1" w:styleId="24">
    <w:name w:val="Table Grid_0"/>
    <w:basedOn w:val="16"/>
    <w:qFormat/>
    <w:uiPriority w:val="0"/>
    <w:rPr>
      <w:rFonts w:ascii="Calibri" w:hAnsi="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25">
    <w:name w:val="Table Paragraph"/>
    <w:basedOn w:val="1"/>
    <w:qFormat/>
    <w:uiPriority w:val="0"/>
    <w:rPr>
      <w:rFonts w:ascii="Arial" w:hAnsi="Arial" w:eastAsia="微软雅黑" w:cs="Times New Roman"/>
      <w:lang w:eastAsia="zh-CN"/>
    </w:rPr>
  </w:style>
  <w:style w:type="table" w:customStyle="1" w:styleId="26">
    <w:name w:val="Table Grid_1"/>
    <w:basedOn w:val="16"/>
    <w:qFormat/>
    <w:uiPriority w:val="0"/>
    <w:rPr>
      <w:rFonts w:ascii="等线" w:hAnsi="等线" w:eastAsia="等线" w:cs="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27">
    <w:name w:val="正文文本缩进1"/>
    <w:basedOn w:val="1"/>
    <w:qFormat/>
    <w:uiPriority w:val="0"/>
    <w:pPr>
      <w:spacing w:line="360" w:lineRule="auto"/>
      <w:ind w:firstLine="444" w:firstLineChars="200"/>
    </w:pPr>
    <w:rPr>
      <w:rFonts w:ascii="宋体" w:hAnsi="Calibri" w:eastAsia="宋体" w:cs="Times New Roman"/>
      <w:sz w:val="24"/>
    </w:rPr>
  </w:style>
  <w:style w:type="paragraph" w:customStyle="1" w:styleId="28">
    <w:name w:val="正文_1"/>
    <w:next w:val="1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9">
    <w:name w:val="Table Grid_2"/>
    <w:basedOn w:val="16"/>
    <w:qFormat/>
    <w:uiPriority w:val="39"/>
    <w:rPr>
      <w:rFonts w:ascii="Calibri" w:hAnsi="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0">
    <w:name w:val="font01"/>
    <w:basedOn w:val="18"/>
    <w:qFormat/>
    <w:uiPriority w:val="0"/>
    <w:rPr>
      <w:rFonts w:hint="eastAsia" w:ascii="宋体" w:hAnsi="宋体" w:eastAsia="宋体" w:cs="宋体"/>
      <w:color w:val="000000"/>
      <w:sz w:val="21"/>
      <w:szCs w:val="21"/>
      <w:u w:val="single"/>
    </w:rPr>
  </w:style>
  <w:style w:type="character" w:customStyle="1" w:styleId="31">
    <w:name w:val="font11"/>
    <w:basedOn w:val="1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116</Pages>
  <Words>854</Words>
  <Characters>994</Characters>
  <Lines>4</Lines>
  <Paragraphs>1</Paragraphs>
  <TotalTime>73</TotalTime>
  <ScaleCrop>false</ScaleCrop>
  <LinksUpToDate>false</LinksUpToDate>
  <CharactersWithSpaces>1120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2022-12-02T00:40:00Z</dcterms:created>
  <dc:creator>GDNG-xumk-LX</dc:creator>
  <cp:lastModifiedBy>GDNG-xumk-LX</cp:lastModifiedBy>
  <cp:lastPrinted>2026-06-24T11:17:00Z</cp:lastPrinted>
  <dcterms:modified xsi:type="dcterms:W3CDTF">2026-07-16T12:03:52Z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E33625FE8A234CE99456CF5B0CF98E4C</vt:lpwstr>
  </property>
  <property fmtid="{D5CDD505-2E9C-101B-9397-08002B2CF9AE}" pid="3" name="KSOProductBuildVer">
    <vt:lpwstr>2052-11.8.2.12219</vt:lpwstr>
  </property>
  <property fmtid="{D5CDD505-2E9C-101B-9397-08002B2CF9AE}" pid="4" name="KSOTemplateDocerSaveRecord">
    <vt:lpwstr>eyJoZGlkIjoiZjM0ZTU0NDgyOTZiYzdlY2Q2NDE1NjFiZDUyMmE3ZGQiLCJ1c2VySWQiOiI2Mjc2NDY4MDQifQ==</vt:lpwstr>
  </property>
</Properties>
</file>