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both"/>
        <w:rPr>
          <w:rFonts w:hint="eastAsia" w:ascii="宋体" w:hAnsi="宋体" w:eastAsia="宋体" w:cs="宋体"/>
          <w:b/>
          <w:spacing w:val="2"/>
          <w:w w:val="99"/>
          <w:sz w:val="52"/>
          <w:szCs w:val="52"/>
        </w:rPr>
      </w:pPr>
      <w:bookmarkStart w:id="0" w:name="_Toc13249324"/>
      <w:bookmarkStart w:id="1" w:name="_Toc201592026"/>
      <w:bookmarkStart w:id="2" w:name="_Toc13248927"/>
      <w:bookmarkStart w:id="3" w:name="OLE_LINK6"/>
      <w:r>
        <w:rPr>
          <w:rFonts w:hint="eastAsia" w:ascii="宋体" w:hAnsi="宋体" w:eastAsia="宋体" w:cs="宋体"/>
        </w:rPr>
        <w:drawing>
          <wp:anchor distT="0" distB="0" distL="114300" distR="114300" simplePos="0" relativeHeight="251659264" behindDoc="1" locked="0" layoutInCell="1" allowOverlap="1">
            <wp:simplePos x="0" y="0"/>
            <wp:positionH relativeFrom="column">
              <wp:posOffset>2009140</wp:posOffset>
            </wp:positionH>
            <wp:positionV relativeFrom="paragraph">
              <wp:posOffset>20320</wp:posOffset>
            </wp:positionV>
            <wp:extent cx="1596390" cy="1438275"/>
            <wp:effectExtent l="0" t="0" r="3810" b="9525"/>
            <wp:wrapTight wrapText="bothSides">
              <wp:wrapPolygon>
                <wp:start x="7475" y="0"/>
                <wp:lineTo x="2320" y="4577"/>
                <wp:lineTo x="1031" y="6294"/>
                <wp:lineTo x="0" y="8297"/>
                <wp:lineTo x="0" y="15163"/>
                <wp:lineTo x="1289" y="18310"/>
                <wp:lineTo x="1289" y="18596"/>
                <wp:lineTo x="5155" y="21457"/>
                <wp:lineTo x="5671" y="21457"/>
                <wp:lineTo x="11341" y="21457"/>
                <wp:lineTo x="12115" y="21457"/>
                <wp:lineTo x="15465" y="18882"/>
                <wp:lineTo x="17527" y="14305"/>
                <wp:lineTo x="17527" y="13732"/>
                <wp:lineTo x="21394" y="12016"/>
                <wp:lineTo x="21394" y="8869"/>
                <wp:lineTo x="14950" y="4577"/>
                <wp:lineTo x="9537" y="0"/>
                <wp:lineTo x="7475" y="0"/>
              </wp:wrapPolygon>
            </wp:wrapTight>
            <wp:docPr id="18505900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90070" name="图片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596390" cy="1438275"/>
                    </a:xfrm>
                    <a:prstGeom prst="rect">
                      <a:avLst/>
                    </a:prstGeom>
                    <a:noFill/>
                  </pic:spPr>
                </pic:pic>
              </a:graphicData>
            </a:graphic>
          </wp:anchor>
        </w:drawing>
      </w:r>
    </w:p>
    <w:p>
      <w:pPr>
        <w:autoSpaceDE w:val="0"/>
        <w:autoSpaceDN w:val="0"/>
        <w:spacing w:before="120" w:after="120"/>
        <w:ind w:right="-20"/>
        <w:jc w:val="both"/>
        <w:rPr>
          <w:rFonts w:hint="eastAsia" w:ascii="宋体" w:hAnsi="宋体" w:eastAsia="宋体" w:cs="宋体"/>
          <w:b/>
          <w:spacing w:val="2"/>
          <w:w w:val="99"/>
          <w:sz w:val="52"/>
          <w:szCs w:val="52"/>
        </w:rPr>
      </w:pPr>
    </w:p>
    <w:p>
      <w:pPr>
        <w:autoSpaceDE w:val="0"/>
        <w:autoSpaceDN w:val="0"/>
        <w:spacing w:before="120" w:after="120"/>
        <w:ind w:right="-20"/>
        <w:jc w:val="both"/>
        <w:rPr>
          <w:rFonts w:hint="eastAsia" w:ascii="宋体" w:hAnsi="宋体" w:eastAsia="宋体" w:cs="宋体"/>
          <w:b/>
          <w:spacing w:val="2"/>
          <w:w w:val="99"/>
          <w:sz w:val="52"/>
          <w:szCs w:val="52"/>
        </w:rPr>
      </w:pPr>
    </w:p>
    <w:p>
      <w:pPr>
        <w:jc w:val="center"/>
        <w:rPr>
          <w:rFonts w:hint="eastAsia" w:ascii="宋体" w:hAnsi="宋体" w:eastAsia="宋体" w:cs="宋体"/>
          <w:color w:val="000000"/>
          <w:spacing w:val="2"/>
          <w:w w:val="99"/>
          <w:sz w:val="52"/>
          <w:szCs w:val="52"/>
          <w:lang w:eastAsia="zh-CN"/>
        </w:rPr>
      </w:pPr>
      <w:r>
        <w:rPr>
          <w:rFonts w:hint="eastAsia" w:ascii="宋体" w:hAnsi="宋体" w:eastAsia="宋体" w:cs="宋体"/>
          <w:color w:val="000000"/>
          <w:spacing w:val="2"/>
          <w:w w:val="99"/>
          <w:sz w:val="52"/>
          <w:szCs w:val="52"/>
          <w:lang w:eastAsia="zh-CN"/>
        </w:rPr>
        <w:t>中海油能源发展股份有限公司</w:t>
      </w:r>
    </w:p>
    <w:p>
      <w:pPr>
        <w:jc w:val="both"/>
        <w:rPr>
          <w:rFonts w:hint="eastAsia" w:ascii="宋体" w:hAnsi="宋体" w:eastAsia="宋体" w:cs="宋体"/>
          <w:b/>
          <w:spacing w:val="2"/>
          <w:w w:val="99"/>
          <w:sz w:val="52"/>
          <w:szCs w:val="52"/>
          <w:lang w:eastAsia="zh-CN"/>
        </w:rPr>
      </w:pPr>
    </w:p>
    <w:p>
      <w:pPr>
        <w:spacing w:line="480" w:lineRule="auto"/>
        <w:jc w:val="center"/>
        <w:rPr>
          <w:rFonts w:hint="eastAsia" w:ascii="宋体" w:hAnsi="宋体" w:eastAsia="宋体" w:cs="宋体"/>
          <w:b w:val="0"/>
          <w:bCs/>
          <w:snapToGrid w:val="0"/>
          <w:color w:val="000000"/>
          <w:sz w:val="36"/>
          <w:szCs w:val="36"/>
          <w:u w:val="single"/>
          <w:lang w:val="en-US" w:eastAsia="zh-CN"/>
        </w:rPr>
      </w:pPr>
      <w:r>
        <w:rPr>
          <w:rFonts w:hint="eastAsia" w:ascii="宋体" w:hAnsi="宋体" w:eastAsia="宋体" w:cs="宋体"/>
          <w:b w:val="0"/>
          <w:bCs/>
          <w:snapToGrid w:val="0"/>
          <w:color w:val="000000"/>
          <w:sz w:val="36"/>
          <w:szCs w:val="36"/>
          <w:u w:val="single"/>
          <w:lang w:val="en-US" w:eastAsia="zh-CN"/>
        </w:rPr>
        <w:t>绥中36-1原油处理厂污水处理系统优化提升项目</w:t>
      </w:r>
    </w:p>
    <w:p>
      <w:pPr>
        <w:spacing w:line="480" w:lineRule="auto"/>
        <w:jc w:val="center"/>
        <w:rPr>
          <w:rFonts w:hint="eastAsia" w:ascii="宋体" w:hAnsi="宋体" w:eastAsia="宋体" w:cs="宋体"/>
          <w:b w:val="0"/>
          <w:bCs/>
          <w:snapToGrid w:val="0"/>
          <w:color w:val="000000"/>
          <w:sz w:val="36"/>
          <w:szCs w:val="36"/>
          <w:u w:val="single"/>
          <w:lang w:val="en-US" w:eastAsia="zh-CN"/>
        </w:rPr>
      </w:pPr>
      <w:r>
        <w:rPr>
          <w:rFonts w:hint="eastAsia" w:ascii="宋体" w:hAnsi="宋体" w:eastAsia="宋体" w:cs="宋体"/>
          <w:b w:val="0"/>
          <w:bCs/>
          <w:snapToGrid w:val="0"/>
          <w:color w:val="000000"/>
          <w:sz w:val="36"/>
          <w:szCs w:val="36"/>
          <w:u w:val="single"/>
          <w:lang w:val="en-US" w:eastAsia="zh-CN"/>
        </w:rPr>
        <w:t>设备安装及钢结构施工服务</w:t>
      </w:r>
    </w:p>
    <w:p>
      <w:pPr>
        <w:spacing w:line="480" w:lineRule="auto"/>
        <w:jc w:val="center"/>
        <w:rPr>
          <w:rFonts w:hint="eastAsia" w:ascii="宋体" w:hAnsi="宋体" w:eastAsia="宋体" w:cs="宋体"/>
          <w:b/>
          <w:spacing w:val="2"/>
          <w:w w:val="99"/>
          <w:sz w:val="52"/>
          <w:szCs w:val="52"/>
          <w:lang w:eastAsia="zh-CN"/>
        </w:rPr>
      </w:pPr>
      <w:r>
        <w:rPr>
          <w:rFonts w:hint="eastAsia" w:ascii="宋体" w:hAnsi="宋体" w:eastAsia="宋体" w:cs="宋体"/>
          <w:b/>
          <w:spacing w:val="2"/>
          <w:w w:val="99"/>
          <w:sz w:val="52"/>
          <w:szCs w:val="52"/>
          <w:lang w:eastAsia="zh-CN"/>
        </w:rPr>
        <w:t>采购技术要求书</w:t>
      </w:r>
    </w:p>
    <w:p>
      <w:pPr>
        <w:pStyle w:val="9"/>
        <w:jc w:val="both"/>
        <w:rPr>
          <w:rFonts w:hint="eastAsia" w:ascii="宋体" w:hAnsi="宋体" w:eastAsia="宋体" w:cs="宋体"/>
          <w:lang w:eastAsia="zh-CN"/>
        </w:rPr>
      </w:pPr>
    </w:p>
    <w:p>
      <w:pPr>
        <w:pStyle w:val="9"/>
        <w:jc w:val="both"/>
        <w:rPr>
          <w:rFonts w:hint="eastAsia" w:ascii="宋体" w:hAnsi="宋体" w:eastAsia="宋体" w:cs="宋体"/>
          <w:lang w:eastAsia="zh-CN"/>
        </w:rPr>
      </w:pPr>
    </w:p>
    <w:p>
      <w:pPr>
        <w:pStyle w:val="9"/>
        <w:jc w:val="both"/>
        <w:rPr>
          <w:rFonts w:hint="eastAsia" w:ascii="宋体" w:hAnsi="宋体" w:eastAsia="宋体" w:cs="宋体"/>
          <w:lang w:eastAsia="zh-CN"/>
        </w:rPr>
      </w:pPr>
    </w:p>
    <w:p>
      <w:pPr>
        <w:pStyle w:val="9"/>
        <w:jc w:val="both"/>
        <w:rPr>
          <w:rFonts w:hint="eastAsia" w:ascii="宋体" w:hAnsi="宋体" w:eastAsia="宋体" w:cs="宋体"/>
          <w:lang w:eastAsia="zh-CN"/>
        </w:rPr>
      </w:pPr>
    </w:p>
    <w:p>
      <w:pPr>
        <w:autoSpaceDE w:val="0"/>
        <w:autoSpaceDN w:val="0"/>
        <w:spacing w:before="120" w:after="120" w:line="720" w:lineRule="auto"/>
        <w:ind w:right="-20"/>
        <w:jc w:val="both"/>
        <w:rPr>
          <w:rFonts w:hint="eastAsia" w:ascii="宋体" w:hAnsi="宋体" w:eastAsia="宋体" w:cs="宋体"/>
          <w:spacing w:val="2"/>
          <w:w w:val="99"/>
          <w:sz w:val="32"/>
          <w:szCs w:val="32"/>
          <w:lang w:eastAsia="zh-CN"/>
        </w:rPr>
      </w:pPr>
      <w:r>
        <w:rPr>
          <w:rFonts w:hint="eastAsia" w:ascii="宋体" w:hAnsi="宋体" w:eastAsia="宋体" w:cs="宋体"/>
          <w:spacing w:val="2"/>
          <w:w w:val="99"/>
          <w:sz w:val="32"/>
          <w:szCs w:val="32"/>
          <w:lang w:eastAsia="zh-CN"/>
        </w:rPr>
        <w:t xml:space="preserve"> </w:t>
      </w:r>
      <w:r>
        <w:rPr>
          <w:rFonts w:hint="eastAsia" w:ascii="宋体" w:hAnsi="宋体" w:eastAsia="宋体" w:cs="宋体"/>
          <w:spacing w:val="2"/>
          <w:w w:val="99"/>
          <w:sz w:val="32"/>
          <w:szCs w:val="32"/>
          <w:lang w:val="en-US" w:eastAsia="zh-CN"/>
        </w:rPr>
        <w:t xml:space="preserve">  </w:t>
      </w:r>
      <w:r>
        <w:rPr>
          <w:rFonts w:hint="eastAsia" w:ascii="宋体" w:hAnsi="宋体" w:eastAsia="宋体" w:cs="宋体"/>
          <w:spacing w:val="2"/>
          <w:w w:val="99"/>
          <w:sz w:val="32"/>
          <w:szCs w:val="32"/>
          <w:lang w:eastAsia="zh-CN"/>
        </w:rPr>
        <w:t xml:space="preserve">   编  制  人：</w:t>
      </w:r>
      <w:r>
        <w:rPr>
          <w:rFonts w:hint="eastAsia" w:ascii="宋体" w:hAnsi="宋体" w:eastAsia="宋体" w:cs="宋体"/>
          <w:spacing w:val="2"/>
          <w:w w:val="99"/>
          <w:sz w:val="32"/>
          <w:szCs w:val="32"/>
          <w:u w:val="single"/>
          <w:lang w:eastAsia="zh-CN"/>
        </w:rPr>
        <w:t xml:space="preserve">                        </w:t>
      </w:r>
      <w:r>
        <w:rPr>
          <w:rFonts w:hint="eastAsia" w:ascii="宋体" w:hAnsi="宋体" w:eastAsia="宋体" w:cs="宋体"/>
          <w:spacing w:val="2"/>
          <w:w w:val="99"/>
          <w:sz w:val="32"/>
          <w:szCs w:val="32"/>
          <w:lang w:eastAsia="zh-CN"/>
        </w:rPr>
        <w:t xml:space="preserve">                       </w:t>
      </w:r>
    </w:p>
    <w:p>
      <w:pPr>
        <w:autoSpaceDE w:val="0"/>
        <w:autoSpaceDN w:val="0"/>
        <w:spacing w:before="120" w:after="120" w:line="720" w:lineRule="auto"/>
        <w:ind w:right="-20"/>
        <w:jc w:val="both"/>
        <w:rPr>
          <w:rFonts w:hint="eastAsia" w:ascii="宋体" w:hAnsi="宋体" w:eastAsia="宋体" w:cs="宋体"/>
          <w:spacing w:val="2"/>
          <w:w w:val="99"/>
          <w:sz w:val="32"/>
          <w:szCs w:val="32"/>
          <w:lang w:eastAsia="zh-CN"/>
        </w:rPr>
      </w:pPr>
      <w:r>
        <w:rPr>
          <w:rFonts w:hint="eastAsia" w:ascii="宋体" w:hAnsi="宋体" w:eastAsia="宋体" w:cs="宋体"/>
          <w:spacing w:val="2"/>
          <w:w w:val="99"/>
          <w:sz w:val="32"/>
          <w:szCs w:val="32"/>
          <w:lang w:eastAsia="zh-CN"/>
        </w:rPr>
        <w:t xml:space="preserve">   </w:t>
      </w:r>
      <w:r>
        <w:rPr>
          <w:rFonts w:hint="eastAsia" w:ascii="宋体" w:hAnsi="宋体" w:eastAsia="宋体" w:cs="宋体"/>
          <w:spacing w:val="2"/>
          <w:w w:val="99"/>
          <w:sz w:val="32"/>
          <w:szCs w:val="32"/>
          <w:lang w:val="en-US" w:eastAsia="zh-CN"/>
        </w:rPr>
        <w:t xml:space="preserve">  </w:t>
      </w:r>
      <w:r>
        <w:rPr>
          <w:rFonts w:hint="eastAsia" w:ascii="宋体" w:hAnsi="宋体" w:eastAsia="宋体" w:cs="宋体"/>
          <w:spacing w:val="2"/>
          <w:w w:val="99"/>
          <w:sz w:val="32"/>
          <w:szCs w:val="32"/>
          <w:lang w:eastAsia="zh-CN"/>
        </w:rPr>
        <w:t xml:space="preserve"> 审  核  人：</w:t>
      </w:r>
      <w:r>
        <w:rPr>
          <w:rFonts w:hint="eastAsia" w:ascii="宋体" w:hAnsi="宋体" w:eastAsia="宋体" w:cs="宋体"/>
          <w:spacing w:val="2"/>
          <w:w w:val="99"/>
          <w:sz w:val="32"/>
          <w:szCs w:val="32"/>
          <w:u w:val="single"/>
          <w:lang w:eastAsia="zh-CN"/>
        </w:rPr>
        <w:t xml:space="preserve">                        </w:t>
      </w:r>
    </w:p>
    <w:p>
      <w:pPr>
        <w:autoSpaceDE w:val="0"/>
        <w:autoSpaceDN w:val="0"/>
        <w:spacing w:before="120" w:after="120" w:line="720" w:lineRule="auto"/>
        <w:ind w:right="-20"/>
        <w:jc w:val="both"/>
        <w:rPr>
          <w:rFonts w:hint="eastAsia" w:ascii="宋体" w:hAnsi="宋体" w:eastAsia="宋体" w:cs="宋体"/>
          <w:spacing w:val="2"/>
          <w:w w:val="99"/>
          <w:sz w:val="32"/>
          <w:szCs w:val="32"/>
          <w:lang w:eastAsia="zh-CN"/>
        </w:rPr>
      </w:pPr>
      <w:r>
        <w:rPr>
          <w:rFonts w:hint="eastAsia" w:ascii="宋体" w:hAnsi="宋体" w:eastAsia="宋体" w:cs="宋体"/>
          <w:spacing w:val="2"/>
          <w:w w:val="99"/>
          <w:sz w:val="32"/>
          <w:szCs w:val="32"/>
          <w:lang w:eastAsia="zh-CN"/>
        </w:rPr>
        <w:t xml:space="preserve">   </w:t>
      </w:r>
      <w:r>
        <w:rPr>
          <w:rFonts w:hint="eastAsia" w:ascii="宋体" w:hAnsi="宋体" w:eastAsia="宋体" w:cs="宋体"/>
          <w:spacing w:val="2"/>
          <w:w w:val="99"/>
          <w:sz w:val="32"/>
          <w:szCs w:val="32"/>
          <w:lang w:val="en-US" w:eastAsia="zh-CN"/>
        </w:rPr>
        <w:t xml:space="preserve">  </w:t>
      </w:r>
      <w:r>
        <w:rPr>
          <w:rFonts w:hint="eastAsia" w:ascii="宋体" w:hAnsi="宋体" w:eastAsia="宋体" w:cs="宋体"/>
          <w:spacing w:val="2"/>
          <w:w w:val="99"/>
          <w:sz w:val="32"/>
          <w:szCs w:val="32"/>
          <w:lang w:eastAsia="zh-CN"/>
        </w:rPr>
        <w:t xml:space="preserve"> 审  批  人：</w:t>
      </w:r>
      <w:r>
        <w:rPr>
          <w:rFonts w:hint="eastAsia" w:ascii="宋体" w:hAnsi="宋体" w:eastAsia="宋体" w:cs="宋体"/>
          <w:spacing w:val="2"/>
          <w:w w:val="99"/>
          <w:sz w:val="32"/>
          <w:szCs w:val="32"/>
          <w:u w:val="single"/>
          <w:lang w:eastAsia="zh-CN"/>
        </w:rPr>
        <w:t xml:space="preserve">                        </w:t>
      </w:r>
      <w:r>
        <w:rPr>
          <w:rFonts w:hint="eastAsia" w:ascii="宋体" w:hAnsi="宋体" w:eastAsia="宋体" w:cs="宋体"/>
          <w:spacing w:val="2"/>
          <w:w w:val="99"/>
          <w:sz w:val="32"/>
          <w:szCs w:val="32"/>
          <w:lang w:eastAsia="zh-CN"/>
        </w:rPr>
        <w:t xml:space="preserve"> </w:t>
      </w:r>
    </w:p>
    <w:p>
      <w:pPr>
        <w:autoSpaceDE w:val="0"/>
        <w:autoSpaceDN w:val="0"/>
        <w:spacing w:before="120" w:after="120" w:line="14" w:lineRule="auto"/>
        <w:ind w:right="-23" w:firstLine="640" w:firstLineChars="200"/>
        <w:jc w:val="both"/>
        <w:rPr>
          <w:rFonts w:hint="eastAsia" w:ascii="宋体" w:hAnsi="宋体" w:eastAsia="宋体" w:cs="宋体"/>
          <w:spacing w:val="2"/>
          <w:w w:val="99"/>
          <w:sz w:val="36"/>
          <w:szCs w:val="36"/>
          <w:lang w:eastAsia="zh-CN"/>
        </w:rPr>
      </w:pPr>
      <w:r>
        <w:rPr>
          <w:rFonts w:hint="eastAsia" w:ascii="宋体" w:hAnsi="宋体" w:eastAsia="宋体" w:cs="宋体"/>
          <w:spacing w:val="2"/>
          <w:w w:val="99"/>
          <w:sz w:val="32"/>
          <w:szCs w:val="32"/>
          <w:lang w:eastAsia="zh-CN"/>
        </w:rPr>
        <w:t xml:space="preserve"> </w:t>
      </w:r>
      <w:r>
        <w:rPr>
          <w:rFonts w:hint="eastAsia" w:ascii="宋体" w:hAnsi="宋体" w:eastAsia="宋体" w:cs="宋体"/>
          <w:spacing w:val="2"/>
          <w:w w:val="99"/>
          <w:sz w:val="36"/>
          <w:szCs w:val="36"/>
          <w:lang w:eastAsia="zh-CN"/>
        </w:rPr>
        <w:t xml:space="preserve">            </w:t>
      </w:r>
    </w:p>
    <w:p>
      <w:pPr>
        <w:pStyle w:val="3"/>
        <w:jc w:val="both"/>
        <w:rPr>
          <w:rFonts w:hint="eastAsia" w:ascii="宋体" w:hAnsi="宋体" w:eastAsia="宋体" w:cs="宋体"/>
        </w:rPr>
      </w:pPr>
    </w:p>
    <w:p>
      <w:pPr>
        <w:rPr>
          <w:rFonts w:hint="eastAsia" w:ascii="宋体" w:hAnsi="宋体" w:eastAsia="宋体" w:cs="宋体"/>
          <w:lang w:eastAsia="zh-CN"/>
        </w:rPr>
      </w:pPr>
    </w:p>
    <w:p>
      <w:pPr>
        <w:pStyle w:val="2"/>
        <w:rPr>
          <w:rFonts w:hint="eastAsia" w:ascii="宋体" w:hAnsi="宋体" w:eastAsia="宋体" w:cs="宋体"/>
          <w:sz w:val="32"/>
          <w:szCs w:val="32"/>
        </w:rPr>
      </w:pPr>
      <w:r>
        <w:rPr>
          <w:rFonts w:hint="eastAsia" w:ascii="宋体" w:hAnsi="宋体" w:eastAsia="宋体" w:cs="宋体"/>
          <w:sz w:val="32"/>
          <w:szCs w:val="32"/>
        </w:rPr>
        <w:t>一、需求概况</w:t>
      </w:r>
      <w:bookmarkEnd w:id="0"/>
      <w:bookmarkEnd w:id="1"/>
      <w:bookmarkEnd w:id="2"/>
    </w:p>
    <w:bookmarkEnd w:id="3"/>
    <w:p>
      <w:pPr>
        <w:spacing w:before="2" w:line="100" w:lineRule="exact"/>
        <w:jc w:val="both"/>
        <w:rPr>
          <w:rFonts w:hint="eastAsia" w:ascii="宋体" w:hAnsi="宋体" w:eastAsia="宋体" w:cs="宋体"/>
          <w:sz w:val="10"/>
          <w:szCs w:val="10"/>
          <w:lang w:eastAsia="zh-CN"/>
        </w:rPr>
      </w:pPr>
    </w:p>
    <w:p>
      <w:pPr>
        <w:pStyle w:val="7"/>
        <w:keepNext w:val="0"/>
        <w:keepLines w:val="0"/>
        <w:pageBreakBefore w:val="0"/>
        <w:widowControl/>
        <w:kinsoku/>
        <w:wordWrap/>
        <w:overflowPunct/>
        <w:topLinePunct w:val="0"/>
        <w:autoSpaceDE/>
        <w:autoSpaceDN/>
        <w:bidi w:val="0"/>
        <w:adjustRightInd w:val="0"/>
        <w:snapToGrid/>
        <w:spacing w:line="360" w:lineRule="auto"/>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bookmarkStart w:id="4" w:name="_Toc201592027"/>
      <w:r>
        <w:rPr>
          <w:rFonts w:hint="eastAsia" w:ascii="宋体" w:hAnsi="宋体" w:eastAsia="宋体" w:cs="宋体"/>
          <w:b w:val="0"/>
          <w:color w:val="000000" w:themeColor="text1"/>
          <w:sz w:val="24"/>
          <w:szCs w:val="24"/>
          <w:highlight w:val="none"/>
          <w:lang w:val="en-US" w:eastAsia="zh-CN"/>
          <w14:textFill>
            <w14:solidFill>
              <w14:schemeClr w14:val="tx1"/>
            </w14:solidFill>
          </w14:textFill>
        </w:rPr>
        <w:t>绥中36-1原油处理厂污水处理系统处理工艺包含物化处理工段、生化预处理工段、生化处理工段、深度处理工段四部分。包含斜管除油器、气浮、双滤料过滤、冷却、初沉池、铁碳微电解、芬顿、厌氧/缺氧/好氧（AAO生化池）、混凝沉淀、臭氧催化氧化、曝气生物滤池（BAF池）、活性炭等核心处理装置。该处理系统经过长期运行逐渐暴露出处理效率不稳定、运行成本偏高等问题，亟需优化提升改造。</w:t>
      </w:r>
    </w:p>
    <w:p>
      <w:pPr>
        <w:spacing w:line="480" w:lineRule="auto"/>
        <w:ind w:firstLine="480" w:firstLineChars="200"/>
        <w:jc w:val="both"/>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根据绥中36-1原油处理厂污水处理系统优化提升项目需要，需要安装铁碳微电解处理装置成套设备、芬顿处理单元成套设备、超滤撬成套设备及附属管线、仪表、钢结构平台，对生化池进行流程工艺改造，对臭氧单元进行扩容，现需要具备专业施工能力的服务队伍来做好现场施工工作。</w:t>
      </w:r>
    </w:p>
    <w:p>
      <w:pPr>
        <w:pStyle w:val="2"/>
        <w:rPr>
          <w:rFonts w:hint="eastAsia" w:ascii="宋体" w:hAnsi="宋体" w:eastAsia="宋体" w:cs="宋体"/>
          <w:sz w:val="32"/>
          <w:szCs w:val="32"/>
        </w:rPr>
      </w:pPr>
      <w:r>
        <w:rPr>
          <w:rStyle w:val="25"/>
          <w:rFonts w:hint="eastAsia" w:ascii="宋体" w:hAnsi="宋体" w:eastAsia="宋体" w:cs="宋体"/>
          <w:b/>
          <w:bCs/>
          <w:sz w:val="32"/>
          <w:szCs w:val="32"/>
        </w:rPr>
        <w:t>二、施工规范及要</w:t>
      </w:r>
      <w:r>
        <w:rPr>
          <w:rFonts w:hint="eastAsia" w:ascii="宋体" w:hAnsi="宋体" w:eastAsia="宋体" w:cs="宋体"/>
          <w:sz w:val="32"/>
          <w:szCs w:val="32"/>
        </w:rPr>
        <w:t>求</w:t>
      </w:r>
      <w:bookmarkEnd w:id="4"/>
    </w:p>
    <w:p>
      <w:pPr>
        <w:pStyle w:val="3"/>
        <w:rPr>
          <w:rFonts w:hint="eastAsia" w:ascii="宋体" w:hAnsi="宋体" w:eastAsia="宋体" w:cs="宋体"/>
        </w:rPr>
      </w:pPr>
      <w:bookmarkStart w:id="5" w:name="_Toc201592028"/>
      <w:r>
        <w:rPr>
          <w:rFonts w:hint="eastAsia" w:ascii="宋体" w:hAnsi="宋体" w:eastAsia="宋体" w:cs="宋体"/>
        </w:rPr>
        <w:t>2.1标准、规范、其他</w:t>
      </w:r>
      <w:bookmarkEnd w:id="5"/>
    </w:p>
    <w:p>
      <w:pPr>
        <w:pStyle w:val="3"/>
        <w:keepNext w:val="0"/>
        <w:keepLines w:val="0"/>
        <w:pageBreakBefore w:val="0"/>
        <w:widowControl w:val="0"/>
        <w:numPr>
          <w:ilvl w:val="0"/>
          <w:numId w:val="1"/>
        </w:numPr>
        <w:kinsoku/>
        <w:wordWrap/>
        <w:overflowPunct/>
        <w:topLinePunct w:val="0"/>
        <w:autoSpaceDE/>
        <w:autoSpaceDN/>
        <w:bidi w:val="0"/>
        <w:adjustRightInd/>
        <w:spacing w:line="360" w:lineRule="auto"/>
        <w:textAlignment w:val="auto"/>
        <w:rPr>
          <w:rFonts w:ascii="宋体" w:hAnsi="宋体" w:eastAsia="宋体" w:cs="宋体"/>
          <w:sz w:val="24"/>
          <w:szCs w:val="24"/>
        </w:rPr>
      </w:pPr>
      <w:bookmarkStart w:id="6" w:name="_Toc256000279"/>
      <w:bookmarkStart w:id="7" w:name="_Toc155683965_0"/>
      <w:bookmarkStart w:id="8" w:name="_Toc16249"/>
      <w:bookmarkStart w:id="9" w:name="_Toc201592029"/>
      <w:bookmarkStart w:id="10" w:name="_Toc256000106"/>
      <w:r>
        <w:rPr>
          <w:rFonts w:ascii="宋体" w:hAnsi="宋体" w:eastAsia="宋体" w:cs="宋体"/>
          <w:sz w:val="24"/>
          <w:szCs w:val="24"/>
        </w:rPr>
        <w:t xml:space="preserve">国家和行业有关标准； </w:t>
      </w:r>
    </w:p>
    <w:p>
      <w:pPr>
        <w:pStyle w:val="3"/>
        <w:keepNext w:val="0"/>
        <w:keepLines w:val="0"/>
        <w:pageBreakBefore w:val="0"/>
        <w:widowControl w:val="0"/>
        <w:numPr>
          <w:ilvl w:val="0"/>
          <w:numId w:val="1"/>
        </w:numPr>
        <w:kinsoku/>
        <w:wordWrap/>
        <w:overflowPunct/>
        <w:topLinePunct w:val="0"/>
        <w:autoSpaceDE/>
        <w:autoSpaceDN/>
        <w:bidi w:val="0"/>
        <w:adjustRightInd/>
        <w:spacing w:line="360" w:lineRule="auto"/>
        <w:textAlignment w:val="auto"/>
        <w:rPr>
          <w:rFonts w:hint="eastAsia" w:ascii="宋体" w:hAnsi="宋体" w:eastAsia="宋体" w:cs="宋体"/>
          <w:sz w:val="24"/>
          <w:szCs w:val="24"/>
        </w:rPr>
      </w:pPr>
      <w:r>
        <w:rPr>
          <w:rFonts w:ascii="宋体" w:hAnsi="宋体" w:eastAsia="宋体" w:cs="宋体"/>
          <w:sz w:val="24"/>
          <w:szCs w:val="24"/>
        </w:rPr>
        <w:t>中国船级社《海上设施规范》相关要求；</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rPr>
      </w:pPr>
      <w:r>
        <w:rPr>
          <w:rFonts w:ascii="宋体" w:hAnsi="宋体" w:eastAsia="宋体" w:cs="宋体"/>
          <w:sz w:val="24"/>
          <w:szCs w:val="24"/>
        </w:rPr>
        <w:t>(3) 《石油天然气工程设计防火规范》GB 50183-2021</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ascii="宋体" w:hAnsi="宋体" w:eastAsia="宋体" w:cs="宋体"/>
          <w:sz w:val="24"/>
          <w:szCs w:val="24"/>
        </w:rPr>
      </w:pPr>
      <w:r>
        <w:rPr>
          <w:rFonts w:ascii="宋体" w:hAnsi="宋体" w:eastAsia="宋体" w:cs="宋体"/>
          <w:sz w:val="24"/>
          <w:szCs w:val="24"/>
        </w:rPr>
        <w:t xml:space="preserve">(4) 《爆炸危险环境电力装置设计规范》GB 50058-2022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rPr>
      </w:pPr>
      <w:r>
        <w:rPr>
          <w:rFonts w:ascii="宋体" w:hAnsi="宋体" w:eastAsia="宋体" w:cs="宋体"/>
          <w:sz w:val="24"/>
          <w:szCs w:val="24"/>
        </w:rPr>
        <w:t xml:space="preserve">(5) 《低压配电设计规范》GB 50054-2025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ascii="宋体" w:hAnsi="宋体" w:eastAsia="宋体" w:cs="宋体"/>
          <w:b w:val="0"/>
          <w:bCs w:val="0"/>
          <w:sz w:val="24"/>
          <w:szCs w:val="24"/>
        </w:rPr>
      </w:pPr>
      <w:r>
        <w:rPr>
          <w:rFonts w:ascii="宋体" w:hAnsi="宋体" w:eastAsia="宋体" w:cs="宋体"/>
          <w:b w:val="0"/>
          <w:bCs w:val="0"/>
          <w:sz w:val="24"/>
          <w:szCs w:val="24"/>
        </w:rPr>
        <w:t>(6) 《电力工程电缆设计规范》GB 50217-2023</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(7) 《工业设备及管道绝热工程施工规范》</w:t>
      </w:r>
      <w:r>
        <w:rPr>
          <w:rStyle w:val="17"/>
          <w:rFonts w:ascii="宋体" w:hAnsi="宋体" w:eastAsia="宋体" w:cs="宋体"/>
          <w:b w:val="0"/>
          <w:bCs w:val="0"/>
          <w:sz w:val="24"/>
          <w:szCs w:val="24"/>
        </w:rPr>
        <w:t>GB 50126-2008</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Style w:val="17"/>
          <w:rFonts w:ascii="宋体" w:hAnsi="宋体" w:eastAsia="宋体" w:cs="宋体"/>
          <w:b w:val="0"/>
          <w:bCs w:val="0"/>
          <w:sz w:val="24"/>
          <w:szCs w:val="24"/>
        </w:rPr>
      </w:pPr>
      <w:r>
        <w:rPr>
          <w:rFonts w:ascii="宋体" w:hAnsi="宋体" w:eastAsia="宋体" w:cs="宋体"/>
          <w:b w:val="0"/>
          <w:bCs w:val="0"/>
          <w:sz w:val="24"/>
          <w:szCs w:val="24"/>
        </w:rPr>
        <w:t>(8) 《爆炸和火灾危险环境电气装置施工及验收规范》</w:t>
      </w:r>
      <w:r>
        <w:rPr>
          <w:rStyle w:val="17"/>
          <w:rFonts w:ascii="宋体" w:hAnsi="宋体" w:eastAsia="宋体" w:cs="宋体"/>
          <w:b w:val="0"/>
          <w:bCs w:val="0"/>
          <w:sz w:val="24"/>
          <w:szCs w:val="24"/>
        </w:rPr>
        <w:t>GB 50257-2014</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(9) 《石油化工管架设计规范》SH/T 3055-2017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(10)《钢结构设计标准》GB 50017-2017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(11)《钢结构工程施工质量验收标准》GB 50205-2020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(12)《石油化工静电接地设计规范》SH/T 3097-2017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(13)《石油化工装置防雷设计规范》GB 50650-2011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(14)《建筑结构荷载规范》GB 50009-2012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ascii="宋体" w:hAnsi="宋体" w:eastAsia="宋体" w:cs="宋体"/>
          <w:b w:val="0"/>
          <w:bCs w:val="0"/>
          <w:sz w:val="24"/>
          <w:szCs w:val="24"/>
        </w:rPr>
      </w:pPr>
      <w:r>
        <w:rPr>
          <w:rFonts w:ascii="宋体" w:hAnsi="宋体" w:eastAsia="宋体" w:cs="宋体"/>
          <w:b w:val="0"/>
          <w:bCs w:val="0"/>
          <w:sz w:val="24"/>
          <w:szCs w:val="24"/>
        </w:rPr>
        <w:t>(15) 《混凝土结构设计规范》</w:t>
      </w:r>
      <w:r>
        <w:rPr>
          <w:rStyle w:val="17"/>
          <w:rFonts w:ascii="宋体" w:hAnsi="宋体" w:eastAsia="宋体" w:cs="宋体"/>
          <w:b w:val="0"/>
          <w:bCs w:val="0"/>
          <w:sz w:val="24"/>
          <w:szCs w:val="24"/>
        </w:rPr>
        <w:t>GB 50010-2024</w:t>
      </w:r>
      <w:r>
        <w:rPr>
          <w:rFonts w:ascii="宋体" w:hAnsi="宋体" w:eastAsia="宋体" w:cs="宋体"/>
          <w:b w:val="0"/>
          <w:bCs w:val="0"/>
          <w:sz w:val="24"/>
          <w:szCs w:val="24"/>
        </w:rPr>
        <w:t>；</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(16)《建筑施工扣件式钢管脚手架安全技术规范》JGJ 130-2024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(17)《石油化工设备和管道涂料防腐蚀设计规范》SH/T 3022-2019</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(18)《石油天然气工程管道和设备涂色规范》SY/T 0043-2020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ascii="宋体" w:hAnsi="宋体" w:eastAsia="宋体" w:cs="宋体"/>
          <w:b w:val="0"/>
          <w:bCs w:val="0"/>
          <w:sz w:val="24"/>
          <w:szCs w:val="24"/>
        </w:rPr>
      </w:pPr>
      <w:r>
        <w:rPr>
          <w:rFonts w:ascii="宋体" w:hAnsi="宋体" w:eastAsia="宋体" w:cs="宋体"/>
          <w:b w:val="0"/>
          <w:bCs w:val="0"/>
          <w:sz w:val="24"/>
          <w:szCs w:val="24"/>
        </w:rPr>
        <w:t>(19) 《现场设备、工业管道焊接工程施工规范》</w:t>
      </w:r>
      <w:r>
        <w:rPr>
          <w:rStyle w:val="17"/>
          <w:rFonts w:ascii="宋体" w:hAnsi="宋体" w:eastAsia="宋体" w:cs="宋体"/>
          <w:b w:val="0"/>
          <w:bCs w:val="0"/>
          <w:sz w:val="24"/>
          <w:szCs w:val="24"/>
        </w:rPr>
        <w:t>GB 50236-2011</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(20)《机械设备安装工程施工及验收通用规范》GB 50231-2021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(21)《工业安装工程质量验收统一标准》GB/T 50252-2018 </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(22) </w:t>
      </w:r>
      <w:r>
        <w:rPr>
          <w:rStyle w:val="17"/>
          <w:rFonts w:ascii="宋体" w:hAnsi="宋体" w:eastAsia="宋体" w:cs="宋体"/>
          <w:b w:val="0"/>
          <w:bCs w:val="0"/>
          <w:sz w:val="24"/>
          <w:szCs w:val="24"/>
        </w:rPr>
        <w:t>《危险化学品企业特殊作业安全规范》GB 30871-2022</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 xml:space="preserve">(23) </w:t>
      </w:r>
      <w:r>
        <w:rPr>
          <w:rStyle w:val="17"/>
          <w:rFonts w:ascii="宋体" w:hAnsi="宋体" w:eastAsia="宋体" w:cs="宋体"/>
          <w:b w:val="0"/>
          <w:bCs w:val="0"/>
          <w:sz w:val="24"/>
          <w:szCs w:val="24"/>
        </w:rPr>
        <w:t>《石油化工安全仪表系统设计规范》GB/T 50770-2013</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(24) 《通风与空调工程施工质量验收规范》</w:t>
      </w:r>
      <w:r>
        <w:rPr>
          <w:rStyle w:val="17"/>
          <w:rFonts w:ascii="宋体" w:hAnsi="宋体" w:eastAsia="宋体" w:cs="宋体"/>
          <w:b w:val="0"/>
          <w:bCs w:val="0"/>
          <w:sz w:val="24"/>
          <w:szCs w:val="24"/>
        </w:rPr>
        <w:t>GB 50243-2016</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val="0"/>
          <w:bCs w:val="0"/>
        </w:rPr>
      </w:pPr>
      <w:r>
        <w:rPr>
          <w:rFonts w:ascii="宋体" w:hAnsi="宋体" w:eastAsia="宋体" w:cs="宋体"/>
          <w:b w:val="0"/>
          <w:bCs w:val="0"/>
          <w:sz w:val="24"/>
          <w:szCs w:val="24"/>
        </w:rPr>
        <w:t>(25) 严格遵守业主方 QHSE 体系相关要求。</w:t>
      </w:r>
    </w:p>
    <w:p>
      <w:pPr>
        <w:pStyle w:val="3"/>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rPr>
      </w:pPr>
      <w:r>
        <w:rPr>
          <w:rFonts w:hint="eastAsia" w:ascii="宋体" w:hAnsi="宋体" w:eastAsia="宋体" w:cs="宋体"/>
        </w:rPr>
        <w:t>2.2施工依据</w:t>
      </w:r>
      <w:bookmarkEnd w:id="6"/>
      <w:bookmarkEnd w:id="7"/>
      <w:bookmarkEnd w:id="8"/>
      <w:bookmarkEnd w:id="9"/>
      <w:bookmarkEnd w:id="10"/>
    </w:p>
    <w:p>
      <w:pPr>
        <w:pStyle w:val="5"/>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left="425" w:leftChars="0" w:hanging="425" w:firstLineChars="0"/>
        <w:jc w:val="both"/>
        <w:textAlignment w:val="baseline"/>
        <w:rPr>
          <w:rFonts w:hint="eastAsia"/>
          <w:lang w:val="en-US" w:eastAsia="zh-CN"/>
        </w:rPr>
      </w:pPr>
      <w:r>
        <w:rPr>
          <w:rFonts w:hint="eastAsia"/>
          <w:lang w:val="en-US" w:eastAsia="zh-CN"/>
        </w:rPr>
        <w:t>业主方合同；</w:t>
      </w:r>
    </w:p>
    <w:p>
      <w:pPr>
        <w:pStyle w:val="5"/>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left="425" w:leftChars="0" w:hanging="425" w:firstLineChars="0"/>
        <w:jc w:val="both"/>
        <w:textAlignment w:val="baseline"/>
        <w:rPr>
          <w:rFonts w:hint="eastAsia"/>
          <w:lang w:val="en-US" w:eastAsia="zh-CN"/>
        </w:rPr>
      </w:pPr>
      <w:r>
        <w:rPr>
          <w:rFonts w:hint="eastAsia"/>
          <w:lang w:val="en-US" w:eastAsia="zh-CN"/>
        </w:rPr>
        <w:t>相关的标准、规范及本技术要求书；</w:t>
      </w:r>
    </w:p>
    <w:p>
      <w:pPr>
        <w:pStyle w:val="5"/>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left="425" w:leftChars="0" w:hanging="425" w:firstLineChars="0"/>
        <w:jc w:val="both"/>
        <w:textAlignment w:val="baseline"/>
        <w:rPr>
          <w:rFonts w:hint="eastAsia"/>
          <w:lang w:val="en-US" w:eastAsia="zh-CN"/>
        </w:rPr>
      </w:pPr>
      <w:r>
        <w:rPr>
          <w:rFonts w:hint="eastAsia"/>
          <w:lang w:val="en-US" w:eastAsia="zh-CN"/>
        </w:rPr>
        <w:t>业主审批的施工方案、专项施工方案；</w:t>
      </w:r>
    </w:p>
    <w:p>
      <w:pPr>
        <w:pStyle w:val="5"/>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left="0" w:leftChars="0" w:firstLine="0" w:firstLineChars="0"/>
        <w:jc w:val="both"/>
        <w:textAlignment w:val="baseline"/>
        <w:rPr>
          <w:rFonts w:hint="eastAsia"/>
          <w:lang w:val="en-US" w:eastAsia="zh-CN"/>
        </w:rPr>
      </w:pPr>
      <w:r>
        <w:rPr>
          <w:rFonts w:hint="eastAsia"/>
          <w:lang w:val="en-US" w:eastAsia="zh-CN"/>
        </w:rPr>
        <w:t>招标方提供的本项目全套设计施工图纸（含工艺、设备、管道、电气、仪表、钢结构专业，图纸目录详见附件六）</w:t>
      </w:r>
    </w:p>
    <w:p>
      <w:pPr>
        <w:pStyle w:val="5"/>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left="0" w:leftChars="0" w:firstLine="0" w:firstLineChars="0"/>
        <w:jc w:val="both"/>
        <w:textAlignment w:val="baseline"/>
        <w:rPr>
          <w:rFonts w:hint="eastAsia"/>
          <w:lang w:val="en-US" w:eastAsia="zh-CN"/>
        </w:rPr>
      </w:pPr>
      <w:r>
        <w:rPr>
          <w:rFonts w:hint="eastAsia"/>
          <w:lang w:val="en-US" w:eastAsia="zh-CN"/>
        </w:rPr>
        <w:t>本技术要求书与设计图纸不一致时，</w:t>
      </w:r>
      <w:r>
        <w:rPr>
          <w:rFonts w:hint="eastAsia"/>
          <w:color w:val="000000" w:themeColor="text1"/>
          <w:lang w:val="en-US" w:eastAsia="zh-CN"/>
          <w14:textFill>
            <w14:solidFill>
              <w14:schemeClr w14:val="tx1"/>
            </w14:solidFill>
          </w14:textFill>
        </w:rPr>
        <w:t>以设计图纸为准</w:t>
      </w:r>
      <w:r>
        <w:rPr>
          <w:rFonts w:hint="eastAsia"/>
          <w:color w:val="FF0000"/>
          <w:lang w:val="en-US" w:eastAsia="zh-CN"/>
        </w:rPr>
        <w:t>；</w:t>
      </w:r>
      <w:r>
        <w:rPr>
          <w:rFonts w:hint="eastAsia"/>
          <w:lang w:val="en-US" w:eastAsia="zh-CN"/>
        </w:rPr>
        <w:t>未尽事宜以设计图纸为准。</w:t>
      </w:r>
    </w:p>
    <w:p>
      <w:pPr>
        <w:pStyle w:val="3"/>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rPr>
      </w:pPr>
      <w:bookmarkStart w:id="11" w:name="_Toc398813483_0"/>
      <w:bookmarkStart w:id="12" w:name="_Toc155683966_0"/>
      <w:bookmarkStart w:id="13" w:name="_Toc52268403_0"/>
      <w:bookmarkStart w:id="14" w:name="_Toc256000280"/>
      <w:bookmarkStart w:id="15" w:name="_Toc12665"/>
      <w:bookmarkStart w:id="16" w:name="_Toc404868513_0"/>
      <w:bookmarkStart w:id="17" w:name="_Toc256000107"/>
      <w:bookmarkStart w:id="18" w:name="_Toc201592030"/>
      <w:r>
        <w:rPr>
          <w:rFonts w:hint="eastAsia" w:ascii="宋体" w:hAnsi="宋体" w:eastAsia="宋体" w:cs="宋体"/>
        </w:rPr>
        <w:t>2.3施工验收标准</w:t>
      </w:r>
      <w:bookmarkEnd w:id="11"/>
      <w:bookmarkEnd w:id="12"/>
      <w:bookmarkEnd w:id="13"/>
      <w:bookmarkEnd w:id="14"/>
      <w:bookmarkEnd w:id="15"/>
      <w:bookmarkEnd w:id="16"/>
      <w:bookmarkEnd w:id="17"/>
      <w:bookmarkEnd w:id="18"/>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1）严格遵守相关专业施工标准及验收规范，满足相关技术要求；</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2）严格遵守HSE体系的作业程序和中海油的规章制度；</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3）施工过程记录齐全，完工后提交招标人；</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4）应满足国家相关标准规范要求、过程管理资料完善和项目投产达标要求</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5）施工结束需要做到工完、料尽、场地清的标准。</w:t>
      </w:r>
    </w:p>
    <w:p>
      <w:pPr>
        <w:pStyle w:val="2"/>
        <w:rPr>
          <w:rFonts w:hint="eastAsia" w:ascii="宋体" w:hAnsi="宋体" w:eastAsia="宋体" w:cs="宋体"/>
          <w:sz w:val="32"/>
          <w:szCs w:val="32"/>
        </w:rPr>
      </w:pPr>
      <w:bookmarkStart w:id="19" w:name="_Toc404868561_0"/>
      <w:bookmarkStart w:id="20" w:name="_Toc256000281"/>
      <w:bookmarkStart w:id="21" w:name="_Toc201592031"/>
      <w:bookmarkStart w:id="22" w:name="_Toc256000108"/>
      <w:bookmarkStart w:id="23" w:name="_Toc52268404_0"/>
      <w:bookmarkStart w:id="24" w:name="_Toc2355"/>
      <w:bookmarkStart w:id="25" w:name="_Toc155683967_0"/>
      <w:r>
        <w:rPr>
          <w:rFonts w:hint="eastAsia" w:ascii="宋体" w:hAnsi="宋体" w:eastAsia="宋体" w:cs="宋体"/>
          <w:sz w:val="32"/>
          <w:szCs w:val="32"/>
        </w:rPr>
        <w:t>三、施工</w:t>
      </w:r>
      <w:bookmarkEnd w:id="19"/>
      <w:r>
        <w:rPr>
          <w:rFonts w:hint="eastAsia" w:ascii="宋体" w:hAnsi="宋体" w:eastAsia="宋体" w:cs="宋体"/>
          <w:sz w:val="32"/>
          <w:szCs w:val="32"/>
        </w:rPr>
        <w:t>范围和内容</w:t>
      </w:r>
      <w:bookmarkEnd w:id="20"/>
      <w:bookmarkEnd w:id="21"/>
      <w:bookmarkEnd w:id="22"/>
      <w:bookmarkEnd w:id="23"/>
      <w:bookmarkEnd w:id="24"/>
      <w:bookmarkEnd w:id="25"/>
    </w:p>
    <w:p>
      <w:pPr>
        <w:pStyle w:val="3"/>
        <w:rPr>
          <w:rFonts w:hint="eastAsia" w:ascii="宋体" w:hAnsi="宋体" w:eastAsia="宋体" w:cs="宋体"/>
        </w:rPr>
      </w:pPr>
      <w:bookmarkStart w:id="26" w:name="_Toc10757"/>
      <w:bookmarkStart w:id="27" w:name="_Toc256000109"/>
      <w:bookmarkStart w:id="28" w:name="_Toc201592032"/>
      <w:bookmarkStart w:id="29" w:name="_Toc256000282"/>
      <w:r>
        <w:rPr>
          <w:rFonts w:hint="eastAsia" w:ascii="宋体" w:hAnsi="宋体" w:eastAsia="宋体" w:cs="宋体"/>
        </w:rPr>
        <w:t>3.1工作范围：</w:t>
      </w:r>
      <w:bookmarkEnd w:id="26"/>
      <w:bookmarkEnd w:id="27"/>
      <w:bookmarkEnd w:id="28"/>
      <w:bookmarkEnd w:id="29"/>
    </w:p>
    <w:p>
      <w:pPr>
        <w:rPr>
          <w:rFonts w:hint="eastAsia" w:ascii="宋体" w:hAnsi="宋体" w:eastAsia="宋体" w:cs="宋体"/>
          <w:lang w:val="en-US" w:eastAsia="zh-CN"/>
        </w:rPr>
      </w:pP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安装铁碳微电解处理装置成套设备、芬顿处理单元成套设备、超滤撬成套设备；具体包括设备明细详见附件三、四、五及设计图纸。</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生化处理单元配套曝气盘、曝气管路的安装。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水解酸化池搅拌器及布水管的安装。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厌氧池搅拌器及布水管的安装。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臭氧进水缓冲罐及附属管线、机泵、臭氧尾气破坏装置、曝气盘的安装。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臭氧催化剂、填料及支撑结构、臭氧单元管线流程改造。</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臭氧发生器新增制冷设备的安装。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生化处理单元换热器及附属管线的安装。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 xml:space="preserve">   砂滤单元石英砂的安装，布水器的安装。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加药间内加药罐、加药泵、加药管线的安装。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加药间改造后门的制作安装。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空压机顶部安装集气罩和风机。</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加药间、脱泥间配电柜更换为不锈钢耐腐蚀材质配电柜。</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COD 单元电伴热配电箱。</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生化池顶内外护栏整体更换。</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现场机泵、风机更换，位置移动。</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流量计、温度变送器、 溶解氧分析仪的安装。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曝气风机管线利旧改造。</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池内污泥清理，拟清理池体尺寸详见附件二。</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DCS系统、GDS系统升级改造，组态、控制逻辑、通讯升级。</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现场设备钢制配套楼梯、栈桥的制作安装。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新增及改造设备的伴热、保温制作安装。</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钢结构及防腐、给排水、仪表、配管、设备、电气、保温等专业的施工安装工作，所有施工要求满足相关标准规范和中海油管理规定的要求。</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投标人施工所用的设备应全部满足招标人要求，例如合格证、第三方检测、标定证书等。</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投标人完成设备、材料及施工过程中的的所有检验工作。</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投标人负责项目完工后现场清理，提交完工资料，包含但是不限于完工报告、过程检测记录：尺寸检验、组对、焊接外观、管线试压及电气仪表测试等项目。</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投标人负责招标人提供的设备、材料以及投标人为完成工程施工使用的设备、材料的场内转运。</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为项目提供安装和调试所需的施工耗材、消耗品、防护用品和必要的工具等。</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负责所有的施工的试验检验、报验、报检、单机调试、配合系统调试、三查四定整改、质保等工作。</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编制吊装专项施工方案，并进行专家审查，通过业主方的专家审查合格后方可施工。</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因环境保护、现场施工安全防护和保证施工顺利进行等必备措施工程（比如防尘措施、安全围挡防护措施、夏季及冬季施工措施、三通一平等）</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在现场产生的垃圾、废料运至指定的场地堆放</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对于施工期间，投标人机械或车辆等损坏厂区道路或场地的，以及吊装过程中对原有场地和道路破坏，由投标人负责修复，招标人不增加费用</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投标人负责施工期间对业主装置设施有影响的进行保护或隔离。</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食宿由投标人自理。</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施工人员要持有健康证、承包商作业人员安全知识考试（线上学习和到天津或深圳或湛江参加笔试）、人员跟踪卡、智能定位模块；</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招标人提供的设备、材料以及投标人为完成工程施工使用的设备、材料，均由投标人负责卸车、准备并摆放自卸时的支撑材料；大型设备的卸车需要投标人提供鞍座和支座；</w:t>
      </w:r>
    </w:p>
    <w:p>
      <w:pPr>
        <w:pStyle w:val="24"/>
        <w:keepNext w:val="0"/>
        <w:keepLines w:val="0"/>
        <w:pageBreakBefore w:val="0"/>
        <w:widowControl w:val="0"/>
        <w:numPr>
          <w:ilvl w:val="0"/>
          <w:numId w:val="3"/>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配合其他作业所需的工作。</w:t>
      </w:r>
    </w:p>
    <w:p>
      <w:pPr>
        <w:pStyle w:val="3"/>
        <w:rPr>
          <w:rFonts w:hint="eastAsia" w:ascii="宋体" w:hAnsi="宋体" w:eastAsia="宋体" w:cs="宋体"/>
        </w:rPr>
      </w:pPr>
      <w:bookmarkStart w:id="30" w:name="_Toc155683968_0"/>
      <w:bookmarkStart w:id="31" w:name="_Toc256000283"/>
      <w:bookmarkStart w:id="32" w:name="_Toc256000110"/>
      <w:bookmarkStart w:id="33" w:name="_Toc31741"/>
      <w:bookmarkStart w:id="34" w:name="_Toc201592033"/>
      <w:r>
        <w:rPr>
          <w:rFonts w:hint="eastAsia" w:ascii="宋体" w:hAnsi="宋体" w:eastAsia="宋体" w:cs="宋体"/>
        </w:rPr>
        <w:t>3.2</w:t>
      </w:r>
      <w:bookmarkEnd w:id="30"/>
      <w:r>
        <w:rPr>
          <w:rFonts w:hint="eastAsia" w:ascii="宋体" w:hAnsi="宋体" w:eastAsia="宋体" w:cs="宋体"/>
        </w:rPr>
        <w:t>工作量清单</w:t>
      </w:r>
      <w:bookmarkEnd w:id="31"/>
      <w:bookmarkEnd w:id="32"/>
      <w:bookmarkEnd w:id="33"/>
      <w:bookmarkEnd w:id="34"/>
    </w:p>
    <w:p>
      <w:pPr>
        <w:pStyle w:val="7"/>
        <w:spacing w:line="360" w:lineRule="auto"/>
        <w:ind w:right="121" w:rightChars="55" w:firstLine="480"/>
        <w:rPr>
          <w:rFonts w:hint="eastAsia" w:ascii="宋体" w:hAnsi="宋体" w:eastAsia="宋体" w:cs="宋体"/>
          <w:lang w:eastAsia="zh-CN"/>
        </w:rPr>
      </w:pPr>
      <w:r>
        <w:rPr>
          <w:rFonts w:hint="eastAsia" w:ascii="宋体" w:hAnsi="宋体" w:eastAsia="宋体" w:cs="宋体"/>
          <w:sz w:val="24"/>
          <w:szCs w:val="24"/>
          <w:lang w:eastAsia="zh-CN"/>
        </w:rPr>
        <w:t>投标方根据招标方</w:t>
      </w:r>
      <w:r>
        <w:rPr>
          <w:rFonts w:hint="eastAsia" w:ascii="宋体" w:hAnsi="宋体" w:eastAsia="宋体" w:cs="宋体"/>
          <w:sz w:val="24"/>
          <w:szCs w:val="24"/>
          <w:lang w:val="en-US" w:eastAsia="zh-CN"/>
        </w:rPr>
        <w:t>绥中36-1原油处理厂污水处理系统优化提升项目</w:t>
      </w:r>
      <w:r>
        <w:rPr>
          <w:rFonts w:hint="eastAsia" w:ascii="宋体" w:hAnsi="宋体" w:eastAsia="宋体" w:cs="宋体"/>
          <w:sz w:val="24"/>
          <w:szCs w:val="24"/>
          <w:lang w:eastAsia="zh-CN"/>
        </w:rPr>
        <w:t>的需要，为招标方提供服务，服务范围包括但不限于：（具体工作量详见附件一）</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芬顿处理单元成套设备（包含：芬顿塔（配套内部填料）、芬顿曝气风机、芬顿缓冲罐、芬顿提升泵、30%双氧水药剂罐、30%双氧水药剂转运泵、30%双氧水药剂计量泵、10%硫酸亚铁溶配罐、搅拌机、硫酸亚铁计量泵、管道、阀门及仪表等）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铁碳处理单元成套设备（包含：铁碳微电解塔（配套内部填料）、铁碳曝气风机、斜管沉淀池、铁碳排泥泵（配套曝气搅拌）、铁碳缓冲罐、铁碳提升泵、98%硫酸溶配罐、98%硫酸转运泵、98%硫酸计量泵、30%氢氧化钠溶配罐、搅拌机、30%氢氧化钠计量泵、PAM溶配系统、PAM计量泵、整套设备带独立的配电控制柜、PAC计量泵、管道、阀门及仪表等）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超滤撬成套设备（包含：超滤供水系统：供水泵、自清洗过滤器、配套仪表阀门等；主设备：超滤膜、框架、以及配套管路仪表阀门；反洗系统：反洗泵、过滤器等配套；清洗系统：清洗泵、罐、过滤器等；加药系统：加药泵、罐、以及配套管路仪表阀门等；仪表：工艺管线液位计、压力表、流量计等；阀门：工艺管路配套启动阀、手动阀等；电控系统：PLC柜、电磁阀柜，电缆线管等）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生化单元配套设备（包含换热器、搅拌机、布水管、曝气盘及曝气管线、潜水泵及附件管路等）安装。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臭氧单元配套设备（包含缓冲罐、泵、催化剂及填料、催化剂支撑结构等）安装。</w:t>
      </w:r>
    </w:p>
    <w:p>
      <w:pPr>
        <w:pStyle w:val="7"/>
        <w:numPr>
          <w:ilvl w:val="2"/>
          <w:numId w:val="4"/>
        </w:numPr>
        <w:spacing w:line="360" w:lineRule="auto"/>
        <w:ind w:right="121" w:rightChars="55" w:firstLineChars="0"/>
        <w:rPr>
          <w:rFonts w:hint="default"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砂滤单元配套设备（包括石英砂、布水管等）安装。</w:t>
      </w:r>
    </w:p>
    <w:p>
      <w:pPr>
        <w:pStyle w:val="7"/>
        <w:numPr>
          <w:ilvl w:val="2"/>
          <w:numId w:val="4"/>
        </w:numPr>
        <w:spacing w:line="360" w:lineRule="auto"/>
        <w:ind w:right="121" w:rightChars="55" w:firstLineChars="0"/>
        <w:rPr>
          <w:rFonts w:hint="default"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臭氧发生器配套设备（臭氧发生器制冷机组、空压机排风管线及排风扇）安装。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钢结构专业相关工作，包含：钢结构加工制作（例如：不锈钢、碳钢、镀锌钢管等）、钢结构安装（例如：楼梯、护栏、栈桥）等、钢结构打磨除锈刷漆等。</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管道专业相关工作，包含：各型号管线安装（</w:t>
      </w:r>
      <w:bookmarkStart w:id="35" w:name="OLE_LINK3"/>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例如</w:t>
      </w:r>
      <w:bookmarkEnd w:id="35"/>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不锈钢材质、碳钢材质、PVC材质等）、各型号管件安装（例如：不锈钢材质、碳钢材质、PVC材质等）、各型号阀门安装（例如：球阀、截止阀、止回阀、闸阀、蝶阀、减压阀、疏水阀、分流阀、隔膜阀、调节阀等）、过滤器安装、安全阀安装、快速接头安装、阻火器安装、支吊架制作安装、埋地管线防腐、各型号管线拆除、各型号阀门拆除、管道试压、无损检测等工作。</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电气专业相关工作，包含：电控柜体安装（例如：低压开关柜）、</w:t>
      </w:r>
      <w:bookmarkStart w:id="36" w:name="OLE_LINK4"/>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现场配电箱安装（包含：防爆照明配电箱、防爆检修配电箱、防爆配电开关箱、防爆伴热电源箱安装、接线、校线、调试）</w:t>
      </w:r>
      <w:bookmarkEnd w:id="36"/>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、支吊架安装。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仪表专业相关工作，包含：温度计安装、压力表、节流装置安装、流量计安装、液位计安装、变送器安装、气体报警仪安装、仪表阀门安装（例如：电动关断阀、气动关断阀、液动关断阀、电动开关阀、气动开关阀、液动开关阀、自力式调节阀、电动球阀、单座调节阀等）、接线箱安装（例如：非防爆接线箱、防爆接线箱）、卡件安装（包含：提供DCS，ESD的AI AO DI DO MODBUS通讯等卡件和授权；绘制接线图，柜内安装接线 ；提供PLC AI AO DI DO MODBUS通讯卡件，IO远程站卡件等）、卡件拆除（包含：查找、拆除柜内IO卡件，拆除柜内接线，拆除柜内端子，拆除防浪涌和继电器等）、中控系统组态（包含：DCS系统组态、ESD系统组态、因果逻辑测试等）、支吊架安装。</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防腐保温专业相关工作，包含：管线保温（例如：管线、阀门、弯头、法兰、三通、变径等管件及管线上仪表）。</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其他附属配套工作，包含：现场办公区域及材料设备堆放区域的搭建（例如：现场场地三通一平、配套围挡搭建、集装箱办公室搭建、预制工棚的搭建、设备材料堆放区域的搭建、项目完成后的场地恢复）、系统联合调试、配合完成第三方及业主监理工作、施工完毕后的水泥保护层修复、工程项目资料归整。</w:t>
      </w:r>
    </w:p>
    <w:p>
      <w:pPr>
        <w:pStyle w:val="7"/>
        <w:numPr>
          <w:ilvl w:val="2"/>
          <w:numId w:val="4"/>
        </w:numPr>
        <w:spacing w:line="360" w:lineRule="auto"/>
        <w:ind w:right="121" w:rightChars="55" w:firstLineChars="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备注：工程量清单中除招标人明确提供的设备材料外，为完成各项工作所需的其他所有设备、材料等均由投标人提供。</w:t>
      </w:r>
    </w:p>
    <w:p>
      <w:pPr>
        <w:pStyle w:val="3"/>
        <w:rPr>
          <w:rFonts w:hint="eastAsia" w:ascii="宋体" w:hAnsi="宋体" w:eastAsia="宋体" w:cs="宋体"/>
          <w:highlight w:val="none"/>
        </w:rPr>
      </w:pPr>
      <w:bookmarkStart w:id="37" w:name="_Toc201592034"/>
      <w:r>
        <w:rPr>
          <w:rFonts w:hint="eastAsia" w:ascii="宋体" w:hAnsi="宋体" w:eastAsia="宋体" w:cs="宋体"/>
          <w:highlight w:val="none"/>
        </w:rPr>
        <w:t>3.3技术要求</w:t>
      </w:r>
      <w:bookmarkEnd w:id="37"/>
    </w:p>
    <w:p>
      <w:pPr>
        <w:pStyle w:val="4"/>
        <w:rPr>
          <w:rFonts w:hint="eastAsia" w:ascii="宋体" w:hAnsi="宋体" w:eastAsia="宋体" w:cs="宋体"/>
          <w:highlight w:val="none"/>
          <w:lang w:eastAsia="zh-CN"/>
        </w:rPr>
      </w:pPr>
      <w:bookmarkStart w:id="38" w:name="_Toc201592035"/>
      <w:r>
        <w:rPr>
          <w:rFonts w:hint="eastAsia" w:ascii="宋体" w:hAnsi="宋体" w:eastAsia="宋体" w:cs="宋体"/>
          <w:highlight w:val="none"/>
          <w:lang w:eastAsia="zh-CN"/>
        </w:rPr>
        <w:t>3.3.1</w:t>
      </w:r>
      <w:r>
        <w:rPr>
          <w:rFonts w:hint="eastAsia" w:ascii="宋体" w:hAnsi="宋体" w:eastAsia="宋体" w:cs="宋体"/>
          <w:highlight w:val="none"/>
          <w:lang w:val="en-US" w:eastAsia="zh-CN"/>
        </w:rPr>
        <w:t>钢</w:t>
      </w:r>
      <w:r>
        <w:rPr>
          <w:rFonts w:hint="eastAsia" w:ascii="宋体" w:hAnsi="宋体" w:eastAsia="宋体" w:cs="宋体"/>
          <w:highlight w:val="none"/>
          <w:lang w:eastAsia="zh-CN"/>
        </w:rPr>
        <w:t>结构安装要求：</w:t>
      </w:r>
      <w:bookmarkEnd w:id="38"/>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投标人负责</w:t>
      </w:r>
      <w:r>
        <w:rPr>
          <w:rFonts w:hint="eastAsia" w:ascii="宋体" w:hAnsi="宋体" w:eastAsia="宋体" w:cs="宋体"/>
          <w:sz w:val="24"/>
          <w:szCs w:val="24"/>
          <w:highlight w:val="none"/>
          <w:lang w:val="en-US" w:eastAsia="zh-CN"/>
        </w:rPr>
        <w:t>合同范围</w:t>
      </w:r>
      <w:r>
        <w:rPr>
          <w:rFonts w:hint="eastAsia" w:ascii="宋体" w:hAnsi="宋体" w:eastAsia="宋体" w:cs="宋体"/>
          <w:sz w:val="24"/>
          <w:szCs w:val="24"/>
          <w:highlight w:val="none"/>
          <w:lang w:eastAsia="zh-CN"/>
        </w:rPr>
        <w:t>内</w:t>
      </w:r>
      <w:r>
        <w:rPr>
          <w:rFonts w:hint="eastAsia" w:ascii="宋体" w:hAnsi="宋体" w:eastAsia="宋体" w:cs="宋体"/>
          <w:sz w:val="24"/>
          <w:szCs w:val="24"/>
          <w:highlight w:val="none"/>
          <w:lang w:val="en-US" w:eastAsia="zh-CN"/>
        </w:rPr>
        <w:t>钢</w:t>
      </w:r>
      <w:r>
        <w:rPr>
          <w:rFonts w:hint="eastAsia" w:ascii="宋体" w:hAnsi="宋体" w:eastAsia="宋体" w:cs="宋体"/>
          <w:sz w:val="24"/>
          <w:szCs w:val="24"/>
          <w:highlight w:val="none"/>
          <w:lang w:eastAsia="zh-CN"/>
        </w:rPr>
        <w:t>结构相关工作。</w:t>
      </w:r>
    </w:p>
    <w:p>
      <w:pPr>
        <w:pStyle w:val="24"/>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部分引用《</w:t>
      </w:r>
      <w:bookmarkStart w:id="39" w:name="OLE_LINK10"/>
      <w:r>
        <w:rPr>
          <w:rFonts w:hint="eastAsia" w:ascii="宋体" w:hAnsi="宋体" w:eastAsia="宋体" w:cs="宋体"/>
          <w:sz w:val="24"/>
          <w:szCs w:val="24"/>
          <w:highlight w:val="none"/>
          <w:lang w:eastAsia="zh-CN"/>
        </w:rPr>
        <w:t>建筑结构荷载规范》</w:t>
      </w:r>
      <w:bookmarkEnd w:id="39"/>
      <w:r>
        <w:rPr>
          <w:rFonts w:hint="eastAsia" w:ascii="宋体" w:hAnsi="宋体" w:eastAsia="宋体" w:cs="宋体"/>
          <w:sz w:val="24"/>
          <w:szCs w:val="24"/>
          <w:highlight w:val="none"/>
          <w:lang w:eastAsia="zh-CN"/>
        </w:rPr>
        <w:t>(</w:t>
      </w:r>
      <w:bookmarkStart w:id="40" w:name="OLE_LINK12"/>
      <w:r>
        <w:rPr>
          <w:rFonts w:hint="eastAsia" w:ascii="宋体" w:hAnsi="宋体" w:eastAsia="宋体" w:cs="宋体"/>
          <w:sz w:val="24"/>
          <w:szCs w:val="24"/>
          <w:highlight w:val="none"/>
          <w:lang w:eastAsia="zh-CN"/>
        </w:rPr>
        <w:t>GB50009-2012</w:t>
      </w:r>
      <w:bookmarkEnd w:id="40"/>
      <w:r>
        <w:rPr>
          <w:rFonts w:hint="eastAsia" w:ascii="宋体" w:hAnsi="宋体" w:eastAsia="宋体" w:cs="宋体"/>
          <w:sz w:val="24"/>
          <w:szCs w:val="24"/>
          <w:highlight w:val="none"/>
          <w:lang w:eastAsia="zh-CN"/>
        </w:rPr>
        <w:t>)文件中第3项荷载分类和荷载组合中第3.1.53.1.5承载能力极限状态设计或正常使用极限状态按标准组合设计时，对可变荷载应按规定的荷载组合采用荷载的组合值或标准值作为其荷载代表值。可变荷载的组合值，应为可变荷载的标准值乘以荷载组合值系数；附录F结构基本自振周期的经验公式；附录G结构振型系数的近似值。</w:t>
      </w:r>
    </w:p>
    <w:p>
      <w:pPr>
        <w:pStyle w:val="24"/>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部分引用《钢结构工程施工质量验收标准》（GB50205-2020）文件中第4项原材料及成品验收中第4.3.1型材和管材的品种、规格、性能应符合国家现行标准的规定并满足设计要求。型材和管材进场时,应按国家现行标准的规定抽取试件且应进行屈服强度、抗拉强度、伸长率和厚度偏差检验,检验结果应符合国家现行标准的规定。检查数量:质量证明文件全数检查;抽样数量按进场批次和产品的抽样检验方案确定。检验方法:检查质量证明文件和抽样检验报告；第5项焊接工程中第5.1.3焊缝应冷却到环境温度后方可进行外观检测,无损检测应在外观检测合格后进行,具体检测时间应符合现行国家标准《钢结构焊接规范》GB50661的规定；第8项钢构件组装工程中第8.1.4板材、型材的拼接应在构件组装前进行。构件的组装应在部件组装、焊接、校正并经检验合格后进行。构件的隐蔽部位应在焊接、栓接和涂装检查合格后封闭。；第13项涂装工程中第13.1.4，采用涂料防腐时,表面除锈处理后宜在4h内进行涂装，采用金属热喷涂防腐时,钢结构表面处理与热喷涂施工的间隔时间,晴天或湿度不大的气候条件下不应超过12h,雨天、潮湿、有盐雾的气候条件下不应超过2h。</w:t>
      </w:r>
    </w:p>
    <w:p>
      <w:pPr>
        <w:pStyle w:val="24"/>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rPr>
      </w:pPr>
      <w:r>
        <w:rPr>
          <w:rFonts w:ascii="宋体" w:hAnsi="宋体" w:eastAsia="宋体" w:cs="宋体"/>
          <w:sz w:val="24"/>
          <w:szCs w:val="24"/>
        </w:rPr>
        <w:t>钢结构施工及验收执行《钢结构工程施工质量验收标准》GB 50205-2020</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主要要求如下：</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720" w:hanging="360"/>
        <w:textAlignment w:val="auto"/>
        <w:rPr>
          <w:rFonts w:hint="eastAsia" w:ascii="宋体" w:hAnsi="宋体" w:eastAsia="宋体" w:cs="宋体"/>
          <w:b w:val="0"/>
          <w:bCs/>
        </w:rPr>
      </w:pPr>
      <w:r>
        <w:rPr>
          <w:rStyle w:val="17"/>
          <w:rFonts w:hint="eastAsia" w:ascii="宋体" w:hAnsi="宋体" w:eastAsia="宋体" w:cs="宋体"/>
          <w:b w:val="0"/>
          <w:bCs/>
        </w:rPr>
        <w:t>原材料及成品验收</w:t>
      </w:r>
      <w:r>
        <w:rPr>
          <w:rFonts w:hint="eastAsia" w:ascii="宋体" w:hAnsi="宋体" w:eastAsia="宋体" w:cs="宋体"/>
          <w:b w:val="0"/>
          <w:bCs/>
        </w:rPr>
        <w:t>：型材和管材的品种、规格、性能应符合国家现行标准的规定并满足设计要求。型材和管材进场时，应按规定抽取试件进行屈服强度、抗拉强度、伸长率和厚度偏差检验，检验结果符合标准要求。质量证明文件全数检查，抽样数量按进场批次和抽样检验方案确定。</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720" w:hanging="360"/>
        <w:textAlignment w:val="auto"/>
        <w:rPr>
          <w:rFonts w:hint="eastAsia" w:ascii="宋体" w:hAnsi="宋体" w:eastAsia="宋体" w:cs="宋体"/>
          <w:b w:val="0"/>
          <w:bCs/>
        </w:rPr>
      </w:pPr>
      <w:r>
        <w:rPr>
          <w:rStyle w:val="17"/>
          <w:rFonts w:hint="eastAsia" w:ascii="宋体" w:hAnsi="宋体" w:eastAsia="宋体" w:cs="宋体"/>
          <w:b w:val="0"/>
          <w:bCs/>
        </w:rPr>
        <w:t>焊接工程</w:t>
      </w:r>
      <w:r>
        <w:rPr>
          <w:rFonts w:hint="eastAsia" w:ascii="宋体" w:hAnsi="宋体" w:eastAsia="宋体" w:cs="宋体"/>
          <w:b w:val="0"/>
          <w:bCs/>
        </w:rPr>
        <w:t>：焊缝应冷却到环境温度后方可进行外观检测，无损检测应在外观检测合格后进行，具体检测时间符合《钢结构焊接规范》GB 50661 的规定。</w:t>
      </w:r>
    </w:p>
    <w:p>
      <w:pPr>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360" w:lineRule="auto"/>
        <w:ind w:left="720" w:hanging="360"/>
        <w:textAlignment w:val="auto"/>
        <w:rPr>
          <w:rFonts w:hint="eastAsia" w:ascii="宋体" w:hAnsi="宋体" w:eastAsia="宋体" w:cs="宋体"/>
          <w:sz w:val="24"/>
          <w:szCs w:val="24"/>
          <w:lang w:eastAsia="zh-CN"/>
        </w:rPr>
      </w:pPr>
      <w:r>
        <w:rPr>
          <w:rStyle w:val="17"/>
          <w:rFonts w:hint="eastAsia" w:ascii="宋体" w:hAnsi="宋体" w:eastAsia="宋体" w:cs="宋体"/>
          <w:b w:val="0"/>
          <w:bCs/>
        </w:rPr>
        <w:t>钢构件组装工程</w:t>
      </w:r>
      <w:r>
        <w:rPr>
          <w:rFonts w:hint="eastAsia" w:ascii="宋体" w:hAnsi="宋体" w:eastAsia="宋体" w:cs="宋体"/>
          <w:b w:val="0"/>
          <w:bCs/>
        </w:rPr>
        <w:t>：板材、型材的拼接应在构件组装前进行。构件的组装应在部件组装、焊接、校正并经检验合格后进行。构件的隐蔽部位应在焊接、栓接和涂装检查合格后封闭。</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360" w:lineRule="auto"/>
        <w:ind w:left="442" w:firstLine="240" w:firstLineChars="1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具体设备数量及工作量</w:t>
      </w:r>
      <w:r>
        <w:rPr>
          <w:rFonts w:hint="eastAsia" w:ascii="宋体" w:hAnsi="宋体" w:eastAsia="宋体" w:cs="宋体"/>
          <w:sz w:val="24"/>
          <w:szCs w:val="24"/>
          <w:highlight w:val="none"/>
          <w:lang w:val="en-US" w:eastAsia="zh-CN"/>
        </w:rPr>
        <w:t>以设计图纸和合同</w:t>
      </w:r>
      <w:r>
        <w:rPr>
          <w:rFonts w:hint="eastAsia" w:ascii="宋体" w:hAnsi="宋体" w:eastAsia="宋体" w:cs="宋体"/>
          <w:sz w:val="24"/>
          <w:szCs w:val="24"/>
          <w:highlight w:val="none"/>
          <w:lang w:eastAsia="zh-CN"/>
        </w:rPr>
        <w:t>为准。</w:t>
      </w:r>
    </w:p>
    <w:p>
      <w:pPr>
        <w:pStyle w:val="4"/>
        <w:rPr>
          <w:rFonts w:hint="eastAsia" w:ascii="宋体" w:hAnsi="宋体" w:eastAsia="宋体" w:cs="宋体"/>
          <w:highlight w:val="none"/>
          <w:lang w:eastAsia="zh-CN"/>
        </w:rPr>
      </w:pPr>
      <w:bookmarkStart w:id="41" w:name="_Toc201592036"/>
      <w:r>
        <w:rPr>
          <w:rFonts w:hint="eastAsia" w:ascii="宋体" w:hAnsi="宋体" w:eastAsia="宋体" w:cs="宋体"/>
          <w:highlight w:val="none"/>
          <w:lang w:eastAsia="zh-CN"/>
        </w:rPr>
        <w:t>3.3.2设备安装要求：</w:t>
      </w:r>
      <w:bookmarkEnd w:id="41"/>
    </w:p>
    <w:p>
      <w:pPr>
        <w:pStyle w:val="2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投标人负责订单范围内设备的安装及调试工作。</w:t>
      </w:r>
    </w:p>
    <w:p>
      <w:pPr>
        <w:pStyle w:val="24"/>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执行标准：部分引用《机械设备安装工程施工及验收通用规范》（GB50231-2021）文件中第2章地脚螺栓与垫铁中第一节地脚螺栓地脚螺栓在预留孔里应垂直，无倾斜。螺母与垫圈、垫圈与设备底座间的接触均应紧密。拧紧螺母后，螺栓应露出螺母，其露出的长度宜为螺栓直径的1/3~2/3.；当设备的负荷由垫铁组承受时，垫铁组的位置和数量应符合以下要求:1.每个地脚螺栓旁边至少应有一组垫铁。2.垫铁组在能放稳和不影响灌浆的情况下，应放在靠近地脚螺栓和底座主要受力部位下方；第3章放线、就位、找平和调平要求中第3.0.7 机械设备安装精度的偏差，宜符合下列要求:1能补偿受力或温度变化后所引起的偏差;2能补偿使用过程中磨损所引起的偏差;3不增加功率损耗;4 使转动平稳;5有利于提高工件的加工精度。</w:t>
      </w:r>
    </w:p>
    <w:p>
      <w:pPr>
        <w:pStyle w:val="4"/>
        <w:rPr>
          <w:rFonts w:hint="eastAsia" w:ascii="宋体" w:hAnsi="宋体" w:eastAsia="宋体" w:cs="宋体"/>
          <w:highlight w:val="none"/>
          <w:lang w:eastAsia="zh-CN"/>
        </w:rPr>
      </w:pPr>
      <w:bookmarkStart w:id="42" w:name="_Toc201592037"/>
      <w:r>
        <w:rPr>
          <w:rFonts w:hint="eastAsia" w:ascii="宋体" w:hAnsi="宋体" w:eastAsia="宋体" w:cs="宋体"/>
          <w:highlight w:val="none"/>
          <w:lang w:eastAsia="zh-CN"/>
        </w:rPr>
        <w:t>3.3.3管道及管件安装要求：</w:t>
      </w:r>
      <w:bookmarkEnd w:id="42"/>
    </w:p>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具体设备数量及工作量以</w:t>
      </w:r>
      <w:r>
        <w:rPr>
          <w:rFonts w:hint="eastAsia" w:ascii="宋体" w:hAnsi="宋体" w:eastAsia="宋体" w:cs="宋体"/>
          <w:sz w:val="24"/>
          <w:szCs w:val="24"/>
          <w:highlight w:val="none"/>
          <w:lang w:val="en-US" w:eastAsia="zh-CN"/>
        </w:rPr>
        <w:t>设计图纸和合同</w:t>
      </w:r>
      <w:r>
        <w:rPr>
          <w:rFonts w:hint="eastAsia" w:ascii="宋体" w:hAnsi="宋体" w:eastAsia="宋体" w:cs="宋体"/>
          <w:sz w:val="24"/>
          <w:szCs w:val="24"/>
          <w:highlight w:val="none"/>
          <w:lang w:eastAsia="zh-CN"/>
        </w:rPr>
        <w:t>为准。</w:t>
      </w:r>
    </w:p>
    <w:p>
      <w:pPr>
        <w:pStyle w:val="24"/>
        <w:pageBreakBefore w:val="0"/>
        <w:widowControl w:val="0"/>
        <w:numPr>
          <w:ilvl w:val="0"/>
          <w:numId w:val="6"/>
        </w:numPr>
        <w:kinsoku/>
        <w:wordWrap/>
        <w:overflowPunct/>
        <w:topLinePunct w:val="0"/>
        <w:autoSpaceDE/>
        <w:autoSpaceDN/>
        <w:bidi w:val="0"/>
        <w:adjustRightInd/>
        <w:snapToGrid/>
        <w:spacing w:line="360" w:lineRule="auto"/>
        <w:ind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碳钢管道及管件安装：</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投标人负责订单范围内碳钢管道及管件的安装工作。</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严格按照设计文件相关焊接工艺评定进行。</w:t>
      </w:r>
    </w:p>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执行标准：</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管道焊接</w:t>
      </w:r>
      <w:r>
        <w:rPr>
          <w:rFonts w:hint="eastAsia" w:ascii="宋体" w:hAnsi="宋体" w:eastAsia="宋体" w:cs="宋体"/>
          <w:sz w:val="24"/>
          <w:szCs w:val="24"/>
          <w:highlight w:val="none"/>
          <w:lang w:eastAsia="zh-CN"/>
        </w:rPr>
        <w:t>：</w:t>
      </w:r>
      <w:bookmarkStart w:id="43" w:name="OLE_LINK7"/>
      <w:r>
        <w:rPr>
          <w:rFonts w:hint="eastAsia" w:ascii="宋体" w:hAnsi="宋体" w:eastAsia="宋体" w:cs="宋体"/>
          <w:sz w:val="24"/>
          <w:szCs w:val="24"/>
          <w:highlight w:val="none"/>
          <w:lang w:eastAsia="zh-CN"/>
        </w:rPr>
        <w:t>部分引用《现场设备、工业管道焊接工程施工及验收规范》（GB50236-2011）文件中第4项材料中第4.0.1焊接工程所采用的母材，应具有制造厂的质量证明文件，并应符合国家现行标准和设计文件的规定；第5项焊接工艺评定中第5.0.1在掌握材料的焊接性能后，应在工程焊接前进行焊接工艺评定。5.0.10工程产品施焊前，应根据焊接工艺评定报告编制焊接工艺规程，用于指导焊工施焊和焊后热处理工作。一个焊接工艺规程可依据一个或多个焊接工艺评定报告编制，一个焊接工艺评定报告可用于编制多个焊接工艺规程；第7项碳素钢及合金钢的焊接中第7.3.1焊接材料的选用应按照母材的化学成分、力学性能、焊接性能、焊前预热、焊后热处理、使用条件及施工条件等因素综合确定，并应符合相关规定；第13项焊接检验及焊接工程交接中第13.3.2除设计文件和焊接工艺文件另有规定外,焊缝无损检测应在该焊缝焊接完成并经外观检查合格后进行。对有延迟裂纹倾向的材料，无损检测应在焊接完成24h后进行。对有再热裂纹倾向的接头，无损检测应在热处理后进行。</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部分引用《工业金属管道施工及验收规范》（GB50235-2010）文件中第4项管道原件和材料的检验中第4.1.2管道元件和材料在使用前应按国家现行有关标准和设计文件的规定核对其材质、规格,型号、数量和标识,并应进行外观质量和几何尺寸的检查验收,其结果应符合设计文件和相应产品标准的规定。管道元件和材料标识应清晰完整,并应能够追溯到产品质量证明文件；第5项管道加工中第5.1.1管道元件的加工制作除应符合本规范的有关规定外,尚应符合设计文件和有关产品标准的规定；第6项管道焊接和焊后热处理中第6.0.1工业金属管道及管道组成件的焊接与焊后热处理除应符合本章的规定外,尚应符合现行国家标准《现场设备、工业管道焊接工程施工规范》GB50236的有关规定；第7项管道安装中第7.4.3大型储罐的管道与泵或其他有独立基础的设备连接,或储罐底部管道沿地面敷设在支架上时,应在储罐液压(充水)试验合格后安装;也可在液压(充水)试验及基础初阶段沉降后,再进行储罐接口处法兰的连接。7.6.3安装不锈钢和有色金属管道时,应采取防止管道污染的措施。安装工具应保持清洁,不得使用造成铁污染的黑色金属工具。不锈钢,镍及镍合金、钛及钛合金、锆及锆合金等管道安装后,应防止其他管道切割,焊接时的飞溅物对其造成污染；第8项管道检查、检验和试验中第8.6.4液压试验应符合下列规定:1液压试验应使用洁净水。当对不锈钢、镍及镍合金管道，或对连有不锈钢、镍及镍合金管道或设备的管道进行试验时,水中氯离子含量不得超过25X10-(25ppm)。也可采用其他无毒液体进行液压试验。当采用可燃液体介质进行试验时,其闪点不得低于50,并应采取安全防护措施。2试验前,注入液体时应排尽空气。3试验时,环境温度不宜低于5℃。当环境温度低于5时，应采取防冻措施。4承受内压的地上钢管道及有色金属管道试验压力应为设计压力的1.5倍。埋地钢管道的试验压力应为设计压力的1.5倍,并不得低于0.4MPa。；第9项管道吹扫与清洗中第9.1.2管道吹扫与清洗方法,应根据管道的使用要求,工作介质、系统回路、现场条件及管道内表面脏污程度确定,并应符合下列规定:1公称尺寸大于或等于600mm的液体或气体管道,宜采用人工清理。2公称尺寸小于600mm的液体管道宜采用水冲洗。3公称尺寸小于600mm的气体管道宜采用压缩空气吹扫。4蒸汽管道应采用蒸汽吹扫,非热力管道不得采用蒸汽吹扫。5对有特殊要求的管道,应按设计文件规定采用相应的吹扫与清洗方法。</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bookmarkStart w:id="44" w:name="OLE_LINK14"/>
      <w:r>
        <w:rPr>
          <w:rFonts w:hint="eastAsia" w:ascii="宋体" w:hAnsi="宋体" w:eastAsia="宋体" w:cs="宋体"/>
          <w:sz w:val="24"/>
          <w:szCs w:val="24"/>
          <w:highlight w:val="none"/>
          <w:lang w:eastAsia="zh-CN"/>
        </w:rPr>
        <w:t>部分引用《石油化工给水排水管道工程施工及验收规范》（SH3533-2003）</w:t>
      </w:r>
      <w:bookmarkEnd w:id="44"/>
      <w:r>
        <w:rPr>
          <w:rFonts w:hint="eastAsia" w:ascii="宋体" w:hAnsi="宋体" w:eastAsia="宋体" w:cs="宋体"/>
          <w:sz w:val="24"/>
          <w:szCs w:val="24"/>
          <w:highlight w:val="none"/>
          <w:lang w:eastAsia="zh-CN"/>
        </w:rPr>
        <w:t>文件中第6项管道敷设与阀门安装中第6.1.1管道敷设应具备以下条件:a)与管道有关的土建工程经检查合格;b)与管道连接的设备找正合格并固定完毕:c)管道组成件已经检验合格且内部已清理干净；第7项附属构筑物；第8项管道水压试验及冲洗中第7.1.1给水排水井、水口、管道支墩、锚周件等除应符合设计文件和本规范规定外,尚应符合GBJ141的有关规定。</w:t>
      </w:r>
    </w:p>
    <w:bookmarkEnd w:id="43"/>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无损检测</w:t>
      </w:r>
      <w:r>
        <w:rPr>
          <w:rFonts w:hint="eastAsia" w:ascii="宋体" w:hAnsi="宋体" w:eastAsia="宋体" w:cs="宋体"/>
          <w:sz w:val="24"/>
          <w:szCs w:val="24"/>
          <w:highlight w:val="none"/>
          <w:lang w:eastAsia="zh-CN"/>
        </w:rPr>
        <w:t>：承压设备无损检测NB/T47013-2015</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管道试压</w:t>
      </w:r>
      <w:r>
        <w:rPr>
          <w:rFonts w:hint="eastAsia" w:ascii="宋体" w:hAnsi="宋体" w:eastAsia="宋体" w:cs="宋体"/>
          <w:sz w:val="24"/>
          <w:szCs w:val="24"/>
          <w:highlight w:val="none"/>
          <w:lang w:eastAsia="zh-CN"/>
        </w:rPr>
        <w:t>： 水压试验为工作压力的1.5倍，进行水压试验时，压力应缓慢升至试验压力，保持10min，压力降不大于0.05MPa，再降至设计压力，保持时间不少于30min，进行外观检查，无异常、无渗漏为试验合格。试验用压力表必须经过校验合格，同根管道试压不得少于2块压力表。</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管道吹扫</w:t>
      </w:r>
      <w:r>
        <w:rPr>
          <w:rFonts w:hint="eastAsia" w:ascii="宋体" w:hAnsi="宋体" w:eastAsia="宋体" w:cs="宋体"/>
          <w:sz w:val="24"/>
          <w:szCs w:val="24"/>
          <w:highlight w:val="none"/>
          <w:lang w:eastAsia="zh-CN"/>
        </w:rPr>
        <w:t>：管道的压力试验合格后，投标人应负责组织吹扫或清洗工作。公称直径大于或等于600mm的管道，采用人工清洗，公称直径小于600mm的液体管道，采用水冲洗，水冲洗流速不得低于1.5m/s,应连续进行，以排出口的水色和透明度与入口水目测一致为合格。</w:t>
      </w:r>
    </w:p>
    <w:p>
      <w:pPr>
        <w:pStyle w:val="24"/>
        <w:pageBreakBefore w:val="0"/>
        <w:widowControl w:val="0"/>
        <w:numPr>
          <w:ilvl w:val="0"/>
          <w:numId w:val="6"/>
        </w:numPr>
        <w:kinsoku/>
        <w:wordWrap/>
        <w:overflowPunct/>
        <w:topLinePunct w:val="0"/>
        <w:autoSpaceDE/>
        <w:autoSpaceDN/>
        <w:bidi w:val="0"/>
        <w:adjustRightInd/>
        <w:snapToGrid/>
        <w:spacing w:line="360" w:lineRule="auto"/>
        <w:ind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风管管道及管件安装</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highlight w:val="none"/>
          <w:lang w:eastAsia="zh-CN"/>
        </w:rPr>
      </w:pPr>
      <w:bookmarkStart w:id="45" w:name="OLE_LINK9"/>
      <w:r>
        <w:rPr>
          <w:rFonts w:hint="eastAsia" w:ascii="宋体" w:hAnsi="宋体" w:eastAsia="宋体" w:cs="宋体"/>
          <w:sz w:val="24"/>
          <w:szCs w:val="24"/>
          <w:highlight w:val="none"/>
          <w:lang w:eastAsia="zh-CN"/>
        </w:rPr>
        <w:t>投标人负责订单范围内PP管道及管件的安装工作。严格按照设计文件相关要求进行安装。</w:t>
      </w:r>
    </w:p>
    <w:bookmarkEnd w:id="45"/>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执行标准：部分引用《通风与空调工程质量检验评定标准》（GBJ304-2002）文件中第二章第二节硬聚氯乙烯风管的制作工程中第第2.2.1条检进数量:按数量抽查10%，但不少于5件。(1)保证项目。第2.2.2条风管的规格、尺寸必须符合设计要求。检验方法:尺量和观察检查。第2.2.3条焊缝的坡口形式和焊接质量必须符合施工规范规定，焊缝无裂纹、焦黄、断裂等缺陷，纵向焊缝错开。检验方法:观察检查；第三节风管及部件制作中第第2.3.1条本节适用于各类风口、风阀、罩类、风帽及柔性短管等部件的制作。检查数量:按数量抽查10%，但不少于5件。防火阀逐个检查；第四节风管及部件安装工程中第2.4.1条本节适用于薄钢板、铝板、不锈钢板、复合钢板、硬聚氯乙烯板和玻璃钢风管及其配套部件的部件的安装工程。检查数量:按不同材质、用途各抽查20%，但不少于1个系统，其中水平、垂直风管的管段在5段以内各抽查1段:5段以上各抽查2段；</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管道的连接方式</w:t>
      </w:r>
      <w:r>
        <w:rPr>
          <w:rFonts w:hint="eastAsia" w:ascii="宋体" w:hAnsi="宋体" w:eastAsia="宋体" w:cs="宋体"/>
          <w:sz w:val="24"/>
          <w:szCs w:val="24"/>
          <w:highlight w:val="none"/>
          <w:lang w:eastAsia="zh-CN"/>
        </w:rPr>
        <w:t>：热熔对接适用于大口径管道，提供高强度接头；电熔连接适用于小口径或难以直接操作的场合；法兰连接确保连接部位清洁干燥，涂抹适量热熔胶或密封胶，连接紧密无泄漏。</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管道测试：</w:t>
      </w:r>
      <w:r>
        <w:rPr>
          <w:rFonts w:hint="eastAsia" w:ascii="宋体" w:hAnsi="宋体" w:eastAsia="宋体" w:cs="宋体"/>
          <w:sz w:val="24"/>
          <w:szCs w:val="24"/>
          <w:highlight w:val="none"/>
          <w:lang w:eastAsia="zh-CN"/>
        </w:rPr>
        <w:t>进行设计工作压力测试，确保无泄漏点，能承受设计压力；采用漏光法或漏风检测仪检测进行漏风检测，确保系统严密性。</w:t>
      </w:r>
    </w:p>
    <w:p>
      <w:pPr>
        <w:pStyle w:val="24"/>
        <w:pageBreakBefore w:val="0"/>
        <w:widowControl w:val="0"/>
        <w:numPr>
          <w:ilvl w:val="0"/>
          <w:numId w:val="6"/>
        </w:numPr>
        <w:kinsoku/>
        <w:wordWrap/>
        <w:overflowPunct/>
        <w:topLinePunct w:val="0"/>
        <w:autoSpaceDE/>
        <w:autoSpaceDN/>
        <w:bidi w:val="0"/>
        <w:adjustRightInd/>
        <w:snapToGrid/>
        <w:spacing w:line="360" w:lineRule="auto"/>
        <w:ind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不锈钢管道及管件安装</w:t>
      </w:r>
    </w:p>
    <w:p>
      <w:pPr>
        <w:pStyle w:val="24"/>
        <w:pageBreakBefore w:val="0"/>
        <w:widowControl w:val="0"/>
        <w:numPr>
          <w:ilvl w:val="0"/>
          <w:numId w:val="6"/>
        </w:numPr>
        <w:kinsoku/>
        <w:wordWrap/>
        <w:overflowPunct/>
        <w:topLinePunct w:val="0"/>
        <w:autoSpaceDE/>
        <w:autoSpaceDN/>
        <w:bidi w:val="0"/>
        <w:adjustRightInd/>
        <w:snapToGrid/>
        <w:spacing w:line="360" w:lineRule="auto"/>
        <w:ind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投标人负责订单范围内不锈钢管道及管件的安装工作。严格按照设计文件相关要求进行安装。</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执行标准：部分引用《现场设备、工业管道焊接工程施工及验收规范》（GB50236-2011）文件中第4项材料中第4.0.1焊接工程所采用的母材，应具有制造厂的质量证明文件，并应符合国家现行标准和设计文件的规定；第5项焊接工艺评定中第5.0.1在掌握材料的焊接性能后，应在工程焊接前进行焊接工艺评定。5.0.10工程产品施焊前，应根据焊接工艺评定报告编制焊接工艺规程，用于指导焊工施焊和焊后热处理工作。一个焊接工艺规程可依据一个或多个焊接工艺评定报告编制，一个焊接工艺评定报告可用于编制多个焊接工艺规程；第7项碳素钢及合金钢的焊接中第7.3.1焊接材料的选用应按照母材的化学成分、力学性能、焊接性能、焊前预热、焊后热处理、使用条件及施工条件等因素综合确定，并应符合相关规定；第13项焊接检验及焊接工程交接中第13.3.2除设计文件和焊接工艺文件另有规定外,焊缝无损检测应在该焊缝焊接完成并经外观检查合格后进行。对有延迟裂纹倾向的材料，无损检测应在焊接完成24h后进行。对有再热裂纹倾向的接头，无损检测应在热处理后进行。</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部分引用《工业金属管道施工及验收规范》（GB50235-2010）文件中第4项管道原件和材料的检验中第4.1.2管道元件和材料在使用前应按国家现行有关标准和设计文件的规定核对其材质、规格,型号、数量和标识,并应进行外观质量和几何尺寸的检查验收,其结果应符合设计文件和相应产品标准的规定。管道元件和材料标识应清晰完整,并应能够追溯到产品质量证明文件；第5项管道加工中第5.1.1管道元件的加工制作除应符合本规范的有关规定外,尚应符合设计文件和有关产品标准的规定；第6项管道焊接和焊后热处理中第6.0.1工业金属管道及管道组成件的焊接与焊后热处理除应符合本章的规定外,尚应符合现行国家标准《现场设备、工业管道焊接工程施工规范》GB50236的有关规定；第7项管道安装中第7.4.3大型储罐的管道与泵或其他有独立基础的设备连接,或储罐底部管道沿地面敷设在支架上时,应在储罐液压(充水)试验合格后安装;也可在液压(充水)试验及基础初阶段沉降后,再进行储罐接口处法兰的连接。7.6.3安装不锈钢和有色金属管道时,应采取防止管道污染的措施。安装工具应保持清洁,不得使用造成铁污染的黑色金属工具。不锈钢,镍及镍合金、钛及钛合金、锆及锆合金等管道安装后,应防止其他管道切割,焊接时的飞溅物对其造成污染；第8项管道检查、检验和试验中第8.6.4液压试验应符合下列规定:1液压试验应使用洁净水。当对不锈钢、镍及镍合金管道，或对连有不锈钢、镍及镍合金管道或设备的管道进行试验时,水中氯离子含量不得超过25X10-(25ppm)。也可采用其他无毒液体进行液压试验。当采用可燃液体介质进行试验时,其闪点不得低于50,并应采取安全防护措施。2试验前,注入液体时应排尽空气。3试验时,环境温度不宜低于5℃。当环境温度低于5时，应采取防冻措施。4承受内压的地上钢管道及有色金属管道试验压力应为设计压力的1.5倍。埋地钢管道的试验压力应为设计压力的1.5倍,并不得低于0.4MPa。；第9项管道吹扫与清洗中第9.1.2管道吹扫与清洗方法,应根据管道的使用要求,工作介质、系统回路、现场条件及管道内表面脏污程度确定,并应符合下列规定:1公称尺寸大于或等于600mm的液体或气体管道,宜采用人工清理。2公称尺寸小于600mm的液体管道宜采用水冲洗。3公称尺寸小于600mm的气体管道宜采用压缩空气吹扫。4蒸汽管道应采用蒸汽吹扫,非热力管道不得采用蒸汽吹扫。5对有特殊要求的管道,应按设计文件规定采用相应的吹扫与清洗方法。</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管道的连接方式：</w:t>
      </w:r>
      <w:r>
        <w:rPr>
          <w:rFonts w:hint="eastAsia" w:ascii="宋体" w:hAnsi="宋体" w:eastAsia="宋体" w:cs="宋体"/>
          <w:sz w:val="24"/>
          <w:szCs w:val="24"/>
          <w:highlight w:val="none"/>
          <w:lang w:eastAsia="zh-CN"/>
        </w:rPr>
        <w:t>根据管道材质和厚度选择合适的焊接方法，如TIG焊（钨极惰性气体保护焊）​：适用于薄板（≤3mm），焊缝质量高，需使用纯氩气保护、MIG焊（熔化极惰性气体保护焊）​：适合中厚板（大于3mm），效率高，使用Ar+2-5% CO₂或Ar+He混合气体。</w:t>
      </w:r>
    </w:p>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焊后处理：</w:t>
      </w:r>
      <w:r>
        <w:rPr>
          <w:rFonts w:hint="eastAsia" w:ascii="宋体" w:hAnsi="宋体" w:eastAsia="宋体" w:cs="宋体"/>
          <w:sz w:val="24"/>
          <w:szCs w:val="24"/>
          <w:highlight w:val="none"/>
          <w:lang w:eastAsia="zh-CN"/>
        </w:rPr>
        <w:t>清除焊缝及附近的焊渣、飞溅物，进行酸洗钝化处理。</w:t>
      </w:r>
    </w:p>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b/>
          <w:bCs/>
          <w:sz w:val="24"/>
          <w:szCs w:val="24"/>
          <w:highlight w:val="none"/>
          <w:lang w:eastAsia="zh-CN"/>
        </w:rPr>
        <w:t>无损检测</w:t>
      </w:r>
      <w:r>
        <w:rPr>
          <w:rFonts w:hint="eastAsia" w:ascii="宋体" w:hAnsi="宋体" w:eastAsia="宋体" w:cs="宋体"/>
          <w:sz w:val="24"/>
          <w:szCs w:val="24"/>
          <w:highlight w:val="none"/>
          <w:lang w:eastAsia="zh-CN"/>
        </w:rPr>
        <w:t>：执行无损检测NB/T47013-2015</w:t>
      </w:r>
    </w:p>
    <w:p>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lang w:eastAsia="zh-CN"/>
        </w:rPr>
      </w:pPr>
      <w:bookmarkStart w:id="46" w:name="_Toc201592038"/>
      <w:r>
        <w:rPr>
          <w:rFonts w:hint="eastAsia" w:ascii="宋体" w:hAnsi="宋体" w:eastAsia="宋体" w:cs="宋体"/>
          <w:highlight w:val="none"/>
          <w:lang w:eastAsia="zh-CN"/>
        </w:rPr>
        <w:t>3.3.4仪表安装要求：</w:t>
      </w:r>
      <w:bookmarkEnd w:id="46"/>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投标人负责</w:t>
      </w:r>
      <w:r>
        <w:rPr>
          <w:rFonts w:hint="eastAsia" w:ascii="宋体" w:hAnsi="宋体" w:eastAsia="宋体" w:cs="宋体"/>
          <w:sz w:val="24"/>
          <w:szCs w:val="24"/>
          <w:highlight w:val="none"/>
          <w:lang w:val="en-US" w:eastAsia="zh-CN"/>
        </w:rPr>
        <w:t>合同及设计图纸</w:t>
      </w:r>
      <w:r>
        <w:rPr>
          <w:rFonts w:hint="eastAsia" w:ascii="宋体" w:hAnsi="宋体" w:eastAsia="宋体" w:cs="宋体"/>
          <w:sz w:val="24"/>
          <w:szCs w:val="24"/>
          <w:highlight w:val="none"/>
          <w:lang w:eastAsia="zh-CN"/>
        </w:rPr>
        <w:t>范围内</w:t>
      </w:r>
      <w:r>
        <w:rPr>
          <w:rFonts w:hint="eastAsia" w:ascii="宋体" w:hAnsi="宋体" w:eastAsia="宋体" w:cs="宋体"/>
          <w:sz w:val="24"/>
          <w:szCs w:val="24"/>
          <w:highlight w:val="none"/>
          <w:lang w:val="en-US" w:eastAsia="zh-CN"/>
        </w:rPr>
        <w:t>电气</w:t>
      </w:r>
      <w:r>
        <w:rPr>
          <w:rFonts w:hint="eastAsia" w:ascii="宋体" w:hAnsi="宋体" w:eastAsia="宋体" w:cs="宋体"/>
          <w:sz w:val="24"/>
          <w:szCs w:val="24"/>
          <w:highlight w:val="none"/>
          <w:lang w:eastAsia="zh-CN"/>
        </w:rPr>
        <w:t>仪表专业的安装工作。严格按照设计文件相关要求进行安装。</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执行标准：</w:t>
      </w:r>
      <w:bookmarkStart w:id="47" w:name="OLE_LINK16"/>
      <w:r>
        <w:rPr>
          <w:rFonts w:hint="eastAsia" w:ascii="宋体" w:hAnsi="宋体" w:eastAsia="宋体" w:cs="宋体"/>
          <w:sz w:val="24"/>
          <w:szCs w:val="24"/>
          <w:highlight w:val="none"/>
          <w:lang w:eastAsia="zh-CN"/>
        </w:rPr>
        <w:t>部分引用《电气装置安装工程施工及验收规范》(GB50257-2014) 文件中第4项防爆电气设备的安装中第4.1.1防爆电气设备的安装,应符合现行国家标准《爆炸性气体环境用电气设备第15部分:危险场所电气安装(煤矿除外)》GB3836.15和《可燃性粉尘环境用电器设备》GB12476的有关规定；第5项爆炸危险环境的电气线路中第5.1一般规定5.1.1电气线路的敷设方式、路径,应符合设计要求。当设计无明确要求时,应符合下列规定:1电气线路,应在爆炸危险性较小的环境或远离释放源的地方敷设。并应符合下列规定:1)当可燃物质比空气重时,电气线路宜在较高处敷设或直接埋地;架空敷设时宜采用电缆桥架;电缆沟敷设时沟内应充砂,并宜设置排水措施。2)电气线路宜在有爆炸危险的建筑物、构筑物的墙外敷设。3)在爆炸粉尘环境,电缆应沿粉尘不宜堆积并且易于粉尘清除的位置敷设。4)当电气线路沿输送可燃气体或易燃液体的管道栈桥敷设时,管道内的易燃物质比空气重时,电气线路应敷设在管道的上方;管道内的易燃物质比空气轻时,电气线路应敷设在管道的正下方的两侧。2敷设电气线路的沟道、电缆桥架或导管,所穿过的不同区域之间墙或楼板处的孔洞应采用非燃性材料严密堵塞。3在1区内电缆线路严禁有中间接头,在2区、20区、21区内不应有中间接头。4在架空、桥架敷设时电缆宜采用阻燃电缆。采用能防止机械损伤的桥架敷设时,塑料护套电缆可采用非铠装电缆。在不存在鼠、虫等损害的2区、22区电缆沟内敷设的电缆,可采用非铠装电缆；第6项火灾危险环境的电气装置中第6.2电气设备的安装，第6.3电气线路安装；第7项接地中第7.1.1在爆炸危险环境的电气设备的金属外壳、金属构架、安装在已接地的金属结构上的设备、金属配线管及其配件、电缆保护管、电缆的金属护套等非带电的裸露金属部分,均应接地。</w:t>
      </w:r>
    </w:p>
    <w:bookmarkEnd w:id="47"/>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部分引用《石油化工静电接地设计规范》(SH/T3097-2017)文件中第3.10静电接地；第4.1静电接地的范围中第4.1.1在生产加工、储运过程中，设备、管道、操作工具及人体等，有可能产生和积聚静电而造成静电危害时，应采取静电接地措施:；第4.2静电接地方式中第4.2.1直接静电接地:静电导体应采用金属导体进行直接接地。4.2.2间接静电接地:为使金属以外的静电导体、静电亚导体进行静电接地，将其表面的局部或全部与接地的金属体紧密相接的一种接地方式。4.2.3静电非导体除应间接静电接地外，尚应配合其他的防静电措施；第4.3静电接地系统的接地电阻中第4.3.1静电接地系统静电接地电阻值不应大于102。专设的静电接地体的对地电阻值不应大于1002。在山区等土壤电阻率较高的地区，其对地电阻值不应大于10002。；第4.4静电接地端子和接地板中第4.41应在设备、管道的一定位置上，设置专用的接地连接端子，作为静电接地的连接点；第4.5静电接地支线和连接线中第4.5.1静电接地支线和连接线，应采用具有足够机械强度、耐腐蚀和不易断线的多股金属线或金属体,；第5项技术要求中第5.1.1固定设备(塔、容器、机泵、换热器、过滤器等)的外壳，应进行静电接地。覆土设备一般可不做静电接地。5.1.2直径大于等于2.5m或容积大于等于50m的设备，其接地点不应少于2处，接地点应沿设备外围均匀布置，其间距不应大于30m,5.1.3有振动性能的固定设备，其振动部件应采用截面不小于6m的铜芯软绞线接地，严禁使用单股线。有软连接的几个设备之间应采用铜芯软绞线跨接。</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部分引用《石油化工装置防雷设计规范》(GB50650-2011) 文件中第5项户外装置的防雷中第5.4.1机器设备和电气设备应位于防雷保护范围内以避免遭受直击雷；第6项防雷装置中6.1.1接闪器的形式可分为杆状接闪器(接闪杆)、线状接闪器(接闪线)、网状接闪器(接闪网)、金属设备本体接闪器。6.2.1引下线宜采用焊接、夹接、卷边压接、螺钉或螺栓等连接，保证金属各部件间保持良好的电气连接。预应力混凝土钢筋不应作为引下线。6.3.1接地体的材料、结构和最小尺寸应符合表6.3.1的要求。</w:t>
      </w:r>
    </w:p>
    <w:p>
      <w:pPr>
        <w:pStyle w:val="24"/>
        <w:pageBreakBefore w:val="0"/>
        <w:widowControl w:val="0"/>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投标人负责本招标范围内全部电气仪表部分安装、关联设备的改造及调试工作。</w:t>
      </w:r>
    </w:p>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具体设备数量及工作量以</w:t>
      </w:r>
      <w:r>
        <w:rPr>
          <w:rFonts w:hint="eastAsia" w:ascii="宋体" w:hAnsi="宋体" w:eastAsia="宋体" w:cs="宋体"/>
          <w:sz w:val="24"/>
          <w:szCs w:val="24"/>
          <w:highlight w:val="none"/>
          <w:lang w:val="en-US" w:eastAsia="zh-CN"/>
        </w:rPr>
        <w:t>合同及设计文件</w:t>
      </w:r>
      <w:r>
        <w:rPr>
          <w:rFonts w:hint="eastAsia" w:ascii="宋体" w:hAnsi="宋体" w:eastAsia="宋体" w:cs="宋体"/>
          <w:sz w:val="24"/>
          <w:szCs w:val="24"/>
          <w:highlight w:val="none"/>
          <w:lang w:eastAsia="zh-CN"/>
        </w:rPr>
        <w:t>为准。</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电力电缆、控制电缆沿桥架至设备附近穿镀锌钢管保护沿墙、梁柱敷设。新增设备采用阻燃铠装电缆供电。所有新增电气设备防爆防护等级均不低于ExdIIBT4，IP65。</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将电缆敷设在电缆托架、马脚上；不能借用原有桥架时需增设电缆桥架。</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用带PVC护套或镀塑的不锈钢扎带进行电缆捆绑、固定，水平捆绑间距3英尺以下，垂直捆绑间距应2英尺以下；</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敷设中的电缆弯曲半径不小于其外径的10倍；</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电缆在穿过甲板或墙壁时，采取焊电缆护管并填充防火堵料的方法；</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电缆在盘一侧留两倍盘高的余量，在现场一侧留2米的余量；</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电缆两端拴挂电缆标记牌，标记电缆号；</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控制柜保护接地：仪表盘、控制柜的机壳等。</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现场保护接地：电缆桥架，所有现场仪表外壳，穿线（电缆）管、铠装电缆的铠装护层两端。</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highlight w:val="none"/>
          <w:lang w:eastAsia="zh-CN"/>
        </w:rPr>
        <w:t>仪表设工作接地和保护接地，接到电力</w:t>
      </w:r>
      <w:r>
        <w:rPr>
          <w:rFonts w:hint="eastAsia" w:ascii="宋体" w:hAnsi="宋体" w:eastAsia="宋体" w:cs="宋体"/>
          <w:sz w:val="24"/>
          <w:szCs w:val="24"/>
          <w:lang w:eastAsia="zh-CN"/>
        </w:rPr>
        <w:t>接地网上，接地电阻≤4Ω ，具体如下：保护接地、工作接地(包括信号回路接地、屏蔽接地)、回路接地、屏蔽接地接至仪表系统工作接地汇流排上，且屏蔽接地应在控制柜侧实施；工作接地电阻值 R≤4Ω 。</w:t>
      </w:r>
    </w:p>
    <w:p>
      <w:pPr>
        <w:pStyle w:val="24"/>
        <w:pageBreakBefore w:val="0"/>
        <w:widowControl w:val="0"/>
        <w:numPr>
          <w:ilvl w:val="0"/>
          <w:numId w:val="7"/>
        </w:numPr>
        <w:kinsoku/>
        <w:wordWrap/>
        <w:overflowPunct/>
        <w:topLinePunct w:val="0"/>
        <w:autoSpaceDE/>
        <w:autoSpaceDN/>
        <w:bidi w:val="0"/>
        <w:adjustRightInd/>
        <w:snapToGrid/>
        <w:spacing w:line="360" w:lineRule="auto"/>
        <w:ind w:firstLineChars="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控制柜的仪表电缆入口处采用了电涌保护器，电涌保护器应采取仪表系统防雷接地。电源系统的防雷接地接至电气防雷接地系统，信号回路的防雷接地接至仪表保护接地汇总板。</w:t>
      </w:r>
    </w:p>
    <w:p>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bookmarkStart w:id="48" w:name="_Toc201592039"/>
      <w:r>
        <w:rPr>
          <w:rFonts w:hint="eastAsia" w:ascii="宋体" w:hAnsi="宋体" w:eastAsia="宋体" w:cs="宋体"/>
          <w:lang w:eastAsia="zh-CN"/>
        </w:rPr>
        <w:t>3.3.5防腐保温要求：</w:t>
      </w:r>
      <w:bookmarkEnd w:id="48"/>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投标人负责订单范围内防腐保温工作。严格按照设计文件相关要求进行安装。执行标准：部分引用《石油化工设备和管道涂料防腐蚀设计规范》(SH/T3022-2019)文件中第5项涂装设计。</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部分引用《石油天然气工程管道和设备涂色规范》（SY/T 0043-2020）文件中第4项涂色规定中第4.1.管道涂色，4.2设备涂色，4.3钢结构设施涂色；第5项标识中第5.1管道标识，5.2设备标识。</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部分引用《工业建筑防腐蚀设计标准》（GB/T 50046-2018）文件中第4项结构和构建中第4.2.9</w:t>
      </w:r>
      <w:r>
        <w:rPr>
          <w:rFonts w:hint="eastAsia" w:ascii="宋体" w:hAnsi="宋体" w:eastAsia="宋体" w:cs="宋体"/>
          <w:lang w:eastAsia="zh-CN"/>
        </w:rPr>
        <w:t xml:space="preserve"> </w:t>
      </w:r>
      <w:r>
        <w:rPr>
          <w:rFonts w:hint="eastAsia" w:ascii="宋体" w:hAnsi="宋体" w:eastAsia="宋体" w:cs="宋体"/>
          <w:sz w:val="24"/>
          <w:szCs w:val="24"/>
          <w:lang w:eastAsia="zh-CN"/>
        </w:rPr>
        <w:t xml:space="preserve">4.2.9混凝土结构外露的钢制预埋件和连接件的防护，应根据腐蚀性等级、重要性和检查维修难易程度按下列要求分别采取下列措施:1采用树脂或聚合物水泥的混凝土包裹，混凝土的厚度宜为30mm~50mm:.2采用树脂或聚合物水泥的砂浆抹面，砂浆的厚度宜为10mm~20mm;。4采用防腐蚀涂层防护，涂层的厚度宜为200μm~320μum;5采用耐腐蚀金属制作。4.2.10先张法外露的预应力筋应采用树脂或聚合物水泥的混凝土进行封闭，保护层厚度不应小于50mm。后张法预应力混凝土的锚固端，当采用暴露式布置时，应采用树脂或聚合物水泥的混凝土包裹，保护层厚度不小于50mm,且锚固端部位应防止腐蚀性介质和水积聚。3采用树脂玻璃鳞片胶泥防护，胶泥的厚度宜为1mm~2mm;； </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部分引用《混凝土结构耐久性设计规范》（GB/T 50476-2019）文件中第4项一般环境中第4.2环境作用等级，4.3材料与保护层厚度；第5项冻融环境中第5.2环境作用等级，5.3材料与保护层厚度。</w:t>
      </w:r>
    </w:p>
    <w:p>
      <w:pPr>
        <w:pStyle w:val="24"/>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涂料涂层厚度均指干膜厚度；不保温工艺管线外防腐涂料面漆颜色按各有专业的要求执行。管道设备的防腐符合《石油化工设备和管道涂料防腐蚀设计规范》（SH/T3022-2019）；管道涂漆前必须严格除锈 ，除锈质量达到Sa2.5标准 ，除锈完毕后进行涂漆。</w:t>
      </w:r>
    </w:p>
    <w:p>
      <w:pPr>
        <w:pStyle w:val="24"/>
        <w:pageBreakBefore w:val="0"/>
        <w:widowControl w:val="0"/>
        <w:kinsoku/>
        <w:wordWrap/>
        <w:overflowPunct/>
        <w:topLinePunct w:val="0"/>
        <w:autoSpaceDE/>
        <w:autoSpaceDN/>
        <w:bidi w:val="0"/>
        <w:adjustRightInd/>
        <w:snapToGrid/>
        <w:spacing w:line="360" w:lineRule="auto"/>
        <w:ind w:left="440" w:firstLine="0" w:firstLineChars="0"/>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具体设备数量及工作量以</w:t>
      </w:r>
      <w:r>
        <w:rPr>
          <w:rFonts w:hint="eastAsia" w:ascii="宋体" w:hAnsi="宋体" w:eastAsia="宋体" w:cs="宋体"/>
          <w:sz w:val="24"/>
          <w:szCs w:val="24"/>
          <w:lang w:val="en-US" w:eastAsia="zh-CN"/>
        </w:rPr>
        <w:t>合同及设计文件</w:t>
      </w:r>
      <w:r>
        <w:rPr>
          <w:rFonts w:hint="eastAsia" w:ascii="宋体" w:hAnsi="宋体" w:eastAsia="宋体" w:cs="宋体"/>
          <w:sz w:val="24"/>
          <w:szCs w:val="24"/>
          <w:lang w:eastAsia="zh-CN"/>
        </w:rPr>
        <w:t>为准。</w:t>
      </w:r>
    </w:p>
    <w:p>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szCs w:val="24"/>
          <w:lang w:eastAsia="zh-CN"/>
        </w:rPr>
        <w:t>地面管线、容器、储罐外壁防腐涂层系统见表2.1。</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8"/>
        <w:gridCol w:w="1549"/>
        <w:gridCol w:w="2295"/>
        <w:gridCol w:w="1452"/>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084"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防腐部位</w:t>
            </w:r>
          </w:p>
        </w:tc>
        <w:tc>
          <w:tcPr>
            <w:tcW w:w="908" w:type="pc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介质操作温度℃</w:t>
            </w:r>
          </w:p>
        </w:tc>
        <w:tc>
          <w:tcPr>
            <w:tcW w:w="1345" w:type="pct"/>
            <w:vAlign w:val="center"/>
          </w:tcPr>
          <w:p>
            <w:pPr>
              <w:pStyle w:val="26"/>
              <w:tabs>
                <w:tab w:val="left" w:pos="-367"/>
                <w:tab w:val="left" w:pos="19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涂层系统</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总干膜厚度（μm）</w:t>
            </w:r>
          </w:p>
        </w:tc>
        <w:tc>
          <w:tcPr>
            <w:tcW w:w="81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表面处理等级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地面管线、容器、储罐外壁、设备、钢结构非绝热部分</w:t>
            </w:r>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-35~100</w:t>
            </w:r>
          </w:p>
        </w:tc>
        <w:tc>
          <w:tcPr>
            <w:tcW w:w="1345" w:type="pct"/>
            <w:vAlign w:val="center"/>
          </w:tcPr>
          <w:p>
            <w:pPr>
              <w:pStyle w:val="26"/>
              <w:tabs>
                <w:tab w:val="left" w:pos="-367"/>
                <w:tab w:val="left" w:pos="-83"/>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 xml:space="preserve">环氧富锌底漆 </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环氧云铁中间漆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200</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丙烯酸聚氨酯面漆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地面管线、容器、储罐外壁及设备绝热部分</w:t>
            </w:r>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-35~100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环氧富锌底漆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环氧云铁中间漆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200</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地面管线、容器、储罐外壁及设备保温部分</w:t>
            </w:r>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100～200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无机富锌底漆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50</w:t>
            </w: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硅酮高温铝漆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地面管线、容器、储罐、设备及火炬高温部位</w:t>
            </w:r>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200～400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无机富锌底漆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50</w:t>
            </w: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硅酮高温铝漆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立式储罐罐底板外表面</w:t>
            </w:r>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≤100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高固体环氧煤沥青（或厚浆型环氧防腐涂料）</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150</w:t>
            </w: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高固体环氧煤沥青（或厚浆型环氧防腐涂料）</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150</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立式储罐底板外壁焊缝150mm宽范围内</w:t>
            </w:r>
          </w:p>
        </w:tc>
        <w:tc>
          <w:tcPr>
            <w:tcW w:w="908" w:type="pc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≤100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无机富锌涂料</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bookmarkStart w:id="49" w:name="_Toc341173230"/>
            <w:r>
              <w:rPr>
                <w:rFonts w:hint="eastAsia" w:ascii="宋体" w:hAnsi="宋体" w:eastAsia="宋体" w:cs="宋体"/>
                <w:sz w:val="18"/>
                <w:szCs w:val="18"/>
              </w:rPr>
              <w:t>轻烃储罐外表面</w:t>
            </w:r>
            <w:bookmarkEnd w:id="49"/>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≤100</w:t>
            </w:r>
          </w:p>
        </w:tc>
        <w:tc>
          <w:tcPr>
            <w:tcW w:w="1345" w:type="pct"/>
            <w:vAlign w:val="center"/>
          </w:tcPr>
          <w:p>
            <w:pPr>
              <w:pStyle w:val="26"/>
              <w:tabs>
                <w:tab w:val="left" w:pos="19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反射隔热涂料底漆</w:t>
            </w:r>
          </w:p>
        </w:tc>
        <w:tc>
          <w:tcPr>
            <w:tcW w:w="851" w:type="pct"/>
            <w:vAlign w:val="center"/>
          </w:tcPr>
          <w:p>
            <w:pPr>
              <w:pStyle w:val="26"/>
              <w:tabs>
                <w:tab w:val="left" w:pos="-461"/>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100</w:t>
            </w: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19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反射隔热涂料中间漆</w:t>
            </w:r>
          </w:p>
        </w:tc>
        <w:tc>
          <w:tcPr>
            <w:tcW w:w="851" w:type="pct"/>
            <w:vAlign w:val="center"/>
          </w:tcPr>
          <w:p>
            <w:pPr>
              <w:pStyle w:val="26"/>
              <w:tabs>
                <w:tab w:val="left" w:pos="-461"/>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60</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19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反射隔热涂料面漆</w:t>
            </w:r>
          </w:p>
        </w:tc>
        <w:tc>
          <w:tcPr>
            <w:tcW w:w="851" w:type="pct"/>
            <w:vAlign w:val="center"/>
          </w:tcPr>
          <w:p>
            <w:pPr>
              <w:pStyle w:val="26"/>
              <w:tabs>
                <w:tab w:val="left" w:pos="-461"/>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90</w:t>
            </w:r>
          </w:p>
        </w:tc>
        <w:tc>
          <w:tcPr>
            <w:tcW w:w="811"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地上镀锌管道及构件</w:t>
            </w:r>
          </w:p>
        </w:tc>
        <w:tc>
          <w:tcPr>
            <w:tcW w:w="908" w:type="pct"/>
            <w:vMerge w:val="restart"/>
            <w:vAlign w:val="center"/>
          </w:tcPr>
          <w:p>
            <w:pPr>
              <w:pStyle w:val="26"/>
              <w:tabs>
                <w:tab w:val="left" w:pos="-367"/>
                <w:tab w:val="left" w:pos="-83"/>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≤80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 xml:space="preserve">蚀刻底漆（或者扫砂处理） </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811"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100</w:t>
            </w:r>
          </w:p>
        </w:tc>
        <w:tc>
          <w:tcPr>
            <w:tcW w:w="811" w:type="pct"/>
            <w:vMerge w:val="continue"/>
            <w:vAlign w:val="center"/>
          </w:tcPr>
          <w:p>
            <w:pPr>
              <w:pStyle w:val="27"/>
              <w:spacing w:after="240" w:line="240" w:lineRule="auto"/>
              <w:ind w:firstLine="0" w:firstLineChars="0"/>
              <w:jc w:val="center"/>
              <w:rPr>
                <w:rFonts w:hint="eastAsia" w:ascii="宋体" w:hAnsi="宋体" w:eastAsia="宋体" w:cs="宋体"/>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脂肪族丙烯酸聚氨酯面漆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50</w:t>
            </w:r>
          </w:p>
        </w:tc>
        <w:tc>
          <w:tcPr>
            <w:tcW w:w="811" w:type="pct"/>
            <w:vMerge w:val="continue"/>
            <w:vAlign w:val="center"/>
          </w:tcPr>
          <w:p>
            <w:pPr>
              <w:pStyle w:val="27"/>
              <w:spacing w:after="240" w:line="240" w:lineRule="auto"/>
              <w:ind w:firstLine="0" w:firstLineChars="0"/>
              <w:jc w:val="center"/>
              <w:rPr>
                <w:rFonts w:hint="eastAsia" w:ascii="宋体" w:hAnsi="宋体" w:eastAsia="宋体" w:cs="宋体"/>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地上不锈钢非保温部位防腐</w:t>
            </w:r>
          </w:p>
        </w:tc>
        <w:tc>
          <w:tcPr>
            <w:tcW w:w="908"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≤120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环氧底漆</w:t>
            </w:r>
          </w:p>
        </w:tc>
        <w:tc>
          <w:tcPr>
            <w:tcW w:w="851" w:type="pct"/>
            <w:vAlign w:val="center"/>
          </w:tcPr>
          <w:p>
            <w:pPr>
              <w:pStyle w:val="26"/>
              <w:tabs>
                <w:tab w:val="left" w:pos="-461"/>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50</w:t>
            </w:r>
          </w:p>
        </w:tc>
        <w:tc>
          <w:tcPr>
            <w:tcW w:w="811" w:type="pct"/>
            <w:vMerge w:val="restart"/>
            <w:vAlign w:val="center"/>
          </w:tcPr>
          <w:p>
            <w:pPr>
              <w:pStyle w:val="27"/>
              <w:spacing w:after="240" w:line="240" w:lineRule="auto"/>
              <w:ind w:firstLine="0" w:firstLineChars="0"/>
              <w:jc w:val="center"/>
              <w:rPr>
                <w:rFonts w:hint="eastAsia" w:ascii="宋体" w:hAnsi="宋体" w:eastAsia="宋体" w:cs="宋体"/>
                <w:sz w:val="18"/>
                <w:szCs w:val="18"/>
                <w:lang w:val="en-US"/>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双组份环氧树脂涂料</w:t>
            </w:r>
          </w:p>
        </w:tc>
        <w:tc>
          <w:tcPr>
            <w:tcW w:w="851" w:type="pct"/>
            <w:vAlign w:val="center"/>
          </w:tcPr>
          <w:p>
            <w:pPr>
              <w:pStyle w:val="26"/>
              <w:tabs>
                <w:tab w:val="left" w:pos="-461"/>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100</w:t>
            </w:r>
          </w:p>
        </w:tc>
        <w:tc>
          <w:tcPr>
            <w:tcW w:w="811" w:type="pct"/>
            <w:vMerge w:val="continue"/>
            <w:vAlign w:val="center"/>
          </w:tcPr>
          <w:p>
            <w:pPr>
              <w:pStyle w:val="27"/>
              <w:spacing w:after="240" w:line="240" w:lineRule="auto"/>
              <w:ind w:firstLine="0" w:firstLineChars="0"/>
              <w:jc w:val="center"/>
              <w:rPr>
                <w:rFonts w:hint="eastAsia" w:ascii="宋体" w:hAnsi="宋体" w:eastAsia="宋体" w:cs="宋体"/>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丙烯酸聚氨酯面漆</w:t>
            </w:r>
          </w:p>
        </w:tc>
        <w:tc>
          <w:tcPr>
            <w:tcW w:w="851" w:type="pct"/>
            <w:vAlign w:val="center"/>
          </w:tcPr>
          <w:p>
            <w:pPr>
              <w:pStyle w:val="26"/>
              <w:tabs>
                <w:tab w:val="left" w:pos="-461"/>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11" w:type="pct"/>
            <w:vMerge w:val="continue"/>
            <w:vAlign w:val="center"/>
          </w:tcPr>
          <w:p>
            <w:pPr>
              <w:pStyle w:val="27"/>
              <w:spacing w:after="240" w:line="240" w:lineRule="auto"/>
              <w:ind w:firstLine="0" w:firstLineChars="0"/>
              <w:jc w:val="center"/>
              <w:rPr>
                <w:rFonts w:hint="eastAsia" w:ascii="宋体" w:hAnsi="宋体" w:eastAsia="宋体" w:cs="宋体"/>
                <w:sz w:val="18"/>
                <w:szCs w:val="1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地上不锈钢保温部位防腐</w:t>
            </w:r>
          </w:p>
        </w:tc>
        <w:tc>
          <w:tcPr>
            <w:tcW w:w="908" w:type="pct"/>
            <w:vMerge w:val="restar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≤120</w:t>
            </w: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环氧酚醛树脂漆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125</w:t>
            </w:r>
          </w:p>
        </w:tc>
        <w:tc>
          <w:tcPr>
            <w:tcW w:w="811" w:type="pct"/>
            <w:vMerge w:val="restart"/>
            <w:vAlign w:val="center"/>
          </w:tcPr>
          <w:p>
            <w:pPr>
              <w:pStyle w:val="27"/>
              <w:spacing w:after="240" w:line="240" w:lineRule="auto"/>
              <w:ind w:firstLine="0" w:firstLineChars="0"/>
              <w:jc w:val="center"/>
              <w:rPr>
                <w:rFonts w:hint="eastAsia" w:ascii="宋体" w:hAnsi="宋体" w:eastAsia="宋体" w:cs="宋体"/>
                <w:sz w:val="18"/>
                <w:szCs w:val="18"/>
                <w:lang w:val="en-US"/>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84"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908" w:type="pct"/>
            <w:vMerge w:val="continue"/>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p>
        </w:tc>
        <w:tc>
          <w:tcPr>
            <w:tcW w:w="1345"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环氧酚醛树脂漆</w:t>
            </w:r>
          </w:p>
        </w:tc>
        <w:tc>
          <w:tcPr>
            <w:tcW w:w="851" w:type="pct"/>
            <w:vAlign w:val="center"/>
          </w:tcPr>
          <w:p>
            <w:pPr>
              <w:pStyle w:val="26"/>
              <w:tabs>
                <w:tab w:val="left" w:pos="-367"/>
                <w:tab w:val="clear" w:pos="960"/>
              </w:tabs>
              <w:spacing w:afterLines="0"/>
              <w:ind w:left="0" w:right="-33" w:rightChars="-15" w:firstLine="0"/>
              <w:jc w:val="center"/>
              <w:rPr>
                <w:rFonts w:hint="eastAsia" w:ascii="宋体" w:hAnsi="宋体" w:eastAsia="宋体" w:cs="宋体"/>
                <w:sz w:val="18"/>
                <w:szCs w:val="18"/>
              </w:rPr>
            </w:pPr>
            <w:r>
              <w:rPr>
                <w:rFonts w:hint="eastAsia" w:ascii="宋体" w:hAnsi="宋体" w:eastAsia="宋体" w:cs="宋体"/>
                <w:sz w:val="18"/>
                <w:szCs w:val="18"/>
              </w:rPr>
              <w:t>125</w:t>
            </w:r>
          </w:p>
        </w:tc>
        <w:tc>
          <w:tcPr>
            <w:tcW w:w="811" w:type="pct"/>
            <w:vMerge w:val="continue"/>
            <w:vAlign w:val="center"/>
          </w:tcPr>
          <w:p>
            <w:pPr>
              <w:pStyle w:val="27"/>
              <w:spacing w:after="240" w:line="240" w:lineRule="auto"/>
              <w:ind w:firstLine="0" w:firstLineChars="0"/>
              <w:jc w:val="center"/>
              <w:rPr>
                <w:rFonts w:hint="eastAsia" w:ascii="宋体" w:hAnsi="宋体" w:eastAsia="宋体" w:cs="宋体"/>
                <w:sz w:val="18"/>
                <w:szCs w:val="18"/>
                <w:lang w:val="en-US"/>
              </w:rPr>
            </w:pPr>
          </w:p>
        </w:tc>
      </w:tr>
    </w:tbl>
    <w:p>
      <w:pPr>
        <w:pStyle w:val="24"/>
        <w:numPr>
          <w:ilvl w:val="0"/>
          <w:numId w:val="7"/>
        </w:numPr>
        <w:ind w:firstLineChars="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注：</w:t>
      </w:r>
    </w:p>
    <w:p>
      <w:pPr>
        <w:pStyle w:val="24"/>
        <w:numPr>
          <w:ilvl w:val="0"/>
          <w:numId w:val="7"/>
        </w:numPr>
        <w:ind w:firstLineChars="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如果不锈钢与碳钢连接，不锈钢外表面的涂层应超出焊接区至少50mm。</w:t>
      </w:r>
    </w:p>
    <w:p>
      <w:pPr>
        <w:pStyle w:val="24"/>
        <w:numPr>
          <w:ilvl w:val="0"/>
          <w:numId w:val="7"/>
        </w:numPr>
        <w:ind w:firstLineChars="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如果可能，应避免不同钢材料的连接，一旦由于不可避免的设计要求，连接在所难免时，应该在不同的材料之间选择合适的绝缘材料（聚四氟乙烯或类似的），这个包括安装在罐体里及外部区域的管道和相关的支架结构，螺栓和夹子等。</w:t>
      </w:r>
    </w:p>
    <w:p>
      <w:pPr>
        <w:pStyle w:val="24"/>
        <w:ind w:left="440" w:firstLine="0" w:firstLineChars="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埋地管线涂层系统见表2.2</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7"/>
        <w:gridCol w:w="1445"/>
        <w:gridCol w:w="2599"/>
        <w:gridCol w:w="1760"/>
        <w:gridCol w:w="1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790"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防腐部位</w:t>
            </w:r>
          </w:p>
        </w:tc>
        <w:tc>
          <w:tcPr>
            <w:tcW w:w="847"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介质操作温度℃</w:t>
            </w:r>
          </w:p>
        </w:tc>
        <w:tc>
          <w:tcPr>
            <w:tcW w:w="1524"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涂层系统</w:t>
            </w:r>
          </w:p>
        </w:tc>
        <w:tc>
          <w:tcPr>
            <w:tcW w:w="1032"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总干膜厚度（μm）</w:t>
            </w:r>
          </w:p>
        </w:tc>
        <w:tc>
          <w:tcPr>
            <w:tcW w:w="807"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表面处理等级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90" w:type="pct"/>
            <w:vMerge w:val="restar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埋地管线不保温</w:t>
            </w:r>
          </w:p>
        </w:tc>
        <w:tc>
          <w:tcPr>
            <w:tcW w:w="847" w:type="pct"/>
            <w:vMerge w:val="restar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≤70</w:t>
            </w:r>
          </w:p>
        </w:tc>
        <w:tc>
          <w:tcPr>
            <w:tcW w:w="1524"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无溶剂液体环氧防腐层</w:t>
            </w:r>
          </w:p>
        </w:tc>
        <w:tc>
          <w:tcPr>
            <w:tcW w:w="1032"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600</w:t>
            </w:r>
          </w:p>
        </w:tc>
        <w:tc>
          <w:tcPr>
            <w:tcW w:w="807" w:type="pct"/>
            <w:vMerge w:val="restar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c>
          <w:tcPr>
            <w:tcW w:w="847"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c>
          <w:tcPr>
            <w:tcW w:w="1524"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胶粘带配套底漆</w:t>
            </w:r>
          </w:p>
        </w:tc>
        <w:tc>
          <w:tcPr>
            <w:tcW w:w="1032"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30~50</w:t>
            </w:r>
          </w:p>
        </w:tc>
        <w:tc>
          <w:tcPr>
            <w:tcW w:w="807"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790"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c>
          <w:tcPr>
            <w:tcW w:w="847"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c>
          <w:tcPr>
            <w:tcW w:w="1524"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增强纤维型聚丙烯胶粘带</w:t>
            </w:r>
          </w:p>
        </w:tc>
        <w:tc>
          <w:tcPr>
            <w:tcW w:w="1032"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总厚度≥2.3mm，搭接55％</w:t>
            </w:r>
          </w:p>
        </w:tc>
        <w:tc>
          <w:tcPr>
            <w:tcW w:w="807"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pct"/>
            <w:vMerge w:val="restar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埋地管线</w:t>
            </w:r>
          </w:p>
        </w:tc>
        <w:tc>
          <w:tcPr>
            <w:tcW w:w="847" w:type="pct"/>
            <w:vMerge w:val="restar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70~300</w:t>
            </w:r>
          </w:p>
        </w:tc>
        <w:tc>
          <w:tcPr>
            <w:tcW w:w="1524"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无机富锌漆</w:t>
            </w:r>
          </w:p>
        </w:tc>
        <w:tc>
          <w:tcPr>
            <w:tcW w:w="1032"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50</w:t>
            </w:r>
          </w:p>
        </w:tc>
        <w:tc>
          <w:tcPr>
            <w:tcW w:w="807" w:type="pct"/>
            <w:vMerge w:val="restar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Sa2.5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90"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c>
          <w:tcPr>
            <w:tcW w:w="847"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c>
          <w:tcPr>
            <w:tcW w:w="1524"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硅酮高温铝漆</w:t>
            </w:r>
          </w:p>
        </w:tc>
        <w:tc>
          <w:tcPr>
            <w:tcW w:w="1032" w:type="pct"/>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r>
              <w:rPr>
                <w:rFonts w:hint="eastAsia" w:ascii="宋体" w:hAnsi="宋体" w:eastAsia="宋体" w:cs="宋体"/>
                <w:sz w:val="18"/>
                <w:szCs w:val="18"/>
              </w:rPr>
              <w:t>75</w:t>
            </w:r>
          </w:p>
        </w:tc>
        <w:tc>
          <w:tcPr>
            <w:tcW w:w="807" w:type="pct"/>
            <w:vMerge w:val="continue"/>
            <w:vAlign w:val="center"/>
          </w:tcPr>
          <w:p>
            <w:pPr>
              <w:pStyle w:val="26"/>
              <w:tabs>
                <w:tab w:val="left" w:pos="-367"/>
                <w:tab w:val="clear" w:pos="960"/>
              </w:tabs>
              <w:spacing w:afterLines="0"/>
              <w:ind w:left="0" w:firstLine="0"/>
              <w:jc w:val="center"/>
              <w:rPr>
                <w:rFonts w:hint="eastAsia" w:ascii="宋体" w:hAnsi="宋体" w:eastAsia="宋体" w:cs="宋体"/>
                <w:sz w:val="18"/>
                <w:szCs w:val="18"/>
              </w:rPr>
            </w:pPr>
          </w:p>
        </w:tc>
      </w:tr>
    </w:tbl>
    <w:p>
      <w:pPr>
        <w:pStyle w:val="24"/>
        <w:numPr>
          <w:ilvl w:val="0"/>
          <w:numId w:val="7"/>
        </w:numPr>
        <w:ind w:firstLineChars="0"/>
        <w:rPr>
          <w:rFonts w:hint="eastAsia" w:ascii="宋体" w:hAnsi="宋体" w:eastAsia="宋体" w:cs="宋体"/>
          <w:sz w:val="24"/>
          <w:szCs w:val="24"/>
          <w:lang w:eastAsia="zh-CN"/>
        </w:rPr>
      </w:pPr>
      <w:r>
        <w:rPr>
          <w:rFonts w:hint="eastAsia" w:ascii="宋体" w:hAnsi="宋体" w:eastAsia="宋体" w:cs="宋体"/>
          <w:sz w:val="24"/>
          <w:szCs w:val="24"/>
          <w:lang w:eastAsia="zh-CN"/>
        </w:rPr>
        <w:t>管道涂色</w:t>
      </w:r>
    </w:p>
    <w:p>
      <w:pPr>
        <w:pStyle w:val="24"/>
        <w:numPr>
          <w:ilvl w:val="0"/>
          <w:numId w:val="7"/>
        </w:numPr>
        <w:ind w:firstLineChars="0"/>
        <w:rPr>
          <w:rFonts w:hint="eastAsia" w:ascii="宋体" w:hAnsi="宋体" w:eastAsia="宋体" w:cs="宋体"/>
          <w:sz w:val="24"/>
          <w:szCs w:val="24"/>
          <w:lang w:eastAsia="zh-CN"/>
        </w:rPr>
      </w:pPr>
      <w:r>
        <w:rPr>
          <w:rFonts w:hint="eastAsia" w:ascii="宋体" w:hAnsi="宋体" w:eastAsia="宋体" w:cs="宋体"/>
          <w:sz w:val="24"/>
          <w:szCs w:val="24"/>
          <w:lang w:eastAsia="zh-CN"/>
        </w:rPr>
        <w:t>管线涂色要求执行《石油天然气工程管道和设备涂色规范》（SY/T 0043-2020）及业主系统内相关涂色规范。</w:t>
      </w:r>
    </w:p>
    <w:p>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eastAsia="zh-CN"/>
        </w:rPr>
      </w:pPr>
      <w:bookmarkStart w:id="50" w:name="_Toc256000120"/>
      <w:bookmarkStart w:id="51" w:name="_Toc155683979_0"/>
      <w:bookmarkStart w:id="52" w:name="_Toc256000293"/>
      <w:bookmarkStart w:id="53" w:name="_Toc201592040"/>
      <w:bookmarkStart w:id="54" w:name="_Toc10632"/>
      <w:bookmarkStart w:id="55" w:name="_Toc52268410_0"/>
      <w:r>
        <w:rPr>
          <w:rFonts w:hint="eastAsia" w:ascii="宋体" w:hAnsi="宋体" w:eastAsia="宋体" w:cs="宋体"/>
          <w:lang w:eastAsia="zh-CN"/>
        </w:rPr>
        <w:t>3.3.</w:t>
      </w:r>
      <w:r>
        <w:rPr>
          <w:rFonts w:hint="eastAsia" w:ascii="宋体" w:hAnsi="宋体" w:eastAsia="宋体" w:cs="宋体"/>
          <w:lang w:val="en-US" w:eastAsia="zh-CN"/>
        </w:rPr>
        <w:t>6池体清理</w:t>
      </w:r>
      <w:r>
        <w:rPr>
          <w:rFonts w:hint="eastAsia" w:ascii="宋体" w:hAnsi="宋体" w:eastAsia="宋体" w:cs="宋体"/>
          <w:lang w:eastAsia="zh-CN"/>
        </w:rPr>
        <w:t>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投标人负责合同范围内池体清理工作，清理淤泥工程量按池内污水排空后池底清理前原状天然密实方计算，池壁沾染少量淤泥不计入工程量。</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作业前必须严格执行GB 30871-2022有限空间作业管理规定，落实作业票审批、物理隔离、通风置换、连续气体检测、专职监护，氧含量、可燃气体、硫化氢浓度达标后方可进场作业。</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清淤采用机械抽吸+人工辅助+高压水冲洗结合工艺，彻底清除池底淤积污泥、池壁油泥挂壁、边角死角结块污物</w:t>
      </w:r>
      <w:r>
        <w:rPr>
          <w:rFonts w:hint="eastAsia" w:ascii="宋体" w:hAnsi="宋体" w:eastAsia="宋体" w:cs="宋体"/>
          <w:kern w:val="0"/>
          <w:sz w:val="24"/>
          <w:szCs w:val="24"/>
          <w:lang w:val="en-US" w:eastAsia="zh-CN" w:bidi="ar"/>
        </w:rPr>
        <w:t>。</w:t>
      </w:r>
    </w:p>
    <w:p>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b/>
          <w:bCs/>
          <w:sz w:val="32"/>
          <w:szCs w:val="32"/>
          <w:lang w:val="en-US" w:eastAsia="zh-CN" w:bidi="ar-SA"/>
        </w:rPr>
        <w:t>3.3.7 管道涂塑</w:t>
      </w:r>
      <w:r>
        <w:rPr>
          <w:rFonts w:hint="eastAsia" w:ascii="宋体" w:hAnsi="宋体" w:eastAsia="宋体" w:cs="宋体"/>
          <w:lang w:val="en-US" w:eastAsia="zh-CN"/>
        </w:rPr>
        <w:t>要求：</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投标人负责合同范围内管道涂塑工作。严格按照设计文件相关要求进行。执行标准：部分引用《石油化工设备和管道涂料防腐蚀设计规范》(GB/T 28897</w:t>
      </w:r>
      <w:r>
        <w:rPr>
          <w:rFonts w:hint="eastAsia" w:ascii="宋体" w:hAnsi="宋体" w:eastAsia="宋体" w:cs="宋体"/>
          <w:kern w:val="0"/>
          <w:sz w:val="24"/>
          <w:szCs w:val="24"/>
          <w:lang w:val="en-US" w:eastAsia="zh-CN" w:bidi="ar"/>
        </w:rPr>
        <w:noBreakHyphen/>
      </w:r>
      <w:r>
        <w:rPr>
          <w:rFonts w:hint="eastAsia" w:ascii="宋体" w:hAnsi="宋体" w:eastAsia="宋体" w:cs="宋体"/>
          <w:kern w:val="0"/>
          <w:sz w:val="24"/>
          <w:szCs w:val="24"/>
          <w:lang w:val="en-US" w:eastAsia="zh-CN" w:bidi="ar"/>
        </w:rPr>
        <w:t>2021)文件中第7.3.4.1要求，涂塑用环氧树脂(EP)粉末应符合表3的规定。</w:t>
      </w:r>
    </w:p>
    <w:p>
      <w:pPr>
        <w:spacing w:before="206" w:line="194" w:lineRule="auto"/>
        <w:ind w:left="3400"/>
        <w:rPr>
          <w:rFonts w:hint="eastAsia" w:ascii="宋体" w:hAnsi="宋体" w:eastAsia="宋体" w:cs="宋体"/>
          <w:sz w:val="18"/>
          <w:szCs w:val="18"/>
        </w:rPr>
      </w:pPr>
      <w:r>
        <w:rPr>
          <w:rFonts w:hint="eastAsia" w:ascii="宋体" w:hAnsi="宋体" w:eastAsia="宋体" w:cs="宋体"/>
          <w:spacing w:val="15"/>
          <w:sz w:val="18"/>
          <w:szCs w:val="18"/>
        </w:rPr>
        <w:t>表</w:t>
      </w:r>
      <w:r>
        <w:rPr>
          <w:rFonts w:hint="eastAsia" w:ascii="宋体" w:hAnsi="宋体" w:eastAsia="宋体" w:cs="宋体"/>
          <w:spacing w:val="-15"/>
          <w:sz w:val="18"/>
          <w:szCs w:val="18"/>
        </w:rPr>
        <w:t xml:space="preserve"> </w:t>
      </w:r>
      <w:r>
        <w:rPr>
          <w:rFonts w:hint="eastAsia" w:ascii="宋体" w:hAnsi="宋体" w:eastAsia="宋体" w:cs="宋体"/>
          <w:spacing w:val="15"/>
          <w:position w:val="-2"/>
          <w:sz w:val="18"/>
          <w:szCs w:val="18"/>
        </w:rPr>
        <w:t>3</w:t>
      </w:r>
      <w:r>
        <w:rPr>
          <w:rFonts w:hint="eastAsia" w:ascii="宋体" w:hAnsi="宋体" w:eastAsia="宋体" w:cs="宋体"/>
          <w:spacing w:val="4"/>
          <w:position w:val="-2"/>
          <w:sz w:val="18"/>
          <w:szCs w:val="18"/>
        </w:rPr>
        <w:t xml:space="preserve">   </w:t>
      </w:r>
      <w:r>
        <w:rPr>
          <w:rFonts w:hint="eastAsia" w:ascii="宋体" w:hAnsi="宋体" w:eastAsia="宋体" w:cs="宋体"/>
          <w:spacing w:val="15"/>
          <w:sz w:val="18"/>
          <w:szCs w:val="18"/>
        </w:rPr>
        <w:t>环氧树脂粉末的要求</w:t>
      </w:r>
    </w:p>
    <w:p>
      <w:pPr>
        <w:spacing w:line="187" w:lineRule="exact"/>
        <w:rPr>
          <w:rFonts w:hint="eastAsia" w:ascii="宋体" w:hAnsi="宋体" w:eastAsia="宋体" w:cs="宋体"/>
          <w:sz w:val="18"/>
          <w:szCs w:val="18"/>
        </w:rPr>
      </w:pPr>
    </w:p>
    <w:tbl>
      <w:tblPr>
        <w:tblStyle w:val="53"/>
        <w:tblW w:w="9222" w:type="dxa"/>
        <w:tblInd w:w="7" w:type="dxa"/>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Layout w:type="fixed"/>
        <w:tblCellMar>
          <w:top w:w="0" w:type="dxa"/>
          <w:left w:w="0" w:type="dxa"/>
          <w:bottom w:w="0" w:type="dxa"/>
          <w:right w:w="0" w:type="dxa"/>
        </w:tblCellMar>
      </w:tblPr>
      <w:tblGrid>
        <w:gridCol w:w="1629"/>
        <w:gridCol w:w="1622"/>
        <w:gridCol w:w="3243"/>
        <w:gridCol w:w="2728"/>
      </w:tblGrid>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2" w:hRule="atLeast"/>
        </w:trPr>
        <w:tc>
          <w:tcPr>
            <w:tcW w:w="3251" w:type="dxa"/>
            <w:gridSpan w:val="2"/>
            <w:tcBorders>
              <w:top w:val="single" w:color="231F20" w:sz="6" w:space="0"/>
              <w:left w:val="single" w:color="231F20" w:sz="6" w:space="0"/>
              <w:bottom w:val="single" w:color="231F20" w:sz="6" w:space="0"/>
            </w:tcBorders>
            <w:vAlign w:val="top"/>
          </w:tcPr>
          <w:p>
            <w:pPr>
              <w:pStyle w:val="52"/>
              <w:spacing w:before="86" w:line="183" w:lineRule="auto"/>
              <w:ind w:left="1449"/>
              <w:rPr>
                <w:rFonts w:hint="eastAsia" w:ascii="宋体" w:hAnsi="宋体" w:eastAsia="宋体" w:cs="宋体"/>
                <w:sz w:val="18"/>
                <w:szCs w:val="18"/>
              </w:rPr>
            </w:pPr>
            <w:r>
              <w:rPr>
                <w:rFonts w:hint="eastAsia" w:ascii="宋体" w:hAnsi="宋体" w:eastAsia="宋体" w:cs="宋体"/>
                <w:spacing w:val="10"/>
                <w:sz w:val="18"/>
                <w:szCs w:val="18"/>
              </w:rPr>
              <w:t>指标</w:t>
            </w:r>
          </w:p>
        </w:tc>
        <w:tc>
          <w:tcPr>
            <w:tcW w:w="3243" w:type="dxa"/>
            <w:tcBorders>
              <w:top w:val="single" w:color="231F20" w:sz="6" w:space="0"/>
              <w:bottom w:val="single" w:color="231F20" w:sz="6" w:space="0"/>
            </w:tcBorders>
            <w:vAlign w:val="top"/>
          </w:tcPr>
          <w:p>
            <w:pPr>
              <w:pStyle w:val="52"/>
              <w:spacing w:before="85" w:line="184" w:lineRule="auto"/>
              <w:ind w:left="1448"/>
              <w:rPr>
                <w:rFonts w:hint="eastAsia" w:ascii="宋体" w:hAnsi="宋体" w:eastAsia="宋体" w:cs="宋体"/>
                <w:sz w:val="18"/>
                <w:szCs w:val="18"/>
              </w:rPr>
            </w:pPr>
            <w:r>
              <w:rPr>
                <w:rFonts w:hint="eastAsia" w:ascii="宋体" w:hAnsi="宋体" w:eastAsia="宋体" w:cs="宋体"/>
                <w:spacing w:val="11"/>
                <w:sz w:val="18"/>
                <w:szCs w:val="18"/>
              </w:rPr>
              <w:t>要求</w:t>
            </w:r>
          </w:p>
        </w:tc>
        <w:tc>
          <w:tcPr>
            <w:tcW w:w="2728" w:type="dxa"/>
            <w:tcBorders>
              <w:top w:val="single" w:color="231F20" w:sz="6" w:space="0"/>
              <w:bottom w:val="single" w:color="231F20" w:sz="6" w:space="0"/>
              <w:right w:val="single" w:color="231F20" w:sz="6" w:space="0"/>
            </w:tcBorders>
            <w:vAlign w:val="top"/>
          </w:tcPr>
          <w:p>
            <w:pPr>
              <w:pStyle w:val="52"/>
              <w:spacing w:before="87" w:line="181" w:lineRule="auto"/>
              <w:ind w:left="1014"/>
              <w:rPr>
                <w:rFonts w:hint="eastAsia" w:ascii="宋体" w:hAnsi="宋体" w:eastAsia="宋体" w:cs="宋体"/>
                <w:sz w:val="18"/>
                <w:szCs w:val="18"/>
              </w:rPr>
            </w:pPr>
            <w:r>
              <w:rPr>
                <w:rFonts w:hint="eastAsia" w:ascii="宋体" w:hAnsi="宋体" w:eastAsia="宋体" w:cs="宋体"/>
                <w:spacing w:val="15"/>
                <w:sz w:val="18"/>
                <w:szCs w:val="18"/>
              </w:rPr>
              <w:t>检验方法</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45" w:hRule="atLeast"/>
        </w:trPr>
        <w:tc>
          <w:tcPr>
            <w:tcW w:w="3251" w:type="dxa"/>
            <w:gridSpan w:val="2"/>
            <w:tcBorders>
              <w:top w:val="single" w:color="231F20" w:sz="6" w:space="0"/>
              <w:left w:val="single" w:color="231F20" w:sz="6" w:space="0"/>
            </w:tcBorders>
            <w:vAlign w:val="top"/>
          </w:tcPr>
          <w:p>
            <w:pPr>
              <w:pStyle w:val="52"/>
              <w:spacing w:before="84" w:line="166" w:lineRule="auto"/>
              <w:ind w:left="1075"/>
              <w:rPr>
                <w:rFonts w:hint="eastAsia" w:ascii="宋体" w:hAnsi="宋体" w:eastAsia="宋体" w:cs="宋体"/>
                <w:sz w:val="18"/>
                <w:szCs w:val="18"/>
              </w:rPr>
            </w:pPr>
            <w:r>
              <w:rPr>
                <w:rFonts w:hint="eastAsia" w:ascii="宋体" w:hAnsi="宋体" w:eastAsia="宋体" w:cs="宋体"/>
                <w:spacing w:val="14"/>
                <w:sz w:val="18"/>
                <w:szCs w:val="18"/>
              </w:rPr>
              <w:t>密度/(g/</w:t>
            </w:r>
            <w:r>
              <w:rPr>
                <w:rFonts w:hint="eastAsia" w:ascii="宋体" w:hAnsi="宋体" w:eastAsia="宋体" w:cs="宋体"/>
                <w:position w:val="-2"/>
                <w:sz w:val="18"/>
                <w:szCs w:val="18"/>
              </w:rPr>
              <w:t>cm</w:t>
            </w:r>
            <w:r>
              <w:rPr>
                <w:rFonts w:hint="eastAsia" w:ascii="宋体" w:hAnsi="宋体" w:eastAsia="宋体" w:cs="宋体"/>
                <w:spacing w:val="14"/>
                <w:position w:val="1"/>
                <w:sz w:val="18"/>
                <w:szCs w:val="18"/>
              </w:rPr>
              <w:t>3</w:t>
            </w:r>
            <w:r>
              <w:rPr>
                <w:rFonts w:hint="eastAsia" w:ascii="宋体" w:hAnsi="宋体" w:eastAsia="宋体" w:cs="宋体"/>
                <w:spacing w:val="-6"/>
                <w:position w:val="1"/>
                <w:sz w:val="18"/>
                <w:szCs w:val="18"/>
              </w:rPr>
              <w:t xml:space="preserve"> </w:t>
            </w:r>
            <w:r>
              <w:rPr>
                <w:rFonts w:hint="eastAsia" w:ascii="宋体" w:hAnsi="宋体" w:eastAsia="宋体" w:cs="宋体"/>
                <w:spacing w:val="14"/>
                <w:position w:val="1"/>
                <w:sz w:val="18"/>
                <w:szCs w:val="18"/>
              </w:rPr>
              <w:t>)</w:t>
            </w:r>
          </w:p>
        </w:tc>
        <w:tc>
          <w:tcPr>
            <w:tcW w:w="3243" w:type="dxa"/>
            <w:tcBorders>
              <w:top w:val="single" w:color="231F20" w:sz="6" w:space="0"/>
            </w:tcBorders>
            <w:vAlign w:val="top"/>
          </w:tcPr>
          <w:p>
            <w:pPr>
              <w:pStyle w:val="52"/>
              <w:spacing w:before="102" w:line="169" w:lineRule="auto"/>
              <w:ind w:left="1312"/>
              <w:rPr>
                <w:rFonts w:hint="eastAsia" w:ascii="宋体" w:hAnsi="宋体" w:eastAsia="宋体" w:cs="宋体"/>
                <w:sz w:val="18"/>
                <w:szCs w:val="18"/>
              </w:rPr>
            </w:pPr>
            <w:r>
              <w:rPr>
                <w:rFonts w:hint="eastAsia" w:ascii="宋体" w:hAnsi="宋体" w:eastAsia="宋体" w:cs="宋体"/>
                <w:spacing w:val="2"/>
                <w:sz w:val="18"/>
                <w:szCs w:val="18"/>
              </w:rPr>
              <w:t>1.</w:t>
            </w:r>
            <w:r>
              <w:rPr>
                <w:rFonts w:hint="eastAsia" w:ascii="宋体" w:hAnsi="宋体" w:eastAsia="宋体" w:cs="宋体"/>
                <w:spacing w:val="-18"/>
                <w:sz w:val="18"/>
                <w:szCs w:val="18"/>
              </w:rPr>
              <w:t xml:space="preserve"> </w:t>
            </w:r>
            <w:r>
              <w:rPr>
                <w:rFonts w:hint="eastAsia" w:ascii="宋体" w:hAnsi="宋体" w:eastAsia="宋体" w:cs="宋体"/>
                <w:spacing w:val="2"/>
                <w:sz w:val="18"/>
                <w:szCs w:val="18"/>
              </w:rPr>
              <w:t>3~</w:t>
            </w:r>
            <w:r>
              <w:rPr>
                <w:rFonts w:hint="eastAsia" w:ascii="宋体" w:hAnsi="宋体" w:eastAsia="宋体" w:cs="宋体"/>
                <w:spacing w:val="-23"/>
                <w:sz w:val="18"/>
                <w:szCs w:val="18"/>
              </w:rPr>
              <w:t xml:space="preserve"> </w:t>
            </w:r>
            <w:r>
              <w:rPr>
                <w:rFonts w:hint="eastAsia" w:ascii="宋体" w:hAnsi="宋体" w:eastAsia="宋体" w:cs="宋体"/>
                <w:spacing w:val="2"/>
                <w:sz w:val="18"/>
                <w:szCs w:val="18"/>
              </w:rPr>
              <w:t>1.</w:t>
            </w:r>
            <w:r>
              <w:rPr>
                <w:rFonts w:hint="eastAsia" w:ascii="宋体" w:hAnsi="宋体" w:eastAsia="宋体" w:cs="宋体"/>
                <w:spacing w:val="-21"/>
                <w:sz w:val="18"/>
                <w:szCs w:val="18"/>
              </w:rPr>
              <w:t xml:space="preserve"> </w:t>
            </w:r>
            <w:r>
              <w:rPr>
                <w:rFonts w:hint="eastAsia" w:ascii="宋体" w:hAnsi="宋体" w:eastAsia="宋体" w:cs="宋体"/>
                <w:spacing w:val="2"/>
                <w:sz w:val="18"/>
                <w:szCs w:val="18"/>
              </w:rPr>
              <w:t>5</w:t>
            </w:r>
          </w:p>
        </w:tc>
        <w:tc>
          <w:tcPr>
            <w:tcW w:w="2728" w:type="dxa"/>
            <w:tcBorders>
              <w:top w:val="single" w:color="231F20" w:sz="6" w:space="0"/>
              <w:right w:val="single" w:color="231F20" w:sz="6" w:space="0"/>
            </w:tcBorders>
            <w:vAlign w:val="top"/>
          </w:tcPr>
          <w:p>
            <w:pPr>
              <w:pStyle w:val="52"/>
              <w:spacing w:before="87"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4"/>
                <w:sz w:val="18"/>
                <w:szCs w:val="18"/>
              </w:rPr>
              <w:t>/T 4472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trPr>
        <w:tc>
          <w:tcPr>
            <w:tcW w:w="3251" w:type="dxa"/>
            <w:gridSpan w:val="2"/>
            <w:tcBorders>
              <w:left w:val="single" w:color="231F20" w:sz="6" w:space="0"/>
            </w:tcBorders>
            <w:vAlign w:val="top"/>
          </w:tcPr>
          <w:p>
            <w:pPr>
              <w:pStyle w:val="52"/>
              <w:spacing w:before="89" w:line="185" w:lineRule="auto"/>
              <w:ind w:left="1131"/>
              <w:rPr>
                <w:rFonts w:hint="eastAsia" w:ascii="宋体" w:hAnsi="宋体" w:eastAsia="宋体" w:cs="宋体"/>
                <w:sz w:val="18"/>
                <w:szCs w:val="18"/>
              </w:rPr>
            </w:pPr>
            <w:r>
              <w:rPr>
                <w:rFonts w:hint="eastAsia" w:ascii="宋体" w:hAnsi="宋体" w:eastAsia="宋体" w:cs="宋体"/>
                <w:spacing w:val="21"/>
                <w:sz w:val="18"/>
                <w:szCs w:val="18"/>
              </w:rPr>
              <w:t>粒度分布/%</w:t>
            </w:r>
          </w:p>
        </w:tc>
        <w:tc>
          <w:tcPr>
            <w:tcW w:w="3243" w:type="dxa"/>
            <w:vAlign w:val="top"/>
          </w:tcPr>
          <w:p>
            <w:pPr>
              <w:pStyle w:val="52"/>
              <w:spacing w:before="89" w:line="165" w:lineRule="auto"/>
              <w:ind w:left="263"/>
              <w:rPr>
                <w:rFonts w:hint="eastAsia" w:ascii="宋体" w:hAnsi="宋体" w:eastAsia="宋体" w:cs="宋体"/>
                <w:sz w:val="18"/>
                <w:szCs w:val="18"/>
              </w:rPr>
            </w:pPr>
            <w:r>
              <w:rPr>
                <w:rFonts w:hint="eastAsia" w:ascii="宋体" w:hAnsi="宋体" w:eastAsia="宋体" w:cs="宋体"/>
                <w:spacing w:val="11"/>
                <w:position w:val="1"/>
                <w:sz w:val="18"/>
                <w:szCs w:val="18"/>
              </w:rPr>
              <w:t>筛上</w:t>
            </w:r>
            <w:r>
              <w:rPr>
                <w:rFonts w:hint="eastAsia" w:ascii="宋体" w:hAnsi="宋体" w:eastAsia="宋体" w:cs="宋体"/>
                <w:spacing w:val="26"/>
                <w:w w:val="101"/>
                <w:position w:val="1"/>
                <w:sz w:val="18"/>
                <w:szCs w:val="18"/>
              </w:rPr>
              <w:t xml:space="preserve"> </w:t>
            </w:r>
            <w:r>
              <w:rPr>
                <w:rFonts w:hint="eastAsia" w:ascii="宋体" w:hAnsi="宋体" w:eastAsia="宋体" w:cs="宋体"/>
                <w:spacing w:val="11"/>
                <w:sz w:val="18"/>
                <w:szCs w:val="18"/>
              </w:rPr>
              <w:t>150</w:t>
            </w:r>
            <w:r>
              <w:rPr>
                <w:rFonts w:hint="eastAsia" w:ascii="宋体" w:hAnsi="宋体" w:eastAsia="宋体" w:cs="宋体"/>
                <w:spacing w:val="-12"/>
                <w:sz w:val="18"/>
                <w:szCs w:val="18"/>
              </w:rPr>
              <w:t xml:space="preserve"> </w:t>
            </w:r>
            <w:r>
              <w:rPr>
                <w:rFonts w:hint="eastAsia" w:ascii="宋体" w:hAnsi="宋体" w:eastAsia="宋体" w:cs="宋体"/>
                <w:spacing w:val="11"/>
                <w:position w:val="-2"/>
                <w:sz w:val="18"/>
                <w:szCs w:val="18"/>
              </w:rPr>
              <w:t>μm</w:t>
            </w:r>
            <w:r>
              <w:rPr>
                <w:rFonts w:hint="eastAsia" w:ascii="宋体" w:hAnsi="宋体" w:eastAsia="宋体" w:cs="宋体"/>
                <w:spacing w:val="11"/>
                <w:sz w:val="18"/>
                <w:szCs w:val="18"/>
              </w:rPr>
              <w:t>≤3;</w:t>
            </w:r>
            <w:r>
              <w:rPr>
                <w:rFonts w:hint="eastAsia" w:ascii="宋体" w:hAnsi="宋体" w:eastAsia="宋体" w:cs="宋体"/>
                <w:spacing w:val="11"/>
                <w:position w:val="1"/>
                <w:sz w:val="18"/>
                <w:szCs w:val="18"/>
              </w:rPr>
              <w:t xml:space="preserve">筛上 </w:t>
            </w:r>
            <w:r>
              <w:rPr>
                <w:rFonts w:hint="eastAsia" w:ascii="宋体" w:hAnsi="宋体" w:eastAsia="宋体" w:cs="宋体"/>
                <w:spacing w:val="11"/>
                <w:sz w:val="18"/>
                <w:szCs w:val="18"/>
              </w:rPr>
              <w:t>250</w:t>
            </w:r>
            <w:r>
              <w:rPr>
                <w:rFonts w:hint="eastAsia" w:ascii="宋体" w:hAnsi="宋体" w:eastAsia="宋体" w:cs="宋体"/>
                <w:spacing w:val="-12"/>
                <w:sz w:val="18"/>
                <w:szCs w:val="18"/>
              </w:rPr>
              <w:t xml:space="preserve"> </w:t>
            </w:r>
            <w:r>
              <w:rPr>
                <w:rFonts w:hint="eastAsia" w:ascii="宋体" w:hAnsi="宋体" w:eastAsia="宋体" w:cs="宋体"/>
                <w:spacing w:val="11"/>
                <w:position w:val="-2"/>
                <w:sz w:val="18"/>
                <w:szCs w:val="18"/>
              </w:rPr>
              <w:t>μm</w:t>
            </w:r>
            <w:r>
              <w:rPr>
                <w:rFonts w:hint="eastAsia" w:ascii="宋体" w:hAnsi="宋体" w:eastAsia="宋体" w:cs="宋体"/>
                <w:spacing w:val="11"/>
                <w:sz w:val="18"/>
                <w:szCs w:val="18"/>
              </w:rPr>
              <w:t>≤0.</w:t>
            </w:r>
            <w:r>
              <w:rPr>
                <w:rFonts w:hint="eastAsia" w:ascii="宋体" w:hAnsi="宋体" w:eastAsia="宋体" w:cs="宋体"/>
                <w:spacing w:val="-23"/>
                <w:sz w:val="18"/>
                <w:szCs w:val="18"/>
              </w:rPr>
              <w:t xml:space="preserve"> </w:t>
            </w:r>
            <w:r>
              <w:rPr>
                <w:rFonts w:hint="eastAsia" w:ascii="宋体" w:hAnsi="宋体" w:eastAsia="宋体" w:cs="宋体"/>
                <w:spacing w:val="11"/>
                <w:sz w:val="18"/>
                <w:szCs w:val="18"/>
              </w:rPr>
              <w:t>2</w:t>
            </w:r>
          </w:p>
        </w:tc>
        <w:tc>
          <w:tcPr>
            <w:tcW w:w="2728" w:type="dxa"/>
            <w:tcBorders>
              <w:right w:val="single" w:color="231F20" w:sz="6" w:space="0"/>
            </w:tcBorders>
            <w:vAlign w:val="top"/>
          </w:tcPr>
          <w:p>
            <w:pPr>
              <w:pStyle w:val="52"/>
              <w:spacing w:before="98"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3"/>
                <w:sz w:val="18"/>
                <w:szCs w:val="18"/>
              </w:rPr>
              <w:t>/T 6554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trPr>
        <w:tc>
          <w:tcPr>
            <w:tcW w:w="3251" w:type="dxa"/>
            <w:gridSpan w:val="2"/>
            <w:tcBorders>
              <w:left w:val="single" w:color="231F20" w:sz="6" w:space="0"/>
            </w:tcBorders>
            <w:vAlign w:val="top"/>
          </w:tcPr>
          <w:p>
            <w:pPr>
              <w:pStyle w:val="52"/>
              <w:spacing w:before="90" w:line="184" w:lineRule="auto"/>
              <w:ind w:left="951"/>
              <w:rPr>
                <w:rFonts w:hint="eastAsia" w:ascii="宋体" w:hAnsi="宋体" w:eastAsia="宋体" w:cs="宋体"/>
                <w:sz w:val="18"/>
                <w:szCs w:val="18"/>
              </w:rPr>
            </w:pPr>
            <w:r>
              <w:rPr>
                <w:rFonts w:hint="eastAsia" w:ascii="宋体" w:hAnsi="宋体" w:eastAsia="宋体" w:cs="宋体"/>
                <w:spacing w:val="21"/>
                <w:sz w:val="18"/>
                <w:szCs w:val="18"/>
              </w:rPr>
              <w:t>不挥发物含量/%</w:t>
            </w:r>
          </w:p>
        </w:tc>
        <w:tc>
          <w:tcPr>
            <w:tcW w:w="3243" w:type="dxa"/>
            <w:vAlign w:val="top"/>
          </w:tcPr>
          <w:p>
            <w:pPr>
              <w:pStyle w:val="52"/>
              <w:spacing w:before="97" w:line="190" w:lineRule="auto"/>
              <w:ind w:left="1382"/>
              <w:rPr>
                <w:rFonts w:hint="eastAsia" w:ascii="宋体" w:hAnsi="宋体" w:eastAsia="宋体" w:cs="宋体"/>
                <w:sz w:val="18"/>
                <w:szCs w:val="18"/>
              </w:rPr>
            </w:pPr>
            <w:r>
              <w:rPr>
                <w:rFonts w:hint="eastAsia" w:ascii="宋体" w:hAnsi="宋体" w:eastAsia="宋体" w:cs="宋体"/>
                <w:spacing w:val="11"/>
                <w:sz w:val="18"/>
                <w:szCs w:val="18"/>
              </w:rPr>
              <w:t>≥99.</w:t>
            </w:r>
            <w:r>
              <w:rPr>
                <w:rFonts w:hint="eastAsia" w:ascii="宋体" w:hAnsi="宋体" w:eastAsia="宋体" w:cs="宋体"/>
                <w:spacing w:val="-18"/>
                <w:sz w:val="18"/>
                <w:szCs w:val="18"/>
              </w:rPr>
              <w:t xml:space="preserve"> </w:t>
            </w:r>
            <w:r>
              <w:rPr>
                <w:rFonts w:hint="eastAsia" w:ascii="宋体" w:hAnsi="宋体" w:eastAsia="宋体" w:cs="宋体"/>
                <w:spacing w:val="11"/>
                <w:sz w:val="18"/>
                <w:szCs w:val="18"/>
              </w:rPr>
              <w:t>5</w:t>
            </w:r>
          </w:p>
        </w:tc>
        <w:tc>
          <w:tcPr>
            <w:tcW w:w="2728" w:type="dxa"/>
            <w:tcBorders>
              <w:right w:val="single" w:color="231F20" w:sz="6" w:space="0"/>
            </w:tcBorders>
            <w:vAlign w:val="top"/>
          </w:tcPr>
          <w:p>
            <w:pPr>
              <w:pStyle w:val="52"/>
              <w:spacing w:before="99"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3"/>
                <w:sz w:val="18"/>
                <w:szCs w:val="18"/>
              </w:rPr>
              <w:t>/T 6554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trPr>
        <w:tc>
          <w:tcPr>
            <w:tcW w:w="3251" w:type="dxa"/>
            <w:gridSpan w:val="2"/>
            <w:tcBorders>
              <w:left w:val="single" w:color="231F20" w:sz="6" w:space="0"/>
            </w:tcBorders>
            <w:vAlign w:val="top"/>
          </w:tcPr>
          <w:p>
            <w:pPr>
              <w:pStyle w:val="52"/>
              <w:spacing w:before="93" w:line="183" w:lineRule="auto"/>
              <w:ind w:left="983"/>
              <w:rPr>
                <w:rFonts w:hint="eastAsia" w:ascii="宋体" w:hAnsi="宋体" w:eastAsia="宋体" w:cs="宋体"/>
                <w:sz w:val="18"/>
                <w:szCs w:val="18"/>
              </w:rPr>
            </w:pPr>
            <w:r>
              <w:rPr>
                <w:rFonts w:hint="eastAsia" w:ascii="宋体" w:hAnsi="宋体" w:eastAsia="宋体" w:cs="宋体"/>
                <w:spacing w:val="20"/>
                <w:sz w:val="18"/>
                <w:szCs w:val="18"/>
              </w:rPr>
              <w:t>水平流动性/</w:t>
            </w:r>
            <w:r>
              <w:rPr>
                <w:rFonts w:hint="eastAsia" w:ascii="宋体" w:hAnsi="宋体" w:eastAsia="宋体" w:cs="宋体"/>
                <w:position w:val="-2"/>
                <w:sz w:val="18"/>
                <w:szCs w:val="18"/>
              </w:rPr>
              <w:t>mm</w:t>
            </w:r>
          </w:p>
        </w:tc>
        <w:tc>
          <w:tcPr>
            <w:tcW w:w="3243" w:type="dxa"/>
            <w:vAlign w:val="top"/>
          </w:tcPr>
          <w:p>
            <w:pPr>
              <w:pStyle w:val="52"/>
              <w:spacing w:before="115" w:line="165" w:lineRule="auto"/>
              <w:ind w:left="1362"/>
              <w:rPr>
                <w:rFonts w:hint="eastAsia" w:ascii="宋体" w:hAnsi="宋体" w:eastAsia="宋体" w:cs="宋体"/>
                <w:sz w:val="18"/>
                <w:szCs w:val="18"/>
              </w:rPr>
            </w:pPr>
            <w:r>
              <w:rPr>
                <w:rFonts w:hint="eastAsia" w:ascii="宋体" w:hAnsi="宋体" w:eastAsia="宋体" w:cs="宋体"/>
                <w:spacing w:val="10"/>
                <w:sz w:val="18"/>
                <w:szCs w:val="18"/>
              </w:rPr>
              <w:t>22~</w:t>
            </w:r>
            <w:r>
              <w:rPr>
                <w:rFonts w:hint="eastAsia" w:ascii="宋体" w:hAnsi="宋体" w:eastAsia="宋体" w:cs="宋体"/>
                <w:spacing w:val="-26"/>
                <w:sz w:val="18"/>
                <w:szCs w:val="18"/>
              </w:rPr>
              <w:t xml:space="preserve"> </w:t>
            </w:r>
            <w:r>
              <w:rPr>
                <w:rFonts w:hint="eastAsia" w:ascii="宋体" w:hAnsi="宋体" w:eastAsia="宋体" w:cs="宋体"/>
                <w:spacing w:val="10"/>
                <w:sz w:val="18"/>
                <w:szCs w:val="18"/>
              </w:rPr>
              <w:t>28</w:t>
            </w:r>
          </w:p>
        </w:tc>
        <w:tc>
          <w:tcPr>
            <w:tcW w:w="2728" w:type="dxa"/>
            <w:tcBorders>
              <w:right w:val="single" w:color="231F20" w:sz="6" w:space="0"/>
            </w:tcBorders>
            <w:vAlign w:val="top"/>
          </w:tcPr>
          <w:p>
            <w:pPr>
              <w:pStyle w:val="52"/>
              <w:spacing w:before="100"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3"/>
                <w:sz w:val="18"/>
                <w:szCs w:val="18"/>
              </w:rPr>
              <w:t>/T 6554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4" w:hRule="atLeast"/>
        </w:trPr>
        <w:tc>
          <w:tcPr>
            <w:tcW w:w="3251" w:type="dxa"/>
            <w:gridSpan w:val="2"/>
            <w:tcBorders>
              <w:left w:val="single" w:color="231F20" w:sz="6" w:space="0"/>
            </w:tcBorders>
            <w:vAlign w:val="top"/>
          </w:tcPr>
          <w:p>
            <w:pPr>
              <w:pStyle w:val="52"/>
              <w:spacing w:before="96" w:line="180" w:lineRule="auto"/>
              <w:ind w:left="1182"/>
              <w:rPr>
                <w:rFonts w:hint="eastAsia" w:ascii="宋体" w:hAnsi="宋体" w:eastAsia="宋体" w:cs="宋体"/>
                <w:sz w:val="18"/>
                <w:szCs w:val="18"/>
              </w:rPr>
            </w:pPr>
            <w:r>
              <w:rPr>
                <w:rFonts w:hint="eastAsia" w:ascii="宋体" w:hAnsi="宋体" w:eastAsia="宋体" w:cs="宋体"/>
                <w:spacing w:val="23"/>
                <w:sz w:val="18"/>
                <w:szCs w:val="18"/>
              </w:rPr>
              <w:t>胶化时间/</w:t>
            </w:r>
            <w:r>
              <w:rPr>
                <w:rFonts w:hint="eastAsia" w:ascii="宋体" w:hAnsi="宋体" w:eastAsia="宋体" w:cs="宋体"/>
                <w:spacing w:val="23"/>
                <w:position w:val="-2"/>
                <w:sz w:val="18"/>
                <w:szCs w:val="18"/>
              </w:rPr>
              <w:t>s</w:t>
            </w:r>
          </w:p>
        </w:tc>
        <w:tc>
          <w:tcPr>
            <w:tcW w:w="3243" w:type="dxa"/>
            <w:vAlign w:val="top"/>
          </w:tcPr>
          <w:p>
            <w:pPr>
              <w:pStyle w:val="52"/>
              <w:spacing w:before="96" w:line="170" w:lineRule="auto"/>
              <w:ind w:left="1060"/>
              <w:rPr>
                <w:rFonts w:hint="eastAsia" w:ascii="宋体" w:hAnsi="宋体" w:eastAsia="宋体" w:cs="宋体"/>
                <w:sz w:val="18"/>
                <w:szCs w:val="18"/>
              </w:rPr>
            </w:pPr>
            <w:r>
              <w:rPr>
                <w:rFonts w:hint="eastAsia" w:ascii="宋体" w:hAnsi="宋体" w:eastAsia="宋体" w:cs="宋体"/>
                <w:spacing w:val="12"/>
                <w:sz w:val="18"/>
                <w:szCs w:val="18"/>
              </w:rPr>
              <w:t>≤120(200</w:t>
            </w:r>
            <w:r>
              <w:rPr>
                <w:rFonts w:hint="eastAsia" w:ascii="宋体" w:hAnsi="宋体" w:eastAsia="宋体" w:cs="宋体"/>
                <w:spacing w:val="-5"/>
                <w:sz w:val="18"/>
                <w:szCs w:val="18"/>
              </w:rPr>
              <w:t xml:space="preserve"> </w:t>
            </w:r>
            <w:r>
              <w:rPr>
                <w:rFonts w:hint="eastAsia" w:ascii="宋体" w:hAnsi="宋体" w:eastAsia="宋体" w:cs="宋体"/>
                <w:spacing w:val="12"/>
                <w:sz w:val="18"/>
                <w:szCs w:val="18"/>
              </w:rPr>
              <w:t>℃)</w:t>
            </w:r>
          </w:p>
        </w:tc>
        <w:tc>
          <w:tcPr>
            <w:tcW w:w="2728" w:type="dxa"/>
            <w:tcBorders>
              <w:right w:val="single" w:color="231F20" w:sz="6" w:space="0"/>
            </w:tcBorders>
            <w:vAlign w:val="top"/>
          </w:tcPr>
          <w:p>
            <w:pPr>
              <w:pStyle w:val="52"/>
              <w:spacing w:before="101"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3"/>
                <w:sz w:val="18"/>
                <w:szCs w:val="18"/>
              </w:rPr>
              <w:t>/T 6554</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3" w:hRule="atLeast"/>
        </w:trPr>
        <w:tc>
          <w:tcPr>
            <w:tcW w:w="1629" w:type="dxa"/>
            <w:vMerge w:val="restart"/>
            <w:tcBorders>
              <w:left w:val="single" w:color="231F20" w:sz="6" w:space="0"/>
              <w:bottom w:val="nil"/>
            </w:tcBorders>
            <w:vAlign w:val="top"/>
          </w:tcPr>
          <w:p>
            <w:pPr>
              <w:spacing w:line="467" w:lineRule="auto"/>
              <w:rPr>
                <w:rFonts w:hint="eastAsia" w:ascii="宋体" w:hAnsi="宋体" w:eastAsia="宋体" w:cs="宋体"/>
                <w:sz w:val="18"/>
                <w:szCs w:val="18"/>
              </w:rPr>
            </w:pPr>
          </w:p>
          <w:p>
            <w:pPr>
              <w:pStyle w:val="52"/>
              <w:spacing w:before="69" w:line="215" w:lineRule="auto"/>
              <w:ind w:left="546"/>
              <w:rPr>
                <w:rFonts w:hint="eastAsia" w:ascii="宋体" w:hAnsi="宋体" w:eastAsia="宋体" w:cs="宋体"/>
                <w:sz w:val="18"/>
                <w:szCs w:val="18"/>
              </w:rPr>
            </w:pPr>
            <w:r>
              <w:rPr>
                <w:rFonts w:hint="eastAsia" w:ascii="宋体" w:hAnsi="宋体" w:eastAsia="宋体" w:cs="宋体"/>
                <w:spacing w:val="13"/>
                <w:sz w:val="18"/>
                <w:szCs w:val="18"/>
              </w:rPr>
              <w:t>热特性</w:t>
            </w:r>
          </w:p>
        </w:tc>
        <w:tc>
          <w:tcPr>
            <w:tcW w:w="1622" w:type="dxa"/>
            <w:vAlign w:val="top"/>
          </w:tcPr>
          <w:p>
            <w:pPr>
              <w:pStyle w:val="52"/>
              <w:spacing w:before="114" w:line="218" w:lineRule="auto"/>
              <w:ind w:left="682" w:right="644" w:hanging="14"/>
              <w:rPr>
                <w:rFonts w:hint="eastAsia" w:ascii="宋体" w:hAnsi="宋体" w:eastAsia="宋体" w:cs="宋体"/>
                <w:sz w:val="18"/>
                <w:szCs w:val="18"/>
              </w:rPr>
            </w:pPr>
            <w:r>
              <w:rPr>
                <w:rFonts w:hint="eastAsia" w:ascii="宋体" w:hAnsi="宋体" w:eastAsia="宋体" w:cs="宋体"/>
                <w:spacing w:val="25"/>
                <w:sz w:val="18"/>
                <w:szCs w:val="18"/>
              </w:rPr>
              <w:t>ΔH</w:t>
            </w:r>
            <w:r>
              <w:rPr>
                <w:rFonts w:hint="eastAsia" w:ascii="宋体" w:hAnsi="宋体" w:eastAsia="宋体" w:cs="宋体"/>
                <w:sz w:val="18"/>
                <w:szCs w:val="18"/>
              </w:rPr>
              <w:t xml:space="preserve"> </w:t>
            </w:r>
            <w:r>
              <w:rPr>
                <w:rFonts w:hint="eastAsia" w:ascii="宋体" w:hAnsi="宋体" w:eastAsia="宋体" w:cs="宋体"/>
                <w:spacing w:val="18"/>
                <w:sz w:val="18"/>
                <w:szCs w:val="18"/>
              </w:rPr>
              <w:t>J/g</w:t>
            </w:r>
          </w:p>
        </w:tc>
        <w:tc>
          <w:tcPr>
            <w:tcW w:w="3243" w:type="dxa"/>
            <w:vAlign w:val="top"/>
          </w:tcPr>
          <w:p>
            <w:pPr>
              <w:pStyle w:val="52"/>
              <w:spacing w:before="237" w:line="190" w:lineRule="auto"/>
              <w:ind w:left="1453"/>
              <w:rPr>
                <w:rFonts w:hint="eastAsia" w:ascii="宋体" w:hAnsi="宋体" w:eastAsia="宋体" w:cs="宋体"/>
                <w:sz w:val="18"/>
                <w:szCs w:val="18"/>
              </w:rPr>
            </w:pPr>
            <w:r>
              <w:rPr>
                <w:rFonts w:hint="eastAsia" w:ascii="宋体" w:hAnsi="宋体" w:eastAsia="宋体" w:cs="宋体"/>
                <w:spacing w:val="21"/>
                <w:w w:val="105"/>
                <w:sz w:val="18"/>
                <w:szCs w:val="18"/>
              </w:rPr>
              <w:t>≥45</w:t>
            </w:r>
          </w:p>
        </w:tc>
        <w:tc>
          <w:tcPr>
            <w:tcW w:w="2728" w:type="dxa"/>
            <w:vMerge w:val="restart"/>
            <w:tcBorders>
              <w:bottom w:val="nil"/>
              <w:right w:val="single" w:color="231F20" w:sz="6" w:space="0"/>
            </w:tcBorders>
            <w:vAlign w:val="top"/>
          </w:tcPr>
          <w:p>
            <w:pPr>
              <w:spacing w:line="476" w:lineRule="auto"/>
              <w:rPr>
                <w:rFonts w:hint="eastAsia" w:ascii="宋体" w:hAnsi="宋体" w:eastAsia="宋体" w:cs="宋体"/>
                <w:sz w:val="18"/>
                <w:szCs w:val="18"/>
              </w:rPr>
            </w:pPr>
          </w:p>
          <w:p>
            <w:pPr>
              <w:pStyle w:val="52"/>
              <w:spacing w:before="69" w:line="183" w:lineRule="auto"/>
              <w:ind w:left="1120"/>
              <w:rPr>
                <w:rFonts w:hint="eastAsia" w:ascii="宋体" w:hAnsi="宋体" w:eastAsia="宋体" w:cs="宋体"/>
                <w:sz w:val="18"/>
                <w:szCs w:val="18"/>
              </w:rPr>
            </w:pPr>
            <w:r>
              <w:rPr>
                <w:rFonts w:hint="eastAsia" w:ascii="宋体" w:hAnsi="宋体" w:eastAsia="宋体" w:cs="宋体"/>
                <w:spacing w:val="9"/>
                <w:sz w:val="18"/>
                <w:szCs w:val="18"/>
              </w:rPr>
              <w:t>附录</w:t>
            </w:r>
            <w:r>
              <w:rPr>
                <w:rFonts w:hint="eastAsia" w:ascii="宋体" w:hAnsi="宋体" w:eastAsia="宋体" w:cs="宋体"/>
                <w:spacing w:val="16"/>
                <w:sz w:val="18"/>
                <w:szCs w:val="18"/>
              </w:rPr>
              <w:t xml:space="preserve"> </w:t>
            </w:r>
            <w:r>
              <w:rPr>
                <w:rFonts w:hint="eastAsia" w:ascii="宋体" w:hAnsi="宋体" w:eastAsia="宋体" w:cs="宋体"/>
                <w:spacing w:val="9"/>
                <w:position w:val="-1"/>
                <w:sz w:val="18"/>
                <w:szCs w:val="18"/>
              </w:rPr>
              <w:t>D</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625" w:hRule="atLeast"/>
        </w:trPr>
        <w:tc>
          <w:tcPr>
            <w:tcW w:w="1629" w:type="dxa"/>
            <w:vMerge w:val="continue"/>
            <w:tcBorders>
              <w:top w:val="nil"/>
              <w:left w:val="single" w:color="231F20" w:sz="6" w:space="0"/>
            </w:tcBorders>
            <w:vAlign w:val="top"/>
          </w:tcPr>
          <w:p>
            <w:pPr>
              <w:rPr>
                <w:rFonts w:hint="eastAsia" w:ascii="宋体" w:hAnsi="宋体" w:eastAsia="宋体" w:cs="宋体"/>
                <w:sz w:val="18"/>
                <w:szCs w:val="18"/>
              </w:rPr>
            </w:pPr>
          </w:p>
        </w:tc>
        <w:tc>
          <w:tcPr>
            <w:tcW w:w="1622" w:type="dxa"/>
            <w:vAlign w:val="top"/>
          </w:tcPr>
          <w:p>
            <w:pPr>
              <w:pStyle w:val="52"/>
              <w:spacing w:before="114" w:line="158" w:lineRule="auto"/>
              <w:ind w:left="667"/>
              <w:rPr>
                <w:rFonts w:hint="eastAsia" w:ascii="宋体" w:hAnsi="宋体" w:eastAsia="宋体" w:cs="宋体"/>
                <w:sz w:val="18"/>
                <w:szCs w:val="18"/>
              </w:rPr>
            </w:pPr>
            <w:r>
              <w:rPr>
                <w:rFonts w:hint="eastAsia" w:ascii="宋体" w:hAnsi="宋体" w:eastAsia="宋体" w:cs="宋体"/>
                <w:spacing w:val="17"/>
                <w:sz w:val="18"/>
                <w:szCs w:val="18"/>
              </w:rPr>
              <w:t>Tg2</w:t>
            </w:r>
          </w:p>
          <w:p>
            <w:pPr>
              <w:pStyle w:val="52"/>
              <w:spacing w:before="89" w:line="175" w:lineRule="auto"/>
              <w:ind w:left="734"/>
              <w:rPr>
                <w:rFonts w:hint="eastAsia" w:ascii="宋体" w:hAnsi="宋体" w:eastAsia="宋体" w:cs="宋体"/>
                <w:sz w:val="18"/>
                <w:szCs w:val="18"/>
              </w:rPr>
            </w:pPr>
            <w:r>
              <w:rPr>
                <w:rFonts w:hint="eastAsia" w:ascii="宋体" w:hAnsi="宋体" w:eastAsia="宋体" w:cs="宋体"/>
                <w:sz w:val="18"/>
                <w:szCs w:val="18"/>
              </w:rPr>
              <w:t>℃</w:t>
            </w:r>
          </w:p>
        </w:tc>
        <w:tc>
          <w:tcPr>
            <w:tcW w:w="3243" w:type="dxa"/>
            <w:vAlign w:val="top"/>
          </w:tcPr>
          <w:p>
            <w:pPr>
              <w:pStyle w:val="52"/>
              <w:spacing w:before="239" w:line="190" w:lineRule="auto"/>
              <w:ind w:left="1453"/>
              <w:rPr>
                <w:rFonts w:hint="eastAsia" w:ascii="宋体" w:hAnsi="宋体" w:eastAsia="宋体" w:cs="宋体"/>
                <w:sz w:val="18"/>
                <w:szCs w:val="18"/>
              </w:rPr>
            </w:pPr>
            <w:r>
              <w:rPr>
                <w:rFonts w:hint="eastAsia" w:ascii="宋体" w:hAnsi="宋体" w:eastAsia="宋体" w:cs="宋体"/>
                <w:spacing w:val="23"/>
                <w:w w:val="103"/>
                <w:sz w:val="18"/>
                <w:szCs w:val="18"/>
              </w:rPr>
              <w:t>≥98</w:t>
            </w:r>
          </w:p>
        </w:tc>
        <w:tc>
          <w:tcPr>
            <w:tcW w:w="2728" w:type="dxa"/>
            <w:vMerge w:val="continue"/>
            <w:tcBorders>
              <w:top w:val="nil"/>
              <w:right w:val="single" w:color="231F20" w:sz="6" w:space="0"/>
            </w:tcBorders>
            <w:vAlign w:val="top"/>
          </w:tcPr>
          <w:p>
            <w:pPr>
              <w:rPr>
                <w:rFonts w:hint="eastAsia" w:ascii="宋体" w:hAnsi="宋体" w:eastAsia="宋体" w:cs="宋体"/>
                <w:sz w:val="18"/>
                <w:szCs w:val="18"/>
              </w:rPr>
            </w:pP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55" w:hRule="atLeast"/>
        </w:trPr>
        <w:tc>
          <w:tcPr>
            <w:tcW w:w="3251" w:type="dxa"/>
            <w:gridSpan w:val="2"/>
            <w:tcBorders>
              <w:left w:val="single" w:color="231F20" w:sz="6" w:space="0"/>
            </w:tcBorders>
            <w:vAlign w:val="top"/>
          </w:tcPr>
          <w:p>
            <w:pPr>
              <w:pStyle w:val="52"/>
              <w:spacing w:before="100" w:line="176" w:lineRule="auto"/>
              <w:ind w:left="847"/>
              <w:rPr>
                <w:rFonts w:hint="eastAsia" w:ascii="宋体" w:hAnsi="宋体" w:eastAsia="宋体" w:cs="宋体"/>
                <w:sz w:val="18"/>
                <w:szCs w:val="18"/>
              </w:rPr>
            </w:pPr>
            <w:r>
              <w:rPr>
                <w:rFonts w:hint="eastAsia" w:ascii="宋体" w:hAnsi="宋体" w:eastAsia="宋体" w:cs="宋体"/>
                <w:spacing w:val="27"/>
                <w:sz w:val="18"/>
                <w:szCs w:val="18"/>
              </w:rPr>
              <w:t>冲击强度/(</w:t>
            </w:r>
            <w:r>
              <w:rPr>
                <w:rFonts w:hint="eastAsia" w:ascii="宋体" w:hAnsi="宋体" w:eastAsia="宋体" w:cs="宋体"/>
                <w:sz w:val="18"/>
                <w:szCs w:val="18"/>
              </w:rPr>
              <w:t>kg</w:t>
            </w:r>
            <w:r>
              <w:rPr>
                <w:rFonts w:hint="eastAsia" w:ascii="宋体" w:hAnsi="宋体" w:eastAsia="宋体" w:cs="宋体"/>
                <w:spacing w:val="-14"/>
                <w:sz w:val="18"/>
                <w:szCs w:val="18"/>
              </w:rPr>
              <w:t xml:space="preserve"> </w:t>
            </w:r>
            <w:r>
              <w:rPr>
                <w:rFonts w:hint="eastAsia" w:ascii="宋体" w:hAnsi="宋体" w:eastAsia="宋体" w:cs="宋体"/>
                <w:spacing w:val="27"/>
                <w:sz w:val="18"/>
                <w:szCs w:val="18"/>
              </w:rPr>
              <w:t>·</w:t>
            </w:r>
            <w:r>
              <w:rPr>
                <w:rFonts w:hint="eastAsia" w:ascii="宋体" w:hAnsi="宋体" w:eastAsia="宋体" w:cs="宋体"/>
                <w:spacing w:val="-26"/>
                <w:sz w:val="18"/>
                <w:szCs w:val="18"/>
              </w:rPr>
              <w:t xml:space="preserve"> </w:t>
            </w:r>
            <w:r>
              <w:rPr>
                <w:rFonts w:hint="eastAsia" w:ascii="宋体" w:hAnsi="宋体" w:eastAsia="宋体" w:cs="宋体"/>
                <w:sz w:val="18"/>
                <w:szCs w:val="18"/>
              </w:rPr>
              <w:t>cm</w:t>
            </w:r>
            <w:r>
              <w:rPr>
                <w:rFonts w:hint="eastAsia" w:ascii="宋体" w:hAnsi="宋体" w:eastAsia="宋体" w:cs="宋体"/>
                <w:spacing w:val="27"/>
                <w:sz w:val="18"/>
                <w:szCs w:val="18"/>
              </w:rPr>
              <w:t>)</w:t>
            </w:r>
          </w:p>
        </w:tc>
        <w:tc>
          <w:tcPr>
            <w:tcW w:w="3243" w:type="dxa"/>
            <w:vAlign w:val="top"/>
          </w:tcPr>
          <w:p>
            <w:pPr>
              <w:pStyle w:val="52"/>
              <w:spacing w:before="106" w:line="190" w:lineRule="auto"/>
              <w:ind w:left="1453"/>
              <w:rPr>
                <w:rFonts w:hint="eastAsia" w:ascii="宋体" w:hAnsi="宋体" w:eastAsia="宋体" w:cs="宋体"/>
                <w:sz w:val="18"/>
                <w:szCs w:val="18"/>
              </w:rPr>
            </w:pPr>
            <w:r>
              <w:rPr>
                <w:rFonts w:hint="eastAsia" w:ascii="宋体" w:hAnsi="宋体" w:eastAsia="宋体" w:cs="宋体"/>
                <w:spacing w:val="25"/>
                <w:w w:val="101"/>
                <w:sz w:val="18"/>
                <w:szCs w:val="18"/>
              </w:rPr>
              <w:t>≥50</w:t>
            </w:r>
          </w:p>
        </w:tc>
        <w:tc>
          <w:tcPr>
            <w:tcW w:w="2728" w:type="dxa"/>
            <w:tcBorders>
              <w:right w:val="single" w:color="231F20" w:sz="6" w:space="0"/>
            </w:tcBorders>
            <w:vAlign w:val="top"/>
          </w:tcPr>
          <w:p>
            <w:pPr>
              <w:pStyle w:val="52"/>
              <w:spacing w:before="108"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3"/>
                <w:sz w:val="18"/>
                <w:szCs w:val="18"/>
              </w:rPr>
              <w:t>/T 1732</w:t>
            </w:r>
          </w:p>
        </w:tc>
      </w:tr>
      <w:tr>
        <w:tblPrEx>
          <w:tblBorders>
            <w:top w:val="single" w:color="231F20" w:sz="2" w:space="0"/>
            <w:left w:val="single" w:color="231F20" w:sz="2" w:space="0"/>
            <w:bottom w:val="single" w:color="231F20" w:sz="2" w:space="0"/>
            <w:right w:val="single" w:color="231F20" w:sz="2" w:space="0"/>
            <w:insideH w:val="single" w:color="231F20" w:sz="2" w:space="0"/>
            <w:insideV w:val="single" w:color="231F20" w:sz="2" w:space="0"/>
          </w:tblBorders>
          <w:tblCellMar>
            <w:top w:w="0" w:type="dxa"/>
            <w:left w:w="0" w:type="dxa"/>
            <w:bottom w:w="0" w:type="dxa"/>
            <w:right w:w="0" w:type="dxa"/>
          </w:tblCellMar>
        </w:tblPrEx>
        <w:trPr>
          <w:trHeight w:val="362" w:hRule="atLeast"/>
        </w:trPr>
        <w:tc>
          <w:tcPr>
            <w:tcW w:w="3251" w:type="dxa"/>
            <w:gridSpan w:val="2"/>
            <w:tcBorders>
              <w:left w:val="single" w:color="231F20" w:sz="6" w:space="0"/>
              <w:bottom w:val="single" w:color="231F20" w:sz="6" w:space="0"/>
            </w:tcBorders>
            <w:vAlign w:val="top"/>
          </w:tcPr>
          <w:p>
            <w:pPr>
              <w:pStyle w:val="52"/>
              <w:spacing w:before="101" w:line="177" w:lineRule="auto"/>
              <w:ind w:left="858"/>
              <w:rPr>
                <w:rFonts w:hint="eastAsia" w:ascii="宋体" w:hAnsi="宋体" w:eastAsia="宋体" w:cs="宋体"/>
                <w:sz w:val="18"/>
                <w:szCs w:val="18"/>
              </w:rPr>
            </w:pPr>
            <w:r>
              <w:rPr>
                <w:rFonts w:hint="eastAsia" w:ascii="宋体" w:hAnsi="宋体" w:eastAsia="宋体" w:cs="宋体"/>
                <w:spacing w:val="20"/>
                <w:sz w:val="18"/>
                <w:szCs w:val="18"/>
              </w:rPr>
              <w:t>弯曲试验/</w:t>
            </w:r>
            <w:r>
              <w:rPr>
                <w:rFonts w:hint="eastAsia" w:ascii="宋体" w:hAnsi="宋体" w:eastAsia="宋体" w:cs="宋体"/>
                <w:spacing w:val="20"/>
                <w:position w:val="-1"/>
                <w:sz w:val="18"/>
                <w:szCs w:val="18"/>
              </w:rPr>
              <w:t>(φ2</w:t>
            </w:r>
            <w:r>
              <w:rPr>
                <w:rFonts w:hint="eastAsia" w:ascii="宋体" w:hAnsi="宋体" w:eastAsia="宋体" w:cs="宋体"/>
                <w:sz w:val="18"/>
                <w:szCs w:val="18"/>
              </w:rPr>
              <w:t>mm</w:t>
            </w:r>
            <w:r>
              <w:rPr>
                <w:rFonts w:hint="eastAsia" w:ascii="宋体" w:hAnsi="宋体" w:eastAsia="宋体" w:cs="宋体"/>
                <w:spacing w:val="20"/>
                <w:sz w:val="18"/>
                <w:szCs w:val="18"/>
              </w:rPr>
              <w:t>)</w:t>
            </w:r>
          </w:p>
        </w:tc>
        <w:tc>
          <w:tcPr>
            <w:tcW w:w="3243" w:type="dxa"/>
            <w:tcBorders>
              <w:bottom w:val="single" w:color="231F20" w:sz="6" w:space="0"/>
            </w:tcBorders>
            <w:vAlign w:val="top"/>
          </w:tcPr>
          <w:p>
            <w:pPr>
              <w:pStyle w:val="52"/>
              <w:spacing w:before="102" w:line="184" w:lineRule="auto"/>
              <w:ind w:left="908"/>
              <w:rPr>
                <w:rFonts w:hint="eastAsia" w:ascii="宋体" w:hAnsi="宋体" w:eastAsia="宋体" w:cs="宋体"/>
                <w:sz w:val="18"/>
                <w:szCs w:val="18"/>
              </w:rPr>
            </w:pPr>
            <w:r>
              <w:rPr>
                <w:rFonts w:hint="eastAsia" w:ascii="宋体" w:hAnsi="宋体" w:eastAsia="宋体" w:cs="宋体"/>
                <w:spacing w:val="18"/>
                <w:sz w:val="18"/>
                <w:szCs w:val="18"/>
              </w:rPr>
              <w:t>涂层无开裂或剥落</w:t>
            </w:r>
          </w:p>
        </w:tc>
        <w:tc>
          <w:tcPr>
            <w:tcW w:w="2728" w:type="dxa"/>
            <w:tcBorders>
              <w:bottom w:val="single" w:color="231F20" w:sz="6" w:space="0"/>
              <w:right w:val="single" w:color="231F20" w:sz="6" w:space="0"/>
            </w:tcBorders>
            <w:vAlign w:val="top"/>
          </w:tcPr>
          <w:p>
            <w:pPr>
              <w:pStyle w:val="52"/>
              <w:spacing w:before="109" w:line="177" w:lineRule="auto"/>
              <w:ind w:left="941"/>
              <w:rPr>
                <w:rFonts w:hint="eastAsia" w:ascii="宋体" w:hAnsi="宋体" w:eastAsia="宋体" w:cs="宋体"/>
                <w:sz w:val="18"/>
                <w:szCs w:val="18"/>
              </w:rPr>
            </w:pPr>
            <w:r>
              <w:rPr>
                <w:rFonts w:hint="eastAsia" w:ascii="宋体" w:hAnsi="宋体" w:eastAsia="宋体" w:cs="宋体"/>
                <w:sz w:val="18"/>
                <w:szCs w:val="18"/>
              </w:rPr>
              <w:t>GB</w:t>
            </w:r>
            <w:r>
              <w:rPr>
                <w:rFonts w:hint="eastAsia" w:ascii="宋体" w:hAnsi="宋体" w:eastAsia="宋体" w:cs="宋体"/>
                <w:spacing w:val="13"/>
                <w:sz w:val="18"/>
                <w:szCs w:val="18"/>
              </w:rPr>
              <w:t>/T 6742</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部分引用《石油化工设备和管道涂料防腐蚀设计规范》(GB/T 28897</w:t>
      </w:r>
      <w:r>
        <w:rPr>
          <w:rFonts w:hint="eastAsia" w:ascii="宋体" w:hAnsi="宋体" w:eastAsia="宋体" w:cs="宋体"/>
          <w:sz w:val="24"/>
          <w:szCs w:val="24"/>
          <w:lang w:eastAsia="zh-CN"/>
        </w:rPr>
        <w:noBreakHyphen/>
      </w:r>
      <w:r>
        <w:rPr>
          <w:rFonts w:hint="eastAsia" w:ascii="宋体" w:hAnsi="宋体" w:eastAsia="宋体" w:cs="宋体"/>
          <w:sz w:val="24"/>
          <w:szCs w:val="24"/>
          <w:lang w:eastAsia="zh-CN"/>
        </w:rPr>
        <w:t>2021)文件中第</w:t>
      </w:r>
      <w:r>
        <w:rPr>
          <w:rFonts w:hint="eastAsia" w:ascii="宋体" w:hAnsi="宋体" w:eastAsia="宋体" w:cs="宋体"/>
          <w:sz w:val="24"/>
          <w:szCs w:val="24"/>
          <w:lang w:val="en-US" w:eastAsia="zh-CN"/>
        </w:rPr>
        <w:t>7.4.6要求，</w:t>
      </w:r>
      <w:r>
        <w:rPr>
          <w:rFonts w:hint="eastAsia" w:ascii="宋体" w:hAnsi="宋体" w:eastAsia="宋体" w:cs="宋体"/>
          <w:sz w:val="24"/>
          <w:szCs w:val="24"/>
          <w:lang w:eastAsia="zh-CN"/>
        </w:rPr>
        <w:t>聚乙烯涂塑层与基管之间的附着力应不小于30 N/cm;环氧树脂涂层与基管之间的附着力应为1级 ~ 3级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钢管内壁表面预处理：喷砂除锈达到Sa2½ 级（GB/T 8923.1），锚纹深度 40~90μm，涂塑前内壁无油污、盐分、返锈。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涂层厚度：污水工况加强级，DN≤65≥0.35mm，DN80~500≥0.40mm，DN≥600≥0.45mm。</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针孔检测：所有涂塑管道内壁 100% 电火花检漏，检漏电压按 5V/μm 执行，无击穿为合格。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eastAsia="zh-CN"/>
        </w:rPr>
      </w:pPr>
      <w:r>
        <w:rPr>
          <w:rFonts w:hint="eastAsia" w:ascii="宋体" w:hAnsi="宋体" w:eastAsia="宋体" w:cs="宋体"/>
          <w:sz w:val="24"/>
          <w:szCs w:val="24"/>
          <w:lang w:eastAsia="zh-CN"/>
        </w:rPr>
        <w:t>耐化学性能：适配污水介质（含硫化氢、酸碱波动），粉末供应商提供耐化学浸泡试验报告。</w:t>
      </w:r>
    </w:p>
    <w:p>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lang w:val="en-US" w:eastAsia="zh-CN"/>
        </w:rPr>
      </w:pPr>
      <w:r>
        <w:rPr>
          <w:rFonts w:hint="eastAsia" w:ascii="宋体" w:hAnsi="宋体" w:eastAsia="宋体" w:cs="宋体"/>
          <w:b/>
          <w:bCs/>
          <w:sz w:val="32"/>
          <w:szCs w:val="32"/>
          <w:lang w:val="en-US" w:eastAsia="zh-CN" w:bidi="ar-SA"/>
        </w:rPr>
        <w:t xml:space="preserve">3.3.8 </w:t>
      </w:r>
      <w:r>
        <w:rPr>
          <w:rFonts w:hint="eastAsia" w:ascii="宋体" w:hAnsi="宋体" w:eastAsia="宋体" w:cs="宋体"/>
          <w:lang w:val="en-US" w:eastAsia="zh-CN"/>
        </w:rPr>
        <w:t>仪表校准及回路调试要求：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投标人负责合同范围内仪表校准及回路调试工作。严格按照设计文件相关要求进行调试。执行标准：部分引用《自动化仪表工程施工及质量验收规</w:t>
      </w:r>
      <w:r>
        <w:rPr>
          <w:rFonts w:hint="default" w:ascii="宋体" w:hAnsi="宋体" w:eastAsia="宋体" w:cs="宋体"/>
          <w:sz w:val="24"/>
          <w:szCs w:val="24"/>
          <w:lang w:val="en-US" w:eastAsia="zh-CN"/>
        </w:rPr>
        <w:t>范</w:t>
      </w:r>
      <w:r>
        <w:rPr>
          <w:rFonts w:hint="eastAsia" w:ascii="宋体" w:hAnsi="宋体" w:eastAsia="宋体" w:cs="宋体"/>
          <w:sz w:val="24"/>
          <w:szCs w:val="24"/>
          <w:lang w:val="en-US" w:eastAsia="zh-CN"/>
        </w:rPr>
        <w:t>》(GB50093-2013)文件中第12.2.5项：变送器、转换器应进行输入输出特性试验和校准，其准确</w:t>
      </w:r>
      <w:r>
        <w:rPr>
          <w:rFonts w:hint="default" w:ascii="宋体" w:hAnsi="宋体" w:eastAsia="宋体" w:cs="宋体"/>
          <w:sz w:val="24"/>
          <w:szCs w:val="24"/>
          <w:lang w:val="en-US" w:eastAsia="zh-CN"/>
        </w:rPr>
        <w:t>度应符合设计文件的规定，输入输出信号范围和类型应与铭牌标识、设计文件规定一致，并应与显示仪表配套。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第12.1.11项：</w:t>
      </w:r>
      <w:r>
        <w:rPr>
          <w:rFonts w:hint="default" w:ascii="宋体" w:hAnsi="宋体" w:eastAsia="宋体" w:cs="宋体"/>
          <w:sz w:val="24"/>
          <w:szCs w:val="24"/>
          <w:lang w:val="en-US" w:eastAsia="zh-CN"/>
        </w:rPr>
        <w:t>单台仪表的校准点应在仪表全量程范围内均匀选取，不应少于</w:t>
      </w:r>
      <w:r>
        <w:rPr>
          <w:rFonts w:hint="eastAsia" w:ascii="宋体" w:hAnsi="宋体" w:eastAsia="宋体" w:cs="宋体"/>
          <w:sz w:val="24"/>
          <w:szCs w:val="24"/>
          <w:lang w:val="en-US" w:eastAsia="zh-CN"/>
        </w:rPr>
        <w:t>5</w:t>
      </w:r>
      <w:r>
        <w:rPr>
          <w:rFonts w:hint="default" w:ascii="宋体" w:hAnsi="宋体" w:eastAsia="宋体" w:cs="宋体"/>
          <w:sz w:val="24"/>
          <w:szCs w:val="24"/>
          <w:lang w:val="en-US" w:eastAsia="zh-CN"/>
        </w:rPr>
        <w:t>点。当进行回路试验时，仪表校准点不应少于</w:t>
      </w:r>
      <w:r>
        <w:rPr>
          <w:rFonts w:hint="eastAsia" w:ascii="宋体" w:hAnsi="宋体" w:eastAsia="宋体" w:cs="宋体"/>
          <w:sz w:val="24"/>
          <w:szCs w:val="24"/>
          <w:lang w:val="en-US" w:eastAsia="zh-CN"/>
        </w:rPr>
        <w:t>3</w:t>
      </w:r>
      <w:r>
        <w:rPr>
          <w:rFonts w:hint="default" w:ascii="宋体" w:hAnsi="宋体" w:eastAsia="宋体" w:cs="宋体"/>
          <w:sz w:val="24"/>
          <w:szCs w:val="24"/>
          <w:lang w:val="en-US" w:eastAsia="zh-CN"/>
        </w:rPr>
        <w:t>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第</w:t>
      </w:r>
      <w:r>
        <w:rPr>
          <w:rFonts w:hint="default" w:ascii="宋体" w:hAnsi="宋体" w:eastAsia="宋体" w:cs="宋体"/>
          <w:sz w:val="24"/>
          <w:szCs w:val="24"/>
          <w:lang w:val="en-US" w:eastAsia="zh-CN"/>
        </w:rPr>
        <w:t xml:space="preserve">12.5.4 </w:t>
      </w:r>
      <w:r>
        <w:rPr>
          <w:rFonts w:hint="eastAsia" w:ascii="宋体" w:hAnsi="宋体" w:eastAsia="宋体" w:cs="宋体"/>
          <w:sz w:val="24"/>
          <w:szCs w:val="24"/>
          <w:lang w:val="en-US" w:eastAsia="zh-CN"/>
        </w:rPr>
        <w:t>项：</w:t>
      </w:r>
      <w:r>
        <w:rPr>
          <w:rFonts w:hint="default" w:ascii="宋体" w:hAnsi="宋体" w:eastAsia="宋体" w:cs="宋体"/>
          <w:sz w:val="24"/>
          <w:szCs w:val="24"/>
          <w:lang w:val="en-US" w:eastAsia="zh-CN"/>
        </w:rPr>
        <w:t xml:space="preserve">检测回路的试验应符合下列要求: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 xml:space="preserve">在检测回路的信号输入端输入模拟被测变量的标准信号， 回路的显示仪表部分的示值误差，不应超过回路内各单台仪表允许基本误差平方和的平方根值。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xml:space="preserve">2 温度检测回路可在检测元件的输出端向回路输入电阻值或毫伏值模拟信号。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现场不具备模拟被测变量信号的回路，应在其可模拟输入信号的最前端输入信号进行回路试验。</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第12.5.5项：</w:t>
      </w:r>
      <w:r>
        <w:rPr>
          <w:rFonts w:hint="default" w:ascii="宋体" w:hAnsi="宋体" w:eastAsia="宋体" w:cs="宋体"/>
          <w:sz w:val="24"/>
          <w:szCs w:val="24"/>
          <w:lang w:val="en-US" w:eastAsia="zh-CN"/>
        </w:rPr>
        <w:t xml:space="preserve">控制回路的试验应符合下列规定: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xml:space="preserve">1 控制器和执行器的作用方向应符合设计文件要求。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 xml:space="preserve">2 通过控制器或操作站的输出向执行器发送控制信号，检查执行器的全行程动作方向和位置应正确。执行器带有定位器时应同时试验。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 当控制器或操作站上有执行器的开度和起点、终点信号显示时，应同时进行检查和试验。</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rPr>
        <w:t>开关量及联锁回路逐点模拟信号，核对状态、报警、事件记录；全部联锁条件开展模拟测试，验证联锁动作、复位、旁路、首出报警功能；</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rPr>
        <w:t>全部调试过程留存完整书面记录：仪表校准记录、回路调试记录、调节阀调试记录、联锁试验记录；不合格项完成整改复校后方可投运。</w:t>
      </w:r>
    </w:p>
    <w:p>
      <w:pPr>
        <w:outlineLvl w:val="2"/>
        <w:rPr>
          <w:rFonts w:hint="default" w:ascii="宋体" w:hAnsi="宋体" w:eastAsia="宋体" w:cs="宋体"/>
          <w:b/>
          <w:bCs/>
          <w:sz w:val="32"/>
          <w:szCs w:val="32"/>
          <w:lang w:val="en-US" w:eastAsia="zh-CN" w:bidi="ar-SA"/>
        </w:rPr>
      </w:pPr>
      <w:bookmarkStart w:id="56" w:name="_Toc8972"/>
      <w:bookmarkStart w:id="57" w:name="_Toc19951"/>
      <w:r>
        <w:rPr>
          <w:rFonts w:hint="eastAsia" w:ascii="宋体" w:hAnsi="宋体" w:eastAsia="宋体" w:cs="宋体"/>
          <w:b/>
          <w:bCs/>
          <w:sz w:val="32"/>
          <w:szCs w:val="32"/>
          <w:lang w:val="en-US" w:eastAsia="zh-CN" w:bidi="ar-SA"/>
        </w:rPr>
        <w:t xml:space="preserve">3.3.9 </w:t>
      </w:r>
      <w:bookmarkEnd w:id="56"/>
      <w:bookmarkEnd w:id="57"/>
      <w:r>
        <w:rPr>
          <w:rFonts w:hint="eastAsia" w:ascii="宋体" w:hAnsi="宋体" w:eastAsia="宋体" w:cs="宋体"/>
          <w:b/>
          <w:bCs/>
          <w:sz w:val="32"/>
          <w:szCs w:val="32"/>
          <w:lang w:val="en-US" w:eastAsia="zh-CN" w:bidi="ar-SA"/>
        </w:rPr>
        <w:t>未尽事宜</w:t>
      </w:r>
    </w:p>
    <w:p>
      <w:pPr>
        <w:pStyle w:val="20"/>
        <w:ind w:firstLine="560"/>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en-US" w:bidi="ar-SA"/>
        </w:rPr>
        <w:t>其它未提及事宜，</w:t>
      </w:r>
      <w:r>
        <w:rPr>
          <w:rFonts w:hint="eastAsia" w:ascii="宋体" w:hAnsi="宋体" w:cs="宋体"/>
          <w:sz w:val="24"/>
          <w:szCs w:val="24"/>
          <w:lang w:val="en-US" w:eastAsia="zh-CN" w:bidi="ar-SA"/>
        </w:rPr>
        <w:t>投标人</w:t>
      </w:r>
      <w:r>
        <w:rPr>
          <w:rFonts w:hint="eastAsia" w:ascii="宋体" w:hAnsi="宋体" w:eastAsia="宋体" w:cs="宋体"/>
          <w:sz w:val="24"/>
          <w:szCs w:val="24"/>
          <w:lang w:val="en-US" w:eastAsia="en-US" w:bidi="ar-SA"/>
        </w:rPr>
        <w:t>应严格遵守国家标准、规范，</w:t>
      </w:r>
      <w:r>
        <w:rPr>
          <w:rFonts w:hint="eastAsia" w:ascii="宋体" w:hAnsi="宋体" w:cs="宋体"/>
          <w:sz w:val="24"/>
          <w:szCs w:val="24"/>
          <w:lang w:val="en-US" w:eastAsia="zh-CN" w:bidi="ar-SA"/>
        </w:rPr>
        <w:t>招标人</w:t>
      </w:r>
      <w:r>
        <w:rPr>
          <w:rFonts w:hint="eastAsia" w:ascii="宋体" w:hAnsi="宋体" w:eastAsia="宋体" w:cs="宋体"/>
          <w:sz w:val="24"/>
          <w:szCs w:val="24"/>
          <w:lang w:val="en-US" w:eastAsia="en-US" w:bidi="ar-SA"/>
        </w:rPr>
        <w:t>保留对相关问题提出修改要求的权利，如有相关要求，</w:t>
      </w:r>
      <w:r>
        <w:rPr>
          <w:rFonts w:hint="eastAsia" w:ascii="宋体" w:hAnsi="宋体" w:cs="宋体"/>
          <w:sz w:val="24"/>
          <w:szCs w:val="24"/>
          <w:lang w:val="en-US" w:eastAsia="zh-CN" w:bidi="ar-SA"/>
        </w:rPr>
        <w:t>招标人</w:t>
      </w:r>
      <w:r>
        <w:rPr>
          <w:rFonts w:hint="eastAsia" w:ascii="宋体" w:hAnsi="宋体" w:eastAsia="宋体" w:cs="宋体"/>
          <w:sz w:val="24"/>
          <w:szCs w:val="24"/>
          <w:lang w:val="en-US" w:eastAsia="en-US" w:bidi="ar-SA"/>
        </w:rPr>
        <w:t>书面通知</w:t>
      </w:r>
      <w:r>
        <w:rPr>
          <w:rFonts w:hint="eastAsia" w:ascii="宋体" w:hAnsi="宋体" w:cs="宋体"/>
          <w:sz w:val="24"/>
          <w:szCs w:val="24"/>
          <w:lang w:val="en-US" w:eastAsia="zh-CN" w:bidi="ar-SA"/>
        </w:rPr>
        <w:t>投标人</w:t>
      </w:r>
      <w:r>
        <w:rPr>
          <w:rFonts w:hint="eastAsia" w:ascii="宋体" w:hAnsi="宋体" w:eastAsia="宋体" w:cs="宋体"/>
          <w:sz w:val="24"/>
          <w:szCs w:val="24"/>
          <w:lang w:val="en-US" w:eastAsia="en-US" w:bidi="ar-SA"/>
        </w:rPr>
        <w:t>。</w:t>
      </w:r>
    </w:p>
    <w:p>
      <w:pPr>
        <w:pStyle w:val="2"/>
        <w:rPr>
          <w:rFonts w:hint="eastAsia" w:ascii="宋体" w:hAnsi="宋体" w:eastAsia="宋体" w:cs="宋体"/>
          <w:sz w:val="32"/>
          <w:szCs w:val="32"/>
        </w:rPr>
      </w:pPr>
      <w:r>
        <w:rPr>
          <w:rFonts w:hint="eastAsia" w:ascii="宋体" w:hAnsi="宋体" w:eastAsia="宋体" w:cs="宋体"/>
          <w:sz w:val="32"/>
          <w:szCs w:val="32"/>
        </w:rPr>
        <w:t>四、投标人责任及项目管理</w:t>
      </w:r>
      <w:bookmarkEnd w:id="50"/>
      <w:bookmarkEnd w:id="51"/>
      <w:bookmarkEnd w:id="52"/>
      <w:bookmarkEnd w:id="53"/>
      <w:bookmarkEnd w:id="54"/>
      <w:bookmarkEnd w:id="55"/>
    </w:p>
    <w:p>
      <w:pPr>
        <w:pStyle w:val="3"/>
        <w:rPr>
          <w:rFonts w:hint="eastAsia" w:ascii="宋体" w:hAnsi="宋体" w:eastAsia="宋体" w:cs="宋体"/>
        </w:rPr>
      </w:pPr>
      <w:bookmarkStart w:id="58" w:name="_Toc201592041"/>
      <w:bookmarkStart w:id="59" w:name="_Toc256000121"/>
      <w:bookmarkStart w:id="60" w:name="_Toc52268411_0"/>
      <w:bookmarkStart w:id="61" w:name="_Toc16701"/>
      <w:bookmarkStart w:id="62" w:name="_Toc256000294"/>
      <w:bookmarkStart w:id="63" w:name="_Toc155683980_0"/>
      <w:r>
        <w:rPr>
          <w:rFonts w:hint="eastAsia" w:ascii="宋体" w:hAnsi="宋体" w:eastAsia="宋体" w:cs="宋体"/>
        </w:rPr>
        <w:t>4.1投标人的责任</w:t>
      </w:r>
      <w:bookmarkEnd w:id="58"/>
      <w:bookmarkEnd w:id="59"/>
      <w:bookmarkEnd w:id="60"/>
      <w:bookmarkEnd w:id="61"/>
      <w:bookmarkEnd w:id="62"/>
      <w:bookmarkEnd w:id="63"/>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1）投标人在完成本技术文件规定的所有建设工作过程中的责任最少应包括：投标人应按本工作包的规定和国家现行最新的有关标准、法规和规范的要求安全优质，按期完成施工项目。</w:t>
      </w:r>
    </w:p>
    <w:p>
      <w:pPr>
        <w:spacing w:line="360" w:lineRule="auto"/>
        <w:ind w:firstLine="480" w:firstLineChars="200"/>
        <w:jc w:val="both"/>
        <w:rPr>
          <w:rFonts w:hint="eastAsia" w:ascii="宋体" w:hAnsi="宋体" w:eastAsia="宋体" w:cs="宋体"/>
          <w:sz w:val="24"/>
          <w:szCs w:val="24"/>
          <w:lang w:eastAsia="zh-CN"/>
        </w:rPr>
      </w:pPr>
      <w:bookmarkStart w:id="64" w:name="_Toc457220469_0"/>
      <w:r>
        <w:rPr>
          <w:rFonts w:hint="eastAsia" w:ascii="宋体" w:hAnsi="宋体" w:eastAsia="宋体" w:cs="宋体"/>
          <w:sz w:val="24"/>
          <w:szCs w:val="24"/>
          <w:lang w:eastAsia="zh-CN"/>
        </w:rPr>
        <w:t>2）人员组织</w:t>
      </w:r>
      <w:bookmarkEnd w:id="64"/>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在项目实施过程中，投标人应建立并保持一个项目管理组，并根据的实际情况提供足够数量的、经验丰富的施工和管理人员，以保证技术文件规定的所有工作顺利进行。</w:t>
      </w:r>
    </w:p>
    <w:p>
      <w:pPr>
        <w:spacing w:line="360" w:lineRule="auto"/>
        <w:ind w:firstLine="480" w:firstLineChars="200"/>
        <w:jc w:val="both"/>
        <w:rPr>
          <w:rFonts w:hint="eastAsia" w:ascii="宋体" w:hAnsi="宋体" w:eastAsia="宋体" w:cs="宋体"/>
          <w:sz w:val="24"/>
          <w:szCs w:val="24"/>
          <w:lang w:eastAsia="zh-CN"/>
        </w:rPr>
      </w:pPr>
      <w:bookmarkStart w:id="65" w:name="_Toc457220470_0"/>
      <w:r>
        <w:rPr>
          <w:rFonts w:hint="eastAsia" w:ascii="宋体" w:hAnsi="宋体" w:eastAsia="宋体" w:cs="宋体"/>
          <w:sz w:val="24"/>
          <w:szCs w:val="24"/>
          <w:lang w:eastAsia="zh-CN"/>
        </w:rPr>
        <w:t>投标人应根据招标人提供的技术要求，合理制定和调整施工计划、人员及设备安排，保证按期保质保量完成。</w:t>
      </w:r>
      <w:bookmarkEnd w:id="65"/>
      <w:bookmarkStart w:id="66" w:name="_Toc457220472_0"/>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w:t>
      </w:r>
      <w:r>
        <w:rPr>
          <w:rFonts w:hint="eastAsia" w:ascii="宋体" w:hAnsi="宋体" w:eastAsia="宋体" w:cs="宋体"/>
          <w:sz w:val="24"/>
          <w:szCs w:val="24"/>
          <w:lang w:val="en-US" w:eastAsia="zh-CN"/>
        </w:rPr>
        <w:t>投入</w:t>
      </w:r>
      <w:r>
        <w:rPr>
          <w:rFonts w:hint="eastAsia" w:ascii="宋体" w:hAnsi="宋体" w:eastAsia="宋体" w:cs="宋体"/>
          <w:sz w:val="24"/>
          <w:szCs w:val="24"/>
          <w:lang w:eastAsia="zh-CN"/>
        </w:rPr>
        <w:t>各项工作所需的合格施工人员，并至少完成如下工作：</w:t>
      </w:r>
      <w:bookmarkEnd w:id="66"/>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招标人供应材料的领用；</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准备和修改工作进度表；</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准备周报告；</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检验和试验。</w:t>
      </w:r>
    </w:p>
    <w:p>
      <w:pPr>
        <w:spacing w:line="360" w:lineRule="auto"/>
        <w:ind w:firstLine="480" w:firstLineChars="200"/>
        <w:jc w:val="both"/>
        <w:rPr>
          <w:rFonts w:hint="eastAsia" w:ascii="宋体" w:hAnsi="宋体" w:eastAsia="宋体" w:cs="宋体"/>
          <w:sz w:val="24"/>
          <w:szCs w:val="24"/>
          <w:lang w:eastAsia="zh-CN"/>
        </w:rPr>
      </w:pPr>
      <w:bookmarkStart w:id="67" w:name="_Toc457220473_0"/>
      <w:r>
        <w:rPr>
          <w:rFonts w:hint="eastAsia" w:ascii="宋体" w:hAnsi="宋体" w:eastAsia="宋体" w:cs="宋体"/>
          <w:sz w:val="24"/>
          <w:szCs w:val="24"/>
          <w:lang w:eastAsia="zh-CN"/>
        </w:rPr>
        <w:t>4）工作程序</w:t>
      </w:r>
      <w:bookmarkEnd w:id="67"/>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在本项目建设过程中，投标人应合理安排工序，以保证投标人按招标人要求完成所有工作。</w:t>
      </w:r>
    </w:p>
    <w:p>
      <w:pPr>
        <w:spacing w:line="360" w:lineRule="auto"/>
        <w:ind w:firstLine="480" w:firstLineChars="200"/>
        <w:jc w:val="both"/>
        <w:rPr>
          <w:rFonts w:hint="eastAsia" w:ascii="宋体" w:hAnsi="宋体" w:eastAsia="宋体" w:cs="宋体"/>
          <w:sz w:val="24"/>
          <w:szCs w:val="24"/>
          <w:lang w:eastAsia="zh-CN"/>
        </w:rPr>
      </w:pPr>
      <w:bookmarkStart w:id="68" w:name="_Toc457220474_0"/>
      <w:r>
        <w:rPr>
          <w:rFonts w:hint="eastAsia" w:ascii="宋体" w:hAnsi="宋体" w:eastAsia="宋体" w:cs="宋体"/>
          <w:sz w:val="24"/>
          <w:szCs w:val="24"/>
          <w:lang w:eastAsia="zh-CN"/>
        </w:rPr>
        <w:t>5）计划和费用控制</w:t>
      </w:r>
      <w:bookmarkEnd w:id="68"/>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投标人应建立详细的工作进度计划和人力安排计划，以满足招标人建设本的进度要求。</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投标人应处理招标人提出的工作变更要求并估算确定变更对整个项目建设费用和工期的影响程度。投标人应按变更程序处理变更工作并应得到招标人的批准。</w:t>
      </w:r>
    </w:p>
    <w:p>
      <w:pPr>
        <w:spacing w:line="360" w:lineRule="auto"/>
        <w:ind w:firstLine="480" w:firstLineChars="200"/>
        <w:jc w:val="both"/>
        <w:rPr>
          <w:rFonts w:hint="eastAsia"/>
          <w:lang w:eastAsia="zh-CN"/>
        </w:rPr>
      </w:pPr>
      <w:r>
        <w:rPr>
          <w:rFonts w:hint="eastAsia" w:ascii="宋体" w:hAnsi="宋体" w:eastAsia="宋体" w:cs="宋体"/>
          <w:sz w:val="24"/>
          <w:szCs w:val="24"/>
          <w:lang w:eastAsia="zh-CN"/>
        </w:rPr>
        <w:t>5）</w:t>
      </w:r>
      <w:r>
        <w:rPr>
          <w:rFonts w:hint="eastAsia" w:ascii="宋体" w:hAnsi="宋体" w:eastAsia="宋体" w:cs="宋体"/>
          <w:sz w:val="24"/>
          <w:szCs w:val="24"/>
          <w:lang w:val="en-US" w:eastAsia="zh-CN"/>
        </w:rPr>
        <w:t>招标人</w:t>
      </w:r>
      <w:r>
        <w:rPr>
          <w:rFonts w:ascii="宋体" w:hAnsi="宋体" w:eastAsia="宋体" w:cs="宋体"/>
          <w:sz w:val="24"/>
          <w:szCs w:val="24"/>
        </w:rPr>
        <w:t>供设备材料到场后，由投标人负责清点、接收、现场保管，丢失、损坏由投标人承担。</w:t>
      </w:r>
    </w:p>
    <w:p>
      <w:pPr>
        <w:pStyle w:val="3"/>
        <w:rPr>
          <w:rFonts w:hint="eastAsia" w:ascii="宋体" w:hAnsi="宋体" w:eastAsia="宋体" w:cs="宋体"/>
        </w:rPr>
      </w:pPr>
      <w:bookmarkStart w:id="69" w:name="_Toc256000122"/>
      <w:bookmarkStart w:id="70" w:name="_Toc256000295"/>
      <w:bookmarkStart w:id="71" w:name="_Toc14368"/>
      <w:bookmarkStart w:id="72" w:name="_Toc155683981_0"/>
      <w:bookmarkStart w:id="73" w:name="_Toc201592042"/>
      <w:bookmarkStart w:id="74" w:name="_Toc52268412_0"/>
      <w:r>
        <w:rPr>
          <w:rFonts w:hint="eastAsia" w:ascii="宋体" w:hAnsi="宋体" w:eastAsia="宋体" w:cs="宋体"/>
        </w:rPr>
        <w:t>4.2项目管理</w:t>
      </w:r>
      <w:bookmarkEnd w:id="69"/>
      <w:bookmarkEnd w:id="70"/>
      <w:bookmarkEnd w:id="71"/>
      <w:bookmarkEnd w:id="72"/>
      <w:bookmarkEnd w:id="73"/>
      <w:bookmarkEnd w:id="74"/>
    </w:p>
    <w:p>
      <w:pPr>
        <w:spacing w:line="360" w:lineRule="auto"/>
        <w:jc w:val="both"/>
        <w:outlineLvl w:val="2"/>
        <w:rPr>
          <w:rFonts w:hint="eastAsia" w:ascii="宋体" w:hAnsi="宋体" w:eastAsia="宋体" w:cs="宋体"/>
          <w:sz w:val="24"/>
          <w:szCs w:val="24"/>
          <w:lang w:eastAsia="zh-CN"/>
        </w:rPr>
      </w:pPr>
      <w:bookmarkStart w:id="75" w:name="_Toc256000124"/>
      <w:bookmarkStart w:id="76" w:name="_Toc201592044"/>
      <w:bookmarkStart w:id="77" w:name="_Toc155683983_0"/>
      <w:bookmarkStart w:id="78" w:name="_Toc106_0"/>
      <w:bookmarkStart w:id="79" w:name="_Toc10540_0"/>
      <w:bookmarkStart w:id="80" w:name="_Toc23530"/>
      <w:bookmarkStart w:id="81" w:name="_Toc256000297"/>
      <w:bookmarkStart w:id="82" w:name="_Toc52268413_0"/>
      <w:r>
        <w:rPr>
          <w:rFonts w:hint="eastAsia" w:ascii="宋体" w:hAnsi="宋体" w:eastAsia="宋体" w:cs="宋体"/>
          <w:sz w:val="24"/>
          <w:szCs w:val="24"/>
          <w:lang w:eastAsia="zh-CN"/>
        </w:rPr>
        <w:t>4.2.</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人员资格要求</w:t>
      </w:r>
      <w:bookmarkEnd w:id="75"/>
      <w:bookmarkEnd w:id="76"/>
      <w:bookmarkEnd w:id="77"/>
      <w:bookmarkEnd w:id="78"/>
      <w:bookmarkEnd w:id="79"/>
      <w:bookmarkEnd w:id="80"/>
      <w:bookmarkEnd w:id="81"/>
    </w:p>
    <w:p>
      <w:pPr>
        <w:spacing w:line="360" w:lineRule="auto"/>
        <w:ind w:firstLine="480" w:firstLineChars="200"/>
        <w:jc w:val="both"/>
        <w:rPr>
          <w:rFonts w:hint="eastAsia" w:ascii="宋体" w:hAnsi="宋体" w:eastAsia="宋体" w:cs="宋体"/>
          <w:sz w:val="24"/>
          <w:szCs w:val="24"/>
          <w:lang w:eastAsia="zh-CN"/>
        </w:rPr>
      </w:pPr>
      <w:bookmarkStart w:id="83" w:name="_Toc14103_0"/>
      <w:r>
        <w:rPr>
          <w:rFonts w:hint="eastAsia" w:ascii="宋体" w:hAnsi="宋体" w:eastAsia="宋体" w:cs="宋体"/>
          <w:sz w:val="24"/>
          <w:szCs w:val="24"/>
          <w:lang w:eastAsia="zh-CN"/>
        </w:rPr>
        <w:t>★1）</w:t>
      </w:r>
      <w:bookmarkEnd w:id="83"/>
      <w:r>
        <w:rPr>
          <w:rFonts w:hint="eastAsia" w:ascii="宋体" w:hAnsi="宋体" w:eastAsia="宋体" w:cs="宋体"/>
          <w:sz w:val="24"/>
          <w:szCs w:val="24"/>
          <w:lang w:eastAsia="zh-CN"/>
        </w:rPr>
        <w:t>项目经理</w:t>
      </w:r>
    </w:p>
    <w:p>
      <w:pPr>
        <w:spacing w:line="360" w:lineRule="auto"/>
        <w:ind w:firstLine="480" w:firstLineChars="200"/>
        <w:jc w:val="both"/>
        <w:rPr>
          <w:rFonts w:hint="eastAsia" w:ascii="宋体" w:hAnsi="宋体" w:eastAsia="宋体" w:cs="宋体"/>
          <w:strike/>
          <w:dstrike w:val="0"/>
          <w:sz w:val="24"/>
          <w:szCs w:val="24"/>
          <w:highlight w:val="none"/>
          <w:lang w:eastAsia="zh-CN"/>
        </w:rPr>
      </w:pPr>
      <w:bookmarkStart w:id="84" w:name="_Toc31030_0"/>
      <w:r>
        <w:rPr>
          <w:rFonts w:hint="eastAsia" w:ascii="宋体" w:hAnsi="宋体" w:eastAsia="宋体" w:cs="宋体"/>
          <w:sz w:val="24"/>
          <w:szCs w:val="24"/>
          <w:lang w:eastAsia="zh-CN"/>
        </w:rPr>
        <w:t>项目经理1名：具备有效的机电工程专业的中华人民共和国二级建造师注册证书及以上证书，具备有效的安全生产管理人员考核合格证书（B 证），注册单位均为投标人。</w:t>
      </w:r>
    </w:p>
    <w:bookmarkEnd w:id="84"/>
    <w:p>
      <w:pPr>
        <w:spacing w:line="360" w:lineRule="auto"/>
        <w:ind w:firstLine="480" w:firstLineChars="200"/>
        <w:jc w:val="both"/>
        <w:rPr>
          <w:rFonts w:hint="eastAsia" w:ascii="宋体" w:hAnsi="宋体" w:eastAsia="宋体" w:cs="宋体"/>
          <w:sz w:val="24"/>
          <w:szCs w:val="24"/>
          <w:highlight w:val="none"/>
          <w:lang w:eastAsia="zh-CN"/>
        </w:rPr>
      </w:pPr>
      <w:bookmarkStart w:id="85" w:name="_Toc2258_0"/>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lang w:val="en-US" w:eastAsia="zh-CN"/>
        </w:rPr>
        <w:t>专职</w:t>
      </w:r>
      <w:r>
        <w:rPr>
          <w:rFonts w:hint="eastAsia" w:ascii="宋体" w:hAnsi="宋体" w:eastAsia="宋体" w:cs="宋体"/>
          <w:sz w:val="24"/>
          <w:szCs w:val="24"/>
          <w:highlight w:val="none"/>
          <w:lang w:eastAsia="zh-CN"/>
        </w:rPr>
        <w:t>安全</w:t>
      </w:r>
      <w:bookmarkEnd w:id="85"/>
      <w:r>
        <w:rPr>
          <w:rFonts w:hint="eastAsia" w:ascii="宋体" w:hAnsi="宋体" w:eastAsia="宋体" w:cs="宋体"/>
          <w:sz w:val="24"/>
          <w:szCs w:val="24"/>
          <w:highlight w:val="none"/>
          <w:lang w:val="en-US" w:eastAsia="zh-CN"/>
        </w:rPr>
        <w:t>管理人员</w:t>
      </w:r>
      <w:r>
        <w:rPr>
          <w:rFonts w:hint="eastAsia" w:ascii="宋体" w:hAnsi="宋体" w:eastAsia="宋体" w:cs="宋体"/>
          <w:sz w:val="24"/>
          <w:szCs w:val="24"/>
          <w:highlight w:val="none"/>
          <w:lang w:eastAsia="zh-CN"/>
        </w:rPr>
        <w:t xml:space="preserve"> </w:t>
      </w:r>
    </w:p>
    <w:p>
      <w:pPr>
        <w:spacing w:line="360" w:lineRule="auto"/>
        <w:ind w:firstLine="480" w:firstLineChars="200"/>
        <w:jc w:val="both"/>
        <w:rPr>
          <w:rFonts w:hint="eastAsia" w:ascii="宋体" w:hAnsi="宋体" w:eastAsia="宋体" w:cs="宋体"/>
          <w:sz w:val="24"/>
          <w:szCs w:val="24"/>
          <w:highlight w:val="none"/>
          <w:lang w:eastAsia="zh-CN"/>
        </w:rPr>
      </w:pPr>
      <w:bookmarkStart w:id="86" w:name="_Toc32450_0"/>
      <w:r>
        <w:rPr>
          <w:rFonts w:hint="eastAsia" w:ascii="宋体" w:hAnsi="宋体" w:eastAsia="宋体" w:cs="宋体"/>
          <w:sz w:val="24"/>
          <w:szCs w:val="24"/>
          <w:highlight w:val="none"/>
          <w:lang w:eastAsia="zh-CN"/>
        </w:rPr>
        <w:t>专职安全管理人员2名：具有有效的安全生产管理人员考核合格证书（C1证）1名，具有有效的安全生产管理人员考核合格证书（C2证或C3证）1名，注册单位均为投标人。</w:t>
      </w:r>
    </w:p>
    <w:p>
      <w:pPr>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★3）特殊工种人员</w:t>
      </w:r>
      <w:bookmarkEnd w:id="86"/>
    </w:p>
    <w:p>
      <w:pPr>
        <w:spacing w:line="360" w:lineRule="auto"/>
        <w:ind w:firstLine="480" w:firstLineChars="200"/>
        <w:jc w:val="both"/>
        <w:rPr>
          <w:rFonts w:hint="eastAsia" w:ascii="宋体" w:hAnsi="宋体" w:eastAsia="宋体" w:cs="宋体"/>
          <w:sz w:val="24"/>
          <w:szCs w:val="24"/>
          <w:lang w:eastAsia="zh-CN"/>
        </w:rPr>
      </w:pPr>
      <w:bookmarkStart w:id="87" w:name="_Toc31387_0"/>
      <w:r>
        <w:rPr>
          <w:rFonts w:hint="eastAsia" w:ascii="宋体" w:hAnsi="宋体" w:eastAsia="宋体" w:cs="宋体"/>
          <w:sz w:val="24"/>
          <w:szCs w:val="24"/>
          <w:lang w:eastAsia="zh-CN"/>
        </w:rPr>
        <w:t>根据工程情</w:t>
      </w:r>
      <w:r>
        <w:rPr>
          <w:rFonts w:hint="eastAsia" w:ascii="宋体" w:hAnsi="宋体" w:eastAsia="宋体" w:cs="宋体"/>
          <w:sz w:val="24"/>
          <w:szCs w:val="24"/>
          <w:highlight w:val="none"/>
          <w:lang w:eastAsia="zh-CN"/>
        </w:rPr>
        <w:t>况，配备满足施工需要的特殊工种人员，必须持证上岗，作业项目与证件相符。</w:t>
      </w:r>
      <w:r>
        <w:rPr>
          <w:rFonts w:hint="eastAsia" w:ascii="宋体" w:hAnsi="宋体" w:eastAsia="宋体" w:cs="宋体"/>
          <w:sz w:val="24"/>
          <w:szCs w:val="24"/>
          <w:highlight w:val="none"/>
          <w:lang w:val="en-US" w:eastAsia="zh-CN"/>
        </w:rPr>
        <w:t>焊接与热切割作业人员3人，具备有效期内的由应急管理局颁发的特种作业操作证，操作项目为熔化焊接与热切割作业；电工作业人员3人，具备有效期内的由应急管理局颁发的特种作业操作证，操作项目为低压电工作业；高处作业人员3人，具备有效期内的由应急管理局颁发的特种作业操作证，操作项目为登高架设作业或（高处安装、维修、拆除作业）；前述人员均为投标人自有人员。</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 其它工种人员</w:t>
      </w:r>
      <w:bookmarkEnd w:id="87"/>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人员要求：施工前7天内提供健康证等相关证明文件。</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5）投标人投入的现场主要管理人员（项目经理、</w:t>
      </w:r>
      <w:r>
        <w:rPr>
          <w:rFonts w:hint="eastAsia" w:ascii="宋体" w:hAnsi="宋体" w:eastAsia="宋体" w:cs="宋体"/>
          <w:sz w:val="24"/>
          <w:szCs w:val="24"/>
          <w:highlight w:val="none"/>
          <w:lang w:val="en-US" w:eastAsia="zh-CN"/>
        </w:rPr>
        <w:t>专职</w:t>
      </w:r>
      <w:r>
        <w:rPr>
          <w:rFonts w:hint="eastAsia" w:ascii="宋体" w:hAnsi="宋体" w:eastAsia="宋体" w:cs="宋体"/>
          <w:sz w:val="24"/>
          <w:szCs w:val="24"/>
          <w:highlight w:val="none"/>
          <w:lang w:eastAsia="zh-CN"/>
        </w:rPr>
        <w:t>安全</w:t>
      </w:r>
      <w:r>
        <w:rPr>
          <w:rFonts w:hint="eastAsia" w:ascii="宋体" w:hAnsi="宋体" w:eastAsia="宋体" w:cs="宋体"/>
          <w:sz w:val="24"/>
          <w:szCs w:val="24"/>
          <w:highlight w:val="none"/>
          <w:lang w:val="en-US" w:eastAsia="zh-CN"/>
        </w:rPr>
        <w:t>管理人员</w:t>
      </w:r>
      <w:r>
        <w:rPr>
          <w:rFonts w:hint="eastAsia" w:ascii="宋体" w:hAnsi="宋体" w:eastAsia="宋体" w:cs="宋体"/>
          <w:sz w:val="24"/>
          <w:szCs w:val="24"/>
          <w:lang w:eastAsia="zh-CN"/>
        </w:rPr>
        <w:t>）不得低于本技术要求书中要求的资格条件，施工过程中不得随意更换，投标人确需调整时需先通知招标人并取得招标人同意，且替代人员职级不低于相应被替换的人员。</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）食宿及交通自理。</w:t>
      </w:r>
    </w:p>
    <w:p>
      <w:pPr>
        <w:spacing w:line="360" w:lineRule="auto"/>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人员入厂要求</w:t>
      </w:r>
    </w:p>
    <w:p>
      <w:pPr>
        <w:pStyle w:val="20"/>
        <w:rPr>
          <w:rFonts w:hint="eastAsia" w:ascii="宋体" w:hAnsi="宋体" w:cs="宋体"/>
          <w:sz w:val="24"/>
          <w:szCs w:val="24"/>
          <w:lang w:val="en-US" w:eastAsia="zh-CN"/>
        </w:rPr>
      </w:pPr>
      <w:r>
        <w:rPr>
          <w:rFonts w:hint="eastAsia"/>
          <w:lang w:val="en-US" w:eastAsia="zh-CN"/>
        </w:rPr>
        <w:t>投标人承诺所有进厂施工人员均办理中海油</w:t>
      </w:r>
      <w:r>
        <w:rPr>
          <w:rFonts w:ascii="宋体" w:hAnsi="宋体" w:eastAsia="宋体" w:cs="宋体"/>
          <w:sz w:val="24"/>
          <w:szCs w:val="24"/>
        </w:rPr>
        <w:t>人员定位终端</w:t>
      </w:r>
      <w:r>
        <w:rPr>
          <w:rFonts w:hint="eastAsia" w:ascii="宋体" w:hAnsi="宋体" w:cs="宋体"/>
          <w:sz w:val="24"/>
          <w:szCs w:val="24"/>
          <w:lang w:eastAsia="zh-CN"/>
        </w:rPr>
        <w:t>，</w:t>
      </w:r>
      <w:r>
        <w:rPr>
          <w:rFonts w:hint="eastAsia" w:ascii="宋体" w:hAnsi="宋体" w:cs="宋体"/>
          <w:sz w:val="24"/>
          <w:szCs w:val="24"/>
          <w:lang w:val="en-US" w:eastAsia="zh-CN"/>
        </w:rPr>
        <w:t>满足绥中36-1原油处理厂人员入厂要求。</w:t>
      </w:r>
    </w:p>
    <w:p>
      <w:pPr>
        <w:spacing w:line="360" w:lineRule="auto"/>
        <w:ind w:firstLine="480" w:firstLineChars="200"/>
        <w:jc w:val="both"/>
        <w:rPr>
          <w:rFonts w:hint="default" w:ascii="宋体" w:hAnsi="宋体" w:eastAsia="宋体" w:cs="宋体"/>
          <w:sz w:val="24"/>
          <w:szCs w:val="24"/>
          <w:lang w:val="en-US"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 xml:space="preserve">） </w:t>
      </w:r>
      <w:r>
        <w:rPr>
          <w:rFonts w:hint="eastAsia" w:ascii="宋体" w:hAnsi="宋体" w:eastAsia="宋体" w:cs="宋体"/>
          <w:sz w:val="24"/>
          <w:szCs w:val="24"/>
          <w:lang w:val="en-US" w:eastAsia="zh-CN"/>
        </w:rPr>
        <w:t>人员保险要求</w:t>
      </w:r>
    </w:p>
    <w:p>
      <w:pPr>
        <w:pStyle w:val="7"/>
        <w:spacing w:before="106" w:line="316" w:lineRule="auto"/>
        <w:rPr>
          <w:rFonts w:hint="eastAsia" w:ascii="Times New Roman" w:hAnsi="Times New Roman" w:eastAsia="宋体" w:cs="Times New Roman"/>
          <w:sz w:val="24"/>
          <w:szCs w:val="22"/>
          <w:lang w:val="en-US" w:eastAsia="zh-CN" w:bidi="ar-SA"/>
        </w:rPr>
      </w:pPr>
      <w:r>
        <w:rPr>
          <w:rFonts w:hint="eastAsia" w:ascii="Times New Roman" w:hAnsi="Times New Roman" w:eastAsia="宋体" w:cs="Times New Roman"/>
          <w:sz w:val="24"/>
          <w:szCs w:val="22"/>
          <w:lang w:val="en-US" w:eastAsia="zh-CN" w:bidi="ar-SA"/>
        </w:rPr>
        <w:t>投标人承诺为所有进厂施工人员均购买人身伤害险或雇主责任险，该等保险的每次事故赔偿限额最低为人民币400,000.00元，但事故次数不限；为其入厂施工设备（包括机动车辆和其它运输工具）购买财产险，承保工作设备因任何原因引起的全部损失或损害；</w:t>
      </w:r>
    </w:p>
    <w:p>
      <w:pPr>
        <w:pStyle w:val="20"/>
        <w:rPr>
          <w:rFonts w:hint="default" w:eastAsia="宋体"/>
          <w:lang w:val="en-US" w:eastAsia="zh-CN"/>
        </w:rPr>
      </w:pPr>
    </w:p>
    <w:p>
      <w:pPr>
        <w:pStyle w:val="20"/>
        <w:rPr>
          <w:rFonts w:hint="default" w:ascii="宋体" w:hAnsi="宋体" w:cs="宋体"/>
          <w:sz w:val="24"/>
          <w:szCs w:val="24"/>
          <w:lang w:val="en-US" w:eastAsia="zh-CN"/>
        </w:rPr>
      </w:pPr>
    </w:p>
    <w:p>
      <w:pPr>
        <w:pStyle w:val="20"/>
        <w:rPr>
          <w:rFonts w:hint="eastAsia"/>
          <w:lang w:eastAsia="zh-CN"/>
        </w:rPr>
      </w:pPr>
    </w:p>
    <w:p>
      <w:pPr>
        <w:pStyle w:val="3"/>
        <w:rPr>
          <w:rFonts w:hint="eastAsia" w:ascii="宋体" w:hAnsi="宋体" w:eastAsia="宋体" w:cs="宋体"/>
        </w:rPr>
      </w:pPr>
      <w:bookmarkStart w:id="88" w:name="_Toc256000298"/>
      <w:bookmarkStart w:id="89" w:name="_Toc256000125"/>
      <w:bookmarkStart w:id="90" w:name="_Toc201592045"/>
      <w:bookmarkStart w:id="91" w:name="_Toc18113"/>
      <w:bookmarkStart w:id="92" w:name="_Toc155683984_0"/>
      <w:r>
        <w:rPr>
          <w:rFonts w:hint="eastAsia" w:ascii="宋体" w:hAnsi="宋体" w:eastAsia="宋体" w:cs="宋体"/>
        </w:rPr>
        <w:t>4.3计划与质量</w:t>
      </w:r>
      <w:bookmarkEnd w:id="82"/>
      <w:bookmarkEnd w:id="88"/>
      <w:bookmarkEnd w:id="89"/>
      <w:bookmarkEnd w:id="90"/>
      <w:bookmarkEnd w:id="91"/>
      <w:bookmarkEnd w:id="92"/>
    </w:p>
    <w:p>
      <w:pPr>
        <w:keepNext/>
        <w:keepLines/>
        <w:spacing w:line="360" w:lineRule="auto"/>
        <w:jc w:val="both"/>
        <w:outlineLvl w:val="2"/>
        <w:rPr>
          <w:rFonts w:hint="eastAsia" w:ascii="宋体" w:hAnsi="宋体" w:eastAsia="宋体" w:cs="宋体"/>
          <w:sz w:val="24"/>
          <w:szCs w:val="24"/>
          <w:lang w:eastAsia="zh-CN"/>
        </w:rPr>
      </w:pPr>
      <w:bookmarkStart w:id="93" w:name="_Toc201592046"/>
      <w:bookmarkStart w:id="94" w:name="_Toc256000299"/>
      <w:bookmarkStart w:id="95" w:name="_Toc32468"/>
      <w:bookmarkStart w:id="96" w:name="_Toc256000126"/>
      <w:bookmarkStart w:id="97" w:name="_Toc155683985_0"/>
      <w:r>
        <w:rPr>
          <w:rFonts w:hint="eastAsia" w:ascii="宋体" w:hAnsi="宋体" w:eastAsia="宋体" w:cs="宋体"/>
          <w:sz w:val="24"/>
          <w:szCs w:val="24"/>
          <w:lang w:eastAsia="zh-CN"/>
        </w:rPr>
        <w:t>4.3.1计划与进度</w:t>
      </w:r>
      <w:bookmarkEnd w:id="93"/>
      <w:bookmarkEnd w:id="94"/>
      <w:bookmarkEnd w:id="95"/>
      <w:bookmarkEnd w:id="96"/>
      <w:bookmarkEnd w:id="97"/>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投标人应根据招标人制定的计划与进度控制要求编制并提交施工进度计划表供招标人审批，一旦招标人书面批准，该计划表将作为正式的进度计划表，除非招标人同意，该进度计划表不能修改。投标人应按招标人批准的进度计划表完成合同规定的全部工作。</w:t>
      </w:r>
    </w:p>
    <w:p>
      <w:pPr>
        <w:keepNext/>
        <w:keepLines/>
        <w:spacing w:line="360" w:lineRule="auto"/>
        <w:jc w:val="both"/>
        <w:outlineLvl w:val="2"/>
        <w:rPr>
          <w:rFonts w:hint="eastAsia" w:ascii="宋体" w:hAnsi="宋体" w:eastAsia="宋体" w:cs="宋体"/>
          <w:sz w:val="24"/>
          <w:szCs w:val="24"/>
          <w:lang w:eastAsia="zh-CN"/>
        </w:rPr>
      </w:pPr>
      <w:bookmarkStart w:id="98" w:name="_Toc155683986_0"/>
      <w:bookmarkStart w:id="99" w:name="_Toc256000300"/>
      <w:bookmarkStart w:id="100" w:name="_Toc201592047"/>
      <w:bookmarkStart w:id="101" w:name="_Toc2248"/>
      <w:bookmarkStart w:id="102" w:name="_Toc256000127"/>
      <w:r>
        <w:rPr>
          <w:rFonts w:hint="eastAsia" w:ascii="宋体" w:hAnsi="宋体" w:eastAsia="宋体" w:cs="宋体"/>
          <w:sz w:val="24"/>
          <w:szCs w:val="24"/>
          <w:lang w:eastAsia="zh-CN"/>
        </w:rPr>
        <w:t>4.3.2进度报告</w:t>
      </w:r>
      <w:bookmarkEnd w:id="98"/>
      <w:bookmarkEnd w:id="99"/>
      <w:bookmarkEnd w:id="100"/>
      <w:bookmarkEnd w:id="101"/>
      <w:bookmarkEnd w:id="102"/>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投标人应编制和提交进度报告给招标人。</w:t>
      </w:r>
    </w:p>
    <w:p>
      <w:pPr>
        <w:keepNext/>
        <w:keepLines/>
        <w:spacing w:line="360" w:lineRule="auto"/>
        <w:jc w:val="both"/>
        <w:outlineLvl w:val="2"/>
        <w:rPr>
          <w:rFonts w:hint="eastAsia" w:ascii="宋体" w:hAnsi="宋体" w:eastAsia="宋体" w:cs="宋体"/>
          <w:sz w:val="24"/>
          <w:szCs w:val="24"/>
          <w:lang w:eastAsia="zh-CN"/>
        </w:rPr>
      </w:pPr>
      <w:bookmarkStart w:id="103" w:name="_Toc155683987_0"/>
      <w:bookmarkStart w:id="104" w:name="_Toc201592048"/>
      <w:bookmarkStart w:id="105" w:name="_Toc256000301"/>
      <w:bookmarkStart w:id="106" w:name="_Toc256000128"/>
      <w:bookmarkStart w:id="107" w:name="_Toc16533"/>
      <w:r>
        <w:rPr>
          <w:rFonts w:hint="eastAsia" w:ascii="宋体" w:hAnsi="宋体" w:eastAsia="宋体" w:cs="宋体"/>
          <w:sz w:val="24"/>
          <w:szCs w:val="24"/>
          <w:lang w:eastAsia="zh-CN"/>
        </w:rPr>
        <w:t>4.3.3质量保证与控制</w:t>
      </w:r>
      <w:bookmarkEnd w:id="103"/>
      <w:bookmarkEnd w:id="104"/>
      <w:bookmarkEnd w:id="105"/>
      <w:bookmarkEnd w:id="106"/>
      <w:bookmarkEnd w:id="107"/>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eastAsia="zh-CN"/>
        </w:rPr>
        <w:t>投标人应按合同要求</w:t>
      </w:r>
      <w:r>
        <w:rPr>
          <w:rFonts w:hint="eastAsia" w:ascii="宋体" w:hAnsi="宋体" w:eastAsia="宋体" w:cs="宋体"/>
          <w:sz w:val="24"/>
          <w:szCs w:val="24"/>
          <w:lang w:val="en-US" w:eastAsia="zh-CN"/>
        </w:rPr>
        <w:t>有效实施质量保证与质量控制。质保期为完工验收之日起12个月。</w:t>
      </w:r>
    </w:p>
    <w:p>
      <w:pPr>
        <w:pStyle w:val="20"/>
        <w:rPr>
          <w:rFonts w:hint="eastAsia"/>
          <w:lang w:val="en-US" w:eastAsia="zh-CN"/>
        </w:rPr>
      </w:pPr>
      <w:r>
        <w:rPr>
          <w:rFonts w:ascii="宋体" w:hAnsi="宋体" w:eastAsia="宋体" w:cs="宋体"/>
          <w:sz w:val="24"/>
          <w:szCs w:val="24"/>
        </w:rPr>
        <w:t>质保范围为投标人施工安装</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投标人提供材料</w:t>
      </w:r>
      <w:r>
        <w:rPr>
          <w:rFonts w:ascii="宋体" w:hAnsi="宋体" w:eastAsia="宋体" w:cs="宋体"/>
          <w:sz w:val="24"/>
          <w:szCs w:val="24"/>
        </w:rPr>
        <w:t>质量；甲供设备本体质保由设备厂家负责，投标人负责协调配合。</w:t>
      </w:r>
    </w:p>
    <w:p>
      <w:pPr>
        <w:pStyle w:val="3"/>
        <w:rPr>
          <w:rFonts w:hint="eastAsia" w:ascii="宋体" w:hAnsi="宋体" w:eastAsia="宋体" w:cs="宋体"/>
        </w:rPr>
      </w:pPr>
      <w:bookmarkStart w:id="108" w:name="_Toc201592049"/>
      <w:r>
        <w:rPr>
          <w:rFonts w:hint="eastAsia" w:ascii="宋体" w:hAnsi="宋体" w:eastAsia="宋体" w:cs="宋体"/>
        </w:rPr>
        <w:t>4.4 现场管理</w:t>
      </w:r>
      <w:bookmarkEnd w:id="108"/>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施工现场必须进行科学、合理、经济的规划和管理；为创造一个安全、文明和有序的施工环境，为施工提供优质服务，确保达到招标人的安全、质量和进度目标，招标人对现场管理作如下规定。</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4.4.1 现场临时设施总图</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现场的投标人施工阶段的临时办公区和材料堆放区由投标人负责并提供相关设施及进行场地的整理、围挡的搭建、防雨措施、防洪措施的修建，此费用包含在施工单价中。</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投标人现场设施还包括：临时供电系统、临时道路、临时供水系统、临时排水系统和相关的永久坐标测量控制点，此费用包含在施工单价中。各订单工程施工产生的用水和用电费用由投标人承担。</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4.4.2 对现场临时设施的管理原则</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所有的现场办公室需符合国家、海油对临时施工办公室在HSE、防台风、防洪等方面的要求。在交工验收前所有的临设应拆除，场地恢复到原貌，除非招标人要求保留。</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投标人负责对项目现场进行初步平整，投标人应负责其界区内场地的平整、施工期间的用土平衡和铺面以用施工后场地的清理恢复。</w:t>
      </w:r>
    </w:p>
    <w:p>
      <w:pPr>
        <w:pStyle w:val="3"/>
        <w:rPr>
          <w:rFonts w:hint="eastAsia" w:ascii="宋体" w:hAnsi="宋体" w:eastAsia="宋体" w:cs="宋体"/>
        </w:rPr>
      </w:pPr>
      <w:bookmarkStart w:id="109" w:name="_Toc201592050"/>
      <w:r>
        <w:rPr>
          <w:rFonts w:hint="eastAsia" w:ascii="宋体" w:hAnsi="宋体" w:eastAsia="宋体" w:cs="宋体"/>
        </w:rPr>
        <w:t>4.5 车辆管理</w:t>
      </w:r>
      <w:bookmarkEnd w:id="109"/>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所有进入现场的车辆和移动设备必须经过机械和安全检查；只有经过确认后，方可进入现场进行施工作业。所有车辆必须在指定地点进出现场，应按照现场管理人员或现场保卫人员的指定的路线行驶；人车路线分离。当车辆进入现场后，其施工作业必须严格按照相关HSE要求进行。车辆必须停在指定的停车场，道路上不得随意停放车辆，确保现场道路畅通无阻。履带式起重机或履带式挖掘机通过现场道路时，应采取保护措施，如在路面上放垫板等。与施工作业无关的车辆进入现场应招标人相关部门的人员陪同；</w:t>
      </w:r>
    </w:p>
    <w:p>
      <w:pPr>
        <w:pStyle w:val="3"/>
        <w:rPr>
          <w:rFonts w:hint="eastAsia" w:ascii="宋体" w:hAnsi="宋体" w:eastAsia="宋体" w:cs="宋体"/>
        </w:rPr>
      </w:pPr>
      <w:bookmarkStart w:id="110" w:name="_Toc201592051"/>
      <w:r>
        <w:rPr>
          <w:rFonts w:hint="eastAsia" w:ascii="宋体" w:hAnsi="宋体" w:eastAsia="宋体" w:cs="宋体"/>
        </w:rPr>
        <w:t>4.6 现场道路控制</w:t>
      </w:r>
      <w:bookmarkEnd w:id="110"/>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(1) 临时道路：由投标人修建的所有道路应足以满足车辆行驶荷载要求，防止对地下设施造成任何破坏；在工程竣工前所有的临时道路应拆除，除非招标人要求保留；</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(3) 施工区域边界：招标人将对道路、停车区、材料堆放区和施工区的边界进行划分，除非工作区域已经分配给了投标人，否则投标人不应该随意进入。投标人负责将其所有人员从非分配使用区中撤出。如果要在投标人工作区以外的地点进行作业，招标人将向投标人的相关人员签发许可证，以进入该区域进行作业；</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(5) 不能沿通行道路拖拉材料，不得对路面造成任何损坏；</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(6) 为了确保道路的畅通无阻，在通行道路上不得放置任何设备、材料、施工机械，必须放置或存放在指定的材料堆放区；任何车辆不得将碎物和土石散落在道路上；</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（7）现场道路的卫生、清扫工作由各投标人分区域进行。</w:t>
      </w:r>
    </w:p>
    <w:p>
      <w:pPr>
        <w:pStyle w:val="3"/>
        <w:rPr>
          <w:rFonts w:hint="default" w:ascii="宋体" w:hAnsi="宋体" w:eastAsia="宋体" w:cs="宋体"/>
          <w:lang w:val="en-US" w:eastAsia="zh-CN"/>
        </w:rPr>
      </w:pPr>
      <w:r>
        <w:rPr>
          <w:rFonts w:hint="eastAsia" w:ascii="宋体" w:hAnsi="宋体" w:eastAsia="宋体" w:cs="宋体"/>
          <w:lang w:val="en-US" w:eastAsia="zh-CN"/>
        </w:rPr>
        <w:t>4.7 工程资料管理</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投标人需</w:t>
      </w:r>
      <w:r>
        <w:rPr>
          <w:rFonts w:hint="eastAsia" w:ascii="宋体" w:hAnsi="宋体" w:eastAsia="宋体" w:cs="宋体"/>
          <w:sz w:val="24"/>
          <w:szCs w:val="24"/>
          <w:lang w:eastAsia="zh-CN"/>
        </w:rPr>
        <w:t>按照 GB/T 50328</w:t>
      </w:r>
      <w:r>
        <w:rPr>
          <w:rFonts w:hint="eastAsia" w:ascii="宋体" w:hAnsi="宋体" w:eastAsia="宋体" w:cs="宋体"/>
          <w:sz w:val="24"/>
          <w:szCs w:val="24"/>
          <w:lang w:eastAsia="zh-CN"/>
        </w:rPr>
        <w:noBreakHyphen/>
      </w:r>
      <w:r>
        <w:rPr>
          <w:rFonts w:hint="eastAsia" w:ascii="宋体" w:hAnsi="宋体" w:eastAsia="宋体" w:cs="宋体"/>
          <w:sz w:val="24"/>
          <w:szCs w:val="24"/>
          <w:lang w:eastAsia="zh-CN"/>
        </w:rPr>
        <w:t>2019《建设工程文件归档规范》3.0.6 要求，负责收集、整理、提交</w:t>
      </w:r>
      <w:r>
        <w:rPr>
          <w:rFonts w:hint="eastAsia" w:ascii="宋体" w:hAnsi="宋体" w:eastAsia="宋体" w:cs="宋体"/>
          <w:sz w:val="24"/>
          <w:szCs w:val="24"/>
          <w:lang w:val="en-US" w:eastAsia="zh-CN"/>
        </w:rPr>
        <w:t>其</w:t>
      </w:r>
      <w:r>
        <w:rPr>
          <w:rFonts w:hint="eastAsia" w:ascii="宋体" w:hAnsi="宋体" w:eastAsia="宋体" w:cs="宋体"/>
          <w:sz w:val="24"/>
          <w:szCs w:val="24"/>
          <w:lang w:eastAsia="zh-CN"/>
        </w:rPr>
        <w:t>施工范围内由其施工活动产生的全部施工原始资料，包括但不限于：特种作业人员资质、安全交底记录、隐蔽记录、接线记录、</w:t>
      </w:r>
      <w:r>
        <w:rPr>
          <w:rFonts w:hint="eastAsia" w:ascii="宋体" w:hAnsi="宋体" w:eastAsia="宋体" w:cs="宋体"/>
          <w:sz w:val="24"/>
          <w:szCs w:val="24"/>
          <w:lang w:val="en-US" w:eastAsia="zh-CN"/>
        </w:rPr>
        <w:t>设备安装记录、</w:t>
      </w:r>
      <w:r>
        <w:rPr>
          <w:rFonts w:hint="eastAsia" w:ascii="宋体" w:hAnsi="宋体" w:eastAsia="宋体" w:cs="宋体"/>
          <w:sz w:val="24"/>
          <w:szCs w:val="24"/>
          <w:lang w:eastAsia="zh-CN"/>
        </w:rPr>
        <w:t>仪表及回路调试原始记录、联锁试验记录、施工日志、质量检查及整改记录，签字完整有效，提交纸质版1套、电子版1套。</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val="en-US" w:eastAsia="zh-CN"/>
        </w:rPr>
        <w:t>投标人</w:t>
      </w:r>
      <w:r>
        <w:rPr>
          <w:rFonts w:hint="eastAsia" w:ascii="宋体" w:hAnsi="宋体" w:eastAsia="宋体" w:cs="宋体"/>
          <w:sz w:val="24"/>
          <w:szCs w:val="24"/>
          <w:lang w:eastAsia="zh-CN"/>
        </w:rPr>
        <w:t>提交的调试记录必须真实反映现场实际测试结果，调试记录格式需满足</w:t>
      </w:r>
      <w:r>
        <w:rPr>
          <w:rFonts w:hint="eastAsia" w:ascii="宋体" w:hAnsi="宋体" w:eastAsia="宋体" w:cs="宋体"/>
          <w:sz w:val="24"/>
          <w:szCs w:val="24"/>
          <w:lang w:val="en-US" w:eastAsia="zh-CN"/>
        </w:rPr>
        <w:t>招标人</w:t>
      </w:r>
      <w:r>
        <w:rPr>
          <w:rFonts w:hint="eastAsia" w:ascii="宋体" w:hAnsi="宋体" w:eastAsia="宋体" w:cs="宋体"/>
          <w:sz w:val="24"/>
          <w:szCs w:val="24"/>
          <w:lang w:eastAsia="zh-CN"/>
        </w:rPr>
        <w:t>归档要求；</w:t>
      </w:r>
      <w:r>
        <w:rPr>
          <w:rFonts w:hint="eastAsia" w:ascii="宋体" w:hAnsi="宋体" w:eastAsia="宋体" w:cs="宋体"/>
          <w:sz w:val="24"/>
          <w:szCs w:val="24"/>
          <w:lang w:val="en-US" w:eastAsia="zh-CN"/>
        </w:rPr>
        <w:t>投标人</w:t>
      </w:r>
      <w:r>
        <w:rPr>
          <w:rFonts w:hint="eastAsia" w:ascii="宋体" w:hAnsi="宋体" w:eastAsia="宋体" w:cs="宋体"/>
          <w:sz w:val="24"/>
          <w:szCs w:val="24"/>
          <w:lang w:eastAsia="zh-CN"/>
        </w:rPr>
        <w:t>对提交资料的真实性负责。</w:t>
      </w:r>
    </w:p>
    <w:p>
      <w:pPr>
        <w:spacing w:line="360" w:lineRule="auto"/>
        <w:ind w:firstLine="480" w:firstLineChars="200"/>
        <w:jc w:val="both"/>
        <w:rPr>
          <w:rFonts w:hint="default" w:ascii="宋体" w:hAnsi="宋体" w:eastAsia="宋体" w:cs="宋体"/>
          <w:sz w:val="24"/>
          <w:szCs w:val="24"/>
          <w:lang w:val="en-US" w:eastAsia="zh-CN"/>
        </w:rPr>
      </w:pPr>
      <w:r>
        <w:rPr>
          <w:rFonts w:hint="eastAsia" w:ascii="宋体" w:hAnsi="宋体" w:eastAsia="宋体" w:cs="宋体"/>
          <w:sz w:val="24"/>
          <w:szCs w:val="24"/>
          <w:lang w:eastAsia="zh-CN"/>
        </w:rPr>
        <w:t>资料移交节点：全部工作完工</w:t>
      </w:r>
      <w:r>
        <w:rPr>
          <w:rFonts w:hint="eastAsia" w:ascii="宋体" w:hAnsi="宋体" w:eastAsia="宋体" w:cs="宋体"/>
          <w:sz w:val="24"/>
          <w:szCs w:val="24"/>
          <w:lang w:val="en-US" w:eastAsia="zh-CN"/>
        </w:rPr>
        <w:t>30</w:t>
      </w:r>
      <w:r>
        <w:rPr>
          <w:rFonts w:hint="eastAsia" w:ascii="宋体" w:hAnsi="宋体" w:eastAsia="宋体" w:cs="宋体"/>
          <w:sz w:val="24"/>
          <w:szCs w:val="24"/>
          <w:lang w:eastAsia="zh-CN"/>
        </w:rPr>
        <w:t>日内完成全部资料移交，办理《工程资料移交清单》；</w:t>
      </w:r>
    </w:p>
    <w:p>
      <w:pPr>
        <w:pStyle w:val="3"/>
        <w:rPr>
          <w:rFonts w:hint="eastAsia" w:ascii="宋体" w:hAnsi="宋体" w:eastAsia="宋体" w:cs="宋体"/>
        </w:rPr>
      </w:pPr>
      <w:bookmarkStart w:id="111" w:name="_Toc256000129"/>
      <w:bookmarkStart w:id="112" w:name="_Toc201592052"/>
      <w:bookmarkStart w:id="113" w:name="_Toc5029"/>
      <w:bookmarkStart w:id="114" w:name="_Toc256000302"/>
      <w:bookmarkStart w:id="115" w:name="_Toc155683988_0"/>
      <w:r>
        <w:rPr>
          <w:rFonts w:hint="eastAsia" w:ascii="宋体" w:hAnsi="宋体" w:eastAsia="宋体" w:cs="宋体"/>
        </w:rPr>
        <w:t>4.</w:t>
      </w:r>
      <w:r>
        <w:rPr>
          <w:rFonts w:hint="eastAsia" w:ascii="宋体" w:hAnsi="宋体" w:eastAsia="宋体" w:cs="宋体"/>
          <w:lang w:val="en-US" w:eastAsia="zh-CN"/>
        </w:rPr>
        <w:t>8</w:t>
      </w:r>
      <w:r>
        <w:rPr>
          <w:rFonts w:hint="eastAsia" w:ascii="宋体" w:hAnsi="宋体" w:eastAsia="宋体" w:cs="宋体"/>
        </w:rPr>
        <w:t>其他</w:t>
      </w:r>
      <w:bookmarkEnd w:id="111"/>
      <w:bookmarkEnd w:id="112"/>
      <w:bookmarkEnd w:id="113"/>
      <w:bookmarkEnd w:id="114"/>
      <w:bookmarkEnd w:id="115"/>
    </w:p>
    <w:p>
      <w:pPr>
        <w:spacing w:line="360" w:lineRule="auto"/>
        <w:ind w:firstLine="480" w:firstLineChars="200"/>
        <w:jc w:val="both"/>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投标文件中提供HSE管理方案，内容包括不仅限于组织机构和职责，人员培训和资质管理，工机具管理措施，临时用电管理措施，应急管理组织机构和职责，现场应急处置方案等。</w:t>
      </w:r>
    </w:p>
    <w:p>
      <w:pPr>
        <w:spacing w:line="360" w:lineRule="auto"/>
        <w:ind w:firstLine="480" w:firstLineChars="200"/>
        <w:jc w:val="both"/>
        <w:rPr>
          <w:rFonts w:hint="eastAsia" w:ascii="宋体" w:hAnsi="宋体" w:eastAsia="宋体" w:cs="宋体"/>
          <w:strike/>
          <w:sz w:val="24"/>
          <w:szCs w:val="32"/>
          <w:lang w:val="en-US" w:eastAsia="zh-CN"/>
        </w:rPr>
      </w:pPr>
      <w:r>
        <w:rPr>
          <w:rFonts w:hint="eastAsia" w:ascii="宋体" w:hAnsi="宋体" w:eastAsia="宋体" w:cs="宋体"/>
          <w:sz w:val="24"/>
          <w:szCs w:val="24"/>
          <w:highlight w:val="none"/>
          <w:lang w:eastAsia="zh-CN"/>
        </w:rPr>
        <w:t>投标文件中提供脚手架专项施工方案，内容包括不仅限于材料（手架管，脚手架扣件，架子板）质量标准，脚手架安装步骤，脚手架拆除步骤，脚手架安全管理措施，JSA分析等。</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项目施工前根据项目需求提供自有并有效的焊接工艺规程及焊接工艺评定报告。</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施工前须提供吊笼、气笼、工具箱及相应吊索具(证</w:t>
      </w:r>
      <w:r>
        <w:rPr>
          <w:rFonts w:hint="eastAsia" w:ascii="宋体" w:hAnsi="宋体" w:eastAsia="宋体" w:cs="宋体"/>
          <w:sz w:val="24"/>
          <w:szCs w:val="24"/>
          <w:highlight w:val="none"/>
          <w:lang w:eastAsia="zh-CN"/>
        </w:rPr>
        <w:t>书应满足要求)。招标人</w:t>
      </w:r>
      <w:r>
        <w:rPr>
          <w:rFonts w:hint="eastAsia" w:ascii="宋体" w:hAnsi="宋体" w:eastAsia="宋体" w:cs="宋体"/>
          <w:sz w:val="24"/>
          <w:szCs w:val="24"/>
          <w:lang w:eastAsia="zh-CN"/>
        </w:rPr>
        <w:t>有权在施工前检验投标人所有机具的证书及机具发票。</w:t>
      </w:r>
    </w:p>
    <w:p>
      <w:pPr>
        <w:spacing w:line="360" w:lineRule="auto"/>
        <w:ind w:firstLine="480" w:firstLineChars="20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施工前提供支持服务，投标人应指定一名代表具体负责本项目支持服务，并随时保持与招标人相关负责人的联系，协助办理人员、机具、物料的进出场地的申报等工作。</w:t>
      </w:r>
    </w:p>
    <w:p>
      <w:pPr>
        <w:pStyle w:val="20"/>
        <w:ind w:left="0" w:leftChars="0" w:firstLine="0" w:firstLineChars="0"/>
        <w:rPr>
          <w:rFonts w:hint="eastAsia"/>
          <w:lang w:eastAsia="zh-CN"/>
        </w:rPr>
      </w:pPr>
    </w:p>
    <w:p>
      <w:pPr>
        <w:pStyle w:val="2"/>
        <w:rPr>
          <w:rFonts w:hint="eastAsia" w:ascii="宋体" w:hAnsi="宋体" w:eastAsia="宋体" w:cs="宋体"/>
          <w:sz w:val="32"/>
          <w:szCs w:val="32"/>
        </w:rPr>
      </w:pPr>
      <w:bookmarkStart w:id="116" w:name="_Toc30908"/>
      <w:bookmarkStart w:id="117" w:name="_Toc256000130"/>
      <w:bookmarkStart w:id="118" w:name="_Toc201592053"/>
      <w:bookmarkStart w:id="119" w:name="_Toc155683989_0"/>
      <w:bookmarkStart w:id="120" w:name="_Toc256000303"/>
      <w:r>
        <w:rPr>
          <w:rFonts w:hint="eastAsia" w:ascii="宋体" w:hAnsi="宋体" w:eastAsia="宋体" w:cs="宋体"/>
          <w:sz w:val="32"/>
          <w:szCs w:val="32"/>
        </w:rPr>
        <w:t>五、健康、安全、环保相关要求</w:t>
      </w:r>
      <w:bookmarkEnd w:id="116"/>
      <w:bookmarkEnd w:id="117"/>
      <w:bookmarkEnd w:id="118"/>
      <w:bookmarkEnd w:id="119"/>
      <w:bookmarkEnd w:id="120"/>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向所有员工宣传健康、安全和环保政策，提供培训，以提高员工的安全意识和素质，使其在各自岗位上切实履行其职责。施工前未进行安全教育的施工人员，不得进场作业；</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每天施工作业前必须召开班前安全会，进行安全风险分析和安全技术交底，指出施工作业中的安全隐患和各安全注意事项，提出各种安全防范措施；</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为员工提供安全可靠的设施设备，提供符合国家标准的劳动保护用品。进入施工场地必须配戴安全劳保用品；</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对作业的各个阶段实行危险识别、风险分析、安全评估，并落实到每个方案之中；</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申请和获得相应政府部门颁发的作业许可或证书的要求。特殊工种的作业人员，必须持证上岗；</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提供实施健康、安全和环保管理体系所需的充足资源；</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对现场配备具有相当经验的健康、安全和环保管理人员。必须配备专职的安全员，负责监控投标人安全文明施工；</w:t>
      </w:r>
    </w:p>
    <w:p>
      <w:pPr>
        <w:numPr>
          <w:ilvl w:val="0"/>
          <w:numId w:val="8"/>
        </w:numPr>
        <w:autoSpaceDE w:val="0"/>
        <w:autoSpaceDN w:val="0"/>
        <w:adjustRightInd w:val="0"/>
        <w:spacing w:line="360" w:lineRule="auto"/>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服从招标人及业主的安全管理，严格执行作业许可证制度：</w:t>
      </w:r>
    </w:p>
    <w:p>
      <w:pPr>
        <w:pStyle w:val="2"/>
        <w:rPr>
          <w:rFonts w:hint="eastAsia" w:ascii="宋体" w:hAnsi="宋体" w:eastAsia="宋体" w:cs="宋体"/>
          <w:sz w:val="32"/>
          <w:szCs w:val="32"/>
        </w:rPr>
      </w:pPr>
      <w:bookmarkStart w:id="121" w:name="_Toc201592054"/>
      <w:r>
        <w:rPr>
          <w:rFonts w:hint="eastAsia" w:ascii="宋体" w:hAnsi="宋体" w:eastAsia="宋体" w:cs="宋体"/>
          <w:sz w:val="32"/>
          <w:szCs w:val="32"/>
        </w:rPr>
        <w:t>六、</w:t>
      </w:r>
      <w:r>
        <w:rPr>
          <w:rFonts w:hint="eastAsia" w:ascii="宋体" w:hAnsi="宋体" w:eastAsia="宋体" w:cs="宋体"/>
          <w:sz w:val="32"/>
          <w:szCs w:val="32"/>
          <w:lang w:val="en-US" w:eastAsia="zh-CN"/>
        </w:rPr>
        <w:t>工机具</w:t>
      </w:r>
      <w:r>
        <w:rPr>
          <w:rFonts w:hint="eastAsia" w:ascii="宋体" w:hAnsi="宋体" w:eastAsia="宋体" w:cs="宋体"/>
          <w:sz w:val="32"/>
          <w:szCs w:val="32"/>
        </w:rPr>
        <w:t>的配置</w:t>
      </w:r>
      <w:bookmarkEnd w:id="121"/>
    </w:p>
    <w:p>
      <w:pPr>
        <w:tabs>
          <w:tab w:val="left" w:pos="720"/>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★为满足本</w:t>
      </w:r>
      <w:r>
        <w:rPr>
          <w:rFonts w:hint="eastAsia" w:ascii="宋体" w:hAnsi="宋体" w:eastAsia="宋体" w:cs="宋体"/>
          <w:sz w:val="24"/>
          <w:szCs w:val="24"/>
          <w:lang w:val="en-US" w:eastAsia="zh-CN"/>
        </w:rPr>
        <w:t>合同</w:t>
      </w:r>
      <w:r>
        <w:rPr>
          <w:rFonts w:hint="eastAsia" w:ascii="宋体" w:hAnsi="宋体" w:eastAsia="宋体" w:cs="宋体"/>
          <w:sz w:val="24"/>
          <w:szCs w:val="24"/>
          <w:lang w:eastAsia="zh-CN"/>
        </w:rPr>
        <w:t>的施工需求，请提供本</w:t>
      </w:r>
      <w:r>
        <w:rPr>
          <w:rFonts w:hint="eastAsia" w:ascii="宋体" w:hAnsi="宋体" w:eastAsia="宋体" w:cs="宋体"/>
          <w:sz w:val="24"/>
          <w:szCs w:val="24"/>
          <w:lang w:val="en-US" w:eastAsia="zh-CN"/>
        </w:rPr>
        <w:t>项目</w:t>
      </w:r>
      <w:r>
        <w:rPr>
          <w:rFonts w:hint="eastAsia" w:ascii="宋体" w:hAnsi="宋体" w:eastAsia="宋体" w:cs="宋体"/>
          <w:sz w:val="24"/>
          <w:szCs w:val="24"/>
          <w:lang w:eastAsia="zh-CN"/>
        </w:rPr>
        <w:t>的主要施工设备（表6.1）、主要试验和检测设备配置（表6.2）。</w:t>
      </w:r>
    </w:p>
    <w:p>
      <w:pPr>
        <w:tabs>
          <w:tab w:val="left" w:pos="720"/>
        </w:tabs>
        <w:spacing w:line="360" w:lineRule="auto"/>
        <w:ind w:firstLine="480" w:firstLineChars="20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6.1 拟投入本标的主要施工设备表</w:t>
      </w:r>
    </w:p>
    <w:tbl>
      <w:tblPr>
        <w:tblStyle w:val="1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171"/>
        <w:gridCol w:w="866"/>
        <w:gridCol w:w="1019"/>
        <w:gridCol w:w="724"/>
        <w:gridCol w:w="973"/>
        <w:gridCol w:w="1130"/>
        <w:gridCol w:w="943"/>
        <w:gridCol w:w="1139"/>
        <w:gridCol w:w="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1" w:type="dxa"/>
            <w:vAlign w:val="center"/>
          </w:tcPr>
          <w:p>
            <w:pPr>
              <w:spacing w:line="24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序号</w:t>
            </w:r>
          </w:p>
        </w:tc>
        <w:tc>
          <w:tcPr>
            <w:tcW w:w="1171"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设备名称</w:t>
            </w:r>
          </w:p>
        </w:tc>
        <w:tc>
          <w:tcPr>
            <w:tcW w:w="866"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型号</w:t>
            </w:r>
          </w:p>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规格</w:t>
            </w:r>
          </w:p>
        </w:tc>
        <w:tc>
          <w:tcPr>
            <w:tcW w:w="1019"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数量</w:t>
            </w:r>
          </w:p>
        </w:tc>
        <w:tc>
          <w:tcPr>
            <w:tcW w:w="724"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国别</w:t>
            </w:r>
          </w:p>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产地</w:t>
            </w:r>
          </w:p>
        </w:tc>
        <w:tc>
          <w:tcPr>
            <w:tcW w:w="973"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制造</w:t>
            </w:r>
          </w:p>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年份</w:t>
            </w:r>
          </w:p>
        </w:tc>
        <w:tc>
          <w:tcPr>
            <w:tcW w:w="1130"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额定功率（KW）</w:t>
            </w:r>
          </w:p>
        </w:tc>
        <w:tc>
          <w:tcPr>
            <w:tcW w:w="943"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生产</w:t>
            </w:r>
          </w:p>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能力</w:t>
            </w:r>
          </w:p>
        </w:tc>
        <w:tc>
          <w:tcPr>
            <w:tcW w:w="1139"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用于施工部位</w:t>
            </w:r>
          </w:p>
        </w:tc>
        <w:tc>
          <w:tcPr>
            <w:tcW w:w="668" w:type="dxa"/>
            <w:vAlign w:val="center"/>
          </w:tcPr>
          <w:p>
            <w:pPr>
              <w:spacing w:line="24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1" w:type="dxa"/>
            <w:vAlign w:val="center"/>
          </w:tcPr>
          <w:p>
            <w:pPr>
              <w:spacing w:line="360" w:lineRule="auto"/>
              <w:jc w:val="center"/>
              <w:rPr>
                <w:rFonts w:hint="eastAsia" w:ascii="宋体" w:hAnsi="宋体" w:eastAsia="宋体" w:cs="宋体"/>
                <w:sz w:val="24"/>
                <w:szCs w:val="24"/>
                <w:lang w:eastAsia="zh-CN"/>
              </w:rPr>
            </w:pPr>
          </w:p>
        </w:tc>
        <w:tc>
          <w:tcPr>
            <w:tcW w:w="1171" w:type="dxa"/>
            <w:vAlign w:val="center"/>
          </w:tcPr>
          <w:p>
            <w:pPr>
              <w:spacing w:line="360" w:lineRule="auto"/>
              <w:jc w:val="center"/>
              <w:rPr>
                <w:rFonts w:hint="eastAsia" w:ascii="宋体" w:hAnsi="宋体" w:eastAsia="宋体" w:cs="宋体"/>
                <w:sz w:val="24"/>
                <w:szCs w:val="24"/>
                <w:lang w:eastAsia="zh-CN"/>
              </w:rPr>
            </w:pPr>
          </w:p>
        </w:tc>
        <w:tc>
          <w:tcPr>
            <w:tcW w:w="866" w:type="dxa"/>
            <w:vAlign w:val="center"/>
          </w:tcPr>
          <w:p>
            <w:pPr>
              <w:spacing w:line="360" w:lineRule="auto"/>
              <w:jc w:val="center"/>
              <w:rPr>
                <w:rFonts w:hint="eastAsia" w:ascii="宋体" w:hAnsi="宋体" w:eastAsia="宋体" w:cs="宋体"/>
                <w:sz w:val="24"/>
                <w:szCs w:val="24"/>
                <w:lang w:eastAsia="zh-CN"/>
              </w:rPr>
            </w:pPr>
          </w:p>
        </w:tc>
        <w:tc>
          <w:tcPr>
            <w:tcW w:w="1019" w:type="dxa"/>
            <w:vAlign w:val="center"/>
          </w:tcPr>
          <w:p>
            <w:pPr>
              <w:spacing w:line="360" w:lineRule="auto"/>
              <w:jc w:val="center"/>
              <w:rPr>
                <w:rFonts w:hint="eastAsia" w:ascii="宋体" w:hAnsi="宋体" w:eastAsia="宋体" w:cs="宋体"/>
                <w:sz w:val="24"/>
                <w:szCs w:val="24"/>
                <w:lang w:eastAsia="zh-CN"/>
              </w:rPr>
            </w:pPr>
          </w:p>
        </w:tc>
        <w:tc>
          <w:tcPr>
            <w:tcW w:w="724" w:type="dxa"/>
            <w:vAlign w:val="center"/>
          </w:tcPr>
          <w:p>
            <w:pPr>
              <w:spacing w:line="360" w:lineRule="auto"/>
              <w:jc w:val="center"/>
              <w:rPr>
                <w:rFonts w:hint="eastAsia" w:ascii="宋体" w:hAnsi="宋体" w:eastAsia="宋体" w:cs="宋体"/>
                <w:sz w:val="24"/>
                <w:szCs w:val="24"/>
                <w:lang w:eastAsia="zh-CN"/>
              </w:rPr>
            </w:pPr>
          </w:p>
        </w:tc>
        <w:tc>
          <w:tcPr>
            <w:tcW w:w="973" w:type="dxa"/>
            <w:vAlign w:val="center"/>
          </w:tcPr>
          <w:p>
            <w:pPr>
              <w:spacing w:line="360" w:lineRule="auto"/>
              <w:jc w:val="center"/>
              <w:rPr>
                <w:rFonts w:hint="eastAsia" w:ascii="宋体" w:hAnsi="宋体" w:eastAsia="宋体" w:cs="宋体"/>
                <w:sz w:val="24"/>
                <w:szCs w:val="24"/>
                <w:lang w:eastAsia="zh-CN"/>
              </w:rPr>
            </w:pPr>
          </w:p>
        </w:tc>
        <w:tc>
          <w:tcPr>
            <w:tcW w:w="1130" w:type="dxa"/>
            <w:vAlign w:val="center"/>
          </w:tcPr>
          <w:p>
            <w:pPr>
              <w:spacing w:line="360" w:lineRule="auto"/>
              <w:jc w:val="center"/>
              <w:rPr>
                <w:rFonts w:hint="eastAsia" w:ascii="宋体" w:hAnsi="宋体" w:eastAsia="宋体" w:cs="宋体"/>
                <w:sz w:val="24"/>
                <w:szCs w:val="24"/>
                <w:lang w:eastAsia="zh-CN"/>
              </w:rPr>
            </w:pPr>
          </w:p>
        </w:tc>
        <w:tc>
          <w:tcPr>
            <w:tcW w:w="943" w:type="dxa"/>
            <w:vAlign w:val="center"/>
          </w:tcPr>
          <w:p>
            <w:pPr>
              <w:spacing w:line="360" w:lineRule="auto"/>
              <w:jc w:val="center"/>
              <w:rPr>
                <w:rFonts w:hint="eastAsia" w:ascii="宋体" w:hAnsi="宋体" w:eastAsia="宋体" w:cs="宋体"/>
                <w:sz w:val="24"/>
                <w:szCs w:val="24"/>
                <w:lang w:eastAsia="zh-CN"/>
              </w:rPr>
            </w:pPr>
          </w:p>
        </w:tc>
        <w:tc>
          <w:tcPr>
            <w:tcW w:w="1139" w:type="dxa"/>
            <w:vAlign w:val="center"/>
          </w:tcPr>
          <w:p>
            <w:pPr>
              <w:spacing w:line="360" w:lineRule="auto"/>
              <w:jc w:val="center"/>
              <w:rPr>
                <w:rFonts w:hint="eastAsia" w:ascii="宋体" w:hAnsi="宋体" w:eastAsia="宋体" w:cs="宋体"/>
                <w:sz w:val="24"/>
                <w:szCs w:val="24"/>
                <w:lang w:eastAsia="zh-CN"/>
              </w:rPr>
            </w:pPr>
          </w:p>
        </w:tc>
        <w:tc>
          <w:tcPr>
            <w:tcW w:w="668" w:type="dxa"/>
            <w:vAlign w:val="center"/>
          </w:tcPr>
          <w:p>
            <w:pPr>
              <w:spacing w:line="360" w:lineRule="auto"/>
              <w:jc w:val="center"/>
              <w:rPr>
                <w:rFonts w:hint="eastAsia" w:ascii="宋体" w:hAnsi="宋体" w:eastAsia="宋体" w:cs="宋体"/>
                <w:sz w:val="24"/>
                <w:szCs w:val="24"/>
                <w:lang w:eastAsia="zh-CN"/>
              </w:rPr>
            </w:pPr>
          </w:p>
        </w:tc>
      </w:tr>
    </w:tbl>
    <w:p>
      <w:pPr>
        <w:tabs>
          <w:tab w:val="left" w:pos="720"/>
        </w:tabs>
        <w:spacing w:line="360" w:lineRule="auto"/>
        <w:ind w:firstLine="480" w:firstLineChars="20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6.2 拟配备本标的试验和检测仪器设备表</w:t>
      </w:r>
    </w:p>
    <w:tbl>
      <w:tblPr>
        <w:tblStyle w:val="14"/>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143"/>
        <w:gridCol w:w="1034"/>
        <w:gridCol w:w="802"/>
        <w:gridCol w:w="703"/>
        <w:gridCol w:w="756"/>
        <w:gridCol w:w="1509"/>
        <w:gridCol w:w="1516"/>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vAlign w:val="center"/>
          </w:tcPr>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序号</w:t>
            </w:r>
          </w:p>
        </w:tc>
        <w:tc>
          <w:tcPr>
            <w:tcW w:w="1143"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仪器设备名称</w:t>
            </w:r>
          </w:p>
        </w:tc>
        <w:tc>
          <w:tcPr>
            <w:tcW w:w="1034"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型号</w:t>
            </w:r>
          </w:p>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规格</w:t>
            </w:r>
          </w:p>
        </w:tc>
        <w:tc>
          <w:tcPr>
            <w:tcW w:w="802"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数量</w:t>
            </w:r>
          </w:p>
        </w:tc>
        <w:tc>
          <w:tcPr>
            <w:tcW w:w="703"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国别</w:t>
            </w:r>
          </w:p>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产地</w:t>
            </w:r>
          </w:p>
        </w:tc>
        <w:tc>
          <w:tcPr>
            <w:tcW w:w="756"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制造</w:t>
            </w:r>
          </w:p>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年份</w:t>
            </w:r>
          </w:p>
        </w:tc>
        <w:tc>
          <w:tcPr>
            <w:tcW w:w="1509"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已使用</w:t>
            </w:r>
          </w:p>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台时数</w:t>
            </w:r>
          </w:p>
        </w:tc>
        <w:tc>
          <w:tcPr>
            <w:tcW w:w="1516"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用途</w:t>
            </w:r>
          </w:p>
        </w:tc>
        <w:tc>
          <w:tcPr>
            <w:tcW w:w="1188" w:type="dxa"/>
            <w:vAlign w:val="center"/>
          </w:tcPr>
          <w:p>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vAlign w:val="center"/>
          </w:tcPr>
          <w:p>
            <w:pPr>
              <w:spacing w:line="360" w:lineRule="auto"/>
              <w:jc w:val="center"/>
              <w:rPr>
                <w:rFonts w:hint="eastAsia" w:ascii="宋体" w:hAnsi="宋体" w:eastAsia="宋体" w:cs="宋体"/>
                <w:sz w:val="24"/>
                <w:szCs w:val="24"/>
                <w:lang w:eastAsia="zh-CN"/>
              </w:rPr>
            </w:pPr>
          </w:p>
        </w:tc>
        <w:tc>
          <w:tcPr>
            <w:tcW w:w="1143" w:type="dxa"/>
            <w:vAlign w:val="center"/>
          </w:tcPr>
          <w:p>
            <w:pPr>
              <w:spacing w:line="360" w:lineRule="auto"/>
              <w:jc w:val="center"/>
              <w:rPr>
                <w:rFonts w:hint="eastAsia" w:ascii="宋体" w:hAnsi="宋体" w:eastAsia="宋体" w:cs="宋体"/>
                <w:sz w:val="24"/>
                <w:szCs w:val="24"/>
                <w:lang w:eastAsia="zh-CN"/>
              </w:rPr>
            </w:pPr>
          </w:p>
        </w:tc>
        <w:tc>
          <w:tcPr>
            <w:tcW w:w="1034" w:type="dxa"/>
            <w:vAlign w:val="center"/>
          </w:tcPr>
          <w:p>
            <w:pPr>
              <w:spacing w:line="360" w:lineRule="auto"/>
              <w:jc w:val="center"/>
              <w:rPr>
                <w:rFonts w:hint="eastAsia" w:ascii="宋体" w:hAnsi="宋体" w:eastAsia="宋体" w:cs="宋体"/>
                <w:sz w:val="24"/>
                <w:szCs w:val="24"/>
                <w:lang w:eastAsia="zh-CN"/>
              </w:rPr>
            </w:pPr>
          </w:p>
        </w:tc>
        <w:tc>
          <w:tcPr>
            <w:tcW w:w="802" w:type="dxa"/>
            <w:vAlign w:val="center"/>
          </w:tcPr>
          <w:p>
            <w:pPr>
              <w:spacing w:line="360" w:lineRule="auto"/>
              <w:jc w:val="center"/>
              <w:rPr>
                <w:rFonts w:hint="eastAsia" w:ascii="宋体" w:hAnsi="宋体" w:eastAsia="宋体" w:cs="宋体"/>
                <w:sz w:val="24"/>
                <w:szCs w:val="24"/>
                <w:lang w:eastAsia="zh-CN"/>
              </w:rPr>
            </w:pPr>
          </w:p>
        </w:tc>
        <w:tc>
          <w:tcPr>
            <w:tcW w:w="703" w:type="dxa"/>
            <w:vAlign w:val="center"/>
          </w:tcPr>
          <w:p>
            <w:pPr>
              <w:spacing w:line="360" w:lineRule="auto"/>
              <w:jc w:val="center"/>
              <w:rPr>
                <w:rFonts w:hint="eastAsia" w:ascii="宋体" w:hAnsi="宋体" w:eastAsia="宋体" w:cs="宋体"/>
                <w:sz w:val="24"/>
                <w:szCs w:val="24"/>
                <w:lang w:eastAsia="zh-CN"/>
              </w:rPr>
            </w:pPr>
          </w:p>
        </w:tc>
        <w:tc>
          <w:tcPr>
            <w:tcW w:w="756" w:type="dxa"/>
            <w:vAlign w:val="center"/>
          </w:tcPr>
          <w:p>
            <w:pPr>
              <w:spacing w:line="360" w:lineRule="auto"/>
              <w:jc w:val="center"/>
              <w:rPr>
                <w:rFonts w:hint="eastAsia" w:ascii="宋体" w:hAnsi="宋体" w:eastAsia="宋体" w:cs="宋体"/>
                <w:sz w:val="24"/>
                <w:szCs w:val="24"/>
                <w:lang w:eastAsia="zh-CN"/>
              </w:rPr>
            </w:pPr>
          </w:p>
        </w:tc>
        <w:tc>
          <w:tcPr>
            <w:tcW w:w="1509" w:type="dxa"/>
            <w:vAlign w:val="center"/>
          </w:tcPr>
          <w:p>
            <w:pPr>
              <w:spacing w:line="360" w:lineRule="auto"/>
              <w:jc w:val="center"/>
              <w:rPr>
                <w:rFonts w:hint="eastAsia" w:ascii="宋体" w:hAnsi="宋体" w:eastAsia="宋体" w:cs="宋体"/>
                <w:sz w:val="24"/>
                <w:szCs w:val="24"/>
                <w:lang w:eastAsia="zh-CN"/>
              </w:rPr>
            </w:pPr>
          </w:p>
        </w:tc>
        <w:tc>
          <w:tcPr>
            <w:tcW w:w="1516" w:type="dxa"/>
            <w:vAlign w:val="center"/>
          </w:tcPr>
          <w:p>
            <w:pPr>
              <w:spacing w:line="360" w:lineRule="auto"/>
              <w:jc w:val="center"/>
              <w:rPr>
                <w:rFonts w:hint="eastAsia" w:ascii="宋体" w:hAnsi="宋体" w:eastAsia="宋体" w:cs="宋体"/>
                <w:sz w:val="24"/>
                <w:szCs w:val="24"/>
                <w:lang w:eastAsia="zh-CN"/>
              </w:rPr>
            </w:pPr>
          </w:p>
        </w:tc>
        <w:tc>
          <w:tcPr>
            <w:tcW w:w="1188" w:type="dxa"/>
            <w:vAlign w:val="center"/>
          </w:tcPr>
          <w:p>
            <w:pPr>
              <w:spacing w:line="360" w:lineRule="auto"/>
              <w:jc w:val="center"/>
              <w:rPr>
                <w:rFonts w:hint="eastAsia" w:ascii="宋体" w:hAnsi="宋体" w:eastAsia="宋体" w:cs="宋体"/>
                <w:sz w:val="24"/>
                <w:szCs w:val="24"/>
                <w:lang w:eastAsia="zh-CN"/>
              </w:rPr>
            </w:pPr>
          </w:p>
        </w:tc>
      </w:tr>
    </w:tbl>
    <w:p>
      <w:pPr>
        <w:pStyle w:val="2"/>
        <w:numPr>
          <w:ilvl w:val="0"/>
          <w:numId w:val="9"/>
        </w:numPr>
        <w:rPr>
          <w:rFonts w:hint="eastAsia" w:ascii="宋体" w:hAnsi="宋体" w:eastAsia="宋体" w:cs="宋体"/>
          <w:sz w:val="32"/>
          <w:szCs w:val="32"/>
          <w:lang w:val="en-US" w:eastAsia="zh-CN"/>
        </w:rPr>
      </w:pPr>
      <w:bookmarkStart w:id="122" w:name="_Toc201592055"/>
      <w:r>
        <w:rPr>
          <w:rFonts w:hint="eastAsia" w:ascii="宋体" w:hAnsi="宋体" w:eastAsia="宋体" w:cs="宋体"/>
          <w:sz w:val="32"/>
          <w:szCs w:val="32"/>
          <w:lang w:val="en-US" w:eastAsia="zh-CN"/>
        </w:rPr>
        <w:t>验收方式</w:t>
      </w:r>
    </w:p>
    <w:p>
      <w:pPr>
        <w:pStyle w:val="54"/>
        <w:adjustRightInd w:val="0"/>
        <w:snapToGrid w:val="0"/>
        <w:spacing w:line="360" w:lineRule="auto"/>
        <w:ind w:firstLine="480" w:firstLineChars="200"/>
        <w:jc w:val="left"/>
        <w:textAlignment w:val="baseline"/>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本项目在实施过程中，由招标人组织进行验收：招标人完成合同所有约定工作内容后，通过招标人组织的现场验收组，对项目完成情况、施工质量、合同履约情况等进行全面查验。</w:t>
      </w:r>
    </w:p>
    <w:p>
      <w:pPr>
        <w:pStyle w:val="54"/>
        <w:adjustRightInd w:val="0"/>
        <w:snapToGrid w:val="0"/>
        <w:spacing w:line="360" w:lineRule="auto"/>
        <w:ind w:firstLine="480" w:firstLineChars="200"/>
        <w:jc w:val="left"/>
        <w:textAlignment w:val="baseline"/>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投标人需提前整理完整的项目验收资料，包括施工记录、检验检测报告、工程量核对确认单等，报送招标人验收组审核。验收组对照合同约定的技术标准、质量要求开展现场核查，确认各项工作符合要求后出具验收合格意见；若验收发现存在不符合要求的问题，投标人需按照验收组提出的整改要求在规定期限内完成整改，重新申请组织验收，直至验收合格。</w:t>
      </w:r>
    </w:p>
    <w:p>
      <w:pPr>
        <w:pStyle w:val="2"/>
        <w:keepNext/>
        <w:keepLines/>
        <w:pageBreakBefore w:val="0"/>
        <w:widowControl w:val="0"/>
        <w:kinsoku/>
        <w:wordWrap/>
        <w:overflowPunct/>
        <w:topLinePunct w:val="0"/>
        <w:autoSpaceDE/>
        <w:autoSpaceDN/>
        <w:bidi w:val="0"/>
        <w:adjustRightInd/>
        <w:snapToGrid/>
        <w:spacing w:before="200" w:after="200" w:line="360" w:lineRule="auto"/>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八</w:t>
      </w:r>
      <w:r>
        <w:rPr>
          <w:rFonts w:hint="eastAsia" w:ascii="宋体" w:hAnsi="宋体" w:eastAsia="宋体" w:cs="宋体"/>
          <w:sz w:val="32"/>
          <w:szCs w:val="32"/>
        </w:rPr>
        <w:t>、完工时间及施工地点</w:t>
      </w:r>
      <w:bookmarkEnd w:id="122"/>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eastAsia="zh-CN"/>
        </w:rPr>
      </w:pPr>
      <w:r>
        <w:rPr>
          <w:rFonts w:hint="eastAsia" w:ascii="宋体" w:hAnsi="宋体" w:eastAsia="宋体" w:cs="宋体"/>
          <w:sz w:val="24"/>
          <w:szCs w:val="24"/>
          <w:lang w:eastAsia="zh-CN"/>
        </w:rPr>
        <w:t>完工时间：合同签订后，自招标人通知的开工之日起90日内完成所有工作内容。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施工地点：</w:t>
      </w:r>
      <w:r>
        <w:rPr>
          <w:rFonts w:hint="eastAsia" w:ascii="宋体" w:hAnsi="宋体" w:eastAsia="宋体" w:cs="宋体"/>
          <w:sz w:val="24"/>
          <w:szCs w:val="24"/>
          <w:lang w:val="en-US" w:eastAsia="zh-CN"/>
        </w:rPr>
        <w:t>辽宁省绥中县绥中36-1原油处理厂</w:t>
      </w:r>
    </w:p>
    <w:p>
      <w:pPr>
        <w:pStyle w:val="20"/>
        <w:numPr>
          <w:ilvl w:val="0"/>
          <w:numId w:val="0"/>
        </w:numPr>
        <w:ind w:leftChars="0"/>
        <w:rPr>
          <w:rFonts w:hint="eastAsia" w:ascii="宋体" w:hAnsi="宋体" w:eastAsia="宋体" w:cs="宋体"/>
          <w:b/>
          <w:bCs/>
          <w:kern w:val="44"/>
          <w:sz w:val="32"/>
          <w:szCs w:val="32"/>
          <w:lang w:val="en-US" w:eastAsia="zh-CN" w:bidi="ar-SA"/>
        </w:rPr>
      </w:pPr>
      <w:r>
        <w:rPr>
          <w:rFonts w:hint="eastAsia" w:ascii="宋体" w:hAnsi="宋体" w:eastAsia="宋体" w:cs="宋体"/>
          <w:b/>
          <w:bCs/>
          <w:kern w:val="44"/>
          <w:sz w:val="32"/>
          <w:szCs w:val="32"/>
          <w:lang w:val="en-US" w:eastAsia="zh-CN" w:bidi="ar-SA"/>
        </w:rPr>
        <w:t>九、费用结算与支付</w:t>
      </w:r>
    </w:p>
    <w:p>
      <w:pPr>
        <w:pStyle w:val="24"/>
        <w:keepNext w:val="0"/>
        <w:keepLines w:val="0"/>
        <w:pageBreakBefore w:val="0"/>
        <w:numPr>
          <w:ilvl w:val="0"/>
          <w:numId w:val="0"/>
        </w:numPr>
        <w:kinsoku/>
        <w:wordWrap/>
        <w:overflowPunct/>
        <w:topLinePunct w:val="0"/>
        <w:bidi w:val="0"/>
        <w:spacing w:beforeAutospacing="0" w:afterAutospacing="0" w:line="360" w:lineRule="auto"/>
        <w:ind w:left="0" w:leftChars="0" w:right="0" w:rightChars="0" w:firstLine="0" w:firstLineChars="0"/>
        <w:rPr>
          <w:rFonts w:hint="eastAsia" w:asciiTheme="minorEastAsia" w:hAnsiTheme="minorEastAsia" w:cstheme="minorEastAsia"/>
          <w:color w:val="auto"/>
          <w:spacing w:val="2"/>
          <w:sz w:val="24"/>
          <w:szCs w:val="24"/>
          <w:lang w:val="en-US" w:eastAsia="zh-CN" w:bidi="ar-SA"/>
        </w:rPr>
      </w:pPr>
      <w:r>
        <w:rPr>
          <w:rFonts w:hint="eastAsia" w:asciiTheme="minorEastAsia" w:hAnsiTheme="minorEastAsia" w:cstheme="minorEastAsia"/>
          <w:color w:val="auto"/>
          <w:spacing w:val="2"/>
          <w:sz w:val="24"/>
          <w:szCs w:val="24"/>
          <w:lang w:val="en-US" w:eastAsia="zh-CN" w:bidi="ar-SA"/>
        </w:rPr>
        <w:t>9.1 结算方式</w:t>
      </w:r>
    </w:p>
    <w:p>
      <w:pPr>
        <w:pStyle w:val="24"/>
        <w:keepNext w:val="0"/>
        <w:keepLines w:val="0"/>
        <w:pageBreakBefore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0" w:firstLineChars="0"/>
        <w:textAlignment w:val="auto"/>
        <w:rPr>
          <w:rFonts w:hint="eastAsia" w:ascii="宋体" w:hAnsi="宋体" w:eastAsia="宋体" w:cs="宋体"/>
          <w:b w:val="0"/>
          <w:bCs w:val="0"/>
          <w:sz w:val="24"/>
          <w:szCs w:val="24"/>
        </w:rPr>
      </w:pPr>
      <w:r>
        <w:rPr>
          <w:rFonts w:hint="eastAsia" w:ascii="宋体" w:hAnsi="宋体" w:eastAsia="宋体" w:cs="宋体"/>
          <w:b w:val="0"/>
          <w:bCs w:val="0"/>
        </w:rPr>
        <w:t>本项</w:t>
      </w:r>
      <w:r>
        <w:rPr>
          <w:rFonts w:hint="eastAsia" w:ascii="宋体" w:hAnsi="宋体" w:eastAsia="宋体" w:cs="宋体"/>
          <w:b w:val="0"/>
          <w:bCs w:val="0"/>
          <w:sz w:val="24"/>
          <w:szCs w:val="24"/>
        </w:rPr>
        <w:t>目采用</w:t>
      </w:r>
      <w:r>
        <w:rPr>
          <w:rStyle w:val="17"/>
          <w:rFonts w:hint="eastAsia" w:ascii="宋体" w:hAnsi="宋体" w:eastAsia="宋体" w:cs="宋体"/>
          <w:b w:val="0"/>
          <w:bCs w:val="0"/>
          <w:sz w:val="24"/>
          <w:szCs w:val="24"/>
        </w:rPr>
        <w:t>固定单</w:t>
      </w:r>
      <w:r>
        <w:rPr>
          <w:rStyle w:val="17"/>
          <w:rFonts w:hint="eastAsia" w:ascii="宋体" w:hAnsi="宋体" w:eastAsia="宋体" w:cs="宋体"/>
          <w:b w:val="0"/>
          <w:bCs w:val="0"/>
          <w:sz w:val="24"/>
          <w:szCs w:val="24"/>
          <w:highlight w:val="none"/>
        </w:rPr>
        <w:t>价</w:t>
      </w:r>
      <w:r>
        <w:rPr>
          <w:rStyle w:val="17"/>
          <w:rFonts w:hint="eastAsia" w:ascii="宋体" w:hAnsi="宋体" w:eastAsia="宋体" w:cs="宋体"/>
          <w:b w:val="0"/>
          <w:bCs w:val="0"/>
          <w:sz w:val="24"/>
          <w:szCs w:val="24"/>
          <w:highlight w:val="none"/>
          <w:lang w:eastAsia="zh-CN"/>
        </w:rPr>
        <w:t>（</w:t>
      </w:r>
      <w:r>
        <w:rPr>
          <w:rStyle w:val="17"/>
          <w:rFonts w:hint="eastAsia" w:ascii="宋体" w:hAnsi="宋体" w:eastAsia="宋体" w:cs="宋体"/>
          <w:b w:val="0"/>
          <w:bCs w:val="0"/>
          <w:sz w:val="24"/>
          <w:szCs w:val="24"/>
          <w:highlight w:val="none"/>
          <w:lang w:val="en-US" w:eastAsia="zh-CN"/>
        </w:rPr>
        <w:t>暂定总价</w:t>
      </w:r>
      <w:r>
        <w:rPr>
          <w:rStyle w:val="17"/>
          <w:rFonts w:hint="eastAsia" w:ascii="宋体" w:hAnsi="宋体" w:eastAsia="宋体" w:cs="宋体"/>
          <w:b w:val="0"/>
          <w:bCs w:val="0"/>
          <w:sz w:val="24"/>
          <w:szCs w:val="24"/>
          <w:highlight w:val="none"/>
          <w:lang w:eastAsia="zh-CN"/>
        </w:rPr>
        <w:t>）</w:t>
      </w:r>
      <w:r>
        <w:rPr>
          <w:rStyle w:val="17"/>
          <w:rFonts w:hint="eastAsia" w:ascii="宋体" w:hAnsi="宋体" w:eastAsia="宋体" w:cs="宋体"/>
          <w:b w:val="0"/>
          <w:bCs w:val="0"/>
          <w:sz w:val="24"/>
          <w:szCs w:val="24"/>
          <w:highlight w:val="none"/>
        </w:rPr>
        <w:t>、</w:t>
      </w:r>
      <w:r>
        <w:rPr>
          <w:rStyle w:val="17"/>
          <w:rFonts w:hint="eastAsia" w:ascii="宋体" w:hAnsi="宋体" w:eastAsia="宋体" w:cs="宋体"/>
          <w:b w:val="0"/>
          <w:bCs w:val="0"/>
          <w:sz w:val="24"/>
          <w:szCs w:val="24"/>
        </w:rPr>
        <w:t>工程量按实结算，同时设置结算总价上限</w:t>
      </w:r>
      <w:r>
        <w:rPr>
          <w:rFonts w:hint="eastAsia" w:ascii="宋体" w:hAnsi="宋体" w:eastAsia="宋体" w:cs="宋体"/>
          <w:b w:val="0"/>
          <w:bCs w:val="0"/>
          <w:sz w:val="24"/>
          <w:szCs w:val="24"/>
        </w:rPr>
        <w:t>的计价方式。</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rPr>
      </w:pPr>
      <w:r>
        <w:rPr>
          <w:rFonts w:ascii="宋体" w:hAnsi="宋体" w:eastAsia="宋体" w:cs="宋体"/>
          <w:sz w:val="24"/>
          <w:szCs w:val="24"/>
        </w:rPr>
        <w:t>固定综合单价已包含：人工费、施工辅材耗材费、焊接/密封/紧固件</w:t>
      </w:r>
      <w:r>
        <w:rPr>
          <w:rFonts w:hint="eastAsia" w:ascii="宋体" w:hAnsi="宋体" w:eastAsia="宋体" w:cs="宋体"/>
          <w:sz w:val="24"/>
          <w:szCs w:val="24"/>
          <w:lang w:val="en-US" w:eastAsia="zh-CN"/>
        </w:rPr>
        <w:t>/法兰/螺栓/管件</w:t>
      </w:r>
      <w:r>
        <w:rPr>
          <w:rFonts w:ascii="宋体" w:hAnsi="宋体" w:eastAsia="宋体" w:cs="宋体"/>
          <w:sz w:val="24"/>
          <w:szCs w:val="24"/>
        </w:rPr>
        <w:t>等材料费、施工机械机具费、场内倒运费、吊装就位费、脚手架搭拆费、临时设施费、安全文明施工费、HSE 措施费、检测试验费、仪表调试及系统联调费、竣工资料编制费、企业管理费、利润、规费、税金、质保期</w:t>
      </w:r>
      <w:r>
        <w:rPr>
          <w:rFonts w:hint="eastAsia" w:ascii="宋体" w:hAnsi="宋体" w:eastAsia="宋体" w:cs="宋体"/>
          <w:sz w:val="24"/>
          <w:szCs w:val="24"/>
          <w:lang w:val="en-US" w:eastAsia="zh-CN"/>
        </w:rPr>
        <w:t>保修</w:t>
      </w:r>
      <w:r>
        <w:rPr>
          <w:rFonts w:ascii="宋体" w:hAnsi="宋体" w:eastAsia="宋体" w:cs="宋体"/>
          <w:sz w:val="24"/>
          <w:szCs w:val="24"/>
        </w:rPr>
        <w:t>服务，以及为完成本项目全部工作所需的一切措施性费用；除甲方明确供应的设备及</w:t>
      </w:r>
      <w:r>
        <w:rPr>
          <w:rFonts w:hint="eastAsia" w:ascii="宋体" w:hAnsi="宋体" w:eastAsia="宋体" w:cs="宋体"/>
          <w:sz w:val="24"/>
          <w:szCs w:val="24"/>
          <w:lang w:val="en-US" w:eastAsia="zh-CN"/>
        </w:rPr>
        <w:t>材料</w:t>
      </w:r>
      <w:r>
        <w:rPr>
          <w:rFonts w:ascii="宋体" w:hAnsi="宋体" w:eastAsia="宋体" w:cs="宋体"/>
          <w:sz w:val="24"/>
          <w:szCs w:val="24"/>
        </w:rPr>
        <w:t>外，不再另行计取任何费用。</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工程量：结算工程量按实际完成并经验收合格的工程量计算</w:t>
      </w:r>
      <w:r>
        <w:rPr>
          <w:rFonts w:hint="eastAsia" w:ascii="宋体" w:hAnsi="宋体" w:eastAsia="宋体" w:cs="宋体"/>
          <w:b w:val="0"/>
          <w:bCs w:val="0"/>
          <w:sz w:val="24"/>
          <w:szCs w:val="24"/>
          <w:lang w:eastAsia="zh-CN"/>
        </w:rPr>
        <w:t>。</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总价上限：本项目结算总价上限为暂定合同总价的1</w:t>
      </w:r>
      <w:r>
        <w:rPr>
          <w:rFonts w:hint="eastAsia" w:ascii="宋体" w:hAnsi="宋体" w:eastAsia="宋体" w:cs="宋体"/>
          <w:b w:val="0"/>
          <w:bCs w:val="0"/>
          <w:sz w:val="24"/>
          <w:szCs w:val="24"/>
          <w:lang w:val="en-US" w:eastAsia="zh-CN"/>
        </w:rPr>
        <w:t>10</w:t>
      </w:r>
      <w:r>
        <w:rPr>
          <w:rFonts w:hint="eastAsia" w:ascii="宋体" w:hAnsi="宋体" w:eastAsia="宋体" w:cs="宋体"/>
          <w:b w:val="0"/>
          <w:bCs w:val="0"/>
          <w:sz w:val="24"/>
          <w:szCs w:val="24"/>
        </w:rPr>
        <w:t>%；非</w:t>
      </w:r>
      <w:r>
        <w:rPr>
          <w:rFonts w:hint="eastAsia" w:ascii="宋体" w:hAnsi="宋体" w:eastAsia="宋体" w:cs="宋体"/>
          <w:b w:val="0"/>
          <w:bCs w:val="0"/>
          <w:sz w:val="24"/>
          <w:szCs w:val="24"/>
          <w:lang w:eastAsia="zh-CN"/>
        </w:rPr>
        <w:t>招标人</w:t>
      </w:r>
      <w:r>
        <w:rPr>
          <w:rFonts w:hint="eastAsia" w:ascii="宋体" w:hAnsi="宋体" w:eastAsia="宋体" w:cs="宋体"/>
          <w:b w:val="0"/>
          <w:bCs w:val="0"/>
          <w:sz w:val="24"/>
          <w:szCs w:val="24"/>
        </w:rPr>
        <w:t>书面确认的设计变更、现场签证原因，结算总价超出上限的，超出部分不予支付，由</w:t>
      </w:r>
      <w:r>
        <w:rPr>
          <w:rFonts w:hint="eastAsia" w:ascii="宋体" w:hAnsi="宋体" w:eastAsia="宋体" w:cs="宋体"/>
          <w:b w:val="0"/>
          <w:bCs w:val="0"/>
          <w:sz w:val="24"/>
          <w:szCs w:val="24"/>
          <w:lang w:eastAsia="zh-CN"/>
        </w:rPr>
        <w:t>投标人</w:t>
      </w:r>
      <w:r>
        <w:rPr>
          <w:rFonts w:hint="eastAsia" w:ascii="宋体" w:hAnsi="宋体" w:eastAsia="宋体" w:cs="宋体"/>
          <w:b w:val="0"/>
          <w:bCs w:val="0"/>
          <w:sz w:val="24"/>
          <w:szCs w:val="24"/>
        </w:rPr>
        <w:t>自行承担。</w:t>
      </w:r>
    </w:p>
    <w:p>
      <w:pPr>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上限调整：经</w:t>
      </w:r>
      <w:r>
        <w:rPr>
          <w:rFonts w:hint="eastAsia" w:ascii="宋体" w:hAnsi="宋体" w:eastAsia="宋体" w:cs="宋体"/>
          <w:b w:val="0"/>
          <w:bCs w:val="0"/>
          <w:sz w:val="24"/>
          <w:szCs w:val="24"/>
          <w:lang w:eastAsia="zh-CN"/>
        </w:rPr>
        <w:t>招标人</w:t>
      </w:r>
      <w:r>
        <w:rPr>
          <w:rFonts w:hint="eastAsia" w:ascii="宋体" w:hAnsi="宋体" w:eastAsia="宋体" w:cs="宋体"/>
          <w:b w:val="0"/>
          <w:bCs w:val="0"/>
          <w:sz w:val="24"/>
          <w:szCs w:val="24"/>
        </w:rPr>
        <w:t>书面确认的设计变更、现场签证导致费用增加的，可按审定变更金额相应调整总价上限。</w:t>
      </w:r>
    </w:p>
    <w:p>
      <w:pPr>
        <w:pStyle w:val="24"/>
        <w:keepNext w:val="0"/>
        <w:keepLines w:val="0"/>
        <w:pageBreakBefore w:val="0"/>
        <w:numPr>
          <w:ilvl w:val="0"/>
          <w:numId w:val="0"/>
        </w:numPr>
        <w:kinsoku/>
        <w:wordWrap/>
        <w:overflowPunct/>
        <w:topLinePunct w:val="0"/>
        <w:bidi w:val="0"/>
        <w:spacing w:beforeAutospacing="0" w:afterAutospacing="0" w:line="360" w:lineRule="auto"/>
        <w:ind w:left="0" w:leftChars="0" w:right="0" w:rightChars="0" w:firstLine="0" w:firstLineChars="0"/>
        <w:rPr>
          <w:rFonts w:hint="eastAsia" w:asciiTheme="minorEastAsia" w:hAnsiTheme="minorEastAsia" w:cstheme="minorEastAsia"/>
          <w:color w:val="auto"/>
          <w:spacing w:val="2"/>
          <w:sz w:val="24"/>
          <w:szCs w:val="24"/>
          <w:lang w:val="en-US" w:eastAsia="zh-CN" w:bidi="ar-SA"/>
        </w:rPr>
      </w:pPr>
      <w:r>
        <w:rPr>
          <w:rFonts w:hint="eastAsia" w:asciiTheme="minorEastAsia" w:hAnsiTheme="minorEastAsia" w:cstheme="minorEastAsia"/>
          <w:color w:val="auto"/>
          <w:spacing w:val="2"/>
          <w:sz w:val="24"/>
          <w:szCs w:val="24"/>
          <w:lang w:val="en-US" w:eastAsia="zh-CN" w:bidi="ar-SA"/>
        </w:rPr>
        <w:t>9.2 特别约定</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投标人投标报价时已充分考虑现场施工条件、工程量偏差风险、措施费用、工期要求、HSE 要求等全部因素，固定单价不因现场条件变化、工程量常规波动而调整。</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招标人供应的设备、主材，按设计理论用量领用，超额领用部分从结算款中扣除；节约部分归招标人所有，投标人不得擅自处置。</w:t>
      </w:r>
    </w:p>
    <w:p>
      <w:pPr>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360" w:lineRule="auto"/>
        <w:ind w:left="363" w:leftChars="0" w:hanging="363" w:firstLineChars="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因投标人自身原因造成的返工、超量、质量整改，不予计量且不免除投标人责任。</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9.3</w:t>
      </w:r>
      <w:r>
        <w:rPr>
          <w:rFonts w:hint="eastAsia" w:ascii="宋体" w:hAnsi="宋体" w:eastAsia="宋体" w:cs="宋体"/>
          <w:b w:val="0"/>
          <w:bCs w:val="0"/>
          <w:sz w:val="24"/>
          <w:szCs w:val="24"/>
        </w:rPr>
        <w:t>工程价款支付</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color w:val="auto"/>
          <w:kern w:val="0"/>
          <w:sz w:val="24"/>
          <w:highlight w:val="none"/>
          <w:lang w:val="en-US" w:eastAsia="zh-CN"/>
          <w14:ligatures w14:val="none"/>
        </w:rPr>
        <w:t>投标人完成合同约定的全部工作内容，经招标人验收合格并签署验收报告，投标人向招标人提交全额增值税专用发票及相关支持文件，招标人审核无误后45日内向投标人支付合同完工/结算金额的97%，</w:t>
      </w:r>
      <w:r>
        <w:rPr>
          <w:rFonts w:hint="eastAsia" w:ascii="宋体" w:hAnsi="宋体" w:eastAsia="宋体" w:cs="宋体"/>
          <w:b w:val="0"/>
          <w:bCs w:val="0"/>
          <w:sz w:val="24"/>
          <w:szCs w:val="24"/>
          <w:highlight w:val="none"/>
          <w:lang w:val="en-US" w:eastAsia="zh-CN"/>
        </w:rPr>
        <w:t>如付款到期日为非银行工作日，则付款到期日顺延至下一个银行工作日。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 xml:space="preserve">9.4 </w:t>
      </w:r>
      <w:r>
        <w:rPr>
          <w:rFonts w:hint="eastAsia" w:ascii="宋体" w:hAnsi="宋体" w:eastAsia="宋体" w:cs="宋体"/>
          <w:b w:val="0"/>
          <w:bCs w:val="0"/>
          <w:sz w:val="24"/>
          <w:szCs w:val="24"/>
          <w:highlight w:val="none"/>
        </w:rPr>
        <w:t>质量保证金</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firstLine="480" w:firstLineChars="200"/>
        <w:textAlignment w:val="auto"/>
        <w:rPr>
          <w:rFonts w:hint="eastAsia" w:ascii="宋体" w:hAnsi="宋体" w:eastAsia="宋体" w:cs="宋体"/>
          <w:b w:val="0"/>
          <w:bCs w:val="0"/>
          <w:sz w:val="24"/>
          <w:szCs w:val="24"/>
          <w:highlight w:val="none"/>
          <w:lang w:val="en-US" w:eastAsia="zh-CN"/>
        </w:rPr>
      </w:pPr>
      <w:r>
        <w:rPr>
          <w:rFonts w:hint="eastAsia" w:ascii="宋体" w:hAnsi="宋体" w:eastAsia="宋体" w:cs="宋体"/>
          <w:color w:val="auto"/>
          <w:kern w:val="0"/>
          <w:sz w:val="24"/>
          <w:highlight w:val="none"/>
          <w:lang w:val="en-US" w:eastAsia="zh-CN"/>
          <w14:ligatures w14:val="none"/>
        </w:rPr>
        <w:t>完工/结算金额的</w:t>
      </w:r>
      <w:r>
        <w:rPr>
          <w:rFonts w:hint="eastAsia" w:ascii="宋体" w:hAnsi="宋体" w:eastAsia="宋体" w:cs="宋体"/>
          <w:b w:val="0"/>
          <w:bCs w:val="0"/>
          <w:sz w:val="24"/>
          <w:szCs w:val="24"/>
          <w:highlight w:val="none"/>
          <w:lang w:val="en-US" w:eastAsia="zh-CN"/>
        </w:rPr>
        <w:t>的3%作为质保金，质保期12个月（自竣工验收合格之日起算）；质保期满无质量问题、无未处理保修事项，无息一次性付清。</w:t>
      </w:r>
    </w:p>
    <w:p>
      <w:pPr>
        <w:pStyle w:val="3"/>
        <w:keepNext w:val="0"/>
        <w:keepLines w:val="0"/>
        <w:widowControl/>
        <w:suppressLineNumbers w:val="0"/>
        <w:rPr>
          <w:rFonts w:hint="eastAsia" w:ascii="宋体" w:hAnsi="宋体" w:eastAsia="宋体" w:cs="宋体"/>
          <w:b w:val="0"/>
          <w:bCs w:val="0"/>
          <w:spacing w:val="0"/>
          <w:sz w:val="24"/>
          <w:szCs w:val="24"/>
          <w:lang w:val="en-US" w:eastAsia="en-US" w:bidi="ar-SA"/>
        </w:rPr>
      </w:pPr>
      <w:r>
        <w:rPr>
          <w:rFonts w:hint="eastAsia" w:ascii="宋体" w:hAnsi="宋体" w:eastAsia="宋体" w:cs="宋体"/>
          <w:b w:val="0"/>
          <w:bCs w:val="0"/>
          <w:spacing w:val="0"/>
          <w:sz w:val="24"/>
          <w:szCs w:val="24"/>
          <w:lang w:val="en-US" w:eastAsia="zh-CN" w:bidi="ar-SA"/>
        </w:rPr>
        <w:t xml:space="preserve">9.5 </w:t>
      </w:r>
      <w:r>
        <w:rPr>
          <w:rFonts w:hint="eastAsia" w:ascii="宋体" w:hAnsi="宋体" w:eastAsia="宋体" w:cs="宋体"/>
          <w:b w:val="0"/>
          <w:bCs w:val="0"/>
          <w:spacing w:val="0"/>
          <w:sz w:val="24"/>
          <w:szCs w:val="24"/>
          <w:lang w:val="en-US" w:eastAsia="en-US" w:bidi="ar-SA"/>
        </w:rPr>
        <w:t>结算资料要求</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pacing w:val="0"/>
          <w:sz w:val="24"/>
          <w:szCs w:val="24"/>
          <w:lang w:val="en-US" w:eastAsia="en-US" w:bidi="ar-SA"/>
        </w:rPr>
      </w:pPr>
      <w:r>
        <w:rPr>
          <w:rFonts w:hint="eastAsia" w:ascii="宋体" w:hAnsi="宋体" w:eastAsia="宋体" w:cs="宋体"/>
          <w:b w:val="0"/>
          <w:bCs w:val="0"/>
          <w:spacing w:val="0"/>
          <w:sz w:val="24"/>
          <w:szCs w:val="24"/>
          <w:lang w:val="en-US" w:eastAsia="en-US" w:bidi="ar-SA"/>
        </w:rPr>
        <w:t>工程完工后 30 日内，</w:t>
      </w:r>
      <w:r>
        <w:rPr>
          <w:rFonts w:hint="eastAsia" w:ascii="宋体" w:hAnsi="宋体" w:eastAsia="宋体" w:cs="宋体"/>
          <w:b w:val="0"/>
          <w:bCs w:val="0"/>
          <w:spacing w:val="0"/>
          <w:sz w:val="24"/>
          <w:szCs w:val="24"/>
          <w:lang w:val="en-US" w:eastAsia="zh-CN" w:bidi="ar-SA"/>
        </w:rPr>
        <w:t>投标方</w:t>
      </w:r>
      <w:r>
        <w:rPr>
          <w:rFonts w:hint="eastAsia" w:ascii="宋体" w:hAnsi="宋体" w:eastAsia="宋体" w:cs="宋体"/>
          <w:b w:val="0"/>
          <w:bCs w:val="0"/>
          <w:spacing w:val="0"/>
          <w:sz w:val="24"/>
          <w:szCs w:val="24"/>
          <w:lang w:val="en-US" w:eastAsia="en-US" w:bidi="ar-SA"/>
        </w:rPr>
        <w:t xml:space="preserve">提交完整结算资料，包括但不限于： </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spacing w:val="0"/>
          <w:sz w:val="24"/>
          <w:szCs w:val="24"/>
          <w:lang w:val="en-US" w:eastAsia="zh-CN" w:bidi="ar-SA"/>
        </w:rPr>
      </w:pPr>
      <w:r>
        <w:rPr>
          <w:rFonts w:hint="eastAsia" w:ascii="宋体" w:hAnsi="宋体" w:eastAsia="宋体" w:cs="宋体"/>
          <w:b w:val="0"/>
          <w:bCs w:val="0"/>
          <w:spacing w:val="0"/>
          <w:sz w:val="24"/>
          <w:szCs w:val="24"/>
          <w:lang w:val="en-US" w:eastAsia="zh-CN" w:bidi="ar-SA"/>
        </w:rPr>
        <w:t>完工报告</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pacing w:val="0"/>
          <w:sz w:val="24"/>
          <w:szCs w:val="24"/>
          <w:lang w:val="en-US" w:eastAsia="zh-CN" w:bidi="ar-SA"/>
        </w:rPr>
      </w:pPr>
      <w:r>
        <w:rPr>
          <w:rFonts w:hint="eastAsia" w:ascii="宋体" w:hAnsi="宋体" w:eastAsia="宋体" w:cs="宋体"/>
          <w:b w:val="0"/>
          <w:bCs w:val="0"/>
          <w:spacing w:val="0"/>
          <w:sz w:val="24"/>
          <w:szCs w:val="24"/>
          <w:lang w:val="en-US" w:eastAsia="zh-CN" w:bidi="ar-SA"/>
        </w:rPr>
        <w:t>结算书（含汇总表、分项明细表）；</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pacing w:val="0"/>
          <w:sz w:val="24"/>
          <w:szCs w:val="24"/>
          <w:lang w:val="en-US" w:eastAsia="zh-CN" w:bidi="ar-SA"/>
        </w:rPr>
      </w:pPr>
      <w:r>
        <w:rPr>
          <w:rFonts w:hint="eastAsia" w:ascii="宋体" w:hAnsi="宋体" w:eastAsia="宋体" w:cs="宋体"/>
          <w:b w:val="0"/>
          <w:bCs w:val="0"/>
          <w:spacing w:val="0"/>
          <w:sz w:val="24"/>
          <w:szCs w:val="24"/>
          <w:lang w:val="en-US" w:eastAsia="zh-CN" w:bidi="ar-SA"/>
        </w:rPr>
        <w:t>工程量计算书；</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pacing w:val="0"/>
          <w:sz w:val="24"/>
          <w:szCs w:val="24"/>
          <w:lang w:val="en-US" w:eastAsia="zh-CN" w:bidi="ar-SA"/>
        </w:rPr>
      </w:pPr>
      <w:r>
        <w:rPr>
          <w:rFonts w:hint="eastAsia" w:ascii="宋体" w:hAnsi="宋体" w:eastAsia="宋体" w:cs="宋体"/>
          <w:b w:val="0"/>
          <w:bCs w:val="0"/>
          <w:spacing w:val="0"/>
          <w:sz w:val="24"/>
          <w:szCs w:val="24"/>
          <w:lang w:val="en-US" w:eastAsia="zh-CN" w:bidi="ar-SA"/>
        </w:rPr>
        <w:t>设计变更单、现场签证单及支撑附件；</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pacing w:val="0"/>
          <w:sz w:val="24"/>
          <w:szCs w:val="24"/>
          <w:lang w:val="en-US" w:eastAsia="zh-CN" w:bidi="ar-SA"/>
        </w:rPr>
      </w:pPr>
      <w:r>
        <w:rPr>
          <w:rFonts w:hint="eastAsia" w:ascii="宋体" w:hAnsi="宋体" w:eastAsia="宋体" w:cs="宋体"/>
          <w:b w:val="0"/>
          <w:bCs w:val="0"/>
          <w:spacing w:val="0"/>
          <w:sz w:val="24"/>
          <w:szCs w:val="24"/>
          <w:lang w:val="en-US" w:eastAsia="zh-CN" w:bidi="ar-SA"/>
        </w:rPr>
        <w:t>各分项验收记录、竣工验收材料；</w:t>
      </w:r>
    </w:p>
    <w:p>
      <w:pPr>
        <w:pStyle w:val="3"/>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pacing w:val="0"/>
          <w:sz w:val="24"/>
          <w:szCs w:val="24"/>
          <w:lang w:val="en-US" w:eastAsia="zh-CN" w:bidi="ar-SA"/>
        </w:rPr>
      </w:pPr>
      <w:r>
        <w:rPr>
          <w:rFonts w:hint="eastAsia" w:ascii="宋体" w:hAnsi="宋体" w:eastAsia="宋体" w:cs="宋体"/>
          <w:b w:val="0"/>
          <w:bCs w:val="0"/>
          <w:spacing w:val="0"/>
          <w:sz w:val="24"/>
          <w:szCs w:val="24"/>
          <w:lang w:val="en-US" w:eastAsia="zh-CN" w:bidi="ar-SA"/>
        </w:rPr>
        <w:t>合同；</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default" w:ascii="宋体" w:hAnsi="宋体" w:cs="宋体"/>
          <w:sz w:val="24"/>
          <w:szCs w:val="24"/>
          <w:lang w:val="en-US" w:eastAsia="zh-CN"/>
        </w:rPr>
      </w:pPr>
      <w:r>
        <w:rPr>
          <w:rFonts w:hint="eastAsia" w:ascii="宋体" w:hAnsi="宋体" w:eastAsia="宋体" w:cs="宋体"/>
          <w:b w:val="0"/>
          <w:bCs w:val="0"/>
          <w:sz w:val="24"/>
          <w:szCs w:val="24"/>
          <w:lang w:val="en-US" w:eastAsia="zh-CN"/>
        </w:rPr>
        <w:t>结算资料签字盖章不齐全、支撑依据不充分的，招标人有权退回补报，审核周期相应顺延。</w:t>
      </w:r>
    </w:p>
    <w:p>
      <w:pPr>
        <w:pStyle w:val="20"/>
        <w:widowControl w:val="0"/>
        <w:numPr>
          <w:ilvl w:val="0"/>
          <w:numId w:val="0"/>
        </w:numPr>
        <w:spacing w:line="360" w:lineRule="auto"/>
        <w:rPr>
          <w:rFonts w:hint="default" w:ascii="宋体" w:hAnsi="宋体" w:cs="宋体"/>
          <w:sz w:val="24"/>
          <w:szCs w:val="24"/>
          <w:lang w:val="en-US" w:eastAsia="zh-CN"/>
        </w:rPr>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AndChars" w:linePitch="312" w:charSpace="0"/>
        </w:sectPr>
      </w:pPr>
    </w:p>
    <w:p>
      <w:pPr>
        <w:pStyle w:val="9"/>
        <w:rPr>
          <w:rFonts w:hint="eastAsia" w:ascii="宋体" w:hAnsi="宋体" w:eastAsia="宋体" w:cs="宋体"/>
          <w:sz w:val="24"/>
          <w:szCs w:val="24"/>
          <w:lang w:eastAsia="zh-CN"/>
        </w:rPr>
      </w:pPr>
    </w:p>
    <w:p>
      <w:pPr>
        <w:pStyle w:val="2"/>
        <w:rPr>
          <w:rFonts w:hint="eastAsia" w:ascii="宋体" w:hAnsi="宋体" w:eastAsia="宋体" w:cs="宋体"/>
          <w:lang w:eastAsia="zh-CN"/>
        </w:rPr>
      </w:pPr>
      <w:bookmarkStart w:id="123" w:name="_Toc201592056"/>
      <w:r>
        <w:rPr>
          <w:rFonts w:hint="eastAsia" w:ascii="宋体" w:hAnsi="宋体" w:eastAsia="宋体" w:cs="宋体"/>
          <w:lang w:eastAsia="zh-CN"/>
        </w:rPr>
        <w:t>附件一</w:t>
      </w:r>
      <w:bookmarkEnd w:id="123"/>
      <w:r>
        <w:rPr>
          <w:rFonts w:hint="eastAsia" w:ascii="宋体" w:hAnsi="宋体" w:eastAsia="宋体" w:cs="宋体"/>
          <w:lang w:eastAsia="zh-CN"/>
        </w:rPr>
        <w:t>：工作量清单</w:t>
      </w:r>
    </w:p>
    <w:p>
      <w:pPr>
        <w:pStyle w:val="6"/>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注：“工程量清单中除招标人明确备注提供的设备及材料外，其他材料、设备均由投标人提供“</w:t>
      </w:r>
      <w:r>
        <w:rPr>
          <w:rFonts w:hint="eastAsia" w:ascii="宋体" w:hAnsi="宋体" w:eastAsia="宋体" w:cs="宋体"/>
          <w:lang w:eastAsia="zh-CN"/>
        </w:rPr>
        <w:t>）</w:t>
      </w:r>
    </w:p>
    <w:p>
      <w:pPr>
        <w:pStyle w:val="6"/>
        <w:rPr>
          <w:rFonts w:hint="eastAsia" w:ascii="宋体" w:hAnsi="宋体" w:eastAsia="宋体" w:cs="宋体"/>
          <w:lang w:eastAsia="zh-CN"/>
        </w:rPr>
      </w:pPr>
    </w:p>
    <w:tbl>
      <w:tblPr>
        <w:tblStyle w:val="14"/>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0"/>
        <w:gridCol w:w="3495"/>
        <w:gridCol w:w="2756"/>
        <w:gridCol w:w="3046"/>
        <w:gridCol w:w="931"/>
        <w:gridCol w:w="1052"/>
        <w:gridCol w:w="19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0"/>
                <w:szCs w:val="20"/>
                <w:u w:val="none"/>
                <w:lang w:val="en-US" w:eastAsia="zh-CN" w:bidi="ar"/>
              </w:rPr>
            </w:pPr>
            <w:r>
              <w:rPr>
                <w:rFonts w:hint="eastAsia" w:ascii="宋体" w:hAnsi="宋体" w:eastAsia="宋体" w:cs="宋体"/>
                <w:b/>
                <w:i w:val="0"/>
                <w:iCs w:val="0"/>
                <w:color w:val="000000"/>
                <w:kern w:val="0"/>
                <w:sz w:val="20"/>
                <w:szCs w:val="20"/>
                <w:u w:val="none"/>
                <w:lang w:val="en-US" w:eastAsia="zh-CN" w:bidi="ar"/>
              </w:rPr>
              <w:t>序号</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0"/>
                <w:szCs w:val="20"/>
                <w:u w:val="none"/>
                <w:lang w:val="en-US" w:eastAsia="zh-CN" w:bidi="ar"/>
              </w:rPr>
            </w:pPr>
            <w:r>
              <w:rPr>
                <w:rFonts w:hint="eastAsia" w:ascii="宋体" w:hAnsi="宋体" w:eastAsia="宋体" w:cs="宋体"/>
                <w:b/>
                <w:i w:val="0"/>
                <w:iCs w:val="0"/>
                <w:color w:val="000000"/>
                <w:kern w:val="0"/>
                <w:sz w:val="20"/>
                <w:szCs w:val="20"/>
                <w:u w:val="none"/>
                <w:lang w:val="en-US" w:eastAsia="zh-CN" w:bidi="ar"/>
              </w:rPr>
              <w:t>施工名称</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宋体" w:hAnsi="宋体" w:eastAsia="宋体" w:cs="宋体"/>
                <w:b/>
                <w:i w:val="0"/>
                <w:iCs w:val="0"/>
                <w:color w:val="000000"/>
                <w:sz w:val="20"/>
                <w:szCs w:val="20"/>
                <w:u w:val="none"/>
                <w:lang w:val="en-US" w:eastAsia="zh-CN"/>
              </w:rPr>
            </w:pPr>
            <w:r>
              <w:rPr>
                <w:rFonts w:hint="eastAsia" w:ascii="宋体" w:hAnsi="宋体" w:eastAsia="宋体" w:cs="宋体"/>
                <w:b/>
                <w:i w:val="0"/>
                <w:iCs w:val="0"/>
                <w:color w:val="000000"/>
                <w:sz w:val="20"/>
                <w:szCs w:val="20"/>
                <w:u w:val="none"/>
                <w:lang w:val="en-US" w:eastAsia="zh-CN"/>
              </w:rPr>
              <w:t>规格参数</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center"/>
              <w:rPr>
                <w:rFonts w:hint="eastAsia" w:ascii="宋体" w:hAnsi="宋体" w:eastAsia="宋体" w:cs="宋体"/>
                <w:b/>
                <w:i w:val="0"/>
                <w:iCs w:val="0"/>
                <w:color w:val="000000"/>
                <w:sz w:val="20"/>
                <w:szCs w:val="20"/>
                <w:u w:val="none"/>
                <w:lang w:val="en-US" w:eastAsia="zh-CN"/>
              </w:rPr>
            </w:pPr>
            <w:r>
              <w:rPr>
                <w:rFonts w:hint="eastAsia" w:ascii="宋体" w:hAnsi="宋体" w:eastAsia="宋体" w:cs="宋体"/>
                <w:b/>
                <w:i w:val="0"/>
                <w:iCs w:val="0"/>
                <w:color w:val="000000"/>
                <w:sz w:val="20"/>
                <w:szCs w:val="20"/>
                <w:u w:val="none"/>
                <w:lang w:val="en-US" w:eastAsia="zh-CN"/>
              </w:rPr>
              <w:t>施工内容</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0"/>
                <w:szCs w:val="20"/>
                <w:u w:val="none"/>
                <w:lang w:val="en-US" w:eastAsia="zh-CN" w:bidi="ar"/>
              </w:rPr>
            </w:pPr>
            <w:r>
              <w:rPr>
                <w:rFonts w:hint="eastAsia" w:ascii="宋体" w:hAnsi="宋体" w:eastAsia="宋体" w:cs="宋体"/>
                <w:b/>
                <w:i w:val="0"/>
                <w:iCs w:val="0"/>
                <w:color w:val="000000"/>
                <w:kern w:val="0"/>
                <w:sz w:val="20"/>
                <w:szCs w:val="20"/>
                <w:u w:val="none"/>
                <w:lang w:val="en-US" w:eastAsia="zh-CN" w:bidi="ar"/>
              </w:rPr>
              <w:t>单位</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0"/>
                <w:szCs w:val="20"/>
                <w:u w:val="none"/>
                <w:lang w:val="en-US" w:eastAsia="zh-CN" w:bidi="ar"/>
              </w:rPr>
            </w:pPr>
            <w:r>
              <w:rPr>
                <w:rFonts w:hint="eastAsia" w:ascii="宋体" w:hAnsi="宋体" w:eastAsia="宋体" w:cs="宋体"/>
                <w:b/>
                <w:i w:val="0"/>
                <w:iCs w:val="0"/>
                <w:color w:val="000000"/>
                <w:kern w:val="0"/>
                <w:sz w:val="20"/>
                <w:szCs w:val="20"/>
                <w:u w:val="none"/>
                <w:lang w:val="en-US" w:eastAsia="zh-CN" w:bidi="ar"/>
              </w:rPr>
              <w:t>数量</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center"/>
              <w:rPr>
                <w:rFonts w:hint="eastAsia" w:ascii="宋体" w:hAnsi="宋体" w:eastAsia="宋体" w:cs="宋体"/>
                <w:b/>
                <w:i w:val="0"/>
                <w:iCs w:val="0"/>
                <w:color w:val="000000"/>
                <w:sz w:val="20"/>
                <w:szCs w:val="20"/>
                <w:u w:val="none"/>
                <w:lang w:val="en-US" w:eastAsia="zh-CN"/>
              </w:rPr>
            </w:pPr>
            <w:r>
              <w:rPr>
                <w:rFonts w:hint="eastAsia" w:ascii="宋体" w:hAnsi="宋体" w:eastAsia="宋体" w:cs="宋体"/>
                <w:b/>
                <w:i w:val="0"/>
                <w:iCs w:val="0"/>
                <w:color w:val="000000"/>
                <w:sz w:val="20"/>
                <w:szCs w:val="20"/>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铁碳微电解单元安装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eastAsia="zh-CN"/>
              </w:rPr>
              <w:t>设备卸车、倒运、设备吊车就位、设备安装调平找正、设备固定、单机调试、仪表调试、系统联调。为方便运输或防止在运输中部分部件破坏，部分仪表设备、管线或爬梯护栏发货前会拆除，投标人负责施工现场的安装工作。</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芬顿氧化单元安装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eastAsia="zh-CN"/>
              </w:rPr>
              <w:t>设备卸车、倒运、设备吊车就位、设备安装调平找正、设备固定、单机调试、仪表调试、系统联调。为方便运输或防止在运输中部分部件破坏，部分仪表设备、管线或爬梯护栏发货前会拆除，投标人负责施工现场的安装工作。</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超滤单元安装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卸车、倒运、设备吊车就位、设备安装调平找正、设备固定、单机调试、仪表调试、系统联调。为方便运输或防止在运输中部分部件破坏，部分仪表设备、管线或爬梯护栏发货前会拆除，投标人负责施工现场的安装工作。</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1.吊装就位2.安装找正，设备地脚螺栓固定3.电缆接线4.进出口管线配对5.安装调试6.保温7.提供安装所需填料函、螺栓、变径、保温铝皮、保温棉等材料。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水泵移位</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旧水泵拆除，新位置安装</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1.旧设备拆除2.吊装就位3.安装找正，设备地脚螺栓固定4.安装调试5.保温6.提供安装所需填料函、螺栓、变径、保温铝皮、保温棉等材料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利旧，</w:t>
            </w: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计量泵安装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1.设备搬运2.安装找正，设备地脚螺栓固定3.电缆接线4.进出口管线配对5.安装调试6.保温7.提供安装所需填料函、螺栓、变径等材料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风机安装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1.吊装就位2.安装找正，设备地脚螺栓固定3.安装调试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进水换热器安装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1.吊装就位2.安装找正，设备地脚螺栓固定3.安装调试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进水缓冲罐安装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1.吊装就位2.安装找正，设备地脚螺栓固定3.安装调试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制冷机组安装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1.吊装就位2.安装找正，设备地脚螺栓固定3.安装调试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潜污泵安装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1.吊装就位2.安装下放至污水池3.附属管线安装配管4.设备链条固定。</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池内清理清淤</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1.排空池体内污水2.采用水泵对池内进行抽吸3.抽吸完毕后采用高压水枪冲洗</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按实际清淤量计算，投标人自行配套清淤所需设备机具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曝气盘安装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池内放线定位、基础面清理整平；2. 曝气盘底座固定安装；3. 曝气盘本体装配、接口密封紧固；4. 支管与曝气盘对接连接；5. 单组通气密封性测试；6. 全池曝气均匀性调试。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生化池内曝气管安装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池内放线定位、管道支吊架制作安装；2. 管材下料、坡口加工、组对连接；3. 管道水平度调整、管卡加固固定；4. 管道气密性试验；5. 系统吹扫冲洗；6. 整体曝气均匀性联调。</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臭氧缓冲池安装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设备卸车、场内倒运；2. 基础验收、放线定位；3. 设备吊装就位、找平找正；4. 设备支座固定、焊接加固；5. 进出口管线及附件配对连接；6. 配套仪表安装；7. 单机试运转、系统联调。8.池体保温。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生化进水缓冲罐安装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罐体卸车、场内倒运；2. 基础验收、放线定位；3. 罐体吊装就位、找平找正；4. 罐体支座固定、焊接加固；5. 进出口管线、附件配对连接；6. 液位仪表等附属部件安装；7. 充水试漏、单机调试、系统联调。8.罐体保温。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臭氧尾气破坏装置</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设备卸车、场内倒运；2. 基础放线、设备支架制作安装；3. 主机吊装就位、找平找正；4. 设备固定、接地连接；5. 进出口风管、管线密封连接；6. 电气接线与仪表回路连接；7. 单机试运行、尾气处理效果调试、系统联调。</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催化剂安装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池内杂物清理、吹扫干净；2. 支撑格栅平整度、承载力检查验收；3. 催化剂分层装填、均匀布料找平；4. 装填过程颗粒筛分、避免破损粉化；5. 装填完毕后表面平整检查、人孔复位密封；6. 配合系统通气试运行调试。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m³</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催化剂支撑结构安装</w:t>
            </w:r>
          </w:p>
        </w:tc>
        <w:tc>
          <w:tcPr>
            <w:tcW w:w="972" w:type="pct"/>
            <w:tcBorders>
              <w:top w:val="nil"/>
              <w:left w:val="nil"/>
              <w:bottom w:val="nil"/>
              <w:right w:val="nil"/>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b/>
                <w:bCs/>
                <w:i w:val="0"/>
                <w:iCs w:val="0"/>
                <w:color w:val="000000"/>
                <w:sz w:val="20"/>
                <w:szCs w:val="24"/>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池体内部测量放线；2. 支撑梁、格栅板下料加工；3. 构件吊装就位、组对焊接固定；4. 支撑结构水平度、承载间距校核；5. 焊口打磨、防腐处理；6. 整体验收、配合催化剂装填作业。</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臭氧系统管线安装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管线放线定位、支吊架安装；2. 管道下料、坡口加工、组对焊接；3. 焊缝无损检测、焊口防腐处理；4. 管道压力试验、泄漏性试验；5. 管道吹扫、脱脂处理；6. 管道固定、介质流向标识标注；7. 配合系统联动调试。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砂滤填料安装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6个罐体原填料清理拆除，新砂滤填料安装</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滤罐人孔拆除、内部杂物清理；2. 旧填料掏挖、装袋清运出场；3. 滤帽、承托层检查与修整；4. 新填料按级配分层装填、逐层找平夯实；5. 装填完毕后正洗、反洗调试；6. 滤罐复位、密封性能检查。</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铁碳填料安装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铁碳微电解反应器内部清理验收；2. 承托层检查整理；3. 铁碳填料分层装填、均匀布料；4. 装填厚度与表面平整度校核；5. 装填完毕后封孔、浸水活化；6. 配合通水调试。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溶解氧在线检测仪安装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en-US" w:bidi="ar"/>
              </w:rPr>
            </w:pPr>
            <w:r>
              <w:rPr>
                <w:rFonts w:hint="eastAsia" w:ascii="宋体" w:hAnsi="宋体" w:eastAsia="宋体" w:cs="宋体"/>
                <w:i w:val="0"/>
                <w:iCs w:val="0"/>
                <w:color w:val="000000"/>
                <w:kern w:val="0"/>
                <w:sz w:val="20"/>
                <w:szCs w:val="20"/>
                <w:u w:val="none"/>
                <w:lang w:val="en-US" w:eastAsia="zh-CN" w:bidi="ar"/>
              </w:rPr>
              <w:t>1、支架安装 2、设备安装；3、螺栓紧固；</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电磁流量计安装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en-US" w:bidi="ar"/>
              </w:rPr>
            </w:pPr>
            <w:r>
              <w:rPr>
                <w:rFonts w:hint="eastAsia" w:ascii="宋体" w:hAnsi="宋体" w:eastAsia="宋体" w:cs="宋体"/>
                <w:i w:val="0"/>
                <w:iCs w:val="0"/>
                <w:color w:val="000000"/>
                <w:kern w:val="0"/>
                <w:sz w:val="20"/>
                <w:szCs w:val="20"/>
                <w:u w:val="none"/>
                <w:lang w:val="en-US" w:eastAsia="zh-CN" w:bidi="ar"/>
              </w:rPr>
              <w:t>1.本体及附件安装;2.单体校验;3.校接线;4.回路调试、联调、直至竣工前的一切调试;5.设备侧电缆头制作安装;</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温度变送器安装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en-US" w:bidi="ar"/>
              </w:rPr>
            </w:pPr>
            <w:r>
              <w:rPr>
                <w:rFonts w:hint="eastAsia" w:ascii="宋体" w:hAnsi="宋体" w:eastAsia="宋体" w:cs="宋体"/>
                <w:i w:val="0"/>
                <w:iCs w:val="0"/>
                <w:color w:val="000000"/>
                <w:kern w:val="0"/>
                <w:sz w:val="20"/>
                <w:szCs w:val="20"/>
                <w:u w:val="none"/>
                <w:lang w:val="en-US" w:eastAsia="zh-CN" w:bidi="ar"/>
              </w:rPr>
              <w:t>1.取源部件配合安装;3.本体及附件安装;4.单体校验;5.校接线;6.回路调试、联调、直至竣工前的一切调试;7.设备侧电缆头制作安装;</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防爆配电箱安装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1.安装支架；2.本体安装；4.接地电阻测试；5.系统调试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防爆电控柜安装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1.本体安装；2.接地电阻测试；3.系统调试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设备招标人提供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低压盘开关改造安装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低压盘开关扩容改造</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停电验电、现场安全防护措施布置；2. 原有开关拆除、接线端子清理修整；3. 依据设计图纸，采购新开关就位安装、机械固定；4. 主回路及二次回路接线压接；5. 绝缘测试、接地导通测试；6. 分合闸试验、保护功能校验；7. 送电试运行、标识完善。8.投标人提供扩容改造所需的开关、端子等材料。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电伴热线安装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自控电伴热带\10QTVR2-CT\220V</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1、脚手架拆搭；</w:t>
            </w:r>
          </w:p>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2、延管线流程铺设；</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伴热带招标人提供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接地线铺设连接</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电线软铜导线，导线尺寸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≦10m2</w:t>
            </w: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1"/>
                <w:u w:val="none"/>
              </w:rPr>
            </w:pPr>
            <w:r>
              <w:rPr>
                <w:rFonts w:hint="eastAsia" w:ascii="宋体" w:hAnsi="宋体" w:eastAsia="宋体" w:cs="宋体"/>
                <w:i w:val="0"/>
                <w:iCs w:val="0"/>
                <w:color w:val="000000"/>
                <w:kern w:val="0"/>
                <w:sz w:val="20"/>
                <w:szCs w:val="21"/>
                <w:u w:val="none"/>
                <w:lang w:val="en-US" w:eastAsia="zh-CN" w:bidi="ar"/>
              </w:rPr>
              <w:t>中控DCS系统改造</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熟悉环保行业常用工艺流程，可以独立完成现场PLC和中控DCS SIS系统组态。 2、实现本地和中控DCS远程控制，实现本地和远程报警设置数据同步，手自动和本地远程无扰动切换 ，PID自动调节无扰动切换。 </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提供所需的开关量模拟量输入输出模块、端子排、通讯模块、防浪涌、通讯底座模块，具体以设计文件需求为准。 </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3、DCS系统因果图逻辑组态                                          4、配合现场常用变送器，气体探头，调节阀，电机等回路调试                                               5、现场其他设备通讯和采集                                  6、现场西门子,AB，GE等PLC工艺逻辑组态，modbus通讯组态，触摸屏调试                                                                                         7、施工期间全程参与调试和服务。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中控EDS系统改造</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熟悉环保行业常用工艺流程，可以独立完成现场PLC和中控DCS SIS EDS系统组态。 2、实现本地和中控EDS远程控制，实现本地和远程报警设置数据同步，手自动和本地远程无扰动切换 ，PID自动调节无扰动切换。 </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提供所需的开关量模拟量输入输出模块、端子排、通讯模块、防浪涌、通讯底座模块、 SIS继电器及底座。具体以设计文件需求为准。</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3、EDS系统联锁逻辑。                                         4、配合现场常用变送器，气体探头，调节阀，电机等回路调试                                               5、现场其他设备通讯和采集                                  6、现场西门子,AB，GE等PLC工艺逻辑组态，modbus通讯组态，触摸屏调试                                                                                         7、施工期间全程参与调试和服务。          </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cpvc管线安装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CL150 CPVC ASTM D 1784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Class 23447,ASTM F441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PE ,16bar</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1.管线切割，粘接.2.压力试验。3.管线吹扫冲洗。4.提供管线安装所需的胶水、法兰、活结、弯头、三通、堵头等辅助材料。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米 </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CPVC管材招标人提供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 SCH40S 316L ASME B36.19M</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酸洗、钝化、破口加工、管道组对焊接。2.焊缝NDT检测。3.压力试验、.泄漏性试验。4.管道吹扫冲洗。5.提供管线安装所需的切割设备、焊接、焊材、保护性气体、管箍、坡口打磨设备、膨胀螺栓、U型管卡、法兰、螺栓、弯头、三通、保温铝皮、保温棉</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SCH40S 316L ASME B36.19M</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酸洗、钝化、破口加工、管道组对焊接。2.焊缝NDT检测。3.压力试验、.泄漏性试验。4.管道吹扫冲洗。5.提供管线安装所需的切割设备、焊接、焊材、保护性气体、管箍、坡口打磨设备、膨胀螺栓、U型管卡、法兰、螺栓、弯头、三通、保温铝皮、保温棉</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 SCH40S 316L ASME B36.19M</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酸洗、钝化、破口加工、管道组对焊接。2.焊缝NDT检测。3.压力试验、.泄漏性试验。4.管道吹扫冲洗。5.提供管线安装所需的切割设备、焊接、焊材、保护性气体、管箍、坡口打磨设备、膨胀螺栓、U型管卡、法兰、螺栓、弯头、三通、保温铝皮、保温棉</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 5.54mm20#GALV.</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酸洗、钝化、破口加工、管道组对焊接。2.焊缝NDT检测。3.压力试验、.泄漏性试验。4.管道吹扫冲洗。5.提供管线安装所需的切割设备、焊接、焊材、保护性气体、管箍、坡口打磨设备、膨胀螺栓、U型管卡、法兰、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 5.54mm20#内涂塑</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1、管道预制安装；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2、管道支/吊架安装；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3、现场管线安装、组对、焊接，管段靠法兰连接；</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4、焊道探伤作业；</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5、系统管线试压；</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6、管线拆除，运送厂家镀塑；</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7、镀塑合格管线吊装并安装；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8、管线及焊道打磨、防腐；</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9、保温；</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10、提供管线安装所需的切割设备、焊接、焊材、保护性气体、管箍、坡口打磨设备、膨胀螺栓、U型管卡、法兰、螺栓、弯头、三通、保温铝皮、保温棉等材料。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招标人提供，管线需要投标人现场安装好后拆除出厂内涂塑后再安装。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7.62mm20#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酸洗、钝化、破口加工、管道组对焊接。2.焊缝NDT检测。3.压力试验、.泄漏性试验。4.管道吹扫冲洗。5.提供管线安装所需的切割设备、焊接、焊材、保护性气体、管箍、坡口打磨设备、膨胀螺栓、U型管卡、法兰、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7.62mm20#内涂塑</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1、管道预制安装；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2、管道支/吊架制作安装；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3、现场管线安装、组对、焊接，管段靠法兰连接；</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4、焊道探伤作业；</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5、系统管线试压；</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6、管线拆除，运送厂家镀塑；</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7、镀塑合格管线吊装并安装；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8、管线及焊道打磨、防腐；</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9、保温；</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10、提供管线安装所需的切割设备、焊接、焊材、保护性气体、管箍、坡口打磨设备、膨胀螺栓、U型管卡、法兰、螺栓、弯头、三通、保温铝皮、保温棉等材料。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招标人提供，管线需要投标人现场安装好后拆除出厂内涂塑后再安装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6.02mm20#内涂塑</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1、管道预制安装；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2、管道支/吊架制作安装；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3、现场管线安装、组对、焊接，管段靠法兰连接；</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4、焊道探伤作业；</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5、系统管线试压；</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6、管线拆除，运送厂家镀塑；</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7、镀塑合格管线吊装并安装；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8、管线及焊道打磨、防腐；</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9、保温；</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10、提供管线安装所需的切割设备、焊接、焊材、保护性气体、管箍、坡口打磨设备、膨胀螺栓、U型管卡、法兰、螺栓、弯头、三通、保温铝皮、保温棉等材料。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招标人提供，管线需要投标人现场安装好后拆除出厂内涂塑后再安装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7.11mm20#内涂塑</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1、管道预制安装；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2、管道支/吊架制作安装；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3、现场管线安装、组对、焊接，管段靠法兰连接；</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4、焊道探伤作业；</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5、系统管线试压；</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6、管线拆除，运送厂家镀塑；</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7、镀塑合格管线吊装并安装；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8、管线及焊道打磨、防腐；</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招标人提供，管线需要投标人现场安装好后拆除出厂内涂塑后再安装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 8.18mm20#内涂塑</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1、管道预制安装；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2、管道支/吊架制作安装；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3、现场管线安装、组对、焊接，管段靠法兰连接；</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4、焊道探伤作业；</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5、系统管线试压；</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6、管线拆除，运送厂家镀塑；</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7、镀塑合格管线吊装并安装；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8、管线及焊道打磨、防腐；</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招标人提供，管线需要投标人现场安装好后拆除出厂内涂塑后再安装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无缝钢管安装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 9.27mm20#内涂塑</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1、管道预制安装；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2、管道支/吊架安装；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3、现场管线安装、组对、焊接，管段靠法兰连接；</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4、焊道探伤作业；</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5、系统管线试压；</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6、管线拆除，运送厂家镀塑；</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7、镀塑合格管线吊装并安装；</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8、管线及焊道打磨、防腐；</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9、保温；</w:t>
            </w:r>
          </w:p>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10、提供管线安装所需的切割设备、焊接、焊材、保护性气体、管箍、坡口打磨设备、膨胀螺栓、U型管卡、法兰、螺栓、弯头、三通、保温铝皮、保温棉等材料。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招标人提供，管线需要投标人现场安装好后拆除出厂内涂塑后再安装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临时管线安装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涂塑临时管线拆装，螺栓紧固</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现场测量放线、临时支吊架制作安装；2. 涂塑管线下料切割、法兰组对连接；3. 螺栓紧固、接口密封处理；4. 临时管线水压试验、密封性检查；5. 施工周期内管线巡检维护；6. 工程完工后管线拆除、现场清理清运。</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批</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仪表镀锌管线安装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DN25×3.38  20#镀锌</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管线除锈、刷漆，等级Sa2.5。管道下料切割、套丝。2.管道吹扫冲洗。3.提供管线安装所需的切割设备、套丝、管箍、膨胀螺栓、U型管卡、直丝螺栓、弯头、三通、保温铝皮、保温棉等材料。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仪表镀锌管线安装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DN150×7.11  20#镀锌</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1.管线除锈、刷漆，等级Sa2.5。管道下料切割、套丝。2.管道吹扫冲洗。3.提供管线安装所需的切割设备、套丝、管箍、膨胀螺栓、U型管卡、直丝螺栓、弯头、三通、保温铝皮、保温棉等材料。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仪表镀锌管线安装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DN50-UA-05010-D2                                         </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1.管线除锈、刷漆，等级Sa2.5。管道下料切割、套丝。2.管道吹扫冲洗。3.提供管线安装所需的切割设备、套丝、管箍、膨胀螺栓、U型管卡、直丝螺栓、弯头、三通、保温铝皮、保温棉等材料。</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钢管</w:t>
            </w:r>
            <w:r>
              <w:rPr>
                <w:rFonts w:hint="eastAsia" w:ascii="宋体" w:hAnsi="宋体" w:eastAsia="宋体" w:cs="宋体"/>
                <w:i w:val="0"/>
                <w:iCs w:val="0"/>
                <w:color w:val="000000"/>
                <w:sz w:val="20"/>
                <w:szCs w:val="20"/>
                <w:u w:val="none"/>
                <w:lang w:val="en-US" w:eastAsia="zh-CN"/>
              </w:rPr>
              <w:t>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6"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 D371Xp-10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 D371Xp-6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D371Xp-10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D371Xp-6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D371Xp-10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D371Xp-6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D371Xp-10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D371Xp-6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 D371Xp-10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 D371Xp-6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Z45X-10-10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Z45X-6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Z45X-10-10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Z45X-6 PN0.6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 Q11F-10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 Q11F-10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 Q341F-10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Q341Y-16 PN1.6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 Q341F-10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 Q341F-10 PN1.0</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截止阀安装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 J41Y-16 PN1.6</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1、阀门检查检测、清理阀门杂物2、连接阀门（法兰、螺纹、焊接等）正确连接3、密闭性测试4、功能性检测5、保温</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钢构件平台、栏杆、踏步、格栅板、零星构件</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1、钢材规格：见图纸</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2、含制作、安装、螺栓锚固</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1.放样号料。2、切割下料。3、边缘及端部加工。4、组装焊接。5、矫正。6、焊口打磨酸洗钝化。5.焊口检测。6.检查基础。7.结构吊装.8.连接与固定：采用高强螺栓或焊接进行构件连接，确保连接牢固。</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主材H型钢、圆钢招标人提供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钢结构防腐</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1、喷砂除锈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2、底漆：无机硅酸锌+环氧富锌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3、中间漆：环氧云母氧化铁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4、耐酸碱型氟碳面漆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5、总厚度大于280um</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钢结构表面基层清理，去除油污、浮锈及杂物；2. 喷砂除锈施工，除锈等级达到 Sa2.5 级；3. 按工艺要求涂刷无机硅酸锌 + 环氧富锌底漆；4. 涂刷环氧云母氧化铁中间漆；5. 涂刷耐酸碱型氟碳面漆；6. 逐遍检测漆膜厚度，确保总厚度≥280μm；7. 成品保护、现场清理验收。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sz w:val="20"/>
                <w:szCs w:val="20"/>
                <w:u w:val="none"/>
                <w:lang w:val="en-US" w:eastAsia="zh-CN"/>
              </w:rPr>
              <w:t>油漆招标人提供，喷涂设备投标人自行配备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防水涂刷</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基础处理后，涂刷防水涂料</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基层表面清理、凹凸部位找平修补，阴阳角做圆弧过渡处理；2. 管根、阴阳角等细部节点附加层施工；3. 第一遍防水涂料均匀涂刷；4. 表干后第二遍防水涂料交叉涂刷，总厚度满足设计要求；5. 蓄水试验、防水层完整性验收；6. 成品防护。</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防火门安装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含制作、安装</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按图纸尺寸放样下料，门扇、门框加工制作；2. 防火芯材填充、面板压合定型；3. 现场洞口尺寸复核、基层处理；4. 门框就位找平找正、膨胀螺栓锚固固定；5. 门扇、合页装配，防火锁、闭门器等五金安装；6. 门框缝隙防火密封胶封堵；7. 启闭灵活性、密封性调试、成品保护。</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扇</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卷帘门安装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含制作、安装</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按洞口尺寸放样下料，帘片、导轨、卷轴加工制作；2. 现场洞口复核、支架预埋件处理；3. 导轨、卷轴支架安装固定；4. 帘片组装、传动机构安装调试；5. 电机及控制箱安装接线；6. 上下限位设定、启闭运行调试；7. 密封处理、成品保护、验收。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集气罩</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材质：镀锌钢板0.75mm;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尺寸：1200*1200*600mm</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按设计尺寸放样下料，镀锌钢板剪切折边成型；2. 集气罩本体拼接、加固肋焊接固定；3. 连接法兰加工制作；4. 现场定位放线、支架制作安装；5. 集气罩吊装就位、螺栓连接固定；6. 接口密封处理；7. 安装尺寸、外观验收。</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轴流风机安装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7500m³/h\280Pa\1.5KW\1750r/min</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设备卸车、场内倒运至安装点位；2. 基础验收、放线定位；3. 风机吊装就位、找平找正；4. 地脚螺栓固定、减振垫安装；5. 进出口风管对接密封；6. 电气接线、接地连接；7. 单机试运转、风量风压调试。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轴流风机安装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1500m³/h\200Pa\0.25KW\2900r/min</w:t>
            </w: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设备卸车、场内倒运至安装点位；2. 基础验收、放线定位；3. 风机吊装就位、找平找正；4. 固定安装、减振垫安装；5. 进出口风管对接密封；6. 电气接线、接地连接；7. 单机试运转、运行功能调试。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搅拌器安装</w:t>
            </w:r>
          </w:p>
        </w:tc>
        <w:tc>
          <w:tcPr>
            <w:tcW w:w="9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设备卸车、场内倒运至安装位置；2. 基础 / 预埋板验收复核、放线定位；3. 搅拌机架吊装就位、找平找正；4. 地脚螺栓固定、搅拌轴与电机同轴度校正；5. 机械密封检查、润滑油加注；6. 电气接线、接地连接；7. 空载试运转、带水负载调试。</w:t>
            </w:r>
          </w:p>
        </w:tc>
        <w:tc>
          <w:tcPr>
            <w:tcW w:w="32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3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材料招标人提供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23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仪表校准及回路调试</w:t>
            </w:r>
          </w:p>
        </w:tc>
        <w:tc>
          <w:tcPr>
            <w:tcW w:w="9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1"/>
                <w:u w:val="none"/>
              </w:rPr>
            </w:pPr>
          </w:p>
        </w:tc>
        <w:tc>
          <w:tcPr>
            <w:tcW w:w="10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 现场全部仪表单体精度校验、功能检测；2. 仪表接线检查、回路导通及绝缘测试；3. 模拟量、开关量信号回路联调；4. 仪表与 PLC/DCS 系统通讯与数据同步调试；5. 报警阈值、联锁逻辑回路功能测试；6. 全系统仪表联动调试、数据准确性核验；7. 整理校准调试记录、配合竣工验收。</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3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snapToGrid w:val="0"/>
              <w:ind w:left="0" w:leftChars="0" w:right="0" w:rightChars="0" w:firstLine="0" w:firstLineChars="0"/>
              <w:jc w:val="left"/>
              <w:rPr>
                <w:rFonts w:hint="eastAsia" w:ascii="宋体" w:hAnsi="宋体" w:eastAsia="宋体" w:cs="宋体"/>
                <w:i w:val="0"/>
                <w:iCs w:val="0"/>
                <w:color w:val="000000"/>
                <w:sz w:val="20"/>
                <w:szCs w:val="20"/>
                <w:u w:val="none"/>
              </w:rPr>
            </w:pPr>
          </w:p>
        </w:tc>
      </w:tr>
    </w:tbl>
    <w:p>
      <w:pPr>
        <w:pStyle w:val="6"/>
        <w:rPr>
          <w:rFonts w:hint="eastAsia" w:ascii="宋体" w:hAnsi="宋体" w:eastAsia="宋体" w:cs="宋体"/>
          <w:lang w:val="en-US" w:eastAsia="zh-CN"/>
        </w:rPr>
        <w:sectPr>
          <w:pgSz w:w="16838" w:h="11906" w:orient="landscape"/>
          <w:pgMar w:top="1797" w:right="1440" w:bottom="1797" w:left="1440" w:header="851" w:footer="992" w:gutter="0"/>
          <w:pgBorders>
            <w:top w:val="none" w:sz="0" w:space="0"/>
            <w:left w:val="none" w:sz="0" w:space="0"/>
            <w:bottom w:val="none" w:sz="0" w:space="0"/>
            <w:right w:val="none" w:sz="0" w:space="0"/>
          </w:pgBorders>
          <w:cols w:space="425" w:num="1"/>
          <w:docGrid w:type="linesAndChars" w:linePitch="312" w:charSpace="0"/>
        </w:sectPr>
      </w:pPr>
    </w:p>
    <w:p>
      <w:pPr>
        <w:pStyle w:val="6"/>
        <w:outlineLvl w:val="0"/>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lang w:val="en-US" w:eastAsia="zh-CN"/>
        </w:rPr>
        <w:t>附件二：</w:t>
      </w:r>
      <w:r>
        <w:rPr>
          <w:rFonts w:hint="eastAsia" w:ascii="宋体" w:hAnsi="宋体" w:eastAsia="宋体" w:cs="宋体"/>
          <w:b w:val="0"/>
          <w:color w:val="000000" w:themeColor="text1"/>
          <w:sz w:val="24"/>
          <w:szCs w:val="24"/>
          <w:highlight w:val="none"/>
          <w:lang w:val="en-US" w:eastAsia="zh-CN" w:bidi="ar-SA"/>
          <w14:textFill>
            <w14:solidFill>
              <w14:schemeClr w14:val="tx1"/>
            </w14:solidFill>
          </w14:textFill>
        </w:rPr>
        <w:t>拟清理池体清单</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2"/>
        <w:gridCol w:w="1227"/>
        <w:gridCol w:w="1386"/>
        <w:gridCol w:w="3251"/>
        <w:gridCol w:w="533"/>
        <w:gridCol w:w="533"/>
        <w:gridCol w:w="533"/>
        <w:gridCol w:w="5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trPr>
        <w:tc>
          <w:tcPr>
            <w:tcW w:w="8528" w:type="dxa"/>
            <w:gridSpan w:val="8"/>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绥中36-1原油处理厂污水处理系统优化提升项目工艺设备清单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5"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设备名称</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设备编号</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型号规格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材质</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1#水解酸化池</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TF-WP-0550</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池体尺寸（内壁）：  15x8x5.5m(长×宽×高)</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2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4#水解酸化池</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TF-WP-0549</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池体尺寸：  14x8x5.5m(长×宽×高)</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3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厌氧池-01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TF-WP-0543A</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单池尺寸：2x8x6.6m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2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4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缺氧池-01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TF-WP-0543B</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  5x8x6m</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总外形尺寸：5x8x6.6m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5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好氧池-01</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TF-WP-0543C</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单池尺寸（内壁）：15x8x6m</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总外形尺寸：15x8x6.6m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6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缺氧池-02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TF-WP-0545B</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  5x8x6m</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总外形尺寸：5x8x6.6m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7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好氧池-02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TF-WP-0545C</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单池尺寸（内壁）：12x8x6m</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总外形尺寸：12x8x6.6m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8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好氧池-02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TF-WP-0545D</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单池尺寸（内壁）：3x8x6m</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总外形尺寸：3x8x6.6m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9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沉淀池-02</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TF-WP-0543E</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  5.8x8x6m</w:t>
            </w:r>
            <w:r>
              <w:rPr>
                <w:rFonts w:hint="eastAsia" w:ascii="宋体" w:hAnsi="宋体" w:eastAsia="宋体" w:cs="宋体"/>
                <w:b w:val="0"/>
                <w:bCs w:val="0"/>
                <w:i w:val="0"/>
                <w:iCs w:val="0"/>
                <w:color w:val="000000"/>
                <w:kern w:val="0"/>
                <w:sz w:val="18"/>
                <w:szCs w:val="18"/>
                <w:u w:val="none"/>
                <w:lang w:val="en-US" w:eastAsia="zh-CN" w:bidi="ar"/>
              </w:rPr>
              <w:br w:type="textWrapping"/>
            </w:r>
            <w:r>
              <w:rPr>
                <w:rFonts w:hint="eastAsia" w:ascii="宋体" w:hAnsi="宋体" w:eastAsia="宋体" w:cs="宋体"/>
                <w:b w:val="0"/>
                <w:bCs w:val="0"/>
                <w:i w:val="0"/>
                <w:iCs w:val="0"/>
                <w:color w:val="000000"/>
                <w:kern w:val="0"/>
                <w:sz w:val="18"/>
                <w:szCs w:val="18"/>
                <w:u w:val="none"/>
                <w:lang w:val="en-US" w:eastAsia="zh-CN" w:bidi="ar"/>
              </w:rPr>
              <w:t>总外形尺寸：  5.8x8x6.6m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10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臭氧反应池</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TF-WP-0548</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  2.25x2.25x8m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2" w:hRule="atLeast"/>
        </w:trPr>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11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二级臭氧反应池</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TF-WP-0548A/B</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单池尺寸（内壁）：  2.25x2.25x8m</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钢砼</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个</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 xml:space="preserve">2 </w:t>
            </w:r>
          </w:p>
        </w:tc>
        <w:tc>
          <w:tcPr>
            <w:tcW w:w="0" w:type="auto"/>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r>
    </w:tbl>
    <w:p>
      <w:pPr>
        <w:pStyle w:val="6"/>
        <w:rPr>
          <w:rFonts w:hint="default" w:ascii="宋体" w:hAnsi="宋体" w:eastAsia="宋体" w:cs="宋体"/>
          <w:b w:val="0"/>
          <w:color w:val="000000" w:themeColor="text1"/>
          <w:sz w:val="24"/>
          <w:szCs w:val="24"/>
          <w:highlight w:val="none"/>
          <w:lang w:val="en-US" w:eastAsia="zh-CN" w:bidi="ar-SA"/>
          <w14:textFill>
            <w14:solidFill>
              <w14:schemeClr w14:val="tx1"/>
            </w14:solidFill>
          </w14:textFill>
        </w:rPr>
      </w:pPr>
    </w:p>
    <w:p>
      <w:pPr>
        <w:pStyle w:val="6"/>
        <w:rPr>
          <w:rFonts w:hint="eastAsia" w:ascii="宋体" w:hAnsi="宋体" w:eastAsia="宋体" w:cs="宋体"/>
          <w:lang w:eastAsia="zh-CN"/>
        </w:rPr>
      </w:pPr>
    </w:p>
    <w:p>
      <w:pPr>
        <w:pStyle w:val="6"/>
        <w:rPr>
          <w:rFonts w:hint="eastAsia" w:ascii="宋体" w:hAnsi="宋体" w:eastAsia="宋体" w:cs="宋体"/>
          <w:lang w:eastAsia="zh-CN"/>
        </w:rPr>
      </w:pPr>
    </w:p>
    <w:p>
      <w:pPr>
        <w:pStyle w:val="6"/>
        <w:rPr>
          <w:rFonts w:hint="eastAsia" w:ascii="宋体" w:hAnsi="宋体" w:eastAsia="宋体" w:cs="宋体"/>
          <w:lang w:eastAsia="zh-CN"/>
        </w:rPr>
      </w:pPr>
    </w:p>
    <w:p>
      <w:pPr>
        <w:rPr>
          <w:rFonts w:hint="eastAsia" w:ascii="宋体" w:hAnsi="宋体" w:eastAsia="宋体" w:cs="宋体"/>
        </w:rPr>
      </w:pPr>
    </w:p>
    <w:p>
      <w:pPr>
        <w:rPr>
          <w:rFonts w:hint="eastAsia" w:ascii="宋体" w:hAnsi="宋体" w:eastAsia="宋体" w:cs="宋体"/>
        </w:rPr>
      </w:pPr>
    </w:p>
    <w:p>
      <w:pPr>
        <w:pStyle w:val="7"/>
        <w:rPr>
          <w:rFonts w:hint="eastAsia" w:ascii="宋体" w:hAnsi="宋体" w:eastAsia="宋体" w:cs="宋体"/>
        </w:rPr>
      </w:pPr>
    </w:p>
    <w:p>
      <w:pPr>
        <w:rPr>
          <w:rFonts w:hint="eastAsia" w:ascii="宋体" w:hAnsi="宋体" w:eastAsia="宋体" w:cs="宋体"/>
        </w:rPr>
      </w:pPr>
    </w:p>
    <w:p>
      <w:pPr>
        <w:pStyle w:val="7"/>
        <w:rPr>
          <w:rFonts w:hint="eastAsia"/>
        </w:rPr>
      </w:pPr>
    </w:p>
    <w:p>
      <w:pPr>
        <w:pStyle w:val="7"/>
        <w:rPr>
          <w:rFonts w:hint="eastAsia" w:ascii="宋体" w:hAnsi="宋体" w:eastAsia="宋体" w:cs="宋体"/>
        </w:rPr>
      </w:pPr>
    </w:p>
    <w:p>
      <w:pPr>
        <w:rPr>
          <w:rFonts w:hint="eastAsia" w:ascii="宋体" w:hAnsi="宋体" w:eastAsia="宋体" w:cs="宋体"/>
        </w:rPr>
      </w:pPr>
    </w:p>
    <w:p>
      <w:pPr>
        <w:pStyle w:val="7"/>
        <w:rPr>
          <w:rFonts w:hint="eastAsia" w:ascii="宋体" w:hAnsi="宋体" w:eastAsia="宋体" w:cs="宋体"/>
        </w:rPr>
      </w:pPr>
    </w:p>
    <w:p>
      <w:pPr>
        <w:rPr>
          <w:rFonts w:hint="eastAsia" w:ascii="宋体" w:hAnsi="宋体" w:eastAsia="宋体" w:cs="宋体"/>
        </w:rPr>
      </w:pPr>
    </w:p>
    <w:p>
      <w:pPr>
        <w:pStyle w:val="7"/>
        <w:rPr>
          <w:rFonts w:hint="eastAsia" w:ascii="宋体" w:hAnsi="宋体" w:eastAsia="宋体" w:cs="宋体"/>
        </w:rPr>
      </w:pPr>
    </w:p>
    <w:p>
      <w:pPr>
        <w:pStyle w:val="7"/>
        <w:ind w:left="0" w:leftChars="0" w:firstLine="0" w:firstLineChars="0"/>
        <w:jc w:val="left"/>
        <w:outlineLvl w:val="0"/>
        <w:rPr>
          <w:rFonts w:hint="eastAsia" w:eastAsia="宋体"/>
          <w:lang w:val="en-US" w:eastAsia="zh-CN"/>
        </w:rPr>
      </w:pPr>
      <w:r>
        <w:rPr>
          <w:rFonts w:hint="eastAsia" w:eastAsia="宋体"/>
          <w:lang w:val="en-US" w:eastAsia="zh-CN"/>
        </w:rPr>
        <w:t>附件三：铁碳微电解处理装置成套设备主要设备明细表</w:t>
      </w:r>
    </w:p>
    <w:tbl>
      <w:tblPr>
        <w:tblStyle w:val="15"/>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7"/>
        <w:gridCol w:w="1088"/>
        <w:gridCol w:w="3962"/>
        <w:gridCol w:w="721"/>
        <w:gridCol w:w="745"/>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233" w:type="pct"/>
            <w:vAlign w:val="center"/>
          </w:tcPr>
          <w:p>
            <w:pPr>
              <w:pStyle w:val="51"/>
              <w:bidi w:val="0"/>
              <w:jc w:val="center"/>
              <w:rPr>
                <w:rFonts w:hint="eastAsia"/>
                <w:b/>
                <w:bCs/>
                <w:highlight w:val="none"/>
              </w:rPr>
            </w:pPr>
            <w:r>
              <w:rPr>
                <w:rFonts w:hint="eastAsia"/>
                <w:b/>
                <w:bCs/>
                <w:highlight w:val="none"/>
              </w:rPr>
              <w:t>序号</w:t>
            </w:r>
          </w:p>
        </w:tc>
        <w:tc>
          <w:tcPr>
            <w:tcW w:w="639" w:type="pct"/>
            <w:vAlign w:val="center"/>
          </w:tcPr>
          <w:p>
            <w:pPr>
              <w:pStyle w:val="51"/>
              <w:bidi w:val="0"/>
              <w:jc w:val="center"/>
              <w:rPr>
                <w:rFonts w:hint="eastAsia"/>
                <w:b/>
                <w:bCs/>
                <w:highlight w:val="none"/>
              </w:rPr>
            </w:pPr>
            <w:r>
              <w:rPr>
                <w:rFonts w:hint="eastAsia"/>
                <w:b/>
                <w:bCs/>
                <w:highlight w:val="none"/>
                <w:lang w:val="en-US" w:eastAsia="zh-CN"/>
              </w:rPr>
              <w:t>设备</w:t>
            </w:r>
            <w:r>
              <w:rPr>
                <w:rFonts w:hint="eastAsia"/>
                <w:b/>
                <w:bCs/>
                <w:highlight w:val="none"/>
              </w:rPr>
              <w:t>名称</w:t>
            </w:r>
          </w:p>
        </w:tc>
        <w:tc>
          <w:tcPr>
            <w:tcW w:w="2325" w:type="pct"/>
            <w:vAlign w:val="center"/>
          </w:tcPr>
          <w:p>
            <w:pPr>
              <w:pStyle w:val="51"/>
              <w:bidi w:val="0"/>
              <w:jc w:val="center"/>
              <w:rPr>
                <w:rFonts w:hint="default" w:eastAsia="宋体"/>
                <w:b/>
                <w:bCs/>
                <w:highlight w:val="none"/>
                <w:lang w:val="en-US" w:eastAsia="zh-CN"/>
              </w:rPr>
            </w:pPr>
            <w:r>
              <w:rPr>
                <w:rFonts w:hint="eastAsia"/>
                <w:b/>
                <w:bCs/>
                <w:highlight w:val="none"/>
                <w:lang w:val="en-US" w:eastAsia="zh-CN"/>
              </w:rPr>
              <w:t>设备</w:t>
            </w:r>
            <w:r>
              <w:rPr>
                <w:rFonts w:hint="eastAsia"/>
                <w:b/>
                <w:bCs/>
                <w:highlight w:val="none"/>
              </w:rPr>
              <w:t>规格</w:t>
            </w:r>
            <w:r>
              <w:rPr>
                <w:rFonts w:hint="eastAsia"/>
                <w:b/>
                <w:bCs/>
                <w:highlight w:val="none"/>
                <w:lang w:val="en-US" w:eastAsia="zh-CN"/>
              </w:rPr>
              <w:t>/技术要求</w:t>
            </w:r>
          </w:p>
        </w:tc>
        <w:tc>
          <w:tcPr>
            <w:tcW w:w="423" w:type="pct"/>
            <w:vAlign w:val="center"/>
          </w:tcPr>
          <w:p>
            <w:pPr>
              <w:pStyle w:val="51"/>
              <w:bidi w:val="0"/>
              <w:jc w:val="center"/>
              <w:rPr>
                <w:rFonts w:hint="eastAsia"/>
                <w:b/>
                <w:bCs/>
                <w:highlight w:val="none"/>
                <w:lang w:val="en-US" w:eastAsia="zh-CN"/>
              </w:rPr>
            </w:pPr>
            <w:r>
              <w:rPr>
                <w:rFonts w:hint="eastAsia"/>
                <w:b/>
                <w:bCs/>
                <w:highlight w:val="none"/>
                <w:lang w:val="en-US" w:eastAsia="zh-CN"/>
              </w:rPr>
              <w:t>单位</w:t>
            </w:r>
          </w:p>
        </w:tc>
        <w:tc>
          <w:tcPr>
            <w:tcW w:w="437" w:type="pct"/>
            <w:vAlign w:val="center"/>
          </w:tcPr>
          <w:p>
            <w:pPr>
              <w:pStyle w:val="51"/>
              <w:bidi w:val="0"/>
              <w:jc w:val="center"/>
              <w:rPr>
                <w:rFonts w:hint="eastAsia"/>
                <w:b/>
                <w:bCs/>
                <w:highlight w:val="none"/>
              </w:rPr>
            </w:pPr>
            <w:r>
              <w:rPr>
                <w:rFonts w:hint="eastAsia"/>
                <w:b/>
                <w:bCs/>
                <w:highlight w:val="none"/>
              </w:rPr>
              <w:t>数量</w:t>
            </w:r>
          </w:p>
        </w:tc>
        <w:tc>
          <w:tcPr>
            <w:tcW w:w="941" w:type="pct"/>
            <w:vAlign w:val="center"/>
          </w:tcPr>
          <w:p>
            <w:pPr>
              <w:pStyle w:val="51"/>
              <w:bidi w:val="0"/>
              <w:jc w:val="center"/>
              <w:rPr>
                <w:rFonts w:hint="eastAsia"/>
                <w:b/>
                <w:bCs/>
                <w:highlight w:val="none"/>
              </w:rPr>
            </w:pPr>
            <w:r>
              <w:rPr>
                <w:rFonts w:hint="eastAsia"/>
                <w:b/>
                <w:bCs/>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一</w:t>
            </w:r>
          </w:p>
        </w:tc>
        <w:tc>
          <w:tcPr>
            <w:tcW w:w="639" w:type="pct"/>
            <w:vAlign w:val="center"/>
          </w:tcPr>
          <w:p>
            <w:pPr>
              <w:pStyle w:val="51"/>
              <w:bidi w:val="0"/>
              <w:rPr>
                <w:rFonts w:hint="default"/>
                <w:highlight w:val="none"/>
                <w:lang w:val="en-US" w:eastAsia="zh-CN"/>
              </w:rPr>
            </w:pPr>
            <w:r>
              <w:rPr>
                <w:rFonts w:hint="eastAsia"/>
                <w:highlight w:val="none"/>
                <w:lang w:val="en-US" w:eastAsia="zh-CN"/>
              </w:rPr>
              <w:t>主设备</w:t>
            </w:r>
          </w:p>
        </w:tc>
        <w:tc>
          <w:tcPr>
            <w:tcW w:w="4127" w:type="pct"/>
            <w:gridSpan w:val="4"/>
            <w:vAlign w:val="center"/>
          </w:tcPr>
          <w:p>
            <w:pPr>
              <w:pStyle w:val="51"/>
              <w:bidi w:val="0"/>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管道混合器</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DN80</w:t>
            </w:r>
            <w:r>
              <w:rPr>
                <w:rFonts w:hint="eastAsia" w:ascii="宋体" w:hAnsi="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材质</w:t>
            </w:r>
            <w:r>
              <w:rPr>
                <w:rFonts w:hint="eastAsia" w:ascii="宋体" w:hAnsi="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 xml:space="preserve">UPVC </w:t>
            </w:r>
            <w:r>
              <w:rPr>
                <w:rFonts w:hint="eastAsia" w:ascii="宋体" w:hAnsi="宋体" w:cs="宋体"/>
                <w:kern w:val="0"/>
                <w:sz w:val="18"/>
                <w:szCs w:val="18"/>
                <w:highlight w:val="none"/>
                <w:lang w:val="en-US" w:eastAsia="zh-CN" w:bidi="ar"/>
              </w:rPr>
              <w:t>；实现污水与药剂的快速、均匀混合，混合效率≥90%，阻力损失小，安装便捷，适配现场管道工况，具备耐腐蚀、抗老化性能，使用寿命≥10 年。</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个</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在线 pH 自控系统</w:t>
            </w:r>
          </w:p>
        </w:tc>
        <w:tc>
          <w:tcPr>
            <w:tcW w:w="2325" w:type="pct"/>
            <w:vAlign w:val="center"/>
          </w:tcPr>
          <w:p>
            <w:pPr>
              <w:keepNext/>
              <w:keepLines w:val="0"/>
              <w:widowControl/>
              <w:suppressLineNumbers w:val="0"/>
              <w:snapToGrid w:val="0"/>
              <w:ind w:left="0" w:leftChars="0" w:right="0" w:rightChars="0" w:firstLine="0" w:firstLineChars="0"/>
              <w:jc w:val="left"/>
              <w:rPr>
                <w:rFonts w:hint="default"/>
                <w:highlight w:val="none"/>
                <w:lang w:val="en-US" w:eastAsia="zh-CN"/>
              </w:rPr>
            </w:pPr>
            <w:r>
              <w:rPr>
                <w:rFonts w:hint="eastAsia" w:ascii="宋体" w:hAnsi="宋体" w:eastAsia="宋体" w:cs="宋体"/>
                <w:kern w:val="0"/>
                <w:sz w:val="18"/>
                <w:szCs w:val="18"/>
                <w:highlight w:val="none"/>
                <w:lang w:val="en-US" w:eastAsia="zh-CN" w:bidi="ar"/>
              </w:rPr>
              <w:t>含在线 pH 计</w:t>
            </w:r>
            <w:r>
              <w:rPr>
                <w:rFonts w:hint="eastAsia" w:ascii="宋体" w:hAnsi="宋体" w:cs="宋体"/>
                <w:kern w:val="0"/>
                <w:sz w:val="18"/>
                <w:szCs w:val="18"/>
                <w:highlight w:val="none"/>
                <w:lang w:val="en-US" w:eastAsia="zh-CN" w:bidi="ar"/>
              </w:rPr>
              <w:t>，测量范围：0-14，测量精度：±0.02pH；</w:t>
            </w:r>
            <w:r>
              <w:rPr>
                <w:rFonts w:hint="default" w:ascii="宋体" w:hAnsi="宋体" w:cs="宋体"/>
                <w:kern w:val="0"/>
                <w:sz w:val="18"/>
                <w:szCs w:val="18"/>
                <w:highlight w:val="none"/>
                <w:lang w:val="en-US" w:eastAsia="zh-CN" w:bidi="ar"/>
              </w:rPr>
              <w:t>适配污水工况，防堵塞、耐腐蚀；控制箱需具备自动控制功能，可根据 pH 值自动调节药剂投加，实现 pH 值的稳定控制，防爆等级：EX dⅡBT4Gb。</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套</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cs="宋体"/>
                <w:kern w:val="0"/>
                <w:sz w:val="18"/>
                <w:szCs w:val="18"/>
                <w:highlight w:val="none"/>
                <w:lang w:val="en-US" w:eastAsia="zh-CN" w:bidi="ar"/>
              </w:rPr>
              <w:t>防爆电磁</w:t>
            </w:r>
            <w:r>
              <w:rPr>
                <w:rFonts w:hint="eastAsia" w:ascii="宋体" w:hAnsi="宋体" w:eastAsia="宋体" w:cs="宋体"/>
                <w:kern w:val="0"/>
                <w:sz w:val="18"/>
                <w:szCs w:val="18"/>
                <w:highlight w:val="none"/>
                <w:lang w:val="en-US" w:eastAsia="zh-CN" w:bidi="ar"/>
              </w:rPr>
              <w:t>流量计</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eastAsia="宋体" w:cs="宋体"/>
                <w:color w:val="000000" w:themeColor="text1"/>
                <w:spacing w:val="0"/>
                <w:sz w:val="18"/>
                <w:szCs w:val="18"/>
                <w:highlight w:val="none"/>
                <w14:textFill>
                  <w14:solidFill>
                    <w14:schemeClr w14:val="tx1"/>
                  </w14:solidFill>
                </w14:textFill>
              </w:rPr>
            </w:pPr>
            <w:r>
              <w:rPr>
                <w:rFonts w:hint="eastAsia" w:ascii="宋体" w:hAnsi="宋体" w:cs="宋体"/>
                <w:kern w:val="0"/>
                <w:sz w:val="18"/>
                <w:szCs w:val="18"/>
                <w:highlight w:val="none"/>
                <w:lang w:val="en-US" w:eastAsia="zh-CN" w:bidi="ar"/>
              </w:rPr>
              <w:t>316L</w:t>
            </w:r>
            <w:r>
              <w:rPr>
                <w:rFonts w:hint="eastAsia" w:ascii="宋体" w:hAnsi="宋体" w:eastAsia="宋体" w:cs="宋体"/>
                <w:kern w:val="0"/>
                <w:sz w:val="18"/>
                <w:szCs w:val="18"/>
                <w:highlight w:val="none"/>
                <w:lang w:val="en-US" w:eastAsia="zh-CN" w:bidi="ar"/>
              </w:rPr>
              <w:t>，DN80</w:t>
            </w:r>
            <w:r>
              <w:rPr>
                <w:rFonts w:hint="eastAsia" w:ascii="宋体" w:hAnsi="宋体" w:cs="宋体"/>
                <w:kern w:val="0"/>
                <w:sz w:val="18"/>
                <w:szCs w:val="18"/>
                <w:highlight w:val="none"/>
                <w:lang w:val="en-US" w:eastAsia="zh-CN" w:bidi="ar"/>
              </w:rPr>
              <w:t>；精度：0.5；防爆等级不低于 Exdb IIBT4 Gb，防护等级不低于 IP65，符合 GB3836 系列防爆标准</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台</w:t>
            </w:r>
          </w:p>
        </w:tc>
        <w:tc>
          <w:tcPr>
            <w:tcW w:w="437" w:type="pct"/>
            <w:vAlign w:val="center"/>
          </w:tcPr>
          <w:p>
            <w:pPr>
              <w:keepNext/>
              <w:keepLines w:val="0"/>
              <w:widowControl/>
              <w:suppressLineNumbers w:val="0"/>
              <w:snapToGrid w:val="0"/>
              <w:ind w:left="0" w:leftChars="0" w:right="0" w:rightChars="0" w:firstLine="0" w:firstLineChars="0"/>
              <w:jc w:val="center"/>
              <w:rPr>
                <w:rFonts w:hint="default"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cs="宋体"/>
                <w:color w:val="000000" w:themeColor="text1"/>
                <w:spacing w:val="0"/>
                <w:sz w:val="18"/>
                <w:szCs w:val="18"/>
                <w:highlight w:val="none"/>
                <w:lang w:val="en-US" w:eastAsia="zh-CN"/>
                <w14:textFill>
                  <w14:solidFill>
                    <w14:schemeClr w14:val="tx1"/>
                  </w14:solidFill>
                </w14:textFill>
              </w:rPr>
              <w:t>2</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微电解反应塔</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pPr>
            <w:r>
              <w:rPr>
                <w:rFonts w:hint="eastAsia" w:ascii="宋体" w:hAnsi="宋体" w:cs="宋体"/>
                <w:kern w:val="0"/>
                <w:sz w:val="18"/>
                <w:szCs w:val="18"/>
                <w:highlight w:val="none"/>
                <w:lang w:val="en-US" w:eastAsia="zh-CN" w:bidi="ar"/>
              </w:rPr>
              <w:t>尺寸：</w:t>
            </w:r>
            <w:r>
              <w:rPr>
                <w:rFonts w:hint="eastAsia" w:ascii="宋体" w:hAnsi="宋体" w:eastAsia="宋体" w:cs="宋体"/>
                <w:kern w:val="0"/>
                <w:sz w:val="18"/>
                <w:szCs w:val="18"/>
                <w:highlight w:val="none"/>
                <w:lang w:val="en-US" w:eastAsia="zh-CN" w:bidi="ar"/>
              </w:rPr>
              <w:t>φ3.2×6</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m</w:t>
            </w:r>
            <w:r>
              <w:rPr>
                <w:rFonts w:hint="eastAsia" w:ascii="宋体" w:hAnsi="宋体" w:cs="宋体"/>
                <w:color w:val="000000" w:themeColor="text1"/>
                <w:kern w:val="0"/>
                <w:sz w:val="18"/>
                <w:szCs w:val="18"/>
                <w:highlight w:val="none"/>
                <w:lang w:val="en-US" w:eastAsia="zh-CN" w:bidi="ar"/>
                <w14:textFill>
                  <w14:solidFill>
                    <w14:schemeClr w14:val="tx1"/>
                  </w14:solidFill>
                </w14:textFill>
              </w:rPr>
              <w:t>；材质FRP（3301 双酚 A 型耐腐蚀不饱和聚酯树脂），厚度≥12mm</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；净载荷</w:t>
            </w:r>
            <w:r>
              <w:rPr>
                <w:rFonts w:hint="eastAsia" w:ascii="宋体" w:hAnsi="宋体" w:cs="宋体"/>
                <w:color w:val="000000" w:themeColor="text1"/>
                <w:kern w:val="0"/>
                <w:sz w:val="18"/>
                <w:szCs w:val="18"/>
                <w:highlight w:val="none"/>
                <w:lang w:val="en-US" w:eastAsia="zh-CN" w:bidi="ar"/>
                <w14:textFill>
                  <w14:solidFill>
                    <w14:schemeClr w14:val="tx1"/>
                  </w14:solidFill>
                </w14:textFill>
              </w:rPr>
              <w:t>35</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 xml:space="preserve"> 吨 / 座，运行载荷 </w:t>
            </w:r>
            <w:r>
              <w:rPr>
                <w:rFonts w:hint="eastAsia" w:ascii="宋体" w:hAnsi="宋体" w:cs="宋体"/>
                <w:color w:val="000000" w:themeColor="text1"/>
                <w:kern w:val="0"/>
                <w:sz w:val="18"/>
                <w:szCs w:val="18"/>
                <w:highlight w:val="none"/>
                <w:lang w:val="en-US" w:eastAsia="zh-CN" w:bidi="ar"/>
                <w14:textFill>
                  <w14:solidFill>
                    <w14:schemeClr w14:val="tx1"/>
                  </w14:solidFill>
                </w14:textFill>
              </w:rPr>
              <w:t>85</w:t>
            </w:r>
            <w:r>
              <w:rPr>
                <w:rFonts w:hint="eastAsia" w:ascii="宋体" w:hAnsi="宋体" w:eastAsia="宋体" w:cs="宋体"/>
                <w:color w:val="000000" w:themeColor="text1"/>
                <w:kern w:val="0"/>
                <w:sz w:val="18"/>
                <w:szCs w:val="18"/>
                <w:highlight w:val="none"/>
                <w:lang w:val="en-US" w:eastAsia="zh-CN" w:bidi="ar"/>
                <w14:textFill>
                  <w14:solidFill>
                    <w14:schemeClr w14:val="tx1"/>
                  </w14:solidFill>
                </w14:textFill>
              </w:rPr>
              <w:t xml:space="preserve"> 吨 / 座</w:t>
            </w:r>
          </w:p>
          <w:p>
            <w:pPr>
              <w:pStyle w:val="9"/>
              <w:jc w:val="both"/>
              <w:rPr>
                <w:rFonts w:hint="eastAsia"/>
                <w:highlight w:val="none"/>
              </w:rPr>
            </w:pPr>
            <w:r>
              <w:rPr>
                <w:rFonts w:hint="eastAsia"/>
                <w:highlight w:val="none"/>
              </w:rPr>
              <w:t>塔体需具备足够的结构强度，承压能力满足设计要求，防腐层需具备优异的耐酸碱、耐腐蚀、抗冲击性能，使用寿命≥15 年；内部需配套完整的承托支撑、布水布气系统</w:t>
            </w:r>
            <w:r>
              <w:rPr>
                <w:rFonts w:hint="eastAsia" w:ascii="宋体" w:hAnsi="宋体" w:cs="宋体"/>
                <w:color w:val="000000" w:themeColor="text1"/>
                <w:kern w:val="0"/>
                <w:sz w:val="18"/>
                <w:szCs w:val="18"/>
                <w:highlight w:val="none"/>
                <w:lang w:val="en-US" w:eastAsia="zh-CN" w:bidi="ar"/>
                <w14:textFill>
                  <w14:solidFill>
                    <w14:schemeClr w14:val="tx1"/>
                  </w14:solidFill>
                </w14:textFill>
              </w:rPr>
              <w:t>（布气量≥1m³/min）</w:t>
            </w:r>
            <w:r>
              <w:rPr>
                <w:rFonts w:hint="eastAsia"/>
                <w:highlight w:val="none"/>
              </w:rPr>
              <w:t>、反冲洗系统，布水均匀，无短流、沟流现象，反冲洗系统可实现填料的定期清洗，防止板结、堵塞；塔体需配套爬梯</w:t>
            </w:r>
            <w:r>
              <w:rPr>
                <w:rFonts w:hint="eastAsia"/>
                <w:highlight w:val="none"/>
                <w:lang w:eastAsia="zh-CN"/>
              </w:rPr>
              <w:t>（</w:t>
            </w:r>
            <w:r>
              <w:rPr>
                <w:rFonts w:hint="eastAsia"/>
                <w:highlight w:val="none"/>
                <w:lang w:val="en-US" w:eastAsia="zh-CN"/>
              </w:rPr>
              <w:t>碳钢</w:t>
            </w:r>
            <w:r>
              <w:rPr>
                <w:rFonts w:hint="eastAsia"/>
                <w:highlight w:val="none"/>
                <w:lang w:eastAsia="zh-CN"/>
              </w:rPr>
              <w:t>）</w:t>
            </w:r>
            <w:r>
              <w:rPr>
                <w:rFonts w:hint="eastAsia"/>
                <w:highlight w:val="none"/>
              </w:rPr>
              <w:t>、护栏、检修口等。</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座</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2</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铁碳填料</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cs="宋体"/>
                <w:kern w:val="0"/>
                <w:sz w:val="18"/>
                <w:szCs w:val="18"/>
                <w:highlight w:val="none"/>
                <w:lang w:val="en-US" w:eastAsia="zh-CN" w:bidi="ar"/>
              </w:rPr>
            </w:pPr>
            <w:r>
              <w:rPr>
                <w:rFonts w:hint="eastAsia" w:ascii="宋体" w:hAnsi="宋体" w:eastAsia="宋体" w:cs="宋体"/>
                <w:kern w:val="0"/>
                <w:sz w:val="18"/>
                <w:szCs w:val="18"/>
                <w:highlight w:val="none"/>
                <w:lang w:val="en-US" w:eastAsia="zh-CN" w:bidi="ar"/>
              </w:rPr>
              <w:t xml:space="preserve">1.2×1.2cm 圆形；含铁 </w:t>
            </w:r>
            <w:r>
              <w:rPr>
                <w:rFonts w:hint="eastAsia" w:ascii="宋体" w:hAnsi="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7</w:t>
            </w:r>
            <w:r>
              <w:rPr>
                <w:rFonts w:hint="eastAsia" w:ascii="宋体" w:hAnsi="宋体" w:cs="宋体"/>
                <w:kern w:val="0"/>
                <w:sz w:val="18"/>
                <w:szCs w:val="18"/>
                <w:highlight w:val="none"/>
                <w:lang w:val="en-US" w:eastAsia="zh-CN" w:bidi="ar"/>
              </w:rPr>
              <w:t>5</w:t>
            </w:r>
            <w:r>
              <w:rPr>
                <w:rFonts w:hint="eastAsia" w:ascii="宋体" w:hAnsi="宋体" w:eastAsia="宋体" w:cs="宋体"/>
                <w:kern w:val="0"/>
                <w:sz w:val="18"/>
                <w:szCs w:val="18"/>
                <w:highlight w:val="none"/>
                <w:lang w:val="en-US" w:eastAsia="zh-CN" w:bidi="ar"/>
              </w:rPr>
              <w:t xml:space="preserve">%、含碳 </w:t>
            </w:r>
            <w:r>
              <w:rPr>
                <w:rFonts w:hint="eastAsia" w:ascii="宋体" w:hAnsi="宋体" w:cs="宋体"/>
                <w:kern w:val="0"/>
                <w:sz w:val="18"/>
                <w:szCs w:val="18"/>
                <w:highlight w:val="none"/>
                <w:lang w:val="en-US" w:eastAsia="zh-CN" w:bidi="ar"/>
              </w:rPr>
              <w:t>≥13</w:t>
            </w:r>
            <w:r>
              <w:rPr>
                <w:rFonts w:hint="eastAsia" w:ascii="宋体" w:hAnsi="宋体" w:eastAsia="宋体" w:cs="宋体"/>
                <w:kern w:val="0"/>
                <w:sz w:val="18"/>
                <w:szCs w:val="18"/>
                <w:highlight w:val="none"/>
                <w:lang w:val="en-US" w:eastAsia="zh-CN" w:bidi="ar"/>
              </w:rPr>
              <w:t xml:space="preserve">%、催化剂活化剂 </w:t>
            </w:r>
            <w:r>
              <w:rPr>
                <w:rFonts w:hint="eastAsia" w:ascii="宋体" w:hAnsi="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8%</w:t>
            </w:r>
            <w:r>
              <w:rPr>
                <w:rFonts w:hint="eastAsia" w:ascii="宋体" w:hAnsi="宋体" w:cs="宋体"/>
                <w:kern w:val="0"/>
                <w:sz w:val="18"/>
                <w:szCs w:val="18"/>
                <w:highlight w:val="none"/>
                <w:lang w:val="en-US" w:eastAsia="zh-CN" w:bidi="ar"/>
              </w:rPr>
              <w:t>。</w:t>
            </w:r>
          </w:p>
          <w:p>
            <w:pPr>
              <w:pStyle w:val="9"/>
              <w:jc w:val="both"/>
              <w:rPr>
                <w:rFonts w:hint="eastAsia"/>
                <w:highlight w:val="none"/>
                <w:lang w:val="en-US" w:eastAsia="zh-CN"/>
              </w:rPr>
            </w:pPr>
            <w:r>
              <w:rPr>
                <w:rFonts w:hint="eastAsia"/>
                <w:highlight w:val="none"/>
                <w:lang w:val="en-US" w:eastAsia="zh-CN"/>
              </w:rPr>
              <w:t>填料需采用高温烧结工艺制备，结构强度高，耐磨损、抗冲击，不易破碎、板结，使用寿命≥2 年，年损耗率≤10%。铁碳比例精准，电位差稳定，微电解反应效率高，对 COD、总磷、氨氮等污染物的去除效果稳定，符合设计水质要求。填料颗粒均匀，比表面积大，孔隙率高，可实现与污水的充分接触，反应效率高，同时具备良好的反冲洗性能，不易堵塞，可长期稳定运行。填料需具备优异的耐酸碱、耐腐蚀性能，适配污水pH 值波动工况，不产生二次污染，符合环保要求。</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吨</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65</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曝气风机</w:t>
            </w:r>
          </w:p>
        </w:tc>
        <w:tc>
          <w:tcPr>
            <w:tcW w:w="2325" w:type="pct"/>
            <w:vAlign w:val="center"/>
          </w:tcPr>
          <w:p>
            <w:pPr>
              <w:keepNext/>
              <w:keepLines w:val="0"/>
              <w:widowControl/>
              <w:suppressLineNumbers w:val="0"/>
              <w:snapToGrid w:val="0"/>
              <w:ind w:left="0" w:leftChars="0" w:right="0" w:rightChars="0" w:firstLine="0" w:firstLineChars="0"/>
              <w:jc w:val="left"/>
              <w:rPr>
                <w:rFonts w:hint="default" w:ascii="宋体" w:hAnsi="宋体" w:eastAsia="宋体" w:cs="宋体"/>
                <w:color w:val="000000" w:themeColor="text1"/>
                <w:spacing w:val="0"/>
                <w:sz w:val="18"/>
                <w:szCs w:val="18"/>
                <w:highlight w:val="none"/>
                <w:vertAlign w:val="baseli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sz w:val="18"/>
                <w:szCs w:val="18"/>
                <w:highlight w:val="none"/>
                <w:lang w:val="en-US" w:eastAsia="zh-CN"/>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c>
          <w:tcPr>
            <w:tcW w:w="941" w:type="pct"/>
            <w:vAlign w:val="center"/>
          </w:tcPr>
          <w:p>
            <w:pPr>
              <w:keepNext/>
              <w:keepLines w:val="0"/>
              <w:widowControl/>
              <w:suppressLineNumbers w:val="0"/>
              <w:snapToGrid w:val="0"/>
              <w:ind w:left="0" w:leftChars="0" w:right="0" w:rightChars="0" w:firstLine="0" w:firstLineChars="0"/>
              <w:jc w:val="both"/>
              <w:rPr>
                <w:rFonts w:hint="default" w:ascii="宋体" w:hAnsi="宋体" w:eastAsia="宋体" w:cs="宋体"/>
                <w:color w:val="000000" w:themeColor="text1"/>
                <w:spacing w:val="0"/>
                <w:sz w:val="18"/>
                <w:szCs w:val="18"/>
                <w:highlight w:val="none"/>
                <w:lang w:val="en-US"/>
                <w14:textFill>
                  <w14:solidFill>
                    <w14:schemeClr w14:val="tx1"/>
                  </w14:solidFill>
                </w14:textFill>
              </w:rPr>
            </w:pPr>
            <w:r>
              <w:rPr>
                <w:rFonts w:hint="eastAsia" w:ascii="宋体" w:hAnsi="宋体" w:cs="宋体"/>
                <w:color w:val="0000FF"/>
                <w:kern w:val="0"/>
                <w:sz w:val="18"/>
                <w:szCs w:val="18"/>
                <w:highlight w:val="none"/>
                <w:lang w:val="en-US" w:eastAsia="zh-CN" w:bidi="ar"/>
              </w:rPr>
              <w:t>曝气风机</w:t>
            </w:r>
            <w:r>
              <w:rPr>
                <w:rFonts w:hint="eastAsia" w:ascii="宋体" w:hAnsi="宋体" w:eastAsia="宋体" w:cs="宋体"/>
                <w:color w:val="0000FF"/>
                <w:kern w:val="0"/>
                <w:sz w:val="18"/>
                <w:szCs w:val="18"/>
                <w:highlight w:val="none"/>
                <w:lang w:val="en-US" w:eastAsia="zh-CN" w:bidi="ar"/>
              </w:rPr>
              <w:t>利旧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s="宋体"/>
                <w:kern w:val="0"/>
                <w:sz w:val="18"/>
                <w:szCs w:val="18"/>
                <w:highlight w:val="none"/>
                <w:lang w:val="en-US" w:eastAsia="zh-CN" w:bidi="ar"/>
              </w:rPr>
              <w:t>防爆</w:t>
            </w:r>
            <w:r>
              <w:rPr>
                <w:rFonts w:hint="eastAsia" w:ascii="宋体" w:hAnsi="宋体" w:eastAsia="宋体" w:cs="宋体"/>
                <w:kern w:val="0"/>
                <w:sz w:val="18"/>
                <w:szCs w:val="18"/>
                <w:highlight w:val="none"/>
                <w:lang w:val="en-US" w:eastAsia="zh-CN" w:bidi="ar"/>
              </w:rPr>
              <w:t>涡街流量计</w:t>
            </w:r>
          </w:p>
        </w:tc>
        <w:tc>
          <w:tcPr>
            <w:tcW w:w="2325" w:type="pct"/>
            <w:vAlign w:val="center"/>
          </w:tcPr>
          <w:p>
            <w:pPr>
              <w:keepNext/>
              <w:keepLines w:val="0"/>
              <w:widowControl/>
              <w:suppressLineNumbers w:val="0"/>
              <w:snapToGrid w:val="0"/>
              <w:ind w:left="0" w:leftChars="0" w:right="0" w:rightChars="0" w:firstLine="0" w:firstLineChars="0"/>
              <w:jc w:val="left"/>
              <w:rPr>
                <w:rFonts w:hint="eastAsia"/>
                <w:highlight w:val="none"/>
                <w:lang w:val="en-US" w:eastAsia="zh-CN"/>
              </w:rPr>
            </w:pPr>
            <w:r>
              <w:rPr>
                <w:rFonts w:hint="eastAsia" w:ascii="宋体" w:hAnsi="宋体" w:eastAsia="宋体" w:cs="宋体"/>
                <w:kern w:val="0"/>
                <w:sz w:val="18"/>
                <w:szCs w:val="18"/>
                <w:highlight w:val="none"/>
                <w:lang w:val="en-US" w:eastAsia="zh-CN" w:bidi="ar"/>
              </w:rPr>
              <w:t>DN50，</w:t>
            </w:r>
            <w:r>
              <w:rPr>
                <w:rFonts w:hint="eastAsia" w:ascii="宋体" w:hAnsi="宋体" w:eastAsia="宋体" w:cs="宋体"/>
                <w:kern w:val="0"/>
                <w:sz w:val="18"/>
                <w:szCs w:val="18"/>
                <w:highlight w:val="none"/>
                <w:shd w:val="clear"/>
                <w:lang w:val="en-US" w:eastAsia="zh-CN" w:bidi="ar"/>
              </w:rPr>
              <w:t>本</w:t>
            </w:r>
            <w:r>
              <w:rPr>
                <w:rFonts w:hint="eastAsia" w:ascii="宋体" w:hAnsi="宋体" w:cs="宋体"/>
                <w:kern w:val="0"/>
                <w:sz w:val="18"/>
                <w:szCs w:val="18"/>
                <w:highlight w:val="none"/>
                <w:shd w:val="clear"/>
                <w:lang w:val="en-US" w:eastAsia="zh-CN" w:bidi="ar"/>
              </w:rPr>
              <w:t>体</w:t>
            </w:r>
            <w:r>
              <w:rPr>
                <w:rFonts w:hint="eastAsia" w:ascii="宋体" w:hAnsi="宋体" w:eastAsia="宋体" w:cs="宋体"/>
                <w:kern w:val="0"/>
                <w:sz w:val="18"/>
                <w:szCs w:val="18"/>
                <w:highlight w:val="none"/>
                <w:shd w:val="clear"/>
                <w:lang w:val="en-US" w:eastAsia="zh-CN" w:bidi="ar"/>
              </w:rPr>
              <w:t>304</w:t>
            </w:r>
            <w:r>
              <w:rPr>
                <w:rFonts w:hint="eastAsia" w:ascii="宋体" w:hAnsi="宋体" w:cs="宋体"/>
                <w:kern w:val="0"/>
                <w:sz w:val="18"/>
                <w:szCs w:val="18"/>
                <w:highlight w:val="none"/>
                <w:shd w:val="clear"/>
                <w:lang w:val="en-US" w:eastAsia="zh-CN" w:bidi="ar"/>
              </w:rPr>
              <w:t>，</w:t>
            </w:r>
            <w:r>
              <w:rPr>
                <w:rFonts w:hint="eastAsia" w:ascii="宋体" w:hAnsi="宋体" w:eastAsia="宋体" w:cs="宋体"/>
                <w:kern w:val="0"/>
                <w:sz w:val="18"/>
                <w:szCs w:val="18"/>
                <w:highlight w:val="none"/>
                <w:shd w:val="clear"/>
                <w:lang w:val="en-US" w:eastAsia="zh-CN" w:bidi="ar"/>
              </w:rPr>
              <w:t>阀芯</w:t>
            </w:r>
            <w:r>
              <w:rPr>
                <w:rFonts w:hint="eastAsia" w:ascii="宋体" w:hAnsi="宋体" w:cs="宋体"/>
                <w:kern w:val="0"/>
                <w:sz w:val="18"/>
                <w:szCs w:val="18"/>
                <w:highlight w:val="none"/>
                <w:shd w:val="clear"/>
                <w:lang w:val="en-US" w:eastAsia="zh-CN" w:bidi="ar"/>
              </w:rPr>
              <w:t>316L；</w:t>
            </w:r>
            <w:r>
              <w:rPr>
                <w:rFonts w:hint="eastAsia" w:ascii="宋体" w:hAnsi="宋体" w:eastAsia="宋体" w:cs="宋体"/>
                <w:kern w:val="0"/>
                <w:sz w:val="18"/>
                <w:szCs w:val="18"/>
                <w:highlight w:val="none"/>
                <w:shd w:val="clear"/>
                <w:lang w:val="en-US" w:eastAsia="zh-CN" w:bidi="ar"/>
              </w:rPr>
              <w:t>防爆等级不低于 Exdb IIBT4 Gb，防护等级不低于 IP65，符合 GB3836 系列防爆标准</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台</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kern w:val="0"/>
                <w:sz w:val="18"/>
                <w:szCs w:val="18"/>
                <w:highlight w:val="none"/>
                <w:lang w:val="en-US" w:eastAsia="zh-CN" w:bidi="ar-SA"/>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斜管沉降池</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尺寸：</w:t>
            </w:r>
            <w:r>
              <w:rPr>
                <w:rFonts w:hint="eastAsia" w:ascii="宋体" w:hAnsi="宋体" w:eastAsia="宋体" w:cs="宋体"/>
                <w:kern w:val="0"/>
                <w:sz w:val="18"/>
                <w:szCs w:val="18"/>
                <w:highlight w:val="none"/>
                <w:lang w:val="en-US" w:eastAsia="zh-CN" w:bidi="ar"/>
              </w:rPr>
              <w:t>6.8×1.7×2.8m</w:t>
            </w:r>
            <w:r>
              <w:rPr>
                <w:rFonts w:hint="eastAsia" w:ascii="宋体" w:hAnsi="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碳钢主体材质厚度≥6mm，防腐厚度≥3mm，一般加药区域为三布五油防腐（防腐不饱和树脂胶料+无碱玻璃纤维布）</w:t>
            </w:r>
            <w:r>
              <w:rPr>
                <w:rFonts w:hint="eastAsia" w:ascii="宋体" w:hAnsi="宋体" w:cs="宋体"/>
                <w:kern w:val="0"/>
                <w:sz w:val="18"/>
                <w:szCs w:val="18"/>
                <w:highlight w:val="none"/>
                <w:shd w:val="clear"/>
                <w:lang w:val="en-US" w:eastAsia="zh-CN" w:bidi="ar"/>
              </w:rPr>
              <w:t>；</w:t>
            </w:r>
            <w:r>
              <w:rPr>
                <w:rFonts w:hint="eastAsia" w:ascii="宋体" w:hAnsi="宋体" w:eastAsia="宋体" w:cs="宋体"/>
                <w:kern w:val="0"/>
                <w:sz w:val="18"/>
                <w:szCs w:val="18"/>
                <w:highlight w:val="none"/>
                <w:shd w:val="clear"/>
                <w:lang w:val="en-US" w:eastAsia="zh-CN" w:bidi="ar"/>
              </w:rPr>
              <w:t>沉淀区域为环氧煤沥青防腐；</w:t>
            </w:r>
            <w:r>
              <w:rPr>
                <w:rFonts w:hint="eastAsia" w:ascii="宋体" w:hAnsi="宋体" w:cs="宋体"/>
                <w:kern w:val="0"/>
                <w:sz w:val="18"/>
                <w:szCs w:val="18"/>
                <w:highlight w:val="none"/>
                <w:shd w:val="clear"/>
                <w:lang w:val="en-US" w:eastAsia="zh-CN" w:bidi="ar"/>
              </w:rPr>
              <w:t>操作参数：ATM</w:t>
            </w:r>
            <w:r>
              <w:rPr>
                <w:rFonts w:hint="eastAsia" w:ascii="宋体" w:hAnsi="宋体" w:cs="宋体"/>
                <w:kern w:val="0"/>
                <w:sz w:val="18"/>
                <w:szCs w:val="18"/>
                <w:highlight w:val="none"/>
                <w:lang w:val="en-US" w:eastAsia="zh-CN" w:bidi="ar"/>
              </w:rPr>
              <w:t>./20</w:t>
            </w:r>
            <w:r>
              <w:rPr>
                <w:rFonts w:hint="eastAsia" w:ascii="仿宋" w:hAnsi="仿宋" w:eastAsia="仿宋" w:cs="仿宋"/>
                <w:kern w:val="0"/>
                <w:sz w:val="18"/>
                <w:szCs w:val="18"/>
                <w:highlight w:val="none"/>
                <w:lang w:val="en-US" w:eastAsia="zh-CN" w:bidi="ar"/>
              </w:rPr>
              <w:t>～</w:t>
            </w:r>
            <w:r>
              <w:rPr>
                <w:rFonts w:hint="eastAsia" w:ascii="宋体" w:hAnsi="宋体" w:cs="宋体"/>
                <w:kern w:val="0"/>
                <w:sz w:val="18"/>
                <w:szCs w:val="18"/>
                <w:highlight w:val="none"/>
                <w:lang w:val="en-US" w:eastAsia="zh-CN" w:bidi="ar"/>
              </w:rPr>
              <w:t>40℃；</w:t>
            </w:r>
            <w:r>
              <w:rPr>
                <w:rFonts w:hint="eastAsia" w:ascii="宋体" w:hAnsi="宋体" w:eastAsia="宋体" w:cs="宋体"/>
                <w:kern w:val="0"/>
                <w:sz w:val="18"/>
                <w:szCs w:val="18"/>
                <w:highlight w:val="none"/>
                <w:lang w:val="en-US" w:eastAsia="zh-CN" w:bidi="ar"/>
              </w:rPr>
              <w:t>成套设备，曝气搅拌；净载荷 9 吨 / 座，运行载荷 42 吨 / 座</w:t>
            </w:r>
          </w:p>
          <w:p>
            <w:pPr>
              <w:pStyle w:val="9"/>
              <w:jc w:val="both"/>
              <w:rPr>
                <w:rFonts w:hint="eastAsia"/>
                <w:highlight w:val="none"/>
                <w:lang w:val="en-US" w:eastAsia="zh-CN"/>
              </w:rPr>
            </w:pPr>
            <w:r>
              <w:rPr>
                <w:rFonts w:hint="eastAsia"/>
                <w:highlight w:val="none"/>
                <w:lang w:val="en-US" w:eastAsia="zh-CN"/>
              </w:rPr>
              <w:t>斜管沉淀池需设计合理的水力流态，实现泥水的高效分离，表面负荷符合设计要求，沉淀效率≥95%；内部配套曝气搅拌系统、排泥系统，可实现池底污泥的均匀搅拌、稳定排放，避免污泥堆积、厌氧发酵；防腐层具备优异的耐酸碱、耐腐蚀性能，使用寿命≥15 年，配套检修平台、护栏等。</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座</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kern w:val="0"/>
                <w:sz w:val="18"/>
                <w:szCs w:val="18"/>
                <w:highlight w:val="none"/>
                <w:lang w:val="en-US" w:eastAsia="zh-CN" w:bidi="ar-SA"/>
                <w14:textFill>
                  <w14:solidFill>
                    <w14:schemeClr w14:val="tx1"/>
                  </w14:solidFill>
                </w14:textFill>
              </w:rPr>
            </w:pPr>
            <w:r>
              <w:rPr>
                <w:rFonts w:hint="eastAsia" w:ascii="宋体" w:hAnsi="宋体" w:eastAsia="宋体" w:cs="宋体"/>
                <w:color w:val="000000" w:themeColor="text1"/>
                <w:spacing w:val="0"/>
                <w:kern w:val="0"/>
                <w:sz w:val="18"/>
                <w:szCs w:val="18"/>
                <w:highlight w:val="none"/>
                <w:lang w:val="en-US" w:eastAsia="zh-CN" w:bidi="ar-SA"/>
                <w14:textFill>
                  <w14:solidFill>
                    <w14:schemeClr w14:val="tx1"/>
                  </w14:solidFill>
                </w14:textFill>
              </w:rPr>
              <w:t>厂家配套曝气搅拌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铁碳缓冲罐</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pP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尺寸：</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Φ</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3</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.5×3m</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；材质FRP（3301 双酚 A 型耐腐蚀不饱和聚酯树脂），厚度≥9mm</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；含</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吹脱布气（通气量≥0.5m³/min）</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、爬梯护栏</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（碳钢）</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；净载荷</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1</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 xml:space="preserve"> 吨 / 座，运行载荷 </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30</w:t>
            </w:r>
            <w:r>
              <w:rPr>
                <w:rFonts w:hint="eastAsia" w:ascii="宋体" w:hAnsi="宋体" w:eastAsia="宋体" w:cs="宋体"/>
                <w:color w:val="000000" w:themeColor="text1"/>
                <w:kern w:val="0"/>
                <w:sz w:val="18"/>
                <w:szCs w:val="18"/>
                <w:highlight w:val="none"/>
                <w:shd w:val="clear"/>
                <w:lang w:val="en-US" w:eastAsia="zh-CN" w:bidi="ar"/>
                <w14:textFill>
                  <w14:solidFill>
                    <w14:schemeClr w14:val="tx1"/>
                  </w14:solidFill>
                </w14:textFill>
              </w:rPr>
              <w:t xml:space="preserve"> 吨 / 座</w:t>
            </w:r>
            <w:r>
              <w:rPr>
                <w:rFonts w:hint="eastAsia" w:ascii="宋体" w:hAnsi="宋体" w:cs="宋体"/>
                <w:color w:val="000000" w:themeColor="text1"/>
                <w:kern w:val="0"/>
                <w:sz w:val="18"/>
                <w:szCs w:val="18"/>
                <w:highlight w:val="none"/>
                <w:shd w:val="clear"/>
                <w:lang w:val="en-US" w:eastAsia="zh-CN" w:bidi="ar"/>
                <w14:textFill>
                  <w14:solidFill>
                    <w14:schemeClr w14:val="tx1"/>
                  </w14:solidFill>
                </w14:textFill>
              </w:rPr>
              <w:t>。</w:t>
            </w:r>
          </w:p>
          <w:p>
            <w:pPr>
              <w:pStyle w:val="9"/>
              <w:jc w:val="both"/>
              <w:rPr>
                <w:rFonts w:hint="eastAsia"/>
                <w:highlight w:val="none"/>
                <w:lang w:val="en-US" w:eastAsia="zh-CN"/>
              </w:rPr>
            </w:pPr>
            <w:r>
              <w:rPr>
                <w:rFonts w:hint="eastAsia"/>
                <w:highlight w:val="none"/>
                <w:lang w:val="en-US" w:eastAsia="zh-CN"/>
              </w:rPr>
              <w:t>铁碳缓冲罐需具备足够的有效容积，实现进水的均质均量，缓冲水质、水量波动，为后续芬顿单元提供稳定的进水条件；池体防腐层具备优异的耐酸碱、耐腐蚀性能，使用寿命≥15 年，配套液位监测、检修口等。</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座</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default" w:ascii="宋体" w:hAnsi="宋体" w:eastAsia="宋体" w:cs="宋体"/>
                <w:color w:val="000000" w:themeColor="text1"/>
                <w:spacing w:val="0"/>
                <w:kern w:val="0"/>
                <w:sz w:val="18"/>
                <w:szCs w:val="18"/>
                <w:highlight w:val="none"/>
                <w:lang w:val="en-US" w:eastAsia="zh-CN" w:bidi="ar-SA"/>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s="宋体"/>
                <w:kern w:val="0"/>
                <w:sz w:val="18"/>
                <w:szCs w:val="18"/>
                <w:highlight w:val="none"/>
                <w:lang w:val="en-US" w:eastAsia="zh-CN" w:bidi="ar"/>
              </w:rPr>
              <w:t>防爆</w:t>
            </w:r>
            <w:r>
              <w:rPr>
                <w:rFonts w:hint="eastAsia" w:ascii="宋体" w:hAnsi="宋体" w:eastAsia="宋体" w:cs="宋体"/>
                <w:kern w:val="0"/>
                <w:sz w:val="18"/>
                <w:szCs w:val="18"/>
                <w:highlight w:val="none"/>
                <w:lang w:val="en-US" w:eastAsia="zh-CN" w:bidi="ar"/>
              </w:rPr>
              <w:t>液位开关</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18"/>
                <w:szCs w:val="18"/>
                <w:highlight w:val="none"/>
                <w:u w:val="none"/>
                <w:shd w:val="clear"/>
                <w:lang w:val="en-US" w:eastAsia="zh-CN" w:bidi="ar"/>
                <w14:textFill>
                  <w14:solidFill>
                    <w14:schemeClr w14:val="tx1"/>
                  </w14:solidFill>
                </w14:textFill>
              </w:rPr>
              <w:t>316L</w:t>
            </w:r>
            <w:r>
              <w:rPr>
                <w:rFonts w:hint="eastAsia" w:ascii="宋体" w:hAnsi="宋体" w:eastAsia="宋体" w:cs="宋体"/>
                <w:i w:val="0"/>
                <w:iCs w:val="0"/>
                <w:color w:val="000000" w:themeColor="text1"/>
                <w:kern w:val="0"/>
                <w:sz w:val="18"/>
                <w:szCs w:val="18"/>
                <w:highlight w:val="none"/>
                <w:u w:val="none"/>
                <w:shd w:val="clear"/>
                <w:lang w:val="en-US" w:eastAsia="zh-CN" w:bidi="ar"/>
                <w14:textFill>
                  <w14:solidFill>
                    <w14:schemeClr w14:val="tx1"/>
                  </w14:solidFill>
                </w14:textFill>
              </w:rPr>
              <w:t>不锈钢材质，浮球液位开关</w:t>
            </w:r>
            <w:r>
              <w:rPr>
                <w:rFonts w:hint="eastAsia" w:ascii="宋体" w:hAnsi="宋体" w:cs="宋体"/>
                <w:i w:val="0"/>
                <w:iCs w:val="0"/>
                <w:color w:val="000000" w:themeColor="text1"/>
                <w:kern w:val="0"/>
                <w:sz w:val="18"/>
                <w:szCs w:val="18"/>
                <w:highlight w:val="none"/>
                <w:u w:val="none"/>
                <w:shd w:val="clear"/>
                <w:lang w:val="en-US" w:eastAsia="zh-CN" w:bidi="ar"/>
                <w14:textFill>
                  <w14:solidFill>
                    <w14:schemeClr w14:val="tx1"/>
                  </w14:solidFill>
                </w14:textFill>
              </w:rPr>
              <w:t>；</w:t>
            </w:r>
            <w:r>
              <w:rPr>
                <w:rFonts w:hint="eastAsia" w:ascii="宋体" w:hAnsi="宋体" w:eastAsia="宋体" w:cs="宋体"/>
                <w:kern w:val="0"/>
                <w:sz w:val="18"/>
                <w:szCs w:val="18"/>
                <w:highlight w:val="none"/>
                <w:shd w:val="clear"/>
                <w:lang w:val="en-US" w:eastAsia="zh-CN" w:bidi="ar"/>
              </w:rPr>
              <w:t>防爆等级不低于 Exdb IIBT4 Gb，防护等级不低于 IP65，符合 GB3836 系列防爆标准</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台</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kern w:val="0"/>
                <w:sz w:val="18"/>
                <w:szCs w:val="18"/>
                <w:highlight w:val="none"/>
                <w:lang w:val="en-US" w:eastAsia="zh-CN" w:bidi="ar-SA"/>
                <w14:textFill>
                  <w14:solidFill>
                    <w14:schemeClr w14:val="tx1"/>
                  </w14:solidFill>
                </w14:textFill>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排泥泵</w:t>
            </w:r>
          </w:p>
        </w:tc>
        <w:tc>
          <w:tcPr>
            <w:tcW w:w="2325" w:type="pct"/>
            <w:shd w:val="clear" w:color="auto" w:fill="auto"/>
            <w:vAlign w:val="center"/>
          </w:tcPr>
          <w:p>
            <w:pPr>
              <w:keepNext/>
              <w:keepLines w:val="0"/>
              <w:widowControl/>
              <w:suppressLineNumbers w:val="0"/>
              <w:snapToGrid w:val="0"/>
              <w:ind w:left="0" w:leftChars="0" w:right="0" w:rightChars="0" w:firstLine="0" w:firstLineChars="0"/>
              <w:jc w:val="left"/>
              <w:rPr>
                <w:rFonts w:hint="eastAsia" w:ascii="宋体" w:hAnsi="宋体" w:cs="宋体"/>
                <w:kern w:val="0"/>
                <w:sz w:val="18"/>
                <w:szCs w:val="18"/>
                <w:highlight w:val="none"/>
                <w:lang w:val="en-US" w:eastAsia="zh-CN" w:bidi="ar"/>
              </w:rPr>
            </w:pPr>
            <w:r>
              <w:rPr>
                <w:rFonts w:hint="eastAsia" w:ascii="宋体" w:hAnsi="宋体" w:cs="宋体"/>
                <w:kern w:val="0"/>
                <w:sz w:val="18"/>
                <w:szCs w:val="18"/>
                <w:highlight w:val="none"/>
                <w:shd w:val="clear"/>
                <w:lang w:val="en-US" w:eastAsia="zh-CN" w:bidi="ar"/>
              </w:rPr>
              <w:t>不锈钢自吸式排泥泵（ZW-S）</w:t>
            </w:r>
            <w:r>
              <w:rPr>
                <w:rFonts w:hint="eastAsia" w:ascii="宋体" w:hAnsi="宋体" w:cs="宋体"/>
                <w:kern w:val="0"/>
                <w:sz w:val="18"/>
                <w:szCs w:val="18"/>
                <w:highlight w:val="none"/>
                <w:lang w:val="en-US" w:eastAsia="zh-CN" w:bidi="ar"/>
              </w:rPr>
              <w:t>；Q=</w:t>
            </w:r>
            <w:r>
              <w:rPr>
                <w:rFonts w:hint="eastAsia" w:ascii="宋体" w:hAnsi="宋体" w:eastAsia="宋体" w:cs="宋体"/>
                <w:kern w:val="0"/>
                <w:sz w:val="18"/>
                <w:szCs w:val="18"/>
                <w:highlight w:val="none"/>
                <w:lang w:val="en-US" w:eastAsia="zh-CN" w:bidi="ar"/>
              </w:rPr>
              <w:t>15m³/h，</w:t>
            </w:r>
            <w:r>
              <w:rPr>
                <w:rFonts w:hint="eastAsia" w:ascii="宋体" w:hAnsi="宋体" w:cs="宋体"/>
                <w:kern w:val="0"/>
                <w:sz w:val="18"/>
                <w:szCs w:val="18"/>
                <w:highlight w:val="none"/>
                <w:lang w:val="en-US" w:eastAsia="zh-CN" w:bidi="ar"/>
              </w:rPr>
              <w:t>H=</w:t>
            </w:r>
            <w:r>
              <w:rPr>
                <w:rFonts w:hint="eastAsia" w:ascii="宋体" w:hAnsi="宋体" w:eastAsia="宋体" w:cs="宋体"/>
                <w:kern w:val="0"/>
                <w:sz w:val="18"/>
                <w:szCs w:val="18"/>
                <w:highlight w:val="none"/>
                <w:lang w:val="en-US" w:eastAsia="zh-CN" w:bidi="ar"/>
              </w:rPr>
              <w:t xml:space="preserve"> 30m</w:t>
            </w:r>
            <w:r>
              <w:rPr>
                <w:rFonts w:hint="eastAsia" w:ascii="宋体" w:hAnsi="宋体" w:cs="宋体"/>
                <w:kern w:val="0"/>
                <w:sz w:val="18"/>
                <w:szCs w:val="18"/>
                <w:highlight w:val="none"/>
                <w:lang w:val="en-US" w:eastAsia="zh-CN" w:bidi="ar"/>
              </w:rPr>
              <w:t>；</w:t>
            </w:r>
            <w:r>
              <w:rPr>
                <w:rFonts w:hint="eastAsia" w:ascii="宋体" w:hAnsi="宋体" w:eastAsia="宋体" w:cs="宋体"/>
                <w:kern w:val="0"/>
                <w:sz w:val="18"/>
                <w:szCs w:val="18"/>
                <w:highlight w:val="none"/>
                <w:lang w:val="en-US" w:eastAsia="zh-CN" w:bidi="ar"/>
              </w:rPr>
              <w:t>功率 3kw</w:t>
            </w:r>
            <w:r>
              <w:rPr>
                <w:rFonts w:hint="eastAsia" w:ascii="宋体" w:hAnsi="宋体" w:cs="宋体"/>
                <w:kern w:val="0"/>
                <w:sz w:val="18"/>
                <w:szCs w:val="18"/>
                <w:highlight w:val="none"/>
                <w:lang w:val="en-US" w:eastAsia="zh-CN" w:bidi="ar"/>
              </w:rPr>
              <w:t>，防爆等级不低于 Exdb IIBT4 Gb，防护等级不低于 IP65，符合 GB3836 系列防爆标准。</w:t>
            </w:r>
          </w:p>
          <w:p>
            <w:pPr>
              <w:pStyle w:val="9"/>
              <w:jc w:val="both"/>
              <w:rPr>
                <w:rFonts w:hint="eastAsia"/>
                <w:highlight w:val="none"/>
                <w:lang w:val="en-US" w:eastAsia="zh-CN"/>
              </w:rPr>
            </w:pPr>
            <w:r>
              <w:rPr>
                <w:rFonts w:hint="eastAsia"/>
                <w:highlight w:val="none"/>
                <w:lang w:val="en-US" w:eastAsia="zh-CN"/>
              </w:rPr>
              <w:t>采用无堵塞排污泵结构，适配污泥介质，防堵塞、抗缠绕，输送效率高；防爆等级符合现场安全生产要求，具备过流、过载、过热保护功能，运行稳定，使用寿命≥5 年。</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台</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2</w:t>
            </w:r>
          </w:p>
        </w:tc>
        <w:tc>
          <w:tcPr>
            <w:tcW w:w="941" w:type="pct"/>
            <w:vAlign w:val="center"/>
          </w:tcPr>
          <w:p>
            <w:pPr>
              <w:keepNext/>
              <w:keepLines w:val="0"/>
              <w:widowControl/>
              <w:suppressLineNumbers w:val="0"/>
              <w:snapToGrid w:val="0"/>
              <w:ind w:left="0" w:leftChars="0" w:right="0" w:rightChars="0" w:firstLine="0" w:firstLineChars="0"/>
              <w:jc w:val="center"/>
              <w:rPr>
                <w:rFonts w:hint="eastAsia"/>
                <w:highlight w:val="none"/>
                <w:lang w:val="en-US" w:eastAsia="zh-CN"/>
              </w:rPr>
            </w:pPr>
            <w:r>
              <w:rPr>
                <w:rFonts w:hint="eastAsia" w:ascii="宋体" w:hAnsi="宋体" w:eastAsia="宋体" w:cs="宋体"/>
                <w:kern w:val="0"/>
                <w:sz w:val="18"/>
                <w:szCs w:val="18"/>
                <w:highlight w:val="none"/>
                <w:lang w:val="en-US" w:eastAsia="zh-CN" w:bidi="ar"/>
              </w:rPr>
              <w:t>1 用 1 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cs="宋体"/>
                <w:kern w:val="0"/>
                <w:sz w:val="18"/>
                <w:szCs w:val="18"/>
                <w:highlight w:val="none"/>
                <w:lang w:val="en-US" w:eastAsia="zh-CN" w:bidi="ar"/>
              </w:rPr>
              <w:t>铁碳排水</w:t>
            </w:r>
            <w:r>
              <w:rPr>
                <w:rFonts w:hint="eastAsia" w:ascii="宋体" w:hAnsi="宋体" w:eastAsia="宋体" w:cs="宋体"/>
                <w:kern w:val="0"/>
                <w:sz w:val="18"/>
                <w:szCs w:val="18"/>
                <w:highlight w:val="none"/>
                <w:lang w:val="en-US" w:eastAsia="zh-CN" w:bidi="ar"/>
              </w:rPr>
              <w:t>泵</w:t>
            </w:r>
          </w:p>
        </w:tc>
        <w:tc>
          <w:tcPr>
            <w:tcW w:w="2325" w:type="pct"/>
            <w:vAlign w:val="center"/>
          </w:tcPr>
          <w:p>
            <w:pPr>
              <w:keepNext/>
              <w:keepLines w:val="0"/>
              <w:widowControl/>
              <w:suppressLineNumbers w:val="0"/>
              <w:snapToGrid w:val="0"/>
              <w:ind w:left="0" w:leftChars="0" w:right="0" w:rightChars="0" w:firstLine="0" w:firstLineChars="0"/>
              <w:jc w:val="left"/>
              <w:rPr>
                <w:rFonts w:hint="eastAsia" w:ascii="宋体" w:hAnsi="宋体" w:cs="宋体"/>
                <w:kern w:val="0"/>
                <w:sz w:val="18"/>
                <w:szCs w:val="18"/>
                <w:highlight w:val="none"/>
                <w:shd w:val="clear"/>
                <w:lang w:val="en-US" w:eastAsia="zh-CN" w:bidi="ar"/>
              </w:rPr>
            </w:pPr>
            <w:r>
              <w:rPr>
                <w:rFonts w:hint="eastAsia" w:ascii="宋体" w:hAnsi="宋体" w:cs="宋体"/>
                <w:kern w:val="0"/>
                <w:sz w:val="18"/>
                <w:szCs w:val="18"/>
                <w:highlight w:val="none"/>
                <w:lang w:val="en-US" w:eastAsia="zh-CN" w:bidi="ar"/>
              </w:rPr>
              <w:t>Q</w:t>
            </w:r>
            <w:r>
              <w:rPr>
                <w:rFonts w:hint="eastAsia" w:ascii="宋体" w:hAnsi="宋体" w:cs="宋体"/>
                <w:kern w:val="0"/>
                <w:sz w:val="18"/>
                <w:szCs w:val="18"/>
                <w:highlight w:val="none"/>
                <w:shd w:val="clear"/>
                <w:lang w:val="en-US" w:eastAsia="zh-CN" w:bidi="ar"/>
              </w:rPr>
              <w:t>=</w:t>
            </w:r>
            <w:r>
              <w:rPr>
                <w:rFonts w:hint="eastAsia" w:ascii="宋体" w:hAnsi="宋体" w:eastAsia="宋体" w:cs="宋体"/>
                <w:kern w:val="0"/>
                <w:sz w:val="18"/>
                <w:szCs w:val="18"/>
                <w:highlight w:val="none"/>
                <w:shd w:val="clear"/>
                <w:lang w:val="en-US" w:eastAsia="zh-CN" w:bidi="ar"/>
              </w:rPr>
              <w:t>35m³/h，</w:t>
            </w:r>
            <w:r>
              <w:rPr>
                <w:rFonts w:hint="eastAsia" w:ascii="宋体" w:hAnsi="宋体" w:cs="宋体"/>
                <w:kern w:val="0"/>
                <w:sz w:val="18"/>
                <w:szCs w:val="18"/>
                <w:highlight w:val="none"/>
                <w:shd w:val="clear"/>
                <w:lang w:val="en-US" w:eastAsia="zh-CN" w:bidi="ar"/>
              </w:rPr>
              <w:t>H=</w:t>
            </w:r>
            <w:r>
              <w:rPr>
                <w:rFonts w:hint="eastAsia" w:ascii="宋体" w:hAnsi="宋体" w:eastAsia="宋体" w:cs="宋体"/>
                <w:kern w:val="0"/>
                <w:sz w:val="18"/>
                <w:szCs w:val="18"/>
                <w:highlight w:val="none"/>
                <w:shd w:val="clear"/>
                <w:lang w:val="en-US" w:eastAsia="zh-CN" w:bidi="ar"/>
              </w:rPr>
              <w:t xml:space="preserve"> 15m</w:t>
            </w:r>
            <w:r>
              <w:rPr>
                <w:rFonts w:hint="eastAsia" w:ascii="宋体" w:hAnsi="宋体" w:cs="宋体"/>
                <w:kern w:val="0"/>
                <w:sz w:val="18"/>
                <w:szCs w:val="18"/>
                <w:highlight w:val="none"/>
                <w:shd w:val="clear"/>
                <w:lang w:val="en-US" w:eastAsia="zh-CN" w:bidi="ar"/>
              </w:rPr>
              <w:t>；</w:t>
            </w:r>
            <w:r>
              <w:rPr>
                <w:rFonts w:hint="eastAsia" w:ascii="宋体" w:hAnsi="宋体" w:eastAsia="宋体" w:cs="宋体"/>
                <w:kern w:val="0"/>
                <w:sz w:val="18"/>
                <w:szCs w:val="18"/>
                <w:highlight w:val="none"/>
                <w:shd w:val="clear"/>
                <w:lang w:val="en-US" w:eastAsia="zh-CN" w:bidi="ar"/>
              </w:rPr>
              <w:t>功率 5.5kw，</w:t>
            </w:r>
            <w:r>
              <w:rPr>
                <w:rFonts w:hint="eastAsia" w:ascii="仿宋" w:hAnsi="仿宋" w:eastAsia="仿宋" w:cs="仿宋"/>
                <w:i w:val="0"/>
                <w:iCs w:val="0"/>
                <w:color w:val="000000"/>
                <w:kern w:val="0"/>
                <w:sz w:val="18"/>
                <w:szCs w:val="18"/>
                <w:highlight w:val="none"/>
                <w:u w:val="none"/>
                <w:shd w:val="clear"/>
                <w:lang w:val="en-US" w:eastAsia="zh-CN" w:bidi="ar"/>
              </w:rPr>
              <w:t>IHF离心泵</w:t>
            </w:r>
            <w:r>
              <w:rPr>
                <w:rFonts w:hint="eastAsia" w:ascii="宋体" w:hAnsi="宋体" w:cs="宋体"/>
                <w:kern w:val="0"/>
                <w:sz w:val="18"/>
                <w:szCs w:val="18"/>
                <w:highlight w:val="none"/>
                <w:shd w:val="clear"/>
                <w:lang w:val="en-US" w:eastAsia="zh-CN" w:bidi="ar"/>
              </w:rPr>
              <w:t>；</w:t>
            </w:r>
            <w:r>
              <w:rPr>
                <w:rFonts w:hint="eastAsia" w:ascii="宋体" w:hAnsi="宋体" w:eastAsia="宋体" w:cs="宋体"/>
                <w:kern w:val="0"/>
                <w:sz w:val="18"/>
                <w:szCs w:val="18"/>
                <w:highlight w:val="none"/>
                <w:shd w:val="clear"/>
                <w:lang w:val="en-US" w:eastAsia="zh-CN" w:bidi="ar"/>
              </w:rPr>
              <w:t>防爆等级不低于 Exdb IIBT4 Gb，防护等级不低于 IP65，符合 GB3836 系列防爆标准</w:t>
            </w:r>
            <w:r>
              <w:rPr>
                <w:rFonts w:hint="eastAsia" w:ascii="宋体" w:hAnsi="宋体" w:cs="宋体"/>
                <w:kern w:val="0"/>
                <w:sz w:val="18"/>
                <w:szCs w:val="18"/>
                <w:highlight w:val="none"/>
                <w:shd w:val="clear"/>
                <w:lang w:val="en-US" w:eastAsia="zh-CN" w:bidi="ar"/>
              </w:rPr>
              <w:t>。</w:t>
            </w:r>
          </w:p>
          <w:p>
            <w:pPr>
              <w:pStyle w:val="9"/>
              <w:jc w:val="both"/>
              <w:rPr>
                <w:rFonts w:hint="eastAsia"/>
                <w:highlight w:val="none"/>
                <w:lang w:val="en-US" w:eastAsia="zh-CN"/>
              </w:rPr>
            </w:pPr>
            <w:r>
              <w:rPr>
                <w:rFonts w:hint="eastAsia"/>
                <w:highlight w:val="none"/>
                <w:lang w:val="en-US" w:eastAsia="zh-CN"/>
              </w:rPr>
              <w:t>采用氟塑料过流部件，具备优异的耐酸碱、耐腐蚀性能，适配反应后污水介质；结构设计合理，防堵塞、无泄漏，输送效率高，具备过流、过载、过热保护功能，运行稳定，使用寿命≥5 年；配套变频控制功能，可根据进水水量调节流量，实现稳定供水、节能运行。</w:t>
            </w:r>
          </w:p>
        </w:tc>
        <w:tc>
          <w:tcPr>
            <w:tcW w:w="423"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台</w:t>
            </w:r>
          </w:p>
        </w:tc>
        <w:tc>
          <w:tcPr>
            <w:tcW w:w="437"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kern w:val="0"/>
                <w:sz w:val="18"/>
                <w:szCs w:val="18"/>
                <w:highlight w:val="none"/>
                <w:lang w:val="en-US" w:eastAsia="zh-CN" w:bidi="ar"/>
              </w:rPr>
              <w:t>2</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color w:val="000000" w:themeColor="text1"/>
                <w:spacing w:val="0"/>
                <w:kern w:val="0"/>
                <w:sz w:val="18"/>
                <w:szCs w:val="18"/>
                <w:highlight w:val="none"/>
                <w:lang w:val="en-US" w:eastAsia="zh-CN" w:bidi="ar-SA"/>
                <w14:textFill>
                  <w14:solidFill>
                    <w14:schemeClr w14:val="tx1"/>
                  </w14:solidFill>
                </w14:textFill>
              </w:rPr>
            </w:pPr>
            <w:r>
              <w:rPr>
                <w:rFonts w:hint="eastAsia" w:ascii="宋体" w:hAnsi="宋体" w:eastAsia="宋体" w:cs="宋体"/>
                <w:kern w:val="0"/>
                <w:sz w:val="18"/>
                <w:szCs w:val="18"/>
                <w:highlight w:val="none"/>
                <w:lang w:val="en-US" w:eastAsia="zh-CN" w:bidi="ar"/>
              </w:rPr>
              <w:t>1 用 1 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keepNext w:val="0"/>
              <w:keepLines w:val="0"/>
              <w:pageBreakBefore w:val="0"/>
              <w:widowControl w:val="0"/>
              <w:numPr>
                <w:ilvl w:val="0"/>
                <w:numId w:val="12"/>
              </w:numPr>
              <w:kinsoku/>
              <w:wordWrap/>
              <w:overflowPunct/>
              <w:topLinePunct w:val="0"/>
              <w:autoSpaceDE/>
              <w:autoSpaceDN/>
              <w:bidi w:val="0"/>
              <w:adjustRightInd w:val="0"/>
              <w:snapToGrid w:val="0"/>
              <w:spacing w:line="240" w:lineRule="auto"/>
              <w:ind w:left="0" w:leftChars="0" w:right="0" w:firstLine="0" w:firstLineChars="0"/>
              <w:jc w:val="center"/>
              <w:textAlignment w:val="auto"/>
              <w:outlineLvl w:val="9"/>
              <w:rPr>
                <w:rFonts w:hint="eastAsia" w:ascii="宋体" w:hAnsi="宋体" w:eastAsia="宋体" w:cs="宋体"/>
                <w:color w:val="000000" w:themeColor="text1"/>
                <w:spacing w:val="0"/>
                <w:sz w:val="21"/>
                <w:szCs w:val="21"/>
                <w:highlight w:val="none"/>
                <w:lang w:val="en-US" w:eastAsia="zh-CN"/>
                <w14:textFill>
                  <w14:solidFill>
                    <w14:schemeClr w14:val="tx1"/>
                  </w14:solidFill>
                </w14:textFill>
              </w:rPr>
            </w:pPr>
          </w:p>
        </w:tc>
        <w:tc>
          <w:tcPr>
            <w:tcW w:w="639" w:type="pct"/>
            <w:vAlign w:val="center"/>
          </w:tcPr>
          <w:p>
            <w:pPr>
              <w:keepNext/>
              <w:keepLines w:val="0"/>
              <w:widowControl/>
              <w:suppressLineNumbers w:val="0"/>
              <w:snapToGrid w:val="0"/>
              <w:ind w:left="0" w:leftChars="0" w:right="0" w:rightChars="0" w:firstLine="0" w:firstLineChars="0"/>
              <w:jc w:val="both"/>
              <w:rPr>
                <w:rFonts w:hint="default"/>
                <w:highlight w:val="none"/>
                <w:lang w:val="en-US" w:eastAsia="zh-CN"/>
              </w:rPr>
            </w:pPr>
            <w:r>
              <w:rPr>
                <w:rFonts w:hint="eastAsia" w:ascii="宋体" w:hAnsi="宋体" w:cs="宋体"/>
                <w:kern w:val="0"/>
                <w:sz w:val="18"/>
                <w:szCs w:val="18"/>
                <w:highlight w:val="none"/>
                <w:lang w:val="en-US" w:eastAsia="zh-CN" w:bidi="ar"/>
              </w:rPr>
              <w:t>管子/管件</w:t>
            </w:r>
          </w:p>
        </w:tc>
        <w:tc>
          <w:tcPr>
            <w:tcW w:w="2325" w:type="pct"/>
            <w:vAlign w:val="center"/>
          </w:tcPr>
          <w:p>
            <w:pPr>
              <w:keepNext/>
              <w:keepLines w:val="0"/>
              <w:widowControl/>
              <w:suppressLineNumbers w:val="0"/>
              <w:snapToGrid w:val="0"/>
              <w:ind w:left="0" w:leftChars="0" w:right="0" w:rightChars="0" w:firstLine="0" w:firstLineChars="0"/>
              <w:jc w:val="both"/>
              <w:rPr>
                <w:rFonts w:hint="default" w:ascii="宋体" w:hAnsi="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耐压等级：1.6MPa；材质：UPVC 配套保温伴热</w:t>
            </w:r>
          </w:p>
        </w:tc>
        <w:tc>
          <w:tcPr>
            <w:tcW w:w="423" w:type="pct"/>
            <w:vAlign w:val="center"/>
          </w:tcPr>
          <w:p>
            <w:pPr>
              <w:keepNext/>
              <w:keepLines w:val="0"/>
              <w:widowControl/>
              <w:suppressLineNumbers w:val="0"/>
              <w:snapToGrid w:val="0"/>
              <w:ind w:left="0" w:leftChars="0" w:right="0" w:rightChars="0" w:firstLine="0" w:firstLineChars="0"/>
              <w:jc w:val="center"/>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项</w:t>
            </w:r>
          </w:p>
        </w:tc>
        <w:tc>
          <w:tcPr>
            <w:tcW w:w="437" w:type="pct"/>
            <w:vAlign w:val="center"/>
          </w:tcPr>
          <w:p>
            <w:pPr>
              <w:keepNext/>
              <w:keepLines w:val="0"/>
              <w:widowControl/>
              <w:suppressLineNumbers w:val="0"/>
              <w:snapToGrid w:val="0"/>
              <w:ind w:left="0" w:leftChars="0" w:right="0" w:rightChars="0" w:firstLine="0" w:firstLineChars="0"/>
              <w:jc w:val="center"/>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kern w:val="0"/>
                <w:sz w:val="18"/>
                <w:szCs w:val="18"/>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二</w:t>
            </w:r>
          </w:p>
        </w:tc>
        <w:tc>
          <w:tcPr>
            <w:tcW w:w="4766" w:type="pct"/>
            <w:gridSpan w:val="5"/>
            <w:vAlign w:val="center"/>
          </w:tcPr>
          <w:p>
            <w:pPr>
              <w:pStyle w:val="51"/>
              <w:bidi w:val="0"/>
              <w:jc w:val="center"/>
              <w:rPr>
                <w:rFonts w:hint="eastAsia"/>
                <w:highlight w:val="none"/>
                <w:lang w:val="en-US" w:eastAsia="zh-CN"/>
              </w:rPr>
            </w:pPr>
            <w:r>
              <w:rPr>
                <w:rFonts w:hint="eastAsia"/>
                <w:highlight w:val="none"/>
                <w:lang w:val="en-US" w:eastAsia="zh-CN"/>
              </w:rPr>
              <w:t>酸性加药撬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1</w:t>
            </w:r>
          </w:p>
        </w:tc>
        <w:tc>
          <w:tcPr>
            <w:tcW w:w="639" w:type="pct"/>
            <w:vAlign w:val="center"/>
          </w:tcPr>
          <w:p>
            <w:pPr>
              <w:pStyle w:val="51"/>
              <w:bidi w:val="0"/>
              <w:rPr>
                <w:rFonts w:hint="eastAsia"/>
                <w:highlight w:val="none"/>
                <w:lang w:val="en-US" w:eastAsia="zh-CN"/>
              </w:rPr>
            </w:pPr>
            <w:r>
              <w:rPr>
                <w:rFonts w:hint="eastAsia"/>
                <w:highlight w:val="none"/>
                <w:lang w:val="en-US" w:eastAsia="zh-CN"/>
              </w:rPr>
              <w:t>98%硫酸卸转泵</w:t>
            </w:r>
          </w:p>
        </w:tc>
        <w:tc>
          <w:tcPr>
            <w:tcW w:w="2325" w:type="pct"/>
            <w:vAlign w:val="center"/>
          </w:tcPr>
          <w:p>
            <w:pPr>
              <w:pStyle w:val="51"/>
              <w:bidi w:val="0"/>
              <w:rPr>
                <w:rFonts w:hint="eastAsia"/>
                <w:highlight w:val="none"/>
                <w:lang w:val="en-US" w:eastAsia="zh-CN"/>
              </w:rPr>
            </w:pPr>
            <w:r>
              <w:rPr>
                <w:rFonts w:hint="eastAsia"/>
                <w:highlight w:val="none"/>
                <w:lang w:val="en-US" w:eastAsia="zh-CN"/>
              </w:rPr>
              <w:t>流量：5m</w:t>
            </w:r>
            <w:r>
              <w:rPr>
                <w:highlight w:val="none"/>
                <w:lang w:val="en-US" w:eastAsia="zh-CN"/>
              </w:rPr>
              <w:t>³</w:t>
            </w:r>
            <w:r>
              <w:rPr>
                <w:rFonts w:hint="eastAsia"/>
                <w:highlight w:val="none"/>
                <w:lang w:val="en-US" w:eastAsia="zh-CN"/>
              </w:rPr>
              <w:t>/h，0.2MPa；IHF离心泵；功率：1.5kw；介质温度：常温；耐腐蚀</w:t>
            </w:r>
            <w:r>
              <w:rPr>
                <w:rFonts w:hint="eastAsia"/>
                <w:highlight w:val="none"/>
                <w:lang w:eastAsia="zh-CN"/>
              </w:rPr>
              <w:t>；</w:t>
            </w:r>
            <w:r>
              <w:rPr>
                <w:rFonts w:hint="eastAsia"/>
                <w:highlight w:val="none"/>
                <w:lang w:val="en-US" w:eastAsia="zh-CN"/>
              </w:rPr>
              <w:t>防爆等级不低于 Exdb IIBT4 Gb，防护等级不低于 IP65，符合 GB3836 系列防爆标准。</w:t>
            </w:r>
          </w:p>
          <w:p>
            <w:pPr>
              <w:pStyle w:val="51"/>
              <w:bidi w:val="0"/>
              <w:rPr>
                <w:rFonts w:hint="eastAsia"/>
                <w:highlight w:val="none"/>
                <w:lang w:val="en-US" w:eastAsia="zh-CN"/>
              </w:rPr>
            </w:pPr>
            <w:r>
              <w:rPr>
                <w:rFonts w:hint="eastAsia"/>
                <w:highlight w:val="none"/>
                <w:lang w:val="en-US" w:eastAsia="zh-CN"/>
              </w:rPr>
              <w:t>适配高浓度强酸性介质，密封可靠无泄漏，启停平稳，具备过载、缺相保护。</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台</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2</w:t>
            </w:r>
          </w:p>
        </w:tc>
        <w:tc>
          <w:tcPr>
            <w:tcW w:w="941" w:type="pct"/>
            <w:vAlign w:val="center"/>
          </w:tcPr>
          <w:p>
            <w:pPr>
              <w:pStyle w:val="51"/>
              <w:bidi w:val="0"/>
              <w:rPr>
                <w:rFonts w:hint="eastAsia"/>
                <w:highlight w:val="none"/>
                <w:lang w:val="en-US" w:eastAsia="zh-CN"/>
              </w:rPr>
            </w:pPr>
            <w:r>
              <w:rPr>
                <w:rFonts w:hint="eastAsia"/>
                <w:highlight w:val="none"/>
                <w:lang w:val="en-US" w:eastAsia="zh-CN"/>
              </w:rPr>
              <w:t>一用</w:t>
            </w:r>
          </w:p>
          <w:p>
            <w:pPr>
              <w:pStyle w:val="51"/>
              <w:bidi w:val="0"/>
              <w:rPr>
                <w:rFonts w:hint="eastAsia"/>
                <w:highlight w:val="none"/>
                <w:lang w:val="en-US" w:eastAsia="zh-CN"/>
              </w:rPr>
            </w:pPr>
            <w:r>
              <w:rPr>
                <w:rFonts w:hint="eastAsia"/>
                <w:highlight w:val="none"/>
                <w:lang w:val="en-US" w:eastAsia="zh-CN"/>
              </w:rPr>
              <w:t>一台</w:t>
            </w:r>
            <w:r>
              <w:rPr>
                <w:rFonts w:hint="eastAsia"/>
                <w:color w:val="auto"/>
                <w:highlight w:val="none"/>
                <w:lang w:val="en-US" w:eastAsia="zh-CN"/>
              </w:rPr>
              <w:t>备存</w:t>
            </w:r>
            <w:r>
              <w:rPr>
                <w:rFonts w:hint="eastAsia"/>
                <w:highlight w:val="none"/>
                <w:lang w:val="en-US" w:eastAsia="zh-CN"/>
              </w:rPr>
              <w:t>于库房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shd w:val="clear" w:color="auto" w:fill="auto"/>
            <w:vAlign w:val="center"/>
          </w:tcPr>
          <w:p>
            <w:pPr>
              <w:pStyle w:val="51"/>
              <w:bidi w:val="0"/>
              <w:rPr>
                <w:rFonts w:hint="eastAsia"/>
                <w:highlight w:val="none"/>
                <w:lang w:val="en-US" w:eastAsia="zh-CN"/>
              </w:rPr>
            </w:pPr>
            <w:r>
              <w:rPr>
                <w:rFonts w:hint="eastAsia"/>
                <w:highlight w:val="none"/>
                <w:lang w:val="en-US" w:eastAsia="zh-CN"/>
              </w:rPr>
              <w:t>2</w:t>
            </w:r>
          </w:p>
        </w:tc>
        <w:tc>
          <w:tcPr>
            <w:tcW w:w="639" w:type="pct"/>
            <w:shd w:val="clear" w:color="auto" w:fill="auto"/>
            <w:vAlign w:val="center"/>
          </w:tcPr>
          <w:p>
            <w:pPr>
              <w:pStyle w:val="51"/>
              <w:bidi w:val="0"/>
              <w:rPr>
                <w:rFonts w:hint="eastAsia"/>
                <w:highlight w:val="none"/>
                <w:lang w:val="en-US" w:eastAsia="zh-CN"/>
              </w:rPr>
            </w:pPr>
            <w:r>
              <w:rPr>
                <w:rFonts w:hint="eastAsia"/>
                <w:highlight w:val="none"/>
                <w:lang w:val="en-US" w:eastAsia="zh-CN"/>
              </w:rPr>
              <w:t>98%硫酸罐</w:t>
            </w:r>
          </w:p>
        </w:tc>
        <w:tc>
          <w:tcPr>
            <w:tcW w:w="2325" w:type="pct"/>
            <w:shd w:val="clear" w:color="auto" w:fill="auto"/>
            <w:vAlign w:val="center"/>
          </w:tcPr>
          <w:p>
            <w:pPr>
              <w:pStyle w:val="51"/>
              <w:bidi w:val="0"/>
              <w:rPr>
                <w:rFonts w:hint="eastAsia"/>
                <w:highlight w:val="none"/>
                <w:lang w:val="en-US" w:eastAsia="zh-CN"/>
              </w:rPr>
            </w:pPr>
            <w:r>
              <w:rPr>
                <w:rFonts w:hint="eastAsia"/>
                <w:highlight w:val="none"/>
                <w:lang w:val="en-US" w:eastAsia="zh-CN"/>
              </w:rPr>
              <w:t>有效容积：5m³；尺寸：φ1.6*2.6m；HDPE，t≥10mm；含远带远传的磁翻板液位计（材质：304不锈钢主体，内衬 PTFE（聚四氟乙烯）；防爆）等成套酸储罐。</w:t>
            </w:r>
          </w:p>
          <w:p>
            <w:pPr>
              <w:pStyle w:val="51"/>
              <w:bidi w:val="0"/>
              <w:rPr>
                <w:rFonts w:hint="eastAsia"/>
                <w:highlight w:val="none"/>
                <w:lang w:val="en-US" w:eastAsia="zh-CN"/>
              </w:rPr>
            </w:pPr>
            <w:r>
              <w:rPr>
                <w:rFonts w:hint="eastAsia"/>
                <w:highlight w:val="none"/>
                <w:lang w:val="en-US" w:eastAsia="zh-CN"/>
              </w:rPr>
              <w:t>罐体整体防腐处理，配套远传液位计、检修人孔等；罐体强度满足常压储存要求，耐浓硫酸腐蚀。</w:t>
            </w:r>
          </w:p>
        </w:tc>
        <w:tc>
          <w:tcPr>
            <w:tcW w:w="423" w:type="pct"/>
            <w:shd w:val="clear" w:color="auto" w:fill="auto"/>
            <w:vAlign w:val="center"/>
          </w:tcPr>
          <w:p>
            <w:pPr>
              <w:pStyle w:val="51"/>
              <w:bidi w:val="0"/>
              <w:jc w:val="center"/>
              <w:rPr>
                <w:rFonts w:hint="eastAsia"/>
                <w:highlight w:val="none"/>
                <w:lang w:val="en-US" w:eastAsia="zh-CN"/>
              </w:rPr>
            </w:pPr>
            <w:r>
              <w:rPr>
                <w:rFonts w:hint="eastAsia"/>
                <w:highlight w:val="none"/>
                <w:lang w:val="en-US" w:eastAsia="zh-CN"/>
              </w:rPr>
              <w:t>座</w:t>
            </w:r>
          </w:p>
        </w:tc>
        <w:tc>
          <w:tcPr>
            <w:tcW w:w="437" w:type="pct"/>
            <w:shd w:val="clear" w:color="auto" w:fill="auto"/>
            <w:vAlign w:val="center"/>
          </w:tcPr>
          <w:p>
            <w:pPr>
              <w:pStyle w:val="51"/>
              <w:bidi w:val="0"/>
              <w:jc w:val="center"/>
              <w:rPr>
                <w:rFonts w:hint="eastAsia"/>
                <w:highlight w:val="none"/>
                <w:lang w:val="en-US" w:eastAsia="zh-CN"/>
              </w:rPr>
            </w:pPr>
            <w:r>
              <w:rPr>
                <w:rFonts w:hint="eastAsia"/>
                <w:highlight w:val="none"/>
                <w:lang w:val="en-US" w:eastAsia="zh-CN"/>
              </w:rPr>
              <w:t>2</w:t>
            </w:r>
          </w:p>
          <w:p>
            <w:pPr>
              <w:pStyle w:val="51"/>
              <w:bidi w:val="0"/>
              <w:jc w:val="center"/>
              <w:rPr>
                <w:highlight w:val="none"/>
              </w:rPr>
            </w:pPr>
          </w:p>
        </w:tc>
        <w:tc>
          <w:tcPr>
            <w:tcW w:w="941" w:type="pct"/>
            <w:shd w:val="clear" w:color="auto" w:fill="auto"/>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3</w:t>
            </w:r>
          </w:p>
        </w:tc>
        <w:tc>
          <w:tcPr>
            <w:tcW w:w="639" w:type="pct"/>
            <w:vAlign w:val="center"/>
          </w:tcPr>
          <w:p>
            <w:pPr>
              <w:pStyle w:val="51"/>
              <w:bidi w:val="0"/>
              <w:rPr>
                <w:rFonts w:hint="eastAsia"/>
                <w:highlight w:val="none"/>
                <w:lang w:val="en-US" w:eastAsia="zh-CN"/>
              </w:rPr>
            </w:pPr>
            <w:r>
              <w:rPr>
                <w:rFonts w:hint="eastAsia"/>
                <w:highlight w:val="none"/>
                <w:lang w:val="en-US" w:eastAsia="zh-CN"/>
              </w:rPr>
              <w:t>98%硫酸计量泵撬</w:t>
            </w:r>
          </w:p>
        </w:tc>
        <w:tc>
          <w:tcPr>
            <w:tcW w:w="2325" w:type="pct"/>
            <w:vAlign w:val="center"/>
          </w:tcPr>
          <w:p>
            <w:pPr>
              <w:pStyle w:val="51"/>
              <w:bidi w:val="0"/>
              <w:rPr>
                <w:rFonts w:hint="eastAsia"/>
                <w:highlight w:val="none"/>
              </w:rPr>
            </w:pPr>
            <w:r>
              <w:rPr>
                <w:rFonts w:hint="eastAsia"/>
                <w:highlight w:val="none"/>
                <w:lang w:val="en-US" w:eastAsia="zh-CN"/>
              </w:rPr>
              <w:t>流量：100L/h*4台(碳钢防腐，泵体过流材质：PVDF材质)，0.7Mpa；单台功率0.5 kw；含背压阀、阻尼器、压力表、流量计、控制等成套撬装设备</w:t>
            </w:r>
            <w:r>
              <w:rPr>
                <w:rFonts w:hint="eastAsia"/>
                <w:highlight w:val="none"/>
                <w:lang w:eastAsia="zh-CN"/>
              </w:rPr>
              <w:t>。</w:t>
            </w:r>
            <w:r>
              <w:rPr>
                <w:rFonts w:hint="eastAsia"/>
                <w:highlight w:val="none"/>
                <w:lang w:val="en-US" w:eastAsia="zh-CN"/>
              </w:rPr>
              <w:t>撬装底座具体尺寸平面布置图设置，</w:t>
            </w:r>
            <w:r>
              <w:rPr>
                <w:rFonts w:hint="eastAsia"/>
                <w:highlight w:val="none"/>
              </w:rPr>
              <w:t>Q235B 碳钢底座</w:t>
            </w:r>
            <w:r>
              <w:rPr>
                <w:rFonts w:hint="eastAsia"/>
                <w:highlight w:val="none"/>
                <w:lang w:eastAsia="zh-CN"/>
              </w:rPr>
              <w:t>，</w:t>
            </w:r>
            <w:r>
              <w:rPr>
                <w:rFonts w:hint="eastAsia"/>
                <w:highlight w:val="none"/>
              </w:rPr>
              <w:t>主承重框架10# 国标槽钢（100×48×5.3mm）</w:t>
            </w:r>
            <w:r>
              <w:rPr>
                <w:rFonts w:hint="eastAsia"/>
                <w:highlight w:val="none"/>
                <w:lang w:eastAsia="zh-CN"/>
              </w:rPr>
              <w:t>，</w:t>
            </w:r>
            <w:r>
              <w:rPr>
                <w:rFonts w:hint="eastAsia"/>
                <w:highlight w:val="none"/>
              </w:rPr>
              <w:t>中间次横梁60×40 矩形方管，壁厚3.0mm</w:t>
            </w:r>
            <w:r>
              <w:rPr>
                <w:rFonts w:hint="eastAsia"/>
                <w:highlight w:val="none"/>
                <w:lang w:eastAsia="zh-CN"/>
              </w:rPr>
              <w:t>；</w:t>
            </w:r>
            <w:r>
              <w:rPr>
                <w:rFonts w:hint="eastAsia"/>
                <w:highlight w:val="none"/>
              </w:rPr>
              <w:t>顶部安装铺板（泵、阀门固定面）薄板</w:t>
            </w:r>
            <w:r>
              <w:rPr>
                <w:rFonts w:hint="eastAsia"/>
                <w:highlight w:val="none"/>
                <w:lang w:eastAsia="zh-CN"/>
              </w:rPr>
              <w:t>（</w:t>
            </w:r>
            <w:r>
              <w:rPr>
                <w:rFonts w:hint="eastAsia"/>
                <w:highlight w:val="none"/>
                <w:lang w:val="en-US" w:eastAsia="zh-CN"/>
              </w:rPr>
              <w:t>6</w:t>
            </w:r>
            <w:r>
              <w:rPr>
                <w:rFonts w:hint="eastAsia"/>
                <w:highlight w:val="none"/>
              </w:rPr>
              <w:t>mm 厚 Q235 花纹钢板 / 平板，满焊于方管框架</w:t>
            </w:r>
            <w:r>
              <w:rPr>
                <w:rFonts w:hint="eastAsia"/>
                <w:highlight w:val="none"/>
                <w:lang w:eastAsia="zh-CN"/>
              </w:rPr>
              <w:t>），</w:t>
            </w:r>
            <w:r>
              <w:rPr>
                <w:rFonts w:hint="eastAsia"/>
                <w:highlight w:val="none"/>
              </w:rPr>
              <w:t>侧面仪表支架：40×40×2.5mm 方管</w:t>
            </w:r>
            <w:r>
              <w:rPr>
                <w:rFonts w:hint="eastAsia"/>
                <w:highlight w:val="none"/>
                <w:lang w:eastAsia="zh-CN"/>
              </w:rPr>
              <w:t>，</w:t>
            </w:r>
            <w:r>
              <w:rPr>
                <w:rFonts w:hint="eastAsia"/>
                <w:highlight w:val="none"/>
                <w:lang w:val="en-US" w:eastAsia="zh-CN"/>
              </w:rPr>
              <w:t>防腐要求：除锈，</w:t>
            </w:r>
            <w:r>
              <w:rPr>
                <w:rFonts w:hint="eastAsia"/>
                <w:highlight w:val="none"/>
              </w:rPr>
              <w:t>环氧富锌底漆（干膜≥60μm）1 道；环氧云铁中间漆（干膜≥80μm）1 道；环氧耐酸碱面漆（蓝色 / 灰色，干膜≥70μm）2 道； 总干膜厚度≥2</w:t>
            </w:r>
            <w:r>
              <w:rPr>
                <w:rFonts w:hint="eastAsia"/>
                <w:highlight w:val="none"/>
                <w:lang w:val="en-US" w:eastAsia="zh-CN"/>
              </w:rPr>
              <w:t>8</w:t>
            </w:r>
            <w:r>
              <w:rPr>
                <w:rFonts w:hint="eastAsia"/>
                <w:highlight w:val="none"/>
              </w:rPr>
              <w:t>0μm，焊缝、边角额外预涂加厚。</w:t>
            </w:r>
          </w:p>
          <w:p>
            <w:pPr>
              <w:pStyle w:val="51"/>
              <w:bidi w:val="0"/>
              <w:rPr>
                <w:rFonts w:hint="eastAsia"/>
                <w:highlight w:val="none"/>
                <w:lang w:val="en-US" w:eastAsia="zh-CN"/>
              </w:rPr>
            </w:pPr>
            <w:r>
              <w:rPr>
                <w:rFonts w:hint="eastAsia"/>
                <w:highlight w:val="none"/>
                <w:lang w:val="en-US" w:eastAsia="zh-CN"/>
              </w:rPr>
              <w:t>计量精准；管路设置防虹吸、泄压保护，整体耐强腐蚀。</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highlight w:val="none"/>
                <w:lang w:val="en-US" w:eastAsia="zh-CN"/>
              </w:rPr>
              <w:t>硫酸计量泵：</w:t>
            </w:r>
          </w:p>
          <w:p>
            <w:pPr>
              <w:pStyle w:val="51"/>
              <w:bidi w:val="0"/>
              <w:rPr>
                <w:rFonts w:hint="eastAsia"/>
                <w:color w:val="auto"/>
                <w:highlight w:val="none"/>
                <w:lang w:val="en-US" w:eastAsia="zh-CN"/>
              </w:rPr>
            </w:pPr>
            <w:r>
              <w:rPr>
                <w:rFonts w:hint="eastAsia"/>
                <w:color w:val="auto"/>
                <w:highlight w:val="none"/>
                <w:lang w:val="en-US" w:eastAsia="zh-CN"/>
              </w:rPr>
              <w:t>3用</w:t>
            </w:r>
          </w:p>
          <w:p>
            <w:pPr>
              <w:pStyle w:val="51"/>
              <w:bidi w:val="0"/>
              <w:rPr>
                <w:rFonts w:hint="eastAsia"/>
                <w:highlight w:val="none"/>
                <w:lang w:val="en-US" w:eastAsia="zh-CN"/>
              </w:rPr>
            </w:pPr>
            <w:r>
              <w:rPr>
                <w:rFonts w:hint="eastAsia"/>
                <w:color w:val="auto"/>
                <w:highlight w:val="none"/>
                <w:lang w:val="en-US" w:eastAsia="zh-CN"/>
              </w:rPr>
              <w:t>1台备存于库房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4</w:t>
            </w:r>
          </w:p>
        </w:tc>
        <w:tc>
          <w:tcPr>
            <w:tcW w:w="639" w:type="pct"/>
            <w:vAlign w:val="center"/>
          </w:tcPr>
          <w:p>
            <w:pPr>
              <w:pStyle w:val="51"/>
              <w:bidi w:val="0"/>
              <w:rPr>
                <w:rFonts w:hint="default"/>
                <w:highlight w:val="none"/>
                <w:lang w:val="en-US" w:eastAsia="zh-CN"/>
              </w:rPr>
            </w:pPr>
            <w:r>
              <w:rPr>
                <w:rFonts w:hint="eastAsia"/>
                <w:highlight w:val="none"/>
                <w:lang w:val="en-US" w:eastAsia="zh-CN"/>
              </w:rPr>
              <w:t>管子/管件</w:t>
            </w:r>
          </w:p>
        </w:tc>
        <w:tc>
          <w:tcPr>
            <w:tcW w:w="2325" w:type="pct"/>
            <w:vAlign w:val="center"/>
          </w:tcPr>
          <w:p>
            <w:pPr>
              <w:pStyle w:val="51"/>
              <w:bidi w:val="0"/>
              <w:rPr>
                <w:rFonts w:hint="default"/>
                <w:highlight w:val="none"/>
                <w:lang w:val="en-US" w:eastAsia="zh-CN"/>
              </w:rPr>
            </w:pPr>
            <w:r>
              <w:rPr>
                <w:rFonts w:hint="eastAsia"/>
                <w:highlight w:val="none"/>
                <w:lang w:val="en-US" w:eastAsia="zh-CN"/>
              </w:rPr>
              <w:t>耐压等级：1.6MPa；材质：CPVC 配套保温伴热</w:t>
            </w:r>
          </w:p>
        </w:tc>
        <w:tc>
          <w:tcPr>
            <w:tcW w:w="423" w:type="pct"/>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7"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三</w:t>
            </w:r>
          </w:p>
        </w:tc>
        <w:tc>
          <w:tcPr>
            <w:tcW w:w="4766" w:type="pct"/>
            <w:gridSpan w:val="5"/>
            <w:vAlign w:val="center"/>
          </w:tcPr>
          <w:p>
            <w:pPr>
              <w:pStyle w:val="51"/>
              <w:bidi w:val="0"/>
              <w:jc w:val="center"/>
              <w:rPr>
                <w:rFonts w:hint="eastAsia"/>
                <w:highlight w:val="none"/>
                <w:lang w:val="en-US" w:eastAsia="zh-CN"/>
              </w:rPr>
            </w:pPr>
            <w:r>
              <w:rPr>
                <w:rFonts w:hint="eastAsia"/>
                <w:highlight w:val="none"/>
                <w:lang w:val="en-US" w:eastAsia="zh-CN"/>
              </w:rPr>
              <w:t>碱性加药撬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1</w:t>
            </w:r>
          </w:p>
        </w:tc>
        <w:tc>
          <w:tcPr>
            <w:tcW w:w="639" w:type="pct"/>
            <w:vAlign w:val="center"/>
          </w:tcPr>
          <w:p>
            <w:pPr>
              <w:pStyle w:val="51"/>
              <w:bidi w:val="0"/>
              <w:rPr>
                <w:rFonts w:hint="eastAsia"/>
                <w:highlight w:val="none"/>
                <w:lang w:val="en-US" w:eastAsia="zh-CN"/>
              </w:rPr>
            </w:pPr>
            <w:r>
              <w:rPr>
                <w:rFonts w:hint="eastAsia"/>
                <w:highlight w:val="none"/>
                <w:lang w:val="en-US" w:eastAsia="zh-CN"/>
              </w:rPr>
              <w:t>30%氢氧化钠溶配罐</w:t>
            </w:r>
          </w:p>
        </w:tc>
        <w:tc>
          <w:tcPr>
            <w:tcW w:w="2325" w:type="pct"/>
            <w:vAlign w:val="center"/>
          </w:tcPr>
          <w:p>
            <w:pPr>
              <w:pStyle w:val="51"/>
              <w:bidi w:val="0"/>
              <w:rPr>
                <w:rFonts w:hint="eastAsia"/>
                <w:highlight w:val="none"/>
                <w:lang w:val="en-US" w:eastAsia="zh-CN"/>
              </w:rPr>
            </w:pPr>
            <w:r>
              <w:rPr>
                <w:rFonts w:hint="eastAsia"/>
                <w:highlight w:val="none"/>
                <w:lang w:val="en-US" w:eastAsia="zh-CN"/>
              </w:rPr>
              <w:t>有效容积：4m³；罐体尺寸：φ1.6*2.2m；材质：PE，加厚型（厚度≥5mm）；搅拌机（1kw</w:t>
            </w:r>
            <w:r>
              <w:rPr>
                <w:rFonts w:hint="eastAsia"/>
                <w:highlight w:val="none"/>
                <w:lang w:eastAsia="zh-CN"/>
              </w:rPr>
              <w:t>；</w:t>
            </w:r>
            <w:r>
              <w:rPr>
                <w:rFonts w:hint="eastAsia"/>
                <w:highlight w:val="none"/>
                <w:lang w:val="en-US" w:eastAsia="zh-CN"/>
              </w:rPr>
              <w:t>100RPM；防爆，</w:t>
            </w:r>
            <w:r>
              <w:rPr>
                <w:rFonts w:hint="eastAsia"/>
                <w:highlight w:val="none"/>
              </w:rPr>
              <w:t>二级双层三叶推进桨</w:t>
            </w:r>
            <w:r>
              <w:rPr>
                <w:rFonts w:hint="eastAsia"/>
                <w:highlight w:val="none"/>
                <w:lang w:eastAsia="zh-CN"/>
              </w:rPr>
              <w:t>；</w:t>
            </w:r>
            <w:r>
              <w:rPr>
                <w:rFonts w:hint="eastAsia"/>
                <w:highlight w:val="none"/>
                <w:lang w:val="en-US" w:eastAsia="zh-CN"/>
              </w:rPr>
              <w:t>常温）、液位计、控制系统等；</w:t>
            </w:r>
          </w:p>
          <w:p>
            <w:pPr>
              <w:pStyle w:val="51"/>
              <w:bidi w:val="0"/>
              <w:rPr>
                <w:rFonts w:hint="eastAsia"/>
                <w:highlight w:val="none"/>
                <w:lang w:val="en-US" w:eastAsia="zh-CN"/>
              </w:rPr>
            </w:pPr>
            <w:r>
              <w:rPr>
                <w:rFonts w:hint="eastAsia"/>
                <w:highlight w:val="none"/>
                <w:lang w:val="en-US" w:eastAsia="zh-CN"/>
              </w:rPr>
              <w:t>防爆等级不低于 Exdb IIBT4 Gb，防护等级不低于 IP65，符合 GB3836 系列防爆标准。</w:t>
            </w:r>
          </w:p>
          <w:p>
            <w:pPr>
              <w:pStyle w:val="51"/>
              <w:bidi w:val="0"/>
              <w:rPr>
                <w:rFonts w:hint="eastAsia"/>
                <w:highlight w:val="none"/>
                <w:lang w:val="en-US" w:eastAsia="zh-CN"/>
              </w:rPr>
            </w:pPr>
            <w:r>
              <w:rPr>
                <w:rFonts w:hint="eastAsia"/>
                <w:highlight w:val="none"/>
                <w:lang w:val="en-US" w:eastAsia="zh-CN"/>
              </w:rPr>
              <w:t>搅拌装置运转平稳，药剂溶解均匀无结块；罐体耐强碱腐蚀，配套排污口、检修口等。</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座</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2</w:t>
            </w:r>
          </w:p>
        </w:tc>
        <w:tc>
          <w:tcPr>
            <w:tcW w:w="941" w:type="pct"/>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2</w:t>
            </w:r>
          </w:p>
        </w:tc>
        <w:tc>
          <w:tcPr>
            <w:tcW w:w="639" w:type="pct"/>
            <w:vAlign w:val="center"/>
          </w:tcPr>
          <w:p>
            <w:pPr>
              <w:pStyle w:val="51"/>
              <w:bidi w:val="0"/>
              <w:rPr>
                <w:rFonts w:hint="eastAsia"/>
                <w:highlight w:val="none"/>
                <w:lang w:val="en-US" w:eastAsia="zh-CN"/>
              </w:rPr>
            </w:pPr>
            <w:r>
              <w:rPr>
                <w:rFonts w:hint="eastAsia"/>
                <w:highlight w:val="none"/>
                <w:lang w:val="en-US" w:eastAsia="zh-CN"/>
              </w:rPr>
              <w:t>30%氢氧化钠计量泵撬</w:t>
            </w:r>
          </w:p>
        </w:tc>
        <w:tc>
          <w:tcPr>
            <w:tcW w:w="2325" w:type="pct"/>
            <w:vAlign w:val="center"/>
          </w:tcPr>
          <w:p>
            <w:pPr>
              <w:pStyle w:val="51"/>
              <w:bidi w:val="0"/>
              <w:rPr>
                <w:rFonts w:hint="eastAsia"/>
                <w:highlight w:val="none"/>
                <w:lang w:eastAsia="zh-CN"/>
              </w:rPr>
            </w:pPr>
            <w:r>
              <w:rPr>
                <w:rFonts w:hint="eastAsia"/>
                <w:highlight w:val="none"/>
                <w:lang w:val="en-US" w:eastAsia="zh-CN"/>
              </w:rPr>
              <w:t>流量：200L/h*4台,0.7Mpa；功率：单台0.5 kw；含背压阀、阻尼器、压力表（全不锈钢耐震压力表，0～1.0MPa）、流量计（PVC浮球流量计，25～250 L/h）、控制箱等</w:t>
            </w:r>
          </w:p>
          <w:p>
            <w:pPr>
              <w:pStyle w:val="51"/>
              <w:bidi w:val="0"/>
              <w:rPr>
                <w:rFonts w:hint="eastAsia"/>
                <w:highlight w:val="none"/>
              </w:rPr>
            </w:pPr>
            <w:r>
              <w:rPr>
                <w:rFonts w:hint="eastAsia"/>
                <w:highlight w:val="none"/>
                <w:lang w:val="en-US" w:eastAsia="zh-CN"/>
              </w:rPr>
              <w:t>防爆等级不低于 Exdb IIBT4 Gb，防护等级不低于 IP65，符合 GB3836 系列防爆标准。撬装底座具体尺寸平面布置图设置，</w:t>
            </w:r>
            <w:r>
              <w:rPr>
                <w:rFonts w:hint="eastAsia"/>
                <w:highlight w:val="none"/>
              </w:rPr>
              <w:t>Q235B 碳钢底座</w:t>
            </w:r>
            <w:r>
              <w:rPr>
                <w:rFonts w:hint="eastAsia"/>
                <w:highlight w:val="none"/>
                <w:lang w:eastAsia="zh-CN"/>
              </w:rPr>
              <w:t>，</w:t>
            </w:r>
            <w:r>
              <w:rPr>
                <w:rFonts w:hint="eastAsia"/>
                <w:highlight w:val="none"/>
              </w:rPr>
              <w:t>主承重框架10# 国标槽钢（100×48×5.3mm）</w:t>
            </w:r>
            <w:r>
              <w:rPr>
                <w:rFonts w:hint="eastAsia"/>
                <w:highlight w:val="none"/>
                <w:lang w:eastAsia="zh-CN"/>
              </w:rPr>
              <w:t>，</w:t>
            </w:r>
            <w:r>
              <w:rPr>
                <w:rFonts w:hint="eastAsia"/>
                <w:highlight w:val="none"/>
              </w:rPr>
              <w:t>中间次横梁60×40 矩形方管，壁厚 3.0mm</w:t>
            </w:r>
            <w:r>
              <w:rPr>
                <w:rFonts w:hint="eastAsia"/>
                <w:highlight w:val="none"/>
                <w:lang w:eastAsia="zh-CN"/>
              </w:rPr>
              <w:t>；</w:t>
            </w:r>
            <w:r>
              <w:rPr>
                <w:rFonts w:hint="eastAsia"/>
                <w:highlight w:val="none"/>
              </w:rPr>
              <w:t>顶部安装铺板（泵、阀门固定面）薄板</w:t>
            </w:r>
            <w:r>
              <w:rPr>
                <w:rFonts w:hint="eastAsia"/>
                <w:highlight w:val="none"/>
                <w:lang w:eastAsia="zh-CN"/>
              </w:rPr>
              <w:t>（</w:t>
            </w:r>
            <w:r>
              <w:rPr>
                <w:rFonts w:hint="eastAsia"/>
                <w:highlight w:val="none"/>
                <w:lang w:val="en-US" w:eastAsia="zh-CN"/>
              </w:rPr>
              <w:t>6</w:t>
            </w:r>
            <w:r>
              <w:rPr>
                <w:rFonts w:hint="eastAsia"/>
                <w:highlight w:val="none"/>
              </w:rPr>
              <w:t>mm 厚 Q235 花纹钢板 / 平板，满焊于方管框架</w:t>
            </w:r>
            <w:r>
              <w:rPr>
                <w:rFonts w:hint="eastAsia"/>
                <w:highlight w:val="none"/>
                <w:lang w:eastAsia="zh-CN"/>
              </w:rPr>
              <w:t>），</w:t>
            </w:r>
            <w:r>
              <w:rPr>
                <w:rFonts w:hint="eastAsia"/>
                <w:highlight w:val="none"/>
              </w:rPr>
              <w:t>侧面仪表支架：40×40×2.5mm 方管</w:t>
            </w:r>
            <w:r>
              <w:rPr>
                <w:rFonts w:hint="eastAsia"/>
                <w:highlight w:val="none"/>
                <w:lang w:eastAsia="zh-CN"/>
              </w:rPr>
              <w:t>，</w:t>
            </w:r>
            <w:r>
              <w:rPr>
                <w:rFonts w:hint="eastAsia"/>
                <w:highlight w:val="none"/>
                <w:lang w:val="en-US" w:eastAsia="zh-CN"/>
              </w:rPr>
              <w:t>防腐要求：除锈，</w:t>
            </w:r>
            <w:r>
              <w:rPr>
                <w:rFonts w:hint="eastAsia"/>
                <w:highlight w:val="none"/>
              </w:rPr>
              <w:t>环氧富锌底漆（干膜≥60μm）1 道；环氧云铁中间漆（干膜≥80μm）1 道；环氧耐酸碱面漆（蓝色 / 灰色，干膜≥70μm）2 道； 总干膜厚度≥2</w:t>
            </w:r>
            <w:r>
              <w:rPr>
                <w:rFonts w:hint="eastAsia"/>
                <w:highlight w:val="none"/>
                <w:lang w:val="en-US" w:eastAsia="zh-CN"/>
              </w:rPr>
              <w:t>8</w:t>
            </w:r>
            <w:r>
              <w:rPr>
                <w:rFonts w:hint="eastAsia"/>
                <w:highlight w:val="none"/>
              </w:rPr>
              <w:t>0μm，焊缝、边角额外预涂加厚。</w:t>
            </w:r>
          </w:p>
          <w:p>
            <w:pPr>
              <w:pStyle w:val="51"/>
              <w:bidi w:val="0"/>
              <w:rPr>
                <w:rFonts w:hint="eastAsia"/>
                <w:highlight w:val="none"/>
                <w:lang w:val="en-US" w:eastAsia="zh-CN"/>
              </w:rPr>
            </w:pPr>
            <w:r>
              <w:rPr>
                <w:rFonts w:hint="eastAsia"/>
                <w:highlight w:val="none"/>
                <w:lang w:val="en-US" w:eastAsia="zh-CN"/>
              </w:rPr>
              <w:t>过流部件耐强碱腐蚀，流量调节范围宽，投加精度高，长期运行无卡涩、泄漏等。</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highlight w:val="none"/>
                <w:lang w:val="en-US" w:eastAsia="zh-CN"/>
              </w:rPr>
              <w:t>3用</w:t>
            </w:r>
          </w:p>
          <w:p>
            <w:pPr>
              <w:pStyle w:val="51"/>
              <w:bidi w:val="0"/>
              <w:rPr>
                <w:rFonts w:hint="eastAsia"/>
                <w:highlight w:val="none"/>
                <w:lang w:val="en-US" w:eastAsia="zh-CN"/>
              </w:rPr>
            </w:pPr>
            <w:r>
              <w:rPr>
                <w:rFonts w:hint="eastAsia"/>
                <w:highlight w:val="none"/>
                <w:lang w:val="en-US" w:eastAsia="zh-CN"/>
              </w:rPr>
              <w:t>1台备存于库房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3</w:t>
            </w:r>
          </w:p>
        </w:tc>
        <w:tc>
          <w:tcPr>
            <w:tcW w:w="639" w:type="pct"/>
            <w:vAlign w:val="center"/>
          </w:tcPr>
          <w:p>
            <w:pPr>
              <w:pStyle w:val="51"/>
              <w:bidi w:val="0"/>
              <w:rPr>
                <w:rFonts w:hint="default"/>
                <w:highlight w:val="none"/>
                <w:lang w:val="en-US" w:eastAsia="zh-CN"/>
              </w:rPr>
            </w:pPr>
            <w:r>
              <w:rPr>
                <w:rFonts w:hint="eastAsia"/>
                <w:highlight w:val="none"/>
                <w:lang w:val="en-US" w:eastAsia="zh-CN"/>
              </w:rPr>
              <w:t>管子/管件</w:t>
            </w:r>
          </w:p>
        </w:tc>
        <w:tc>
          <w:tcPr>
            <w:tcW w:w="2325" w:type="pct"/>
            <w:vAlign w:val="center"/>
          </w:tcPr>
          <w:p>
            <w:pPr>
              <w:pStyle w:val="51"/>
              <w:bidi w:val="0"/>
              <w:rPr>
                <w:rFonts w:hint="default"/>
                <w:highlight w:val="none"/>
                <w:lang w:val="en-US" w:eastAsia="zh-CN"/>
              </w:rPr>
            </w:pPr>
            <w:r>
              <w:rPr>
                <w:rFonts w:hint="eastAsia"/>
                <w:highlight w:val="none"/>
                <w:lang w:val="en-US" w:eastAsia="zh-CN"/>
              </w:rPr>
              <w:t>耐压等级：1.6MPa；材质：CPVC 配套保温伴热</w:t>
            </w:r>
          </w:p>
        </w:tc>
        <w:tc>
          <w:tcPr>
            <w:tcW w:w="423" w:type="pct"/>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7"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四</w:t>
            </w:r>
          </w:p>
        </w:tc>
        <w:tc>
          <w:tcPr>
            <w:tcW w:w="4766" w:type="pct"/>
            <w:gridSpan w:val="5"/>
            <w:vAlign w:val="center"/>
          </w:tcPr>
          <w:p>
            <w:pPr>
              <w:pStyle w:val="51"/>
              <w:bidi w:val="0"/>
              <w:jc w:val="center"/>
              <w:rPr>
                <w:rFonts w:hint="eastAsia"/>
                <w:highlight w:val="none"/>
                <w:lang w:val="en-US" w:eastAsia="zh-CN"/>
              </w:rPr>
            </w:pPr>
            <w:r>
              <w:rPr>
                <w:rFonts w:hint="eastAsia"/>
                <w:highlight w:val="none"/>
                <w:lang w:val="en-US" w:eastAsia="zh-CN"/>
              </w:rPr>
              <w:t>PAM溶配撬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1</w:t>
            </w:r>
          </w:p>
        </w:tc>
        <w:tc>
          <w:tcPr>
            <w:tcW w:w="639" w:type="pct"/>
            <w:vAlign w:val="center"/>
          </w:tcPr>
          <w:p>
            <w:pPr>
              <w:pStyle w:val="51"/>
              <w:bidi w:val="0"/>
              <w:rPr>
                <w:rFonts w:hint="eastAsia"/>
                <w:highlight w:val="none"/>
                <w:lang w:val="en-US" w:eastAsia="zh-CN"/>
              </w:rPr>
            </w:pPr>
            <w:r>
              <w:rPr>
                <w:rFonts w:hint="eastAsia"/>
                <w:highlight w:val="none"/>
                <w:lang w:val="en-US" w:eastAsia="zh-CN"/>
              </w:rPr>
              <w:t>PAM溶配系统</w:t>
            </w:r>
          </w:p>
        </w:tc>
        <w:tc>
          <w:tcPr>
            <w:tcW w:w="2325" w:type="pct"/>
            <w:vAlign w:val="center"/>
          </w:tcPr>
          <w:p>
            <w:pPr>
              <w:pStyle w:val="51"/>
              <w:bidi w:val="0"/>
              <w:rPr>
                <w:rFonts w:hint="eastAsia"/>
                <w:highlight w:val="none"/>
                <w:lang w:val="en-US" w:eastAsia="zh-CN"/>
              </w:rPr>
            </w:pPr>
            <w:r>
              <w:rPr>
                <w:rFonts w:hint="eastAsia"/>
                <w:highlight w:val="none"/>
                <w:lang w:val="en-US" w:eastAsia="zh-CN"/>
              </w:rPr>
              <w:t>投加量：700-1200L/h；配置浓度：0.1%-0.2%；运行时间：24hr/d;介质温度：常温；功率：2.62kw；箱体材质：304不锈钢，加药一体机。</w:t>
            </w:r>
          </w:p>
          <w:p>
            <w:pPr>
              <w:pStyle w:val="51"/>
              <w:bidi w:val="0"/>
              <w:rPr>
                <w:rFonts w:hint="eastAsia"/>
                <w:highlight w:val="none"/>
                <w:lang w:val="en-US" w:eastAsia="zh-CN"/>
              </w:rPr>
            </w:pPr>
            <w:r>
              <w:rPr>
                <w:rFonts w:hint="eastAsia"/>
                <w:highlight w:val="none"/>
                <w:lang w:val="en-US" w:eastAsia="zh-CN"/>
              </w:rPr>
              <w:t>全自动溶配，搅拌均匀，避免高分子药剂结块、降解；设备结构紧凑，易清理、防挂壁。PAM溶配由厂家独立配套控制柜不接入LEP-0561。</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2</w:t>
            </w:r>
          </w:p>
        </w:tc>
        <w:tc>
          <w:tcPr>
            <w:tcW w:w="941" w:type="pct"/>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2</w:t>
            </w:r>
          </w:p>
        </w:tc>
        <w:tc>
          <w:tcPr>
            <w:tcW w:w="639" w:type="pct"/>
            <w:vAlign w:val="center"/>
          </w:tcPr>
          <w:p>
            <w:pPr>
              <w:pStyle w:val="51"/>
              <w:bidi w:val="0"/>
              <w:rPr>
                <w:rFonts w:hint="eastAsia"/>
                <w:highlight w:val="none"/>
                <w:lang w:val="en-US" w:eastAsia="zh-CN"/>
              </w:rPr>
            </w:pPr>
            <w:r>
              <w:rPr>
                <w:rFonts w:hint="eastAsia"/>
                <w:highlight w:val="none"/>
                <w:lang w:val="en-US" w:eastAsia="zh-CN"/>
              </w:rPr>
              <w:t>PAM加药计量泵撬</w:t>
            </w:r>
          </w:p>
        </w:tc>
        <w:tc>
          <w:tcPr>
            <w:tcW w:w="2325" w:type="pct"/>
            <w:vAlign w:val="center"/>
          </w:tcPr>
          <w:p>
            <w:pPr>
              <w:pStyle w:val="51"/>
              <w:bidi w:val="0"/>
              <w:rPr>
                <w:rFonts w:hint="eastAsia"/>
                <w:highlight w:val="none"/>
              </w:rPr>
            </w:pPr>
            <w:r>
              <w:rPr>
                <w:rFonts w:hint="eastAsia"/>
                <w:highlight w:val="none"/>
                <w:lang w:val="en-US" w:eastAsia="zh-CN"/>
              </w:rPr>
              <w:t>流量：300L/H*3台，流量：500L/H*4台；单台功率：0.5kw；出口压力：0.5MPa；介质温度：常温；含背压阀、阻尼器、压力表、流量计、控制等成套撬装设备；防爆等级不低于 Exdb IIBT4 Gb，防护等级不低于 IP65，符合 GB3836 系列防爆标准。撬装底座具体尺寸平面布置图设置，</w:t>
            </w:r>
            <w:r>
              <w:rPr>
                <w:rFonts w:hint="eastAsia"/>
                <w:highlight w:val="none"/>
              </w:rPr>
              <w:t>Q235B 碳钢底座</w:t>
            </w:r>
            <w:r>
              <w:rPr>
                <w:rFonts w:hint="eastAsia"/>
                <w:highlight w:val="none"/>
                <w:lang w:eastAsia="zh-CN"/>
              </w:rPr>
              <w:t>，</w:t>
            </w:r>
            <w:r>
              <w:rPr>
                <w:rFonts w:hint="eastAsia"/>
                <w:highlight w:val="none"/>
              </w:rPr>
              <w:t>主承重框架10# 国标槽钢（100×48×5.3mm）</w:t>
            </w:r>
            <w:r>
              <w:rPr>
                <w:rFonts w:hint="eastAsia"/>
                <w:highlight w:val="none"/>
                <w:lang w:eastAsia="zh-CN"/>
              </w:rPr>
              <w:t>，</w:t>
            </w:r>
            <w:r>
              <w:rPr>
                <w:rFonts w:hint="eastAsia"/>
                <w:highlight w:val="none"/>
              </w:rPr>
              <w:t>中间次横梁60×40 矩形方管，壁厚 3.0mm</w:t>
            </w:r>
            <w:r>
              <w:rPr>
                <w:rFonts w:hint="eastAsia"/>
                <w:highlight w:val="none"/>
                <w:lang w:eastAsia="zh-CN"/>
              </w:rPr>
              <w:t>；</w:t>
            </w:r>
            <w:r>
              <w:rPr>
                <w:rFonts w:hint="eastAsia"/>
                <w:highlight w:val="none"/>
              </w:rPr>
              <w:t>顶部安装铺板（泵、阀门固定面）薄板</w:t>
            </w:r>
            <w:r>
              <w:rPr>
                <w:rFonts w:hint="eastAsia"/>
                <w:highlight w:val="none"/>
                <w:lang w:eastAsia="zh-CN"/>
              </w:rPr>
              <w:t>（</w:t>
            </w:r>
            <w:r>
              <w:rPr>
                <w:rFonts w:hint="eastAsia"/>
                <w:highlight w:val="none"/>
                <w:lang w:val="en-US" w:eastAsia="zh-CN"/>
              </w:rPr>
              <w:t>6</w:t>
            </w:r>
            <w:r>
              <w:rPr>
                <w:rFonts w:hint="eastAsia"/>
                <w:highlight w:val="none"/>
              </w:rPr>
              <w:t>mm 厚 Q235 花纹钢板 / 平板，满焊于方管框架</w:t>
            </w:r>
            <w:r>
              <w:rPr>
                <w:rFonts w:hint="eastAsia"/>
                <w:highlight w:val="none"/>
                <w:lang w:eastAsia="zh-CN"/>
              </w:rPr>
              <w:t>），</w:t>
            </w:r>
            <w:r>
              <w:rPr>
                <w:rFonts w:hint="eastAsia"/>
                <w:highlight w:val="none"/>
              </w:rPr>
              <w:t>侧面仪表支架：40×40×2.5mm 方管</w:t>
            </w:r>
            <w:r>
              <w:rPr>
                <w:rFonts w:hint="eastAsia"/>
                <w:highlight w:val="none"/>
                <w:lang w:eastAsia="zh-CN"/>
              </w:rPr>
              <w:t>，</w:t>
            </w:r>
            <w:r>
              <w:rPr>
                <w:rFonts w:hint="eastAsia"/>
                <w:highlight w:val="none"/>
                <w:lang w:val="en-US" w:eastAsia="zh-CN"/>
              </w:rPr>
              <w:t>防腐要求：除锈，</w:t>
            </w:r>
            <w:r>
              <w:rPr>
                <w:rFonts w:hint="eastAsia"/>
                <w:highlight w:val="none"/>
              </w:rPr>
              <w:t>环氧富锌底漆（干膜≥60μm）1 道；环氧云铁中间漆（干膜≥80μm）1 道；环氧耐酸碱面漆（蓝色 / 灰色，干膜≥70μm）2 道； 总干膜厚度≥2</w:t>
            </w:r>
            <w:r>
              <w:rPr>
                <w:rFonts w:hint="eastAsia"/>
                <w:highlight w:val="none"/>
                <w:lang w:val="en-US" w:eastAsia="zh-CN"/>
              </w:rPr>
              <w:t>8</w:t>
            </w:r>
            <w:r>
              <w:rPr>
                <w:rFonts w:hint="eastAsia"/>
                <w:highlight w:val="none"/>
              </w:rPr>
              <w:t>0μm，焊缝、边角额外预涂加厚。</w:t>
            </w:r>
          </w:p>
          <w:p>
            <w:pPr>
              <w:pStyle w:val="51"/>
              <w:bidi w:val="0"/>
              <w:rPr>
                <w:rFonts w:hint="eastAsia"/>
                <w:highlight w:val="none"/>
                <w:lang w:val="en-US" w:eastAsia="zh-CN"/>
              </w:rPr>
            </w:pPr>
            <w:r>
              <w:rPr>
                <w:rFonts w:hint="eastAsia"/>
                <w:highlight w:val="none"/>
                <w:lang w:val="en-US" w:eastAsia="zh-CN"/>
              </w:rPr>
              <w:t>泵体及管路低剪切，防止 PAM 分子链断裂；防堵塞设计，适应高分子粘稠药液输送。</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highlight w:val="none"/>
                <w:lang w:val="en-US" w:eastAsia="zh-CN"/>
              </w:rPr>
              <w:t>流量：300L/H，2用，1台备存于库房；</w:t>
            </w:r>
          </w:p>
          <w:p>
            <w:pPr>
              <w:pStyle w:val="51"/>
              <w:bidi w:val="0"/>
              <w:rPr>
                <w:rFonts w:hint="eastAsia"/>
                <w:highlight w:val="none"/>
                <w:lang w:val="en-US" w:eastAsia="zh-CN"/>
              </w:rPr>
            </w:pPr>
            <w:r>
              <w:rPr>
                <w:rFonts w:hint="eastAsia"/>
                <w:highlight w:val="none"/>
                <w:lang w:val="en-US" w:eastAsia="zh-CN"/>
              </w:rPr>
              <w:t>流量：500L/H，3用，1台备存于库房；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3</w:t>
            </w:r>
          </w:p>
        </w:tc>
        <w:tc>
          <w:tcPr>
            <w:tcW w:w="639" w:type="pct"/>
            <w:vAlign w:val="center"/>
          </w:tcPr>
          <w:p>
            <w:pPr>
              <w:pStyle w:val="51"/>
              <w:bidi w:val="0"/>
              <w:rPr>
                <w:rFonts w:hint="default"/>
                <w:highlight w:val="none"/>
                <w:lang w:val="en-US" w:eastAsia="zh-CN"/>
              </w:rPr>
            </w:pPr>
            <w:r>
              <w:rPr>
                <w:rFonts w:hint="eastAsia"/>
                <w:highlight w:val="none"/>
                <w:lang w:val="en-US" w:eastAsia="zh-CN"/>
              </w:rPr>
              <w:t>管子/管件</w:t>
            </w:r>
          </w:p>
        </w:tc>
        <w:tc>
          <w:tcPr>
            <w:tcW w:w="2325" w:type="pct"/>
            <w:vAlign w:val="center"/>
          </w:tcPr>
          <w:p>
            <w:pPr>
              <w:pStyle w:val="51"/>
              <w:bidi w:val="0"/>
              <w:rPr>
                <w:rFonts w:hint="default"/>
                <w:highlight w:val="none"/>
                <w:lang w:val="en-US" w:eastAsia="zh-CN"/>
              </w:rPr>
            </w:pPr>
            <w:r>
              <w:rPr>
                <w:rFonts w:hint="eastAsia"/>
                <w:highlight w:val="none"/>
                <w:lang w:val="en-US" w:eastAsia="zh-CN"/>
              </w:rPr>
              <w:t>耐压等级：1.6MPa；材质：CPVC 配套保温伴热</w:t>
            </w:r>
          </w:p>
        </w:tc>
        <w:tc>
          <w:tcPr>
            <w:tcW w:w="423" w:type="pct"/>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7"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default"/>
                <w:highlight w:val="none"/>
                <w:lang w:val="en-US" w:eastAsia="zh-CN"/>
              </w:rPr>
            </w:pPr>
            <w:r>
              <w:rPr>
                <w:rFonts w:hint="eastAsia"/>
                <w:highlight w:val="none"/>
                <w:lang w:val="en-US" w:eastAsia="zh-CN"/>
              </w:rPr>
              <w:t>五</w:t>
            </w:r>
          </w:p>
        </w:tc>
        <w:tc>
          <w:tcPr>
            <w:tcW w:w="4766" w:type="pct"/>
            <w:gridSpan w:val="5"/>
            <w:vAlign w:val="center"/>
          </w:tcPr>
          <w:p>
            <w:pPr>
              <w:pStyle w:val="51"/>
              <w:bidi w:val="0"/>
              <w:jc w:val="center"/>
              <w:rPr>
                <w:rFonts w:hint="eastAsia"/>
                <w:highlight w:val="none"/>
                <w:lang w:val="en-US" w:eastAsia="zh-CN"/>
              </w:rPr>
            </w:pPr>
            <w:r>
              <w:rPr>
                <w:rFonts w:hint="eastAsia"/>
                <w:highlight w:val="none"/>
                <w:lang w:val="en-US" w:eastAsia="zh-CN"/>
              </w:rPr>
              <w:t>PAC撬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pStyle w:val="51"/>
              <w:bidi w:val="0"/>
              <w:rPr>
                <w:rFonts w:hint="eastAsia"/>
                <w:highlight w:val="none"/>
                <w:lang w:val="en-US" w:eastAsia="zh-CN"/>
              </w:rPr>
            </w:pPr>
            <w:r>
              <w:rPr>
                <w:rFonts w:hint="eastAsia"/>
                <w:highlight w:val="none"/>
                <w:lang w:val="en-US" w:eastAsia="zh-CN"/>
              </w:rPr>
              <w:t>1</w:t>
            </w:r>
          </w:p>
        </w:tc>
        <w:tc>
          <w:tcPr>
            <w:tcW w:w="639" w:type="pct"/>
            <w:vAlign w:val="center"/>
          </w:tcPr>
          <w:p>
            <w:pPr>
              <w:pStyle w:val="51"/>
              <w:bidi w:val="0"/>
              <w:rPr>
                <w:rFonts w:hint="eastAsia"/>
                <w:highlight w:val="none"/>
                <w:lang w:val="en-US" w:eastAsia="zh-CN"/>
              </w:rPr>
            </w:pPr>
            <w:r>
              <w:rPr>
                <w:rFonts w:hint="eastAsia"/>
                <w:highlight w:val="none"/>
                <w:lang w:val="en-US" w:eastAsia="zh-CN"/>
              </w:rPr>
              <w:t>PAC计量泵撬</w:t>
            </w:r>
          </w:p>
        </w:tc>
        <w:tc>
          <w:tcPr>
            <w:tcW w:w="2325" w:type="pct"/>
            <w:vAlign w:val="center"/>
          </w:tcPr>
          <w:p>
            <w:pPr>
              <w:pStyle w:val="51"/>
              <w:bidi w:val="0"/>
              <w:rPr>
                <w:rFonts w:hint="eastAsia"/>
                <w:highlight w:val="none"/>
                <w:lang w:val="en-US" w:eastAsia="zh-CN"/>
              </w:rPr>
            </w:pPr>
            <w:r>
              <w:rPr>
                <w:rFonts w:hint="eastAsia"/>
                <w:highlight w:val="none"/>
                <w:lang w:val="en-US" w:eastAsia="zh-CN"/>
              </w:rPr>
              <w:t>流量：150L/h,*1台；出口压力：0.7Mpa;功率：0.25kw；介质温度：常温。</w:t>
            </w:r>
          </w:p>
          <w:p>
            <w:pPr>
              <w:pStyle w:val="51"/>
              <w:bidi w:val="0"/>
              <w:rPr>
                <w:rFonts w:hint="eastAsia"/>
                <w:highlight w:val="none"/>
                <w:lang w:val="en-US" w:eastAsia="zh-CN"/>
              </w:rPr>
            </w:pPr>
            <w:r>
              <w:rPr>
                <w:rFonts w:hint="eastAsia"/>
                <w:highlight w:val="none"/>
                <w:lang w:val="en-US" w:eastAsia="zh-CN"/>
              </w:rPr>
              <w:t>流量：300L/h*2台；出口压力：0.7Mpa；功率0.5 kw。含背压阀、阻尼器、压力表、流量计、控制等成套撬装设备；防爆等级不低于 Exdb IIBT4 Gb，防护等级不低于 IP65，符合 GB3836 系列防爆标准。</w:t>
            </w:r>
          </w:p>
          <w:p>
            <w:pPr>
              <w:pStyle w:val="51"/>
              <w:bidi w:val="0"/>
              <w:rPr>
                <w:rFonts w:hint="eastAsia"/>
                <w:highlight w:val="none"/>
              </w:rPr>
            </w:pPr>
            <w:r>
              <w:rPr>
                <w:rFonts w:hint="eastAsia"/>
                <w:highlight w:val="none"/>
                <w:lang w:val="en-US" w:eastAsia="zh-CN"/>
              </w:rPr>
              <w:t>撬装底座具体尺寸平面布置图设置，</w:t>
            </w:r>
            <w:r>
              <w:rPr>
                <w:rFonts w:hint="eastAsia"/>
                <w:highlight w:val="none"/>
              </w:rPr>
              <w:t>Q235B 碳钢底座</w:t>
            </w:r>
            <w:r>
              <w:rPr>
                <w:rFonts w:hint="eastAsia"/>
                <w:highlight w:val="none"/>
                <w:lang w:eastAsia="zh-CN"/>
              </w:rPr>
              <w:t>，</w:t>
            </w:r>
            <w:r>
              <w:rPr>
                <w:rFonts w:hint="eastAsia"/>
                <w:highlight w:val="none"/>
              </w:rPr>
              <w:t>主承重框架10# 国标槽钢（100×48×5.3mm）</w:t>
            </w:r>
            <w:r>
              <w:rPr>
                <w:rFonts w:hint="eastAsia"/>
                <w:highlight w:val="none"/>
                <w:lang w:eastAsia="zh-CN"/>
              </w:rPr>
              <w:t>，</w:t>
            </w:r>
            <w:r>
              <w:rPr>
                <w:rFonts w:hint="eastAsia"/>
                <w:highlight w:val="none"/>
              </w:rPr>
              <w:t>中间次横梁60×40 矩形方管，壁厚 3.0mm</w:t>
            </w:r>
            <w:r>
              <w:rPr>
                <w:rFonts w:hint="eastAsia"/>
                <w:highlight w:val="none"/>
                <w:lang w:eastAsia="zh-CN"/>
              </w:rPr>
              <w:t>；</w:t>
            </w:r>
            <w:r>
              <w:rPr>
                <w:rFonts w:hint="eastAsia"/>
                <w:highlight w:val="none"/>
              </w:rPr>
              <w:t>顶部安装铺板（泵、阀门固定面）薄板</w:t>
            </w:r>
            <w:r>
              <w:rPr>
                <w:rFonts w:hint="eastAsia"/>
                <w:highlight w:val="none"/>
                <w:lang w:eastAsia="zh-CN"/>
              </w:rPr>
              <w:t>（</w:t>
            </w:r>
            <w:r>
              <w:rPr>
                <w:rFonts w:hint="eastAsia"/>
                <w:highlight w:val="none"/>
                <w:lang w:val="en-US" w:eastAsia="zh-CN"/>
              </w:rPr>
              <w:t>6mm</w:t>
            </w:r>
            <w:r>
              <w:rPr>
                <w:rFonts w:hint="eastAsia"/>
                <w:highlight w:val="none"/>
              </w:rPr>
              <w:t>厚 Q235 花纹钢板 / 平板，满焊于方管框架</w:t>
            </w:r>
            <w:r>
              <w:rPr>
                <w:rFonts w:hint="eastAsia"/>
                <w:highlight w:val="none"/>
                <w:lang w:eastAsia="zh-CN"/>
              </w:rPr>
              <w:t>），</w:t>
            </w:r>
            <w:r>
              <w:rPr>
                <w:rFonts w:hint="eastAsia"/>
                <w:highlight w:val="none"/>
              </w:rPr>
              <w:t>侧面仪表支架：40×40×2.5mm 方管</w:t>
            </w:r>
            <w:r>
              <w:rPr>
                <w:rFonts w:hint="eastAsia"/>
                <w:highlight w:val="none"/>
                <w:lang w:eastAsia="zh-CN"/>
              </w:rPr>
              <w:t>，</w:t>
            </w:r>
            <w:r>
              <w:rPr>
                <w:rFonts w:hint="eastAsia"/>
                <w:highlight w:val="none"/>
                <w:lang w:val="en-US" w:eastAsia="zh-CN"/>
              </w:rPr>
              <w:t>防腐要求：除锈，</w:t>
            </w:r>
            <w:r>
              <w:rPr>
                <w:rFonts w:hint="eastAsia"/>
                <w:highlight w:val="none"/>
              </w:rPr>
              <w:t>环氧富锌底漆（干膜≥60μm）1 道；环氧云铁中间漆（干膜≥80μm）1 道；环氧耐酸碱面漆（蓝色 / 灰色，干膜≥70μm）2 道； 总干膜厚度≥2</w:t>
            </w:r>
            <w:r>
              <w:rPr>
                <w:rFonts w:hint="eastAsia"/>
                <w:highlight w:val="none"/>
                <w:lang w:val="en-US" w:eastAsia="zh-CN"/>
              </w:rPr>
              <w:t>8</w:t>
            </w:r>
            <w:r>
              <w:rPr>
                <w:rFonts w:hint="eastAsia"/>
                <w:highlight w:val="none"/>
              </w:rPr>
              <w:t>0μm，焊缝、边角额外预涂加厚。</w:t>
            </w:r>
          </w:p>
          <w:p>
            <w:pPr>
              <w:pStyle w:val="51"/>
              <w:bidi w:val="0"/>
              <w:rPr>
                <w:rFonts w:hint="eastAsia"/>
                <w:highlight w:val="none"/>
                <w:lang w:val="en-US" w:eastAsia="zh-CN"/>
              </w:rPr>
            </w:pPr>
            <w:r>
              <w:rPr>
                <w:rFonts w:hint="eastAsia"/>
                <w:highlight w:val="none"/>
                <w:lang w:val="en-US" w:eastAsia="zh-CN"/>
              </w:rPr>
              <w:t>适配聚合氯化铝药液，防结晶、防堵塞；计量稳定，可根据进水水质联动调节投加量。</w:t>
            </w:r>
          </w:p>
        </w:tc>
        <w:tc>
          <w:tcPr>
            <w:tcW w:w="423"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7" w:type="pct"/>
            <w:vAlign w:val="center"/>
          </w:tcPr>
          <w:p>
            <w:pPr>
              <w:pStyle w:val="51"/>
              <w:bidi w:val="0"/>
              <w:jc w:val="center"/>
              <w:rPr>
                <w:rFonts w:hint="eastAsia"/>
                <w:highlight w:val="none"/>
                <w:lang w:val="en-US" w:eastAsia="zh-CN"/>
              </w:rPr>
            </w:pPr>
            <w:r>
              <w:rPr>
                <w:rFonts w:hint="eastAsia"/>
                <w:highlight w:val="none"/>
                <w:lang w:val="en-US" w:eastAsia="zh-CN"/>
              </w:rPr>
              <w:t>1</w:t>
            </w:r>
          </w:p>
        </w:tc>
        <w:tc>
          <w:tcPr>
            <w:tcW w:w="941" w:type="pct"/>
            <w:vAlign w:val="center"/>
          </w:tcPr>
          <w:p>
            <w:pPr>
              <w:pStyle w:val="51"/>
              <w:bidi w:val="0"/>
              <w:rPr>
                <w:rFonts w:hint="eastAsia"/>
                <w:highlight w:val="none"/>
                <w:lang w:val="en-US" w:eastAsia="zh-CN"/>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33" w:type="pct"/>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right="0" w:rightChars="0"/>
              <w:jc w:val="both"/>
              <w:textAlignment w:val="auto"/>
              <w:outlineLvl w:val="9"/>
              <w:rPr>
                <w:rFonts w:hint="default" w:ascii="宋体" w:hAnsi="宋体" w:eastAsia="宋体" w:cs="宋体"/>
                <w:color w:val="000000" w:themeColor="text1"/>
                <w:spacing w:val="0"/>
                <w:sz w:val="21"/>
                <w:szCs w:val="21"/>
                <w:highlight w:val="none"/>
                <w:lang w:val="en-US" w:eastAsia="zh-CN"/>
                <w14:textFill>
                  <w14:solidFill>
                    <w14:schemeClr w14:val="tx1"/>
                  </w14:solidFill>
                </w14:textFill>
              </w:rPr>
            </w:pPr>
            <w:r>
              <w:rPr>
                <w:rFonts w:hint="eastAsia" w:ascii="宋体" w:hAnsi="宋体" w:cs="宋体"/>
                <w:color w:val="000000" w:themeColor="text1"/>
                <w:spacing w:val="0"/>
                <w:sz w:val="21"/>
                <w:szCs w:val="21"/>
                <w:highlight w:val="none"/>
                <w:lang w:val="en-US" w:eastAsia="zh-CN"/>
                <w14:textFill>
                  <w14:solidFill>
                    <w14:schemeClr w14:val="tx1"/>
                  </w14:solidFill>
                </w14:textFill>
              </w:rPr>
              <w:t>2</w:t>
            </w:r>
          </w:p>
        </w:tc>
        <w:tc>
          <w:tcPr>
            <w:tcW w:w="639" w:type="pct"/>
            <w:vAlign w:val="center"/>
          </w:tcPr>
          <w:p>
            <w:pPr>
              <w:keepNext/>
              <w:keepLines w:val="0"/>
              <w:widowControl/>
              <w:suppressLineNumbers w:val="0"/>
              <w:snapToGrid w:val="0"/>
              <w:ind w:left="0" w:leftChars="0" w:right="0" w:rightChars="0" w:firstLine="0" w:firstLineChars="0"/>
              <w:jc w:val="both"/>
              <w:rPr>
                <w:rFonts w:hint="default"/>
                <w:highlight w:val="none"/>
                <w:lang w:val="en-US" w:eastAsia="zh-CN"/>
              </w:rPr>
            </w:pPr>
            <w:r>
              <w:rPr>
                <w:rFonts w:hint="eastAsia" w:ascii="宋体" w:hAnsi="宋体" w:cs="宋体"/>
                <w:kern w:val="0"/>
                <w:sz w:val="18"/>
                <w:szCs w:val="18"/>
                <w:highlight w:val="none"/>
                <w:lang w:val="en-US" w:eastAsia="zh-CN" w:bidi="ar"/>
              </w:rPr>
              <w:t>管子/管件</w:t>
            </w:r>
          </w:p>
        </w:tc>
        <w:tc>
          <w:tcPr>
            <w:tcW w:w="2325" w:type="pct"/>
            <w:vAlign w:val="center"/>
          </w:tcPr>
          <w:p>
            <w:pPr>
              <w:keepNext/>
              <w:keepLines w:val="0"/>
              <w:widowControl/>
              <w:suppressLineNumbers w:val="0"/>
              <w:snapToGrid w:val="0"/>
              <w:ind w:left="0" w:leftChars="0" w:right="0" w:rightChars="0" w:firstLine="0" w:firstLineChars="0"/>
              <w:jc w:val="both"/>
              <w:rPr>
                <w:rFonts w:hint="default" w:ascii="宋体" w:hAnsi="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耐压等级：1.6MPa；材质：CPVC 配套保温伴热</w:t>
            </w:r>
          </w:p>
        </w:tc>
        <w:tc>
          <w:tcPr>
            <w:tcW w:w="423" w:type="pct"/>
            <w:vAlign w:val="center"/>
          </w:tcPr>
          <w:p>
            <w:pPr>
              <w:keepNext/>
              <w:keepLines w:val="0"/>
              <w:widowControl/>
              <w:suppressLineNumbers w:val="0"/>
              <w:snapToGrid w:val="0"/>
              <w:ind w:left="0" w:leftChars="0" w:right="0" w:rightChars="0" w:firstLine="0" w:firstLineChars="0"/>
              <w:jc w:val="center"/>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项</w:t>
            </w:r>
          </w:p>
        </w:tc>
        <w:tc>
          <w:tcPr>
            <w:tcW w:w="437" w:type="pct"/>
            <w:vAlign w:val="center"/>
          </w:tcPr>
          <w:p>
            <w:pPr>
              <w:keepNext/>
              <w:keepLines w:val="0"/>
              <w:widowControl/>
              <w:suppressLineNumbers w:val="0"/>
              <w:snapToGrid w:val="0"/>
              <w:ind w:left="0" w:leftChars="0" w:right="0" w:rightChars="0" w:firstLine="0" w:firstLineChars="0"/>
              <w:jc w:val="center"/>
              <w:rPr>
                <w:rFonts w:hint="default" w:ascii="宋体" w:hAnsi="宋体" w:eastAsia="宋体" w:cs="宋体"/>
                <w:kern w:val="0"/>
                <w:sz w:val="18"/>
                <w:szCs w:val="18"/>
                <w:highlight w:val="none"/>
                <w:lang w:val="en-US" w:eastAsia="zh-CN" w:bidi="ar"/>
              </w:rPr>
            </w:pPr>
            <w:r>
              <w:rPr>
                <w:rFonts w:hint="eastAsia" w:ascii="宋体" w:hAnsi="宋体" w:cs="宋体"/>
                <w:kern w:val="0"/>
                <w:sz w:val="18"/>
                <w:szCs w:val="18"/>
                <w:highlight w:val="none"/>
                <w:lang w:val="en-US" w:eastAsia="zh-CN" w:bidi="ar"/>
              </w:rPr>
              <w:t>1</w:t>
            </w:r>
          </w:p>
        </w:tc>
        <w:tc>
          <w:tcPr>
            <w:tcW w:w="941" w:type="pct"/>
            <w:vAlign w:val="center"/>
          </w:tcPr>
          <w:p>
            <w:pPr>
              <w:keepNext/>
              <w:keepLines w:val="0"/>
              <w:widowControl/>
              <w:suppressLineNumbers w:val="0"/>
              <w:snapToGrid w:val="0"/>
              <w:ind w:left="0" w:leftChars="0" w:right="0" w:rightChars="0" w:firstLine="0" w:firstLineChars="0"/>
              <w:jc w:val="center"/>
              <w:rPr>
                <w:rFonts w:hint="eastAsia" w:ascii="宋体" w:hAnsi="宋体" w:eastAsia="宋体" w:cs="宋体"/>
                <w:kern w:val="0"/>
                <w:sz w:val="18"/>
                <w:szCs w:val="18"/>
                <w:highlight w:val="none"/>
                <w:lang w:val="en-US" w:eastAsia="zh-CN" w:bidi="ar"/>
              </w:rPr>
            </w:pPr>
            <w:r>
              <w:rPr>
                <w:rFonts w:hint="eastAsia" w:ascii="宋体" w:hAnsi="宋体" w:eastAsia="宋体" w:cs="宋体"/>
                <w:kern w:val="0"/>
                <w:sz w:val="18"/>
                <w:szCs w:val="18"/>
                <w:highlight w:val="none"/>
                <w:lang w:val="en-US" w:eastAsia="zh-CN" w:bidi="ar"/>
              </w:rPr>
              <w:t>/</w:t>
            </w:r>
          </w:p>
        </w:tc>
      </w:tr>
    </w:tbl>
    <w:p>
      <w:pPr>
        <w:pStyle w:val="7"/>
        <w:ind w:left="0" w:leftChars="0" w:firstLine="0" w:firstLineChars="0"/>
        <w:jc w:val="left"/>
        <w:rPr>
          <w:rFonts w:hint="eastAsia" w:eastAsia="宋体"/>
          <w:lang w:val="en-US" w:eastAsia="zh-CN"/>
        </w:rPr>
      </w:pPr>
    </w:p>
    <w:p>
      <w:pPr>
        <w:pStyle w:val="7"/>
        <w:ind w:left="0" w:leftChars="0" w:firstLine="0" w:firstLineChars="0"/>
        <w:jc w:val="left"/>
        <w:outlineLvl w:val="0"/>
        <w:rPr>
          <w:rFonts w:hint="eastAsia" w:eastAsia="宋体"/>
          <w:lang w:val="en-US" w:eastAsia="zh-CN"/>
        </w:rPr>
      </w:pPr>
      <w:r>
        <w:rPr>
          <w:rFonts w:hint="eastAsia" w:eastAsia="宋体"/>
          <w:lang w:val="en-US" w:eastAsia="zh-CN"/>
        </w:rPr>
        <w:t>附件四：芬顿处理单元成套设备主要设备明细表</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9"/>
        <w:gridCol w:w="1299"/>
        <w:gridCol w:w="3375"/>
        <w:gridCol w:w="837"/>
        <w:gridCol w:w="740"/>
        <w:gridCol w:w="1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305" w:type="pct"/>
            <w:vAlign w:val="center"/>
          </w:tcPr>
          <w:p>
            <w:pPr>
              <w:pStyle w:val="51"/>
              <w:bidi w:val="0"/>
              <w:jc w:val="center"/>
              <w:rPr>
                <w:rFonts w:hint="eastAsia"/>
                <w:b/>
                <w:bCs/>
                <w:highlight w:val="none"/>
                <w:lang w:val="en-US" w:eastAsia="zh-CN"/>
              </w:rPr>
            </w:pPr>
            <w:r>
              <w:rPr>
                <w:rFonts w:hint="eastAsia"/>
                <w:b/>
                <w:bCs/>
                <w:highlight w:val="none"/>
                <w:lang w:val="en-US" w:eastAsia="zh-CN"/>
              </w:rPr>
              <w:t>序号</w:t>
            </w:r>
          </w:p>
        </w:tc>
        <w:tc>
          <w:tcPr>
            <w:tcW w:w="762" w:type="pct"/>
            <w:vAlign w:val="center"/>
          </w:tcPr>
          <w:p>
            <w:pPr>
              <w:pStyle w:val="51"/>
              <w:bidi w:val="0"/>
              <w:jc w:val="center"/>
              <w:rPr>
                <w:rFonts w:hint="eastAsia"/>
                <w:b/>
                <w:bCs/>
                <w:highlight w:val="none"/>
                <w:lang w:val="en-US" w:eastAsia="zh-CN"/>
              </w:rPr>
            </w:pPr>
            <w:r>
              <w:rPr>
                <w:rFonts w:hint="eastAsia"/>
                <w:b/>
                <w:bCs/>
                <w:highlight w:val="none"/>
                <w:lang w:val="en-US" w:eastAsia="zh-CN"/>
              </w:rPr>
              <w:t>设备</w:t>
            </w:r>
            <w:r>
              <w:rPr>
                <w:rFonts w:hint="eastAsia"/>
                <w:b/>
                <w:bCs/>
                <w:highlight w:val="none"/>
              </w:rPr>
              <w:t>名称</w:t>
            </w:r>
          </w:p>
        </w:tc>
        <w:tc>
          <w:tcPr>
            <w:tcW w:w="1980" w:type="pct"/>
            <w:vAlign w:val="center"/>
          </w:tcPr>
          <w:p>
            <w:pPr>
              <w:pStyle w:val="51"/>
              <w:bidi w:val="0"/>
              <w:jc w:val="center"/>
              <w:rPr>
                <w:rFonts w:hint="default" w:eastAsia="宋体"/>
                <w:b/>
                <w:bCs/>
                <w:highlight w:val="none"/>
                <w:lang w:val="en-US" w:eastAsia="zh-CN"/>
              </w:rPr>
            </w:pPr>
            <w:r>
              <w:rPr>
                <w:rFonts w:hint="eastAsia"/>
                <w:b/>
                <w:bCs/>
                <w:highlight w:val="none"/>
              </w:rPr>
              <w:t>规格型号</w:t>
            </w:r>
            <w:r>
              <w:rPr>
                <w:rFonts w:hint="eastAsia"/>
                <w:b/>
                <w:bCs/>
                <w:highlight w:val="none"/>
                <w:lang w:val="en-US" w:eastAsia="zh-CN"/>
              </w:rPr>
              <w:t>/技术要求</w:t>
            </w:r>
          </w:p>
        </w:tc>
        <w:tc>
          <w:tcPr>
            <w:tcW w:w="491" w:type="pct"/>
            <w:vAlign w:val="center"/>
          </w:tcPr>
          <w:p>
            <w:pPr>
              <w:pStyle w:val="51"/>
              <w:bidi w:val="0"/>
              <w:jc w:val="center"/>
              <w:rPr>
                <w:rFonts w:hint="eastAsia"/>
                <w:b/>
                <w:bCs/>
                <w:highlight w:val="none"/>
                <w:lang w:val="en-US" w:eastAsia="zh-CN"/>
              </w:rPr>
            </w:pPr>
            <w:r>
              <w:rPr>
                <w:rFonts w:hint="eastAsia"/>
                <w:b/>
                <w:bCs/>
                <w:highlight w:val="none"/>
                <w:lang w:val="en-US" w:eastAsia="zh-CN"/>
              </w:rPr>
              <w:t>单位</w:t>
            </w:r>
          </w:p>
        </w:tc>
        <w:tc>
          <w:tcPr>
            <w:tcW w:w="434" w:type="pct"/>
            <w:vAlign w:val="center"/>
          </w:tcPr>
          <w:p>
            <w:pPr>
              <w:pStyle w:val="51"/>
              <w:bidi w:val="0"/>
              <w:jc w:val="center"/>
              <w:rPr>
                <w:rFonts w:hint="eastAsia"/>
                <w:b/>
                <w:bCs/>
                <w:highlight w:val="none"/>
                <w:lang w:val="en-US" w:eastAsia="zh-CN"/>
              </w:rPr>
            </w:pPr>
            <w:r>
              <w:rPr>
                <w:rFonts w:hint="eastAsia"/>
                <w:b/>
                <w:bCs/>
                <w:highlight w:val="none"/>
              </w:rPr>
              <w:t>数量</w:t>
            </w:r>
          </w:p>
        </w:tc>
        <w:tc>
          <w:tcPr>
            <w:tcW w:w="1026" w:type="pct"/>
            <w:vAlign w:val="center"/>
          </w:tcPr>
          <w:p>
            <w:pPr>
              <w:pStyle w:val="51"/>
              <w:bidi w:val="0"/>
              <w:jc w:val="center"/>
              <w:rPr>
                <w:rFonts w:hint="eastAsia"/>
                <w:b/>
                <w:bCs/>
                <w:highlight w:val="none"/>
              </w:rPr>
            </w:pPr>
            <w:r>
              <w:rPr>
                <w:rFonts w:hint="eastAsia"/>
                <w:b/>
                <w:bCs/>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一</w:t>
            </w:r>
          </w:p>
        </w:tc>
        <w:tc>
          <w:tcPr>
            <w:tcW w:w="762" w:type="pct"/>
            <w:vAlign w:val="center"/>
          </w:tcPr>
          <w:p>
            <w:pPr>
              <w:pStyle w:val="51"/>
              <w:bidi w:val="0"/>
              <w:rPr>
                <w:rFonts w:hint="default"/>
                <w:highlight w:val="none"/>
                <w:lang w:val="en-US" w:eastAsia="zh-CN"/>
              </w:rPr>
            </w:pPr>
            <w:r>
              <w:rPr>
                <w:rFonts w:hint="eastAsia"/>
                <w:highlight w:val="none"/>
                <w:lang w:val="en-US" w:eastAsia="zh-CN"/>
              </w:rPr>
              <w:t>主设备</w:t>
            </w:r>
          </w:p>
        </w:tc>
        <w:tc>
          <w:tcPr>
            <w:tcW w:w="3932" w:type="pct"/>
            <w:gridSpan w:val="4"/>
            <w:vAlign w:val="center"/>
          </w:tcPr>
          <w:p>
            <w:pPr>
              <w:pStyle w:val="51"/>
              <w:bidi w:val="0"/>
              <w:rPr>
                <w:rFonts w:hint="eastAsia"/>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w:t>
            </w:r>
          </w:p>
        </w:tc>
        <w:tc>
          <w:tcPr>
            <w:tcW w:w="762" w:type="pct"/>
            <w:vAlign w:val="center"/>
          </w:tcPr>
          <w:p>
            <w:pPr>
              <w:pStyle w:val="51"/>
              <w:bidi w:val="0"/>
              <w:rPr>
                <w:rFonts w:hint="eastAsia"/>
                <w:highlight w:val="none"/>
                <w:lang w:val="en-US" w:eastAsia="zh-CN"/>
              </w:rPr>
            </w:pPr>
            <w:r>
              <w:rPr>
                <w:highlight w:val="none"/>
                <w:lang w:val="en-US" w:eastAsia="zh-CN"/>
              </w:rPr>
              <w:t>芬顿反应塔</w:t>
            </w:r>
          </w:p>
        </w:tc>
        <w:tc>
          <w:tcPr>
            <w:tcW w:w="1980" w:type="pct"/>
            <w:vAlign w:val="center"/>
          </w:tcPr>
          <w:p>
            <w:pPr>
              <w:pStyle w:val="51"/>
              <w:bidi w:val="0"/>
              <w:rPr>
                <w:rFonts w:hint="eastAsia"/>
                <w:highlight w:val="none"/>
                <w:lang w:val="en-US" w:eastAsia="zh-CN"/>
              </w:rPr>
            </w:pPr>
            <w:r>
              <w:rPr>
                <w:rFonts w:hint="eastAsia"/>
                <w:highlight w:val="none"/>
                <w:lang w:val="en-US" w:eastAsia="zh-CN"/>
              </w:rPr>
              <w:t>尺寸：</w:t>
            </w:r>
            <w:r>
              <w:rPr>
                <w:highlight w:val="none"/>
                <w:lang w:val="en-US" w:eastAsia="zh-CN"/>
              </w:rPr>
              <w:t>φ3.8×7.5m</w:t>
            </w:r>
            <w:r>
              <w:rPr>
                <w:rFonts w:hint="eastAsia"/>
                <w:highlight w:val="none"/>
                <w:lang w:val="en-US" w:eastAsia="zh-CN"/>
              </w:rPr>
              <w:t>；材质FRP（3301 双酚 A 型耐腐蚀不饱和聚酯树脂），厚度≥12mm；含承托支撑、布水布气（布气量≥1m³/min）、爬梯护栏（碳钢）；净载荷35 吨 / 座，运行载荷 85 吨 / 座</w:t>
            </w:r>
          </w:p>
          <w:p>
            <w:pPr>
              <w:pStyle w:val="51"/>
              <w:bidi w:val="0"/>
              <w:rPr>
                <w:rFonts w:hint="eastAsia"/>
                <w:highlight w:val="none"/>
                <w:lang w:val="en-US" w:eastAsia="zh-CN"/>
              </w:rPr>
            </w:pPr>
            <w:r>
              <w:rPr>
                <w:rFonts w:hint="eastAsia"/>
                <w:highlight w:val="none"/>
                <w:lang w:val="en-US" w:eastAsia="zh-CN"/>
              </w:rPr>
              <w:t>塔体需具备足够的结构强度，承压能力满足设计要求，防腐层需具备优异的耐酸碱、耐腐蚀、抗冲击性能，使用寿命≥15 年；内部需配套完整的承托支撑、布水布气系统、催化剂填料层、反冲洗系统，布水均匀，无短流、沟流现象，可实现污水与催化剂的充分接触，保障芬顿反应完全；反冲洗系统可实现催化剂的定期清洗，防止板结、堵塞，避免催化剂流失；塔体需配套爬梯、护栏、检修口，符合安全生产规范要求。</w:t>
            </w:r>
          </w:p>
        </w:tc>
        <w:tc>
          <w:tcPr>
            <w:tcW w:w="491" w:type="pct"/>
            <w:vAlign w:val="center"/>
          </w:tcPr>
          <w:p>
            <w:pPr>
              <w:pStyle w:val="51"/>
              <w:bidi w:val="0"/>
              <w:jc w:val="center"/>
              <w:rPr>
                <w:rFonts w:hint="eastAsia"/>
                <w:highlight w:val="none"/>
                <w:lang w:val="en-US" w:eastAsia="zh-CN"/>
              </w:rPr>
            </w:pPr>
            <w:r>
              <w:rPr>
                <w:highlight w:val="none"/>
                <w:lang w:val="en-US" w:eastAsia="zh-CN"/>
              </w:rPr>
              <w:t>座</w:t>
            </w:r>
          </w:p>
        </w:tc>
        <w:tc>
          <w:tcPr>
            <w:tcW w:w="434" w:type="pct"/>
            <w:vAlign w:val="center"/>
          </w:tcPr>
          <w:p>
            <w:pPr>
              <w:pStyle w:val="51"/>
              <w:bidi w:val="0"/>
              <w:jc w:val="center"/>
              <w:rPr>
                <w:rFonts w:hint="eastAsia"/>
                <w:highlight w:val="none"/>
                <w:lang w:val="en-US" w:eastAsia="zh-CN"/>
              </w:rPr>
            </w:pPr>
            <w:r>
              <w:rPr>
                <w:highlight w:val="none"/>
                <w:lang w:val="en-US" w:eastAsia="zh-CN"/>
              </w:rPr>
              <w:t>2</w:t>
            </w:r>
          </w:p>
        </w:tc>
        <w:tc>
          <w:tcPr>
            <w:tcW w:w="1026" w:type="pct"/>
            <w:vAlign w:val="center"/>
          </w:tcPr>
          <w:p>
            <w:pPr>
              <w:pStyle w:val="51"/>
              <w:bidi w:val="0"/>
              <w:rPr>
                <w:rFonts w:hint="eastAsia"/>
                <w:highlight w:val="none"/>
              </w:rPr>
            </w:pPr>
            <w:r>
              <w:rPr>
                <w:rFonts w:hint="eastAsia" w:ascii="宋体" w:hAnsi="宋体" w:eastAsia="宋体" w:cs="宋体"/>
                <w:kern w:val="0"/>
                <w:sz w:val="18"/>
                <w:szCs w:val="18"/>
                <w:highlight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2</w:t>
            </w:r>
          </w:p>
        </w:tc>
        <w:tc>
          <w:tcPr>
            <w:tcW w:w="762" w:type="pct"/>
            <w:vAlign w:val="center"/>
          </w:tcPr>
          <w:p>
            <w:pPr>
              <w:pStyle w:val="51"/>
              <w:bidi w:val="0"/>
              <w:rPr>
                <w:rFonts w:hint="eastAsia"/>
                <w:highlight w:val="none"/>
                <w:lang w:val="en-US" w:eastAsia="zh-CN"/>
              </w:rPr>
            </w:pPr>
            <w:r>
              <w:rPr>
                <w:highlight w:val="none"/>
                <w:lang w:val="en-US" w:eastAsia="zh-CN"/>
              </w:rPr>
              <w:t>芬顿催化剂</w:t>
            </w:r>
          </w:p>
        </w:tc>
        <w:tc>
          <w:tcPr>
            <w:tcW w:w="1980" w:type="pct"/>
            <w:vAlign w:val="center"/>
          </w:tcPr>
          <w:p>
            <w:pPr>
              <w:pStyle w:val="51"/>
              <w:bidi w:val="0"/>
              <w:rPr>
                <w:rFonts w:hint="eastAsia"/>
                <w:highlight w:val="none"/>
                <w:lang w:val="en-US" w:eastAsia="zh-CN"/>
              </w:rPr>
            </w:pPr>
            <w:r>
              <w:rPr>
                <w:rFonts w:hint="eastAsia"/>
                <w:highlight w:val="none"/>
                <w:lang w:val="en-US" w:eastAsia="zh-CN"/>
              </w:rPr>
              <w:t>多元素复合纤维载体，活性组分钛≥3%，规格φ3-6mm，强度≥200N/颗，比表面积≥30㎡/g,堆积密度1.2±0.05t/m³。</w:t>
            </w:r>
          </w:p>
          <w:p>
            <w:pPr>
              <w:pStyle w:val="51"/>
              <w:bidi w:val="0"/>
              <w:rPr>
                <w:rFonts w:hint="eastAsia"/>
                <w:highlight w:val="none"/>
                <w:lang w:val="en-US" w:eastAsia="zh-CN"/>
              </w:rPr>
            </w:pPr>
            <w:r>
              <w:rPr>
                <w:rFonts w:hint="eastAsia"/>
                <w:highlight w:val="none"/>
                <w:lang w:val="en-US" w:eastAsia="zh-CN"/>
              </w:rPr>
              <w:t>催化剂需采用多元素复合改性工艺制备，活性组分分散均匀，催化活性高，可大幅提高羟基自由基的生成效率，对难降解有机污染物的氧化分解效果优异，COD 去除效率稳定，符合设计水质要求。催化剂颗粒强度高，耐磨损、抗冲击，不易破碎、流失，使用寿命≥3 年，年损耗率≤8%；比表面积大，孔隙率高，可实现与污水、过氧化氢的充分接触，催化反应效率高。催化剂需具备优异的耐酸碱、耐腐蚀性能，适配芬顿反应的 pH 值、温度工况，化学稳定性好，不产生二次污染，符合环保要求。催化剂需具备良好的反冲洗性能，不易板结、堵塞，可长期稳定运行，无需频繁更换，降低运行成本。</w:t>
            </w:r>
          </w:p>
        </w:tc>
        <w:tc>
          <w:tcPr>
            <w:tcW w:w="491" w:type="pct"/>
            <w:vAlign w:val="center"/>
          </w:tcPr>
          <w:p>
            <w:pPr>
              <w:pStyle w:val="51"/>
              <w:bidi w:val="0"/>
              <w:jc w:val="center"/>
              <w:rPr>
                <w:rFonts w:hint="eastAsia"/>
                <w:highlight w:val="none"/>
                <w:lang w:val="en-US" w:eastAsia="zh-CN"/>
              </w:rPr>
            </w:pPr>
            <w:r>
              <w:rPr>
                <w:highlight w:val="none"/>
                <w:lang w:val="en-US" w:eastAsia="zh-CN"/>
              </w:rPr>
              <w:t>吨</w:t>
            </w:r>
          </w:p>
        </w:tc>
        <w:tc>
          <w:tcPr>
            <w:tcW w:w="434" w:type="pct"/>
            <w:vAlign w:val="center"/>
          </w:tcPr>
          <w:p>
            <w:pPr>
              <w:pStyle w:val="51"/>
              <w:bidi w:val="0"/>
              <w:jc w:val="center"/>
              <w:rPr>
                <w:rFonts w:hint="eastAsia"/>
                <w:highlight w:val="none"/>
                <w:lang w:val="en-US" w:eastAsia="zh-CN"/>
              </w:rPr>
            </w:pPr>
            <w:r>
              <w:rPr>
                <w:highlight w:val="none"/>
                <w:lang w:val="en-US" w:eastAsia="zh-CN"/>
              </w:rPr>
              <w:t>88</w:t>
            </w:r>
          </w:p>
        </w:tc>
        <w:tc>
          <w:tcPr>
            <w:tcW w:w="1026" w:type="pct"/>
            <w:vAlign w:val="center"/>
          </w:tcPr>
          <w:p>
            <w:pPr>
              <w:pStyle w:val="51"/>
              <w:bidi w:val="0"/>
              <w:rPr>
                <w:rFonts w:hint="eastAsia"/>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3</w:t>
            </w:r>
          </w:p>
        </w:tc>
        <w:tc>
          <w:tcPr>
            <w:tcW w:w="762" w:type="pct"/>
            <w:vAlign w:val="center"/>
          </w:tcPr>
          <w:p>
            <w:pPr>
              <w:pStyle w:val="51"/>
              <w:bidi w:val="0"/>
              <w:rPr>
                <w:rFonts w:hint="eastAsia"/>
                <w:highlight w:val="none"/>
                <w:lang w:val="en-US" w:eastAsia="zh-CN"/>
              </w:rPr>
            </w:pPr>
            <w:r>
              <w:rPr>
                <w:highlight w:val="none"/>
                <w:lang w:val="en-US" w:eastAsia="zh-CN"/>
              </w:rPr>
              <w:t>管道混合器</w:t>
            </w:r>
          </w:p>
        </w:tc>
        <w:tc>
          <w:tcPr>
            <w:tcW w:w="1980" w:type="pct"/>
            <w:vAlign w:val="center"/>
          </w:tcPr>
          <w:p>
            <w:pPr>
              <w:pStyle w:val="51"/>
              <w:bidi w:val="0"/>
              <w:rPr>
                <w:rFonts w:hint="eastAsia"/>
                <w:highlight w:val="none"/>
                <w:lang w:val="en-US" w:eastAsia="zh-CN"/>
              </w:rPr>
            </w:pPr>
            <w:r>
              <w:rPr>
                <w:rFonts w:hint="eastAsia"/>
                <w:highlight w:val="none"/>
                <w:lang w:val="en-US" w:eastAsia="zh-CN"/>
              </w:rPr>
              <w:t>DN80；材质：UPVC。</w:t>
            </w:r>
          </w:p>
          <w:p>
            <w:pPr>
              <w:pStyle w:val="51"/>
              <w:bidi w:val="0"/>
              <w:rPr>
                <w:rFonts w:hint="eastAsia"/>
                <w:highlight w:val="none"/>
                <w:lang w:val="en-US" w:eastAsia="zh-CN"/>
              </w:rPr>
            </w:pPr>
            <w:r>
              <w:rPr>
                <w:rFonts w:hint="eastAsia"/>
                <w:highlight w:val="none"/>
                <w:lang w:val="en-US" w:eastAsia="zh-CN"/>
              </w:rPr>
              <w:t>需实现污水、过氧化氢、药剂的快速、均匀混合，混合效率≥90%，阻力损失小，安装便捷，适配现场管道工况，具备耐腐蚀、抗老化性能，使用寿命≥10 年</w:t>
            </w:r>
          </w:p>
        </w:tc>
        <w:tc>
          <w:tcPr>
            <w:tcW w:w="491" w:type="pct"/>
            <w:vAlign w:val="center"/>
          </w:tcPr>
          <w:p>
            <w:pPr>
              <w:pStyle w:val="51"/>
              <w:bidi w:val="0"/>
              <w:jc w:val="center"/>
              <w:rPr>
                <w:rFonts w:hint="eastAsia"/>
                <w:highlight w:val="none"/>
                <w:lang w:val="en-US" w:eastAsia="zh-CN"/>
              </w:rPr>
            </w:pPr>
            <w:r>
              <w:rPr>
                <w:highlight w:val="none"/>
                <w:lang w:val="en-US" w:eastAsia="zh-CN"/>
              </w:rPr>
              <w:t>个</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2</w:t>
            </w:r>
          </w:p>
        </w:tc>
        <w:tc>
          <w:tcPr>
            <w:tcW w:w="1026" w:type="pct"/>
            <w:vAlign w:val="center"/>
          </w:tcPr>
          <w:p>
            <w:pPr>
              <w:pStyle w:val="51"/>
              <w:bidi w:val="0"/>
              <w:rPr>
                <w:rFonts w:hint="eastAsia"/>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305" w:type="pct"/>
            <w:vAlign w:val="center"/>
          </w:tcPr>
          <w:p>
            <w:pPr>
              <w:pStyle w:val="51"/>
              <w:bidi w:val="0"/>
              <w:rPr>
                <w:rFonts w:hint="eastAsia"/>
                <w:highlight w:val="none"/>
                <w:lang w:val="en-US" w:eastAsia="zh-CN"/>
              </w:rPr>
            </w:pPr>
            <w:r>
              <w:rPr>
                <w:rFonts w:hint="eastAsia"/>
                <w:highlight w:val="none"/>
                <w:lang w:val="en-US" w:eastAsia="zh-CN"/>
              </w:rPr>
              <w:t>4</w:t>
            </w:r>
          </w:p>
        </w:tc>
        <w:tc>
          <w:tcPr>
            <w:tcW w:w="762" w:type="pct"/>
            <w:vAlign w:val="center"/>
          </w:tcPr>
          <w:p>
            <w:pPr>
              <w:pStyle w:val="51"/>
              <w:bidi w:val="0"/>
              <w:rPr>
                <w:rFonts w:hint="eastAsia"/>
                <w:highlight w:val="none"/>
                <w:lang w:val="en-US" w:eastAsia="zh-CN"/>
              </w:rPr>
            </w:pPr>
            <w:r>
              <w:rPr>
                <w:rFonts w:hint="eastAsia"/>
                <w:highlight w:val="none"/>
                <w:lang w:val="en-US" w:eastAsia="zh-CN"/>
              </w:rPr>
              <w:t>在线 pH 自控系统</w:t>
            </w:r>
          </w:p>
        </w:tc>
        <w:tc>
          <w:tcPr>
            <w:tcW w:w="1980" w:type="pct"/>
            <w:vAlign w:val="center"/>
          </w:tcPr>
          <w:p>
            <w:pPr>
              <w:pStyle w:val="51"/>
              <w:bidi w:val="0"/>
              <w:rPr>
                <w:rFonts w:hint="eastAsia"/>
                <w:highlight w:val="none"/>
                <w:lang w:val="en-US" w:eastAsia="zh-CN"/>
              </w:rPr>
            </w:pPr>
            <w:r>
              <w:rPr>
                <w:rFonts w:hint="eastAsia"/>
                <w:highlight w:val="none"/>
                <w:lang w:val="en-US" w:eastAsia="zh-CN"/>
              </w:rPr>
              <w:t>含在线 pH 计，测量范围：0-14，测量精度：±0.02pH。</w:t>
            </w:r>
          </w:p>
          <w:p>
            <w:pPr>
              <w:pStyle w:val="51"/>
              <w:bidi w:val="0"/>
              <w:rPr>
                <w:rFonts w:hint="default"/>
                <w:highlight w:val="none"/>
                <w:lang w:val="en-US" w:eastAsia="zh-CN"/>
              </w:rPr>
            </w:pPr>
            <w:r>
              <w:rPr>
                <w:rFonts w:hint="default"/>
                <w:highlight w:val="none"/>
                <w:lang w:val="en-US" w:eastAsia="zh-CN"/>
              </w:rPr>
              <w:t>适配污水工况，防堵塞、耐腐蚀；控制箱需具备自动控制功能，可根据 pH 值自动调节药剂投加，实现 pH 值的稳定控制，防爆等级：EX dⅡBT4Gb。</w:t>
            </w:r>
          </w:p>
        </w:tc>
        <w:tc>
          <w:tcPr>
            <w:tcW w:w="491"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2</w:t>
            </w:r>
          </w:p>
        </w:tc>
        <w:tc>
          <w:tcPr>
            <w:tcW w:w="1026" w:type="pct"/>
            <w:vAlign w:val="center"/>
          </w:tcPr>
          <w:p>
            <w:pPr>
              <w:pStyle w:val="51"/>
              <w:bidi w:val="0"/>
              <w:rPr>
                <w:rFonts w:hint="eastAsia"/>
                <w:highlight w:val="none"/>
                <w:lang w:val="en-US" w:eastAsia="zh-CN"/>
              </w:rPr>
            </w:pPr>
            <w:r>
              <w:rPr>
                <w:rFonts w:hint="eastAsia"/>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5</w:t>
            </w:r>
          </w:p>
        </w:tc>
        <w:tc>
          <w:tcPr>
            <w:tcW w:w="762" w:type="pct"/>
            <w:vAlign w:val="center"/>
          </w:tcPr>
          <w:p>
            <w:pPr>
              <w:pStyle w:val="51"/>
              <w:bidi w:val="0"/>
              <w:rPr>
                <w:rFonts w:hint="default"/>
                <w:highlight w:val="none"/>
                <w:lang w:val="en-US" w:eastAsia="zh-CN"/>
              </w:rPr>
            </w:pPr>
            <w:r>
              <w:rPr>
                <w:rFonts w:hint="eastAsia"/>
                <w:highlight w:val="none"/>
                <w:lang w:val="en-US" w:eastAsia="zh-CN"/>
              </w:rPr>
              <w:t>芬顿</w:t>
            </w:r>
            <w:r>
              <w:rPr>
                <w:highlight w:val="none"/>
                <w:lang w:val="en-US" w:eastAsia="zh-CN"/>
              </w:rPr>
              <w:t>曝气风机</w:t>
            </w:r>
          </w:p>
        </w:tc>
        <w:tc>
          <w:tcPr>
            <w:tcW w:w="1980" w:type="pct"/>
            <w:vAlign w:val="center"/>
          </w:tcPr>
          <w:p>
            <w:pPr>
              <w:pStyle w:val="51"/>
              <w:bidi w:val="0"/>
              <w:rPr>
                <w:rFonts w:hint="eastAsia"/>
                <w:highlight w:val="none"/>
                <w:lang w:val="en-US" w:eastAsia="zh-CN"/>
              </w:rPr>
            </w:pPr>
            <w:r>
              <w:rPr>
                <w:rFonts w:hint="eastAsia"/>
                <w:highlight w:val="none"/>
                <w:lang w:val="en-US" w:eastAsia="zh-CN"/>
              </w:rPr>
              <w:t>类型：R系罗茨风机；3m³/min，∆H=73.3kPa；功率7.5kw；防爆等级不低于 Exdb IIBT4 Gb，防护等级不低于 IP65，符合 GB3836 系列防爆标准。</w:t>
            </w:r>
          </w:p>
          <w:p>
            <w:pPr>
              <w:pStyle w:val="51"/>
              <w:bidi w:val="0"/>
              <w:rPr>
                <w:rFonts w:hint="eastAsia"/>
                <w:highlight w:val="none"/>
                <w:lang w:val="en-US" w:eastAsia="zh-CN"/>
              </w:rPr>
            </w:pPr>
            <w:r>
              <w:rPr>
                <w:rFonts w:hint="eastAsia"/>
                <w:highlight w:val="none"/>
                <w:lang w:val="en-US" w:eastAsia="zh-CN"/>
              </w:rPr>
              <w:t>采用罗茨风机结构，风量大、风压稳定，效率高，能耗低；风机需具备防喘振功能，进口配套消音器、空气过滤器，降低运行噪音，过滤空气中的杂质，保护风机内部部件；具备过流、过载、过热保护功能，运行稳定，使用寿命≥5 年；配套变频控制功能，可根据溶解氧需求调节风量，实现节能运行。</w:t>
            </w:r>
          </w:p>
        </w:tc>
        <w:tc>
          <w:tcPr>
            <w:tcW w:w="491" w:type="pct"/>
            <w:vAlign w:val="center"/>
          </w:tcPr>
          <w:p>
            <w:pPr>
              <w:pStyle w:val="51"/>
              <w:bidi w:val="0"/>
              <w:jc w:val="center"/>
              <w:rPr>
                <w:rFonts w:hint="eastAsia"/>
                <w:highlight w:val="none"/>
                <w:lang w:val="en-US" w:eastAsia="zh-CN"/>
              </w:rPr>
            </w:pPr>
            <w:r>
              <w:rPr>
                <w:highlight w:val="none"/>
                <w:lang w:val="en-US" w:eastAsia="zh-CN"/>
              </w:rPr>
              <w:t>座</w:t>
            </w:r>
          </w:p>
        </w:tc>
        <w:tc>
          <w:tcPr>
            <w:tcW w:w="434" w:type="pct"/>
            <w:vAlign w:val="center"/>
          </w:tcPr>
          <w:p>
            <w:pPr>
              <w:pStyle w:val="51"/>
              <w:bidi w:val="0"/>
              <w:jc w:val="center"/>
              <w:rPr>
                <w:rFonts w:hint="eastAsia"/>
                <w:highlight w:val="none"/>
                <w:lang w:val="en-US" w:eastAsia="zh-CN"/>
              </w:rPr>
            </w:pPr>
            <w:r>
              <w:rPr>
                <w:highlight w:val="none"/>
                <w:lang w:val="en-US" w:eastAsia="zh-CN"/>
              </w:rPr>
              <w:t>3</w:t>
            </w:r>
          </w:p>
        </w:tc>
        <w:tc>
          <w:tcPr>
            <w:tcW w:w="1026" w:type="pct"/>
            <w:vAlign w:val="center"/>
          </w:tcPr>
          <w:p>
            <w:pPr>
              <w:pStyle w:val="51"/>
              <w:bidi w:val="0"/>
              <w:rPr>
                <w:rFonts w:hint="default"/>
                <w:highlight w:val="none"/>
                <w:lang w:val="en-US" w:eastAsia="zh-CN"/>
              </w:rPr>
            </w:pPr>
            <w:r>
              <w:rPr>
                <w:highlight w:val="none"/>
                <w:lang w:val="en-US" w:eastAsia="zh-CN"/>
              </w:rPr>
              <w:t>2 用 1 备，专用于芬顿单元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6</w:t>
            </w:r>
          </w:p>
        </w:tc>
        <w:tc>
          <w:tcPr>
            <w:tcW w:w="762" w:type="pct"/>
            <w:vAlign w:val="center"/>
          </w:tcPr>
          <w:p>
            <w:pPr>
              <w:pStyle w:val="51"/>
              <w:bidi w:val="0"/>
              <w:rPr>
                <w:rFonts w:hint="eastAsia"/>
                <w:highlight w:val="none"/>
                <w:lang w:val="en-US" w:eastAsia="zh-CN"/>
              </w:rPr>
            </w:pPr>
            <w:r>
              <w:rPr>
                <w:rFonts w:hint="eastAsia"/>
                <w:highlight w:val="none"/>
                <w:lang w:val="en-US" w:eastAsia="zh-CN"/>
              </w:rPr>
              <w:t>防爆</w:t>
            </w:r>
            <w:r>
              <w:rPr>
                <w:highlight w:val="none"/>
                <w:lang w:val="en-US" w:eastAsia="zh-CN"/>
              </w:rPr>
              <w:t>涡街流量计</w:t>
            </w:r>
          </w:p>
        </w:tc>
        <w:tc>
          <w:tcPr>
            <w:tcW w:w="1980" w:type="pct"/>
            <w:vAlign w:val="center"/>
          </w:tcPr>
          <w:p>
            <w:pPr>
              <w:pStyle w:val="51"/>
              <w:bidi w:val="0"/>
              <w:rPr>
                <w:rFonts w:hint="eastAsia"/>
                <w:highlight w:val="none"/>
              </w:rPr>
            </w:pPr>
            <w:r>
              <w:rPr>
                <w:rFonts w:hint="eastAsia"/>
                <w:highlight w:val="none"/>
                <w:lang w:val="en-US" w:eastAsia="zh-CN"/>
              </w:rPr>
              <w:t>DN50，本体304，阀芯316L；防爆等级不低于 Exdb IIBT4 Gb，防护等级不低于 IP65，符合 GB3836 系列防爆标准</w:t>
            </w:r>
          </w:p>
        </w:tc>
        <w:tc>
          <w:tcPr>
            <w:tcW w:w="491" w:type="pct"/>
            <w:vAlign w:val="center"/>
          </w:tcPr>
          <w:p>
            <w:pPr>
              <w:pStyle w:val="51"/>
              <w:bidi w:val="0"/>
              <w:jc w:val="center"/>
              <w:rPr>
                <w:rFonts w:hint="eastAsia"/>
                <w:highlight w:val="none"/>
                <w:lang w:val="en-US" w:eastAsia="zh-CN"/>
              </w:rPr>
            </w:pPr>
            <w:r>
              <w:rPr>
                <w:highlight w:val="none"/>
                <w:lang w:val="en-US" w:eastAsia="zh-CN"/>
              </w:rPr>
              <w:t>台</w:t>
            </w:r>
          </w:p>
        </w:tc>
        <w:tc>
          <w:tcPr>
            <w:tcW w:w="434" w:type="pct"/>
            <w:vAlign w:val="center"/>
          </w:tcPr>
          <w:p>
            <w:pPr>
              <w:pStyle w:val="51"/>
              <w:bidi w:val="0"/>
              <w:jc w:val="center"/>
              <w:rPr>
                <w:rFonts w:hint="eastAsia"/>
                <w:highlight w:val="none"/>
                <w:lang w:val="en-US" w:eastAsia="zh-CN"/>
              </w:rPr>
            </w:pPr>
            <w:r>
              <w:rPr>
                <w:highlight w:val="none"/>
                <w:lang w:val="en-US" w:eastAsia="zh-CN"/>
              </w:rPr>
              <w:t>2</w:t>
            </w:r>
          </w:p>
        </w:tc>
        <w:tc>
          <w:tcPr>
            <w:tcW w:w="1026" w:type="pct"/>
            <w:vAlign w:val="center"/>
          </w:tcPr>
          <w:p>
            <w:pPr>
              <w:pStyle w:val="51"/>
              <w:bidi w:val="0"/>
              <w:rPr>
                <w:rFonts w:hint="eastAsia"/>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7</w:t>
            </w:r>
          </w:p>
        </w:tc>
        <w:tc>
          <w:tcPr>
            <w:tcW w:w="762" w:type="pct"/>
            <w:vAlign w:val="center"/>
          </w:tcPr>
          <w:p>
            <w:pPr>
              <w:pStyle w:val="51"/>
              <w:bidi w:val="0"/>
              <w:rPr>
                <w:rFonts w:hint="default"/>
                <w:highlight w:val="none"/>
                <w:lang w:val="en-US" w:eastAsia="zh-CN"/>
              </w:rPr>
            </w:pPr>
            <w:r>
              <w:rPr>
                <w:highlight w:val="none"/>
                <w:lang w:val="en-US" w:eastAsia="zh-CN"/>
              </w:rPr>
              <w:t>沉淀池装置</w:t>
            </w:r>
          </w:p>
        </w:tc>
        <w:tc>
          <w:tcPr>
            <w:tcW w:w="1980" w:type="pct"/>
            <w:vAlign w:val="center"/>
          </w:tcPr>
          <w:p>
            <w:pPr>
              <w:pStyle w:val="51"/>
              <w:bidi w:val="0"/>
              <w:rPr>
                <w:rFonts w:hint="default"/>
                <w:highlight w:val="none"/>
                <w:lang w:val="en-US" w:eastAsia="zh-CN"/>
              </w:rPr>
            </w:pPr>
            <w:r>
              <w:rPr>
                <w:rFonts w:hint="eastAsia"/>
                <w:highlight w:val="none"/>
                <w:lang w:val="en-US" w:eastAsia="zh-CN"/>
              </w:rPr>
              <w:t>/</w:t>
            </w:r>
          </w:p>
        </w:tc>
        <w:tc>
          <w:tcPr>
            <w:tcW w:w="491" w:type="pct"/>
            <w:vAlign w:val="center"/>
          </w:tcPr>
          <w:p>
            <w:pPr>
              <w:pStyle w:val="51"/>
              <w:bidi w:val="0"/>
              <w:jc w:val="center"/>
              <w:rPr>
                <w:rFonts w:hint="eastAsia"/>
                <w:highlight w:val="none"/>
                <w:lang w:val="en-US" w:eastAsia="zh-CN"/>
              </w:rPr>
            </w:pPr>
            <w:r>
              <w:rPr>
                <w:rFonts w:hint="eastAsia"/>
                <w:highlight w:val="none"/>
                <w:lang w:val="en-US" w:eastAsia="zh-CN"/>
              </w:rPr>
              <w:t>/</w:t>
            </w:r>
          </w:p>
        </w:tc>
        <w:tc>
          <w:tcPr>
            <w:tcW w:w="434" w:type="pct"/>
            <w:vAlign w:val="center"/>
          </w:tcPr>
          <w:p>
            <w:pPr>
              <w:pStyle w:val="51"/>
              <w:bidi w:val="0"/>
              <w:jc w:val="center"/>
              <w:rPr>
                <w:rFonts w:hint="eastAsia"/>
                <w:highlight w:val="none"/>
                <w:lang w:val="en-US" w:eastAsia="zh-CN"/>
              </w:rPr>
            </w:pPr>
            <w:r>
              <w:rPr>
                <w:rFonts w:hint="eastAsia"/>
                <w:highlight w:val="none"/>
                <w:lang w:val="en-US" w:eastAsia="zh-CN"/>
              </w:rPr>
              <w:t>/</w:t>
            </w:r>
          </w:p>
        </w:tc>
        <w:tc>
          <w:tcPr>
            <w:tcW w:w="1026" w:type="pct"/>
            <w:vAlign w:val="center"/>
          </w:tcPr>
          <w:p>
            <w:pPr>
              <w:pStyle w:val="51"/>
              <w:bidi w:val="0"/>
              <w:rPr>
                <w:rFonts w:hint="default"/>
                <w:highlight w:val="none"/>
                <w:lang w:val="en-US" w:eastAsia="zh-CN"/>
              </w:rPr>
            </w:pPr>
            <w:r>
              <w:rPr>
                <w:highlight w:val="none"/>
                <w:lang w:val="en-US" w:eastAsia="zh-CN"/>
              </w:rPr>
              <w:t>利旧，净载荷 9 吨 / 座，运行载荷 42 吨 / 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8</w:t>
            </w:r>
          </w:p>
        </w:tc>
        <w:tc>
          <w:tcPr>
            <w:tcW w:w="762" w:type="pct"/>
            <w:vAlign w:val="center"/>
          </w:tcPr>
          <w:p>
            <w:pPr>
              <w:pStyle w:val="51"/>
              <w:bidi w:val="0"/>
              <w:rPr>
                <w:rFonts w:hint="default"/>
                <w:highlight w:val="none"/>
                <w:lang w:val="en-US" w:eastAsia="zh-CN"/>
              </w:rPr>
            </w:pPr>
            <w:r>
              <w:rPr>
                <w:rFonts w:hint="default"/>
                <w:highlight w:val="none"/>
                <w:lang w:val="en-US" w:eastAsia="zh-CN"/>
              </w:rPr>
              <w:t>芬顿缓冲罐</w:t>
            </w:r>
          </w:p>
        </w:tc>
        <w:tc>
          <w:tcPr>
            <w:tcW w:w="1980" w:type="pct"/>
            <w:vAlign w:val="center"/>
          </w:tcPr>
          <w:p>
            <w:pPr>
              <w:pStyle w:val="51"/>
              <w:bidi w:val="0"/>
              <w:rPr>
                <w:rFonts w:hint="eastAsia"/>
                <w:highlight w:val="none"/>
                <w:lang w:eastAsia="zh-CN"/>
              </w:rPr>
            </w:pPr>
            <w:r>
              <w:rPr>
                <w:rFonts w:hint="eastAsia"/>
                <w:highlight w:val="none"/>
                <w:lang w:val="en-US" w:eastAsia="zh-CN"/>
              </w:rPr>
              <w:t>尺寸：φ3.5×3m；操作参数：ATM./20～40℃；材质FRP（3301 双酚 A 型耐腐蚀不饱和聚酯树脂），厚度≥9mm；含吹脱布气（通气量≥0.5m³/min）、爬梯护栏（碳钢）；净载荷1 吨 / 座，运行载荷 30 吨 / 座</w:t>
            </w:r>
          </w:p>
        </w:tc>
        <w:tc>
          <w:tcPr>
            <w:tcW w:w="491" w:type="pct"/>
            <w:vAlign w:val="center"/>
          </w:tcPr>
          <w:p>
            <w:pPr>
              <w:pStyle w:val="51"/>
              <w:bidi w:val="0"/>
              <w:jc w:val="center"/>
              <w:rPr>
                <w:rFonts w:hint="eastAsia"/>
                <w:highlight w:val="none"/>
                <w:lang w:val="en-US" w:eastAsia="zh-CN"/>
              </w:rPr>
            </w:pPr>
            <w:r>
              <w:rPr>
                <w:highlight w:val="none"/>
                <w:lang w:val="en-US" w:eastAsia="zh-CN"/>
              </w:rPr>
              <w:t>座</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1026" w:type="pct"/>
            <w:vAlign w:val="center"/>
          </w:tcPr>
          <w:p>
            <w:pPr>
              <w:pStyle w:val="51"/>
              <w:bidi w:val="0"/>
              <w:rPr>
                <w:rFonts w:hint="default"/>
                <w:highlight w:val="none"/>
                <w:lang w:val="en-US" w:eastAsia="zh-CN"/>
              </w:rPr>
            </w:pPr>
            <w:r>
              <w:rPr>
                <w:rFonts w:hint="eastAsia"/>
                <w:highlight w:val="none"/>
                <w:lang w:val="en-US" w:eastAsia="zh-CN"/>
              </w:rPr>
              <w:t>曝气搅拌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9</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防爆</w:t>
            </w:r>
            <w:r>
              <w:rPr>
                <w:highlight w:val="none"/>
                <w:lang w:val="en-US" w:eastAsia="zh-CN"/>
              </w:rPr>
              <w:t>液位开关</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316L不锈钢材质，浮球液位开关；防爆等级不低于 Exdb IIBT4 Gb，防护等级不低于 IP65，符合 GB3836 系列防爆标准</w:t>
            </w:r>
          </w:p>
        </w:tc>
        <w:tc>
          <w:tcPr>
            <w:tcW w:w="491" w:type="pct"/>
            <w:vAlign w:val="center"/>
          </w:tcPr>
          <w:p>
            <w:pPr>
              <w:pStyle w:val="51"/>
              <w:bidi w:val="0"/>
              <w:jc w:val="center"/>
              <w:rPr>
                <w:rFonts w:hint="eastAsia"/>
                <w:highlight w:val="none"/>
                <w:lang w:val="en-US" w:eastAsia="zh-CN"/>
              </w:rPr>
            </w:pPr>
            <w:r>
              <w:rPr>
                <w:highlight w:val="none"/>
                <w:lang w:val="en-US" w:eastAsia="zh-CN"/>
              </w:rPr>
              <w:t>台</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1026" w:type="pct"/>
            <w:vAlign w:val="center"/>
          </w:tcPr>
          <w:p>
            <w:pPr>
              <w:pStyle w:val="51"/>
              <w:bidi w:val="0"/>
              <w:rPr>
                <w:rFonts w:hint="default"/>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10</w:t>
            </w:r>
          </w:p>
        </w:tc>
        <w:tc>
          <w:tcPr>
            <w:tcW w:w="762" w:type="pct"/>
            <w:shd w:val="clear" w:color="auto" w:fill="auto"/>
            <w:vAlign w:val="center"/>
          </w:tcPr>
          <w:p>
            <w:pPr>
              <w:pStyle w:val="51"/>
              <w:bidi w:val="0"/>
              <w:rPr>
                <w:rFonts w:hint="default"/>
                <w:highlight w:val="none"/>
                <w:lang w:val="en-US" w:eastAsia="zh-CN"/>
              </w:rPr>
            </w:pPr>
            <w:r>
              <w:rPr>
                <w:rFonts w:hint="eastAsia"/>
                <w:highlight w:val="none"/>
                <w:lang w:val="en-US" w:eastAsia="zh-CN"/>
              </w:rPr>
              <w:t>芬顿排水泵</w:t>
            </w:r>
          </w:p>
        </w:tc>
        <w:tc>
          <w:tcPr>
            <w:tcW w:w="1980" w:type="pct"/>
            <w:shd w:val="clear" w:color="auto" w:fill="auto"/>
            <w:vAlign w:val="center"/>
          </w:tcPr>
          <w:p>
            <w:pPr>
              <w:pStyle w:val="51"/>
              <w:bidi w:val="0"/>
              <w:rPr>
                <w:rFonts w:hint="eastAsia"/>
                <w:highlight w:val="none"/>
              </w:rPr>
            </w:pPr>
            <w:r>
              <w:rPr>
                <w:rFonts w:hint="eastAsia"/>
                <w:highlight w:val="none"/>
                <w:lang w:val="en-US" w:eastAsia="zh-CN"/>
              </w:rPr>
              <w:t>Q=35m³/h，H=15m；功率 5.5kw，IHF离心泵；防爆等级不低于 Exdb IIBT4 Gb，防护等级不低于 IP65，符合 GB3836 系列防爆标准</w:t>
            </w:r>
          </w:p>
        </w:tc>
        <w:tc>
          <w:tcPr>
            <w:tcW w:w="491" w:type="pct"/>
            <w:vAlign w:val="center"/>
          </w:tcPr>
          <w:p>
            <w:pPr>
              <w:pStyle w:val="51"/>
              <w:bidi w:val="0"/>
              <w:jc w:val="center"/>
              <w:rPr>
                <w:rFonts w:hint="eastAsia"/>
                <w:highlight w:val="none"/>
                <w:lang w:val="en-US" w:eastAsia="zh-CN"/>
              </w:rPr>
            </w:pPr>
            <w:r>
              <w:rPr>
                <w:highlight w:val="none"/>
                <w:lang w:val="en-US" w:eastAsia="zh-CN"/>
              </w:rPr>
              <w:t>台</w:t>
            </w:r>
          </w:p>
        </w:tc>
        <w:tc>
          <w:tcPr>
            <w:tcW w:w="434" w:type="pct"/>
            <w:vAlign w:val="center"/>
          </w:tcPr>
          <w:p>
            <w:pPr>
              <w:pStyle w:val="51"/>
              <w:bidi w:val="0"/>
              <w:jc w:val="center"/>
              <w:rPr>
                <w:rFonts w:hint="eastAsia"/>
                <w:highlight w:val="none"/>
                <w:lang w:val="en-US" w:eastAsia="zh-CN"/>
              </w:rPr>
            </w:pPr>
            <w:r>
              <w:rPr>
                <w:highlight w:val="none"/>
                <w:lang w:val="en-US" w:eastAsia="zh-CN"/>
              </w:rPr>
              <w:t>3</w:t>
            </w:r>
          </w:p>
        </w:tc>
        <w:tc>
          <w:tcPr>
            <w:tcW w:w="1026" w:type="pct"/>
            <w:vAlign w:val="center"/>
          </w:tcPr>
          <w:p>
            <w:pPr>
              <w:pStyle w:val="51"/>
              <w:bidi w:val="0"/>
              <w:rPr>
                <w:rFonts w:hint="eastAsia"/>
                <w:highlight w:val="none"/>
                <w:lang w:val="en-US" w:eastAsia="zh-CN"/>
              </w:rPr>
            </w:pPr>
            <w:r>
              <w:rPr>
                <w:highlight w:val="none"/>
                <w:lang w:val="en-US" w:eastAsia="zh-CN"/>
              </w:rPr>
              <w:t>2 用 1 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11</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防爆LED荧光灯</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适用于一类二区，IP65，220V,50Hz，1Ph，2X36w，带光源、接地端子及其安装附件。</w:t>
            </w:r>
          </w:p>
        </w:tc>
        <w:tc>
          <w:tcPr>
            <w:tcW w:w="491" w:type="pct"/>
            <w:vAlign w:val="center"/>
          </w:tcPr>
          <w:p>
            <w:pPr>
              <w:pStyle w:val="51"/>
              <w:bidi w:val="0"/>
              <w:jc w:val="center"/>
              <w:rPr>
                <w:rFonts w:hint="default"/>
                <w:highlight w:val="none"/>
                <w:lang w:val="en-US" w:eastAsia="zh-CN"/>
              </w:rPr>
            </w:pPr>
            <w:r>
              <w:rPr>
                <w:rFonts w:hint="eastAsia"/>
                <w:highlight w:val="none"/>
                <w:lang w:val="en-US" w:eastAsia="zh-CN"/>
              </w:rPr>
              <w:t>个</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6</w:t>
            </w:r>
          </w:p>
        </w:tc>
        <w:tc>
          <w:tcPr>
            <w:tcW w:w="1026" w:type="pct"/>
            <w:vAlign w:val="center"/>
          </w:tcPr>
          <w:p>
            <w:pPr>
              <w:pStyle w:val="51"/>
              <w:bidi w:val="0"/>
              <w:rPr>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12</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防爆LED泛光灯</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适用于一类二区，IP65，220V,50Hz，1Ph，150w，带光源、接地端子及其安装附件。</w:t>
            </w:r>
          </w:p>
        </w:tc>
        <w:tc>
          <w:tcPr>
            <w:tcW w:w="491" w:type="pct"/>
            <w:shd w:val="clear" w:color="auto" w:fill="auto"/>
            <w:vAlign w:val="center"/>
          </w:tcPr>
          <w:p>
            <w:pPr>
              <w:pStyle w:val="51"/>
              <w:bidi w:val="0"/>
              <w:jc w:val="center"/>
              <w:rPr>
                <w:rFonts w:hint="default"/>
                <w:highlight w:val="none"/>
                <w:lang w:val="en-US" w:eastAsia="zh-CN"/>
              </w:rPr>
            </w:pPr>
            <w:r>
              <w:rPr>
                <w:rFonts w:hint="eastAsia"/>
                <w:highlight w:val="none"/>
                <w:lang w:val="en-US" w:eastAsia="zh-CN"/>
              </w:rPr>
              <w:t>个</w:t>
            </w:r>
          </w:p>
        </w:tc>
        <w:tc>
          <w:tcPr>
            <w:tcW w:w="434" w:type="pct"/>
            <w:shd w:val="clear" w:color="auto" w:fill="auto"/>
            <w:vAlign w:val="center"/>
          </w:tcPr>
          <w:p>
            <w:pPr>
              <w:pStyle w:val="51"/>
              <w:bidi w:val="0"/>
              <w:jc w:val="center"/>
              <w:rPr>
                <w:rFonts w:hint="default"/>
                <w:highlight w:val="none"/>
                <w:lang w:val="en-US" w:eastAsia="zh-CN"/>
              </w:rPr>
            </w:pPr>
            <w:r>
              <w:rPr>
                <w:rFonts w:hint="eastAsia"/>
                <w:highlight w:val="none"/>
                <w:lang w:val="en-US" w:eastAsia="zh-CN"/>
              </w:rPr>
              <w:t>5</w:t>
            </w:r>
          </w:p>
        </w:tc>
        <w:tc>
          <w:tcPr>
            <w:tcW w:w="1026" w:type="pct"/>
            <w:vAlign w:val="center"/>
          </w:tcPr>
          <w:p>
            <w:pPr>
              <w:pStyle w:val="51"/>
              <w:bidi w:val="0"/>
              <w:rPr>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13</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防爆配电柜</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防爆等级不低于 Exdb IIBT4 Gb，防护等级不低于 IP65，符合 GB3836 系列防爆标准</w:t>
            </w:r>
          </w:p>
        </w:tc>
        <w:tc>
          <w:tcPr>
            <w:tcW w:w="491" w:type="pct"/>
            <w:shd w:val="clear" w:color="auto" w:fill="auto"/>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4" w:type="pct"/>
            <w:shd w:val="clear" w:color="auto" w:fill="auto"/>
            <w:vAlign w:val="center"/>
          </w:tcPr>
          <w:p>
            <w:pPr>
              <w:pStyle w:val="51"/>
              <w:bidi w:val="0"/>
              <w:jc w:val="center"/>
              <w:rPr>
                <w:rFonts w:hint="default"/>
                <w:highlight w:val="none"/>
                <w:lang w:val="en-US" w:eastAsia="zh-CN"/>
              </w:rPr>
            </w:pPr>
            <w:r>
              <w:rPr>
                <w:rFonts w:hint="eastAsia"/>
                <w:highlight w:val="none"/>
                <w:lang w:val="en-US" w:eastAsia="zh-CN"/>
              </w:rPr>
              <w:t>1</w:t>
            </w:r>
          </w:p>
        </w:tc>
        <w:tc>
          <w:tcPr>
            <w:tcW w:w="1026" w:type="pct"/>
            <w:vAlign w:val="center"/>
          </w:tcPr>
          <w:p>
            <w:pPr>
              <w:pStyle w:val="51"/>
              <w:bidi w:val="0"/>
              <w:rPr>
                <w:rFonts w:hint="default"/>
                <w:highlight w:val="none"/>
                <w:lang w:val="en-US" w:eastAsia="zh-CN"/>
              </w:rPr>
            </w:pPr>
            <w:r>
              <w:rPr>
                <w:rFonts w:hint="eastAsia"/>
                <w:highlight w:val="none"/>
                <w:lang w:val="en-US" w:eastAsia="zh-CN"/>
              </w:rPr>
              <w:t>成套设备电源接入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14</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防爆控制柜</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尺寸2200*600*600；防爆等级不低于 Exdb IIBT4 Gb，防护等级不低于 IP65，符合 GB3836 系列防爆标准</w:t>
            </w:r>
          </w:p>
        </w:tc>
        <w:tc>
          <w:tcPr>
            <w:tcW w:w="491" w:type="pct"/>
            <w:shd w:val="clear" w:color="auto" w:fill="auto"/>
            <w:vAlign w:val="center"/>
          </w:tcPr>
          <w:p>
            <w:pPr>
              <w:pStyle w:val="51"/>
              <w:bidi w:val="0"/>
              <w:ind w:firstLine="0" w:firstLineChars="0"/>
              <w:jc w:val="center"/>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座</w:t>
            </w:r>
          </w:p>
        </w:tc>
        <w:tc>
          <w:tcPr>
            <w:tcW w:w="434" w:type="pct"/>
            <w:shd w:val="clear" w:color="auto" w:fill="auto"/>
            <w:vAlign w:val="center"/>
          </w:tcPr>
          <w:p>
            <w:pPr>
              <w:pStyle w:val="51"/>
              <w:bidi w:val="0"/>
              <w:ind w:firstLine="0" w:firstLineChars="0"/>
              <w:jc w:val="center"/>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1026" w:type="pct"/>
            <w:vAlign w:val="center"/>
          </w:tcPr>
          <w:p>
            <w:pPr>
              <w:pStyle w:val="51"/>
              <w:bidi w:val="0"/>
              <w:rPr>
                <w:rFonts w:hint="default"/>
                <w:highlight w:val="none"/>
                <w:lang w:val="en-US" w:eastAsia="zh-CN"/>
              </w:rPr>
            </w:pPr>
            <w:r>
              <w:rPr>
                <w:rFonts w:hint="default"/>
                <w:highlight w:val="none"/>
                <w:lang w:val="en-US" w:eastAsia="zh-CN"/>
              </w:rPr>
              <w:t>铁碳微电解</w:t>
            </w:r>
            <w:r>
              <w:rPr>
                <w:rFonts w:hint="eastAsia"/>
                <w:highlight w:val="none"/>
                <w:lang w:val="en-US" w:eastAsia="zh-CN"/>
              </w:rPr>
              <w:t>/芬顿</w:t>
            </w:r>
            <w:r>
              <w:rPr>
                <w:rFonts w:hint="default"/>
                <w:highlight w:val="none"/>
                <w:lang w:val="en-US" w:eastAsia="zh-CN"/>
              </w:rPr>
              <w:t>处理装置成套设备</w:t>
            </w:r>
            <w:r>
              <w:rPr>
                <w:rFonts w:hint="eastAsia"/>
                <w:highlight w:val="none"/>
                <w:lang w:val="en-US" w:eastAsia="zh-CN"/>
              </w:rPr>
              <w:t>及加药系统控制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15</w:t>
            </w:r>
          </w:p>
        </w:tc>
        <w:tc>
          <w:tcPr>
            <w:tcW w:w="762" w:type="pct"/>
            <w:vAlign w:val="center"/>
          </w:tcPr>
          <w:p>
            <w:pPr>
              <w:pStyle w:val="51"/>
              <w:bidi w:val="0"/>
              <w:rPr>
                <w:rFonts w:hint="default"/>
                <w:highlight w:val="none"/>
                <w:lang w:val="en-US" w:eastAsia="zh-CN"/>
              </w:rPr>
            </w:pPr>
            <w:r>
              <w:rPr>
                <w:rFonts w:hint="eastAsia"/>
                <w:highlight w:val="none"/>
                <w:lang w:val="en-US" w:eastAsia="zh-CN"/>
              </w:rPr>
              <w:t>管子/管件</w:t>
            </w:r>
          </w:p>
        </w:tc>
        <w:tc>
          <w:tcPr>
            <w:tcW w:w="1980" w:type="pct"/>
            <w:vAlign w:val="center"/>
          </w:tcPr>
          <w:p>
            <w:pPr>
              <w:pStyle w:val="51"/>
              <w:bidi w:val="0"/>
              <w:rPr>
                <w:rFonts w:hint="default"/>
                <w:highlight w:val="none"/>
                <w:lang w:val="en-US" w:eastAsia="zh-CN"/>
              </w:rPr>
            </w:pPr>
            <w:r>
              <w:rPr>
                <w:rFonts w:hint="eastAsia"/>
                <w:highlight w:val="none"/>
                <w:lang w:val="en-US" w:eastAsia="zh-CN"/>
              </w:rPr>
              <w:t>耐压等级：1.6MPa；材质：UPVC 配套保温伴热</w:t>
            </w:r>
          </w:p>
        </w:tc>
        <w:tc>
          <w:tcPr>
            <w:tcW w:w="491" w:type="pct"/>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1026" w:type="pct"/>
            <w:vAlign w:val="center"/>
          </w:tcPr>
          <w:p>
            <w:pPr>
              <w:pStyle w:val="51"/>
              <w:bidi w:val="0"/>
              <w:rPr>
                <w:rFonts w:hint="eastAsia"/>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二</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双氧水撬</w:t>
            </w:r>
          </w:p>
        </w:tc>
        <w:tc>
          <w:tcPr>
            <w:tcW w:w="1980" w:type="pct"/>
            <w:shd w:val="clear" w:color="auto" w:fill="auto"/>
            <w:vAlign w:val="center"/>
          </w:tcPr>
          <w:p>
            <w:pPr>
              <w:pStyle w:val="51"/>
              <w:bidi w:val="0"/>
              <w:rPr>
                <w:rFonts w:hint="eastAsia"/>
                <w:highlight w:val="none"/>
                <w:lang w:val="en-US" w:eastAsia="zh-CN"/>
              </w:rPr>
            </w:pPr>
          </w:p>
        </w:tc>
        <w:tc>
          <w:tcPr>
            <w:tcW w:w="491" w:type="pct"/>
            <w:vAlign w:val="center"/>
          </w:tcPr>
          <w:p>
            <w:pPr>
              <w:pStyle w:val="51"/>
              <w:bidi w:val="0"/>
              <w:jc w:val="center"/>
              <w:rPr>
                <w:highlight w:val="none"/>
                <w:lang w:val="en-US" w:eastAsia="zh-CN"/>
              </w:rPr>
            </w:pPr>
          </w:p>
        </w:tc>
        <w:tc>
          <w:tcPr>
            <w:tcW w:w="434" w:type="pct"/>
            <w:vAlign w:val="center"/>
          </w:tcPr>
          <w:p>
            <w:pPr>
              <w:pStyle w:val="51"/>
              <w:bidi w:val="0"/>
              <w:jc w:val="center"/>
              <w:rPr>
                <w:highlight w:val="none"/>
                <w:lang w:val="en-US" w:eastAsia="zh-CN"/>
              </w:rPr>
            </w:pPr>
          </w:p>
        </w:tc>
        <w:tc>
          <w:tcPr>
            <w:tcW w:w="1026" w:type="pct"/>
            <w:vAlign w:val="center"/>
          </w:tcPr>
          <w:p>
            <w:pPr>
              <w:pStyle w:val="51"/>
              <w:bidi w:val="0"/>
              <w:rPr>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eastAsia"/>
                <w:highlight w:val="none"/>
                <w:lang w:val="en-US" w:eastAsia="zh-CN"/>
              </w:rPr>
            </w:pPr>
            <w:r>
              <w:rPr>
                <w:rFonts w:hint="eastAsia"/>
                <w:highlight w:val="none"/>
                <w:lang w:val="en-US" w:eastAsia="zh-CN"/>
              </w:rPr>
              <w:t>1</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30%双氧水卸转泵</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流量：5m</w:t>
            </w:r>
            <w:r>
              <w:rPr>
                <w:highlight w:val="none"/>
                <w:lang w:val="en-US" w:eastAsia="zh-CN"/>
              </w:rPr>
              <w:t>³</w:t>
            </w:r>
            <w:r>
              <w:rPr>
                <w:rFonts w:hint="eastAsia"/>
                <w:highlight w:val="none"/>
                <w:lang w:val="en-US" w:eastAsia="zh-CN"/>
              </w:rPr>
              <w:t>/h，0.2MPa；IHF离心泵；功率：1.5kw；介质温度：常温；耐腐蚀</w:t>
            </w:r>
            <w:r>
              <w:rPr>
                <w:rFonts w:hint="eastAsia"/>
                <w:highlight w:val="none"/>
                <w:lang w:eastAsia="zh-CN"/>
              </w:rPr>
              <w:t>；</w:t>
            </w:r>
            <w:r>
              <w:rPr>
                <w:rFonts w:hint="eastAsia"/>
                <w:highlight w:val="none"/>
                <w:lang w:val="en-US" w:eastAsia="zh-CN"/>
              </w:rPr>
              <w:t>防爆等级不低于 Exdb IIBT4 Gb，防护等级不低于 IP65，符合 GB3836 系列防爆标准。</w:t>
            </w:r>
          </w:p>
          <w:p>
            <w:pPr>
              <w:pStyle w:val="51"/>
              <w:bidi w:val="0"/>
              <w:rPr>
                <w:rFonts w:hint="eastAsia"/>
                <w:highlight w:val="none"/>
                <w:lang w:val="en-US" w:eastAsia="zh-CN"/>
              </w:rPr>
            </w:pPr>
            <w:r>
              <w:rPr>
                <w:rFonts w:hint="eastAsia"/>
                <w:highlight w:val="none"/>
                <w:lang w:val="en-US" w:eastAsia="zh-CN"/>
              </w:rPr>
              <w:t>适配双氧水介质，抗氧化、无催化分解风险，密封性能优良。</w:t>
            </w:r>
          </w:p>
        </w:tc>
        <w:tc>
          <w:tcPr>
            <w:tcW w:w="491" w:type="pct"/>
            <w:vAlign w:val="center"/>
          </w:tcPr>
          <w:p>
            <w:pPr>
              <w:pStyle w:val="51"/>
              <w:bidi w:val="0"/>
              <w:jc w:val="center"/>
              <w:rPr>
                <w:highlight w:val="none"/>
                <w:lang w:val="en-US" w:eastAsia="zh-CN"/>
              </w:rPr>
            </w:pPr>
            <w:r>
              <w:rPr>
                <w:rFonts w:hint="eastAsia"/>
                <w:highlight w:val="none"/>
                <w:lang w:val="en-US" w:eastAsia="zh-CN"/>
              </w:rPr>
              <w:t>台</w:t>
            </w:r>
          </w:p>
        </w:tc>
        <w:tc>
          <w:tcPr>
            <w:tcW w:w="434" w:type="pct"/>
            <w:vAlign w:val="center"/>
          </w:tcPr>
          <w:p>
            <w:pPr>
              <w:pStyle w:val="51"/>
              <w:bidi w:val="0"/>
              <w:jc w:val="center"/>
              <w:rPr>
                <w:highlight w:val="none"/>
                <w:lang w:val="en-US" w:eastAsia="zh-CN"/>
              </w:rPr>
            </w:pPr>
            <w:r>
              <w:rPr>
                <w:rFonts w:hint="eastAsia"/>
                <w:highlight w:val="none"/>
                <w:lang w:val="en-US" w:eastAsia="zh-CN"/>
              </w:rPr>
              <w:t>1</w:t>
            </w:r>
          </w:p>
        </w:tc>
        <w:tc>
          <w:tcPr>
            <w:tcW w:w="1026" w:type="pct"/>
            <w:vAlign w:val="center"/>
          </w:tcPr>
          <w:p>
            <w:pPr>
              <w:pStyle w:val="51"/>
              <w:bidi w:val="0"/>
              <w:rPr>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eastAsia"/>
                <w:highlight w:val="none"/>
                <w:lang w:val="en-US" w:eastAsia="zh-CN"/>
              </w:rPr>
            </w:pPr>
            <w:bookmarkStart w:id="124" w:name="_GoBack"/>
            <w:r>
              <w:rPr>
                <w:rFonts w:hint="eastAsia"/>
                <w:highlight w:val="none"/>
                <w:lang w:val="en-US" w:eastAsia="zh-CN"/>
              </w:rPr>
              <w:t>2</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双氧水计量泵撬</w:t>
            </w:r>
          </w:p>
        </w:tc>
        <w:tc>
          <w:tcPr>
            <w:tcW w:w="1980" w:type="pct"/>
            <w:shd w:val="clear" w:color="auto" w:fill="auto"/>
            <w:vAlign w:val="center"/>
          </w:tcPr>
          <w:p>
            <w:pPr>
              <w:pStyle w:val="51"/>
              <w:bidi w:val="0"/>
              <w:rPr>
                <w:rFonts w:hint="eastAsia"/>
                <w:highlight w:val="none"/>
                <w:lang w:eastAsia="zh-CN"/>
              </w:rPr>
            </w:pPr>
            <w:r>
              <w:rPr>
                <w:rFonts w:hint="eastAsia"/>
                <w:highlight w:val="none"/>
                <w:lang w:val="en-US" w:eastAsia="zh-CN"/>
              </w:rPr>
              <w:t>流量：200L/h*2台,0.7Mpa；功率：单台0.5 kw；介质温度：常温；含背压阀、阻尼器、压力表、流量计、控制等成套</w:t>
            </w:r>
            <w:r>
              <w:rPr>
                <w:rFonts w:hint="eastAsia"/>
                <w:highlight w:val="none"/>
                <w:lang w:eastAsia="zh-CN"/>
              </w:rPr>
              <w:t>。</w:t>
            </w:r>
          </w:p>
          <w:p>
            <w:pPr>
              <w:pStyle w:val="51"/>
              <w:bidi w:val="0"/>
              <w:rPr>
                <w:rFonts w:hint="eastAsia"/>
                <w:highlight w:val="none"/>
              </w:rPr>
            </w:pPr>
            <w:r>
              <w:rPr>
                <w:rFonts w:hint="eastAsia"/>
                <w:highlight w:val="none"/>
                <w:lang w:val="en-US" w:eastAsia="zh-CN"/>
              </w:rPr>
              <w:t>撬装底座具体尺寸平面布置图设置，</w:t>
            </w:r>
            <w:r>
              <w:rPr>
                <w:rFonts w:hint="eastAsia"/>
                <w:highlight w:val="none"/>
              </w:rPr>
              <w:t>Q235B 碳钢底座</w:t>
            </w:r>
            <w:r>
              <w:rPr>
                <w:rFonts w:hint="eastAsia"/>
                <w:highlight w:val="none"/>
                <w:lang w:eastAsia="zh-CN"/>
              </w:rPr>
              <w:t>，</w:t>
            </w:r>
            <w:r>
              <w:rPr>
                <w:rFonts w:hint="eastAsia"/>
                <w:highlight w:val="none"/>
              </w:rPr>
              <w:t>主承重框架10# 国标槽钢（100×48×5.3mm）</w:t>
            </w:r>
            <w:r>
              <w:rPr>
                <w:rFonts w:hint="eastAsia"/>
                <w:highlight w:val="none"/>
                <w:lang w:eastAsia="zh-CN"/>
              </w:rPr>
              <w:t>，</w:t>
            </w:r>
            <w:r>
              <w:rPr>
                <w:rFonts w:hint="eastAsia"/>
                <w:highlight w:val="none"/>
              </w:rPr>
              <w:t>中间次横梁60×40 矩形方管，壁厚 3.0mm</w:t>
            </w:r>
            <w:r>
              <w:rPr>
                <w:rFonts w:hint="eastAsia"/>
                <w:highlight w:val="none"/>
                <w:lang w:eastAsia="zh-CN"/>
              </w:rPr>
              <w:t>；</w:t>
            </w:r>
            <w:r>
              <w:rPr>
                <w:rFonts w:hint="eastAsia"/>
                <w:highlight w:val="none"/>
              </w:rPr>
              <w:t>顶部安装铺板（泵、阀门固定面）薄板</w:t>
            </w:r>
            <w:r>
              <w:rPr>
                <w:rFonts w:hint="eastAsia"/>
                <w:highlight w:val="none"/>
                <w:lang w:eastAsia="zh-CN"/>
              </w:rPr>
              <w:t>（</w:t>
            </w:r>
            <w:r>
              <w:rPr>
                <w:rFonts w:hint="eastAsia"/>
                <w:highlight w:val="none"/>
                <w:lang w:val="en-US" w:eastAsia="zh-CN"/>
              </w:rPr>
              <w:t>6</w:t>
            </w:r>
            <w:r>
              <w:rPr>
                <w:rFonts w:hint="eastAsia"/>
                <w:highlight w:val="none"/>
              </w:rPr>
              <w:t>mm 厚 Q235 花纹钢板 / 平板，满焊于方管框架</w:t>
            </w:r>
            <w:r>
              <w:rPr>
                <w:rFonts w:hint="eastAsia"/>
                <w:highlight w:val="none"/>
                <w:lang w:eastAsia="zh-CN"/>
              </w:rPr>
              <w:t>），</w:t>
            </w:r>
            <w:r>
              <w:rPr>
                <w:rFonts w:hint="eastAsia"/>
                <w:highlight w:val="none"/>
              </w:rPr>
              <w:t>侧面仪表支架：40×40×2.5mm 方管</w:t>
            </w:r>
            <w:r>
              <w:rPr>
                <w:rFonts w:hint="eastAsia"/>
                <w:highlight w:val="none"/>
                <w:lang w:eastAsia="zh-CN"/>
              </w:rPr>
              <w:t>，</w:t>
            </w:r>
            <w:r>
              <w:rPr>
                <w:rFonts w:hint="eastAsia"/>
                <w:highlight w:val="none"/>
                <w:lang w:val="en-US" w:eastAsia="zh-CN"/>
              </w:rPr>
              <w:t>防腐要求：除锈，</w:t>
            </w:r>
            <w:r>
              <w:rPr>
                <w:rFonts w:hint="eastAsia"/>
                <w:highlight w:val="none"/>
              </w:rPr>
              <w:t>环氧富锌底漆（干膜≥60μm）1 道；环氧云铁中间漆（干膜≥80μm）1 道；环氧耐酸碱面漆（蓝色 / 灰色，干膜≥70μm）2 道； 总干膜厚度≥2</w:t>
            </w:r>
            <w:r>
              <w:rPr>
                <w:rFonts w:hint="eastAsia"/>
                <w:highlight w:val="none"/>
                <w:lang w:val="en-US" w:eastAsia="zh-CN"/>
              </w:rPr>
              <w:t>8</w:t>
            </w:r>
            <w:r>
              <w:rPr>
                <w:rFonts w:hint="eastAsia"/>
                <w:highlight w:val="none"/>
              </w:rPr>
              <w:t>0μm，焊缝、边角额外预涂加厚。</w:t>
            </w:r>
          </w:p>
          <w:p>
            <w:pPr>
              <w:pStyle w:val="51"/>
              <w:bidi w:val="0"/>
              <w:rPr>
                <w:rFonts w:hint="eastAsia"/>
                <w:highlight w:val="none"/>
                <w:lang w:val="en-US" w:eastAsia="zh-CN"/>
              </w:rPr>
            </w:pPr>
            <w:r>
              <w:rPr>
                <w:rFonts w:hint="eastAsia"/>
                <w:highlight w:val="none"/>
                <w:lang w:val="en-US" w:eastAsia="zh-CN"/>
              </w:rPr>
              <w:t>泵体及管路材质杜绝催化双氧水分解，投加连续稳定，具备超压保护。</w:t>
            </w:r>
          </w:p>
        </w:tc>
        <w:tc>
          <w:tcPr>
            <w:tcW w:w="491" w:type="pct"/>
            <w:vAlign w:val="center"/>
          </w:tcPr>
          <w:p>
            <w:pPr>
              <w:pStyle w:val="51"/>
              <w:bidi w:val="0"/>
              <w:jc w:val="center"/>
              <w:rPr>
                <w:highlight w:val="none"/>
                <w:lang w:val="en-US" w:eastAsia="zh-CN"/>
              </w:rPr>
            </w:pPr>
            <w:r>
              <w:rPr>
                <w:rFonts w:hint="eastAsia"/>
                <w:highlight w:val="none"/>
                <w:lang w:val="en-US" w:eastAsia="zh-CN"/>
              </w:rPr>
              <w:t>套</w:t>
            </w:r>
          </w:p>
        </w:tc>
        <w:tc>
          <w:tcPr>
            <w:tcW w:w="434" w:type="pct"/>
            <w:vAlign w:val="center"/>
          </w:tcPr>
          <w:p>
            <w:pPr>
              <w:pStyle w:val="51"/>
              <w:bidi w:val="0"/>
              <w:jc w:val="center"/>
              <w:rPr>
                <w:highlight w:val="none"/>
                <w:lang w:val="en-US" w:eastAsia="zh-CN"/>
              </w:rPr>
            </w:pPr>
            <w:r>
              <w:rPr>
                <w:rFonts w:hint="eastAsia"/>
                <w:highlight w:val="none"/>
                <w:lang w:val="en-US" w:eastAsia="zh-CN"/>
              </w:rPr>
              <w:t>1</w:t>
            </w:r>
          </w:p>
        </w:tc>
        <w:tc>
          <w:tcPr>
            <w:tcW w:w="1026" w:type="pct"/>
            <w:vAlign w:val="center"/>
          </w:tcPr>
          <w:p>
            <w:pPr>
              <w:pStyle w:val="51"/>
              <w:bidi w:val="0"/>
              <w:rPr>
                <w:rFonts w:hint="eastAsia"/>
                <w:highlight w:val="none"/>
                <w:lang w:val="en-US" w:eastAsia="zh-CN"/>
              </w:rPr>
            </w:pPr>
            <w:r>
              <w:rPr>
                <w:rFonts w:hint="eastAsia"/>
                <w:highlight w:val="none"/>
                <w:lang w:val="en-US" w:eastAsia="zh-CN"/>
              </w:rPr>
              <w:t>1用</w:t>
            </w:r>
          </w:p>
          <w:p>
            <w:pPr>
              <w:pStyle w:val="51"/>
              <w:bidi w:val="0"/>
              <w:rPr>
                <w:highlight w:val="none"/>
                <w:lang w:val="en-US" w:eastAsia="zh-CN"/>
              </w:rPr>
            </w:pPr>
            <w:r>
              <w:rPr>
                <w:rFonts w:hint="eastAsia"/>
                <w:highlight w:val="none"/>
                <w:lang w:val="en-US" w:eastAsia="zh-CN"/>
              </w:rPr>
              <w:t>1台备存于库房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eastAsia"/>
                <w:highlight w:val="none"/>
                <w:lang w:val="en-US" w:eastAsia="zh-CN"/>
              </w:rPr>
            </w:pPr>
            <w:r>
              <w:rPr>
                <w:rFonts w:hint="eastAsia"/>
                <w:highlight w:val="none"/>
                <w:lang w:val="en-US" w:eastAsia="zh-CN"/>
              </w:rPr>
              <w:t>3</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30%双氧水罐</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有效容积：5m³；罐体尺寸：φ1.8*2.4m；材质：PE（t≥5mm）</w:t>
            </w:r>
            <w:r>
              <w:rPr>
                <w:rFonts w:hint="eastAsia"/>
                <w:highlight w:val="none"/>
                <w:lang w:eastAsia="zh-CN"/>
              </w:rPr>
              <w:t>；操作参数：ATM./20～40℃；</w:t>
            </w:r>
            <w:r>
              <w:rPr>
                <w:rFonts w:hint="eastAsia"/>
                <w:highlight w:val="none"/>
                <w:lang w:val="en-US" w:eastAsia="zh-CN"/>
              </w:rPr>
              <w:t>磁翻板液位计（防爆），含远传液位计等。</w:t>
            </w:r>
          </w:p>
          <w:p>
            <w:pPr>
              <w:pStyle w:val="51"/>
              <w:bidi w:val="0"/>
              <w:rPr>
                <w:rFonts w:hint="eastAsia"/>
                <w:highlight w:val="none"/>
                <w:lang w:val="en-US" w:eastAsia="zh-CN"/>
              </w:rPr>
            </w:pPr>
            <w:r>
              <w:rPr>
                <w:rFonts w:hint="eastAsia"/>
                <w:highlight w:val="none"/>
                <w:lang w:val="en-US" w:eastAsia="zh-CN"/>
              </w:rPr>
              <w:t>材质适配双氧水储存，避光、抗氧化，配套远传液位计、安全措施等。</w:t>
            </w:r>
          </w:p>
        </w:tc>
        <w:tc>
          <w:tcPr>
            <w:tcW w:w="491" w:type="pct"/>
            <w:vAlign w:val="center"/>
          </w:tcPr>
          <w:p>
            <w:pPr>
              <w:pStyle w:val="51"/>
              <w:bidi w:val="0"/>
              <w:jc w:val="center"/>
              <w:rPr>
                <w:highlight w:val="none"/>
                <w:lang w:val="en-US" w:eastAsia="zh-CN"/>
              </w:rPr>
            </w:pPr>
            <w:r>
              <w:rPr>
                <w:rFonts w:hint="eastAsia"/>
                <w:highlight w:val="none"/>
                <w:lang w:val="en-US" w:eastAsia="zh-CN"/>
              </w:rPr>
              <w:t>座</w:t>
            </w:r>
          </w:p>
        </w:tc>
        <w:tc>
          <w:tcPr>
            <w:tcW w:w="434" w:type="pct"/>
            <w:vAlign w:val="center"/>
          </w:tcPr>
          <w:p>
            <w:pPr>
              <w:pStyle w:val="51"/>
              <w:bidi w:val="0"/>
              <w:jc w:val="center"/>
              <w:rPr>
                <w:highlight w:val="none"/>
                <w:lang w:val="en-US" w:eastAsia="zh-CN"/>
              </w:rPr>
            </w:pPr>
            <w:r>
              <w:rPr>
                <w:rFonts w:hint="eastAsia"/>
                <w:highlight w:val="none"/>
                <w:lang w:val="en-US" w:eastAsia="zh-CN"/>
              </w:rPr>
              <w:t>2</w:t>
            </w:r>
          </w:p>
        </w:tc>
        <w:tc>
          <w:tcPr>
            <w:tcW w:w="1026" w:type="pct"/>
            <w:vAlign w:val="center"/>
          </w:tcPr>
          <w:p>
            <w:pPr>
              <w:pStyle w:val="51"/>
              <w:bidi w:val="0"/>
              <w:rPr>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4</w:t>
            </w:r>
          </w:p>
        </w:tc>
        <w:tc>
          <w:tcPr>
            <w:tcW w:w="762" w:type="pct"/>
            <w:vAlign w:val="center"/>
          </w:tcPr>
          <w:p>
            <w:pPr>
              <w:pStyle w:val="51"/>
              <w:bidi w:val="0"/>
              <w:rPr>
                <w:rFonts w:hint="default"/>
                <w:highlight w:val="none"/>
                <w:lang w:val="en-US" w:eastAsia="zh-CN"/>
              </w:rPr>
            </w:pPr>
            <w:r>
              <w:rPr>
                <w:rFonts w:hint="eastAsia"/>
                <w:highlight w:val="none"/>
                <w:lang w:val="en-US" w:eastAsia="zh-CN"/>
              </w:rPr>
              <w:t>管子/管件</w:t>
            </w:r>
          </w:p>
        </w:tc>
        <w:tc>
          <w:tcPr>
            <w:tcW w:w="1980" w:type="pct"/>
            <w:vAlign w:val="center"/>
          </w:tcPr>
          <w:p>
            <w:pPr>
              <w:pStyle w:val="51"/>
              <w:bidi w:val="0"/>
              <w:rPr>
                <w:rFonts w:hint="default"/>
                <w:highlight w:val="none"/>
                <w:lang w:val="en-US" w:eastAsia="zh-CN"/>
              </w:rPr>
            </w:pPr>
            <w:r>
              <w:rPr>
                <w:rFonts w:hint="eastAsia"/>
                <w:highlight w:val="none"/>
                <w:lang w:val="en-US" w:eastAsia="zh-CN"/>
              </w:rPr>
              <w:t>耐压等级：1.6MPa；材质：CPVC 配套保温伴热</w:t>
            </w:r>
          </w:p>
        </w:tc>
        <w:tc>
          <w:tcPr>
            <w:tcW w:w="491" w:type="pct"/>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1026" w:type="pct"/>
            <w:vAlign w:val="center"/>
          </w:tcPr>
          <w:p>
            <w:pPr>
              <w:pStyle w:val="51"/>
              <w:bidi w:val="0"/>
              <w:rPr>
                <w:rFonts w:hint="eastAsia"/>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三</w:t>
            </w:r>
          </w:p>
        </w:tc>
        <w:tc>
          <w:tcPr>
            <w:tcW w:w="4694" w:type="pct"/>
            <w:gridSpan w:val="5"/>
            <w:shd w:val="clear" w:color="auto" w:fill="auto"/>
            <w:vAlign w:val="center"/>
          </w:tcPr>
          <w:p>
            <w:pPr>
              <w:pStyle w:val="51"/>
              <w:bidi w:val="0"/>
              <w:jc w:val="center"/>
              <w:rPr>
                <w:highlight w:val="none"/>
                <w:lang w:val="en-US" w:eastAsia="zh-CN"/>
              </w:rPr>
            </w:pPr>
            <w:r>
              <w:rPr>
                <w:rFonts w:hint="eastAsia"/>
                <w:highlight w:val="none"/>
                <w:lang w:val="en-US" w:eastAsia="zh-CN"/>
              </w:rPr>
              <w:t>硫酸亚铁药剂撬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eastAsia"/>
                <w:highlight w:val="none"/>
                <w:lang w:val="en-US" w:eastAsia="zh-CN"/>
              </w:rPr>
            </w:pPr>
            <w:r>
              <w:rPr>
                <w:rFonts w:hint="eastAsia"/>
                <w:highlight w:val="none"/>
                <w:lang w:val="en-US" w:eastAsia="zh-CN"/>
              </w:rPr>
              <w:t>1</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硫酸亚铁计量罐</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有效容积：5m³；罐体尺寸：φ1.8*2.2m；材质PE（t≥5mm）；含搅拌机（功率：1kw、转速100rpm、防爆，二级双层三叶推进桨）；磁翻板液位计、控制等。</w:t>
            </w:r>
          </w:p>
          <w:p>
            <w:pPr>
              <w:pStyle w:val="51"/>
              <w:bidi w:val="0"/>
              <w:rPr>
                <w:rFonts w:hint="eastAsia"/>
                <w:highlight w:val="none"/>
                <w:lang w:val="en-US" w:eastAsia="zh-CN"/>
              </w:rPr>
            </w:pPr>
            <w:r>
              <w:rPr>
                <w:rFonts w:hint="eastAsia"/>
                <w:highlight w:val="none"/>
                <w:lang w:val="en-US" w:eastAsia="zh-CN"/>
              </w:rPr>
              <w:t>搅拌系统持续低速搅拌，防止药剂沉淀、氧化；罐体耐盐类、弱腐蚀介质，配套液位监测装置。</w:t>
            </w:r>
          </w:p>
        </w:tc>
        <w:tc>
          <w:tcPr>
            <w:tcW w:w="491"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4" w:type="pct"/>
            <w:vAlign w:val="center"/>
          </w:tcPr>
          <w:p>
            <w:pPr>
              <w:pStyle w:val="51"/>
              <w:bidi w:val="0"/>
              <w:jc w:val="center"/>
              <w:rPr>
                <w:rFonts w:hint="eastAsia"/>
                <w:highlight w:val="none"/>
                <w:lang w:val="en-US" w:eastAsia="zh-CN"/>
              </w:rPr>
            </w:pPr>
            <w:r>
              <w:rPr>
                <w:rFonts w:hint="eastAsia"/>
                <w:highlight w:val="none"/>
                <w:lang w:val="en-US" w:eastAsia="zh-CN"/>
              </w:rPr>
              <w:t>1</w:t>
            </w:r>
          </w:p>
        </w:tc>
        <w:tc>
          <w:tcPr>
            <w:tcW w:w="1026" w:type="pct"/>
            <w:vAlign w:val="center"/>
          </w:tcPr>
          <w:p>
            <w:pPr>
              <w:pStyle w:val="51"/>
              <w:bidi w:val="0"/>
              <w:rPr>
                <w:highlight w:val="none"/>
                <w:lang w:val="en-US" w:eastAsia="zh-CN"/>
              </w:rPr>
            </w:pPr>
            <w:r>
              <w:rPr>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5" w:type="pct"/>
            <w:vAlign w:val="center"/>
          </w:tcPr>
          <w:p>
            <w:pPr>
              <w:pStyle w:val="51"/>
              <w:bidi w:val="0"/>
              <w:rPr>
                <w:rFonts w:hint="eastAsia"/>
                <w:highlight w:val="none"/>
                <w:lang w:val="en-US" w:eastAsia="zh-CN"/>
              </w:rPr>
            </w:pPr>
            <w:r>
              <w:rPr>
                <w:rFonts w:hint="eastAsia"/>
                <w:highlight w:val="none"/>
                <w:lang w:val="en-US" w:eastAsia="zh-CN"/>
              </w:rPr>
              <w:t>2</w:t>
            </w:r>
          </w:p>
        </w:tc>
        <w:tc>
          <w:tcPr>
            <w:tcW w:w="762" w:type="pct"/>
            <w:shd w:val="clear" w:color="auto" w:fill="auto"/>
            <w:vAlign w:val="center"/>
          </w:tcPr>
          <w:p>
            <w:pPr>
              <w:pStyle w:val="51"/>
              <w:bidi w:val="0"/>
              <w:rPr>
                <w:rFonts w:hint="eastAsia"/>
                <w:highlight w:val="none"/>
                <w:lang w:val="en-US" w:eastAsia="zh-CN"/>
              </w:rPr>
            </w:pPr>
            <w:r>
              <w:rPr>
                <w:rFonts w:hint="eastAsia"/>
                <w:highlight w:val="none"/>
                <w:lang w:val="en-US" w:eastAsia="zh-CN"/>
              </w:rPr>
              <w:t>计量泵撬</w:t>
            </w:r>
          </w:p>
        </w:tc>
        <w:tc>
          <w:tcPr>
            <w:tcW w:w="1980" w:type="pct"/>
            <w:shd w:val="clear" w:color="auto" w:fill="auto"/>
            <w:vAlign w:val="center"/>
          </w:tcPr>
          <w:p>
            <w:pPr>
              <w:pStyle w:val="51"/>
              <w:bidi w:val="0"/>
              <w:rPr>
                <w:rFonts w:hint="eastAsia"/>
                <w:highlight w:val="none"/>
                <w:lang w:val="en-US" w:eastAsia="zh-CN"/>
              </w:rPr>
            </w:pPr>
            <w:r>
              <w:rPr>
                <w:rFonts w:hint="eastAsia"/>
                <w:highlight w:val="none"/>
                <w:lang w:val="en-US" w:eastAsia="zh-CN"/>
              </w:rPr>
              <w:t>流量：1000L/h*2台；出口压力：0.7MPa；功率：0.75 kw；含背压阀、阻尼器、压力表、流量计、控制等成套撬装设备；防爆等级不低于 Exdb IIBT4 Gb，防护等级不低于 IP65，符合 GB3836 系列防爆标准。</w:t>
            </w:r>
          </w:p>
          <w:p>
            <w:pPr>
              <w:pStyle w:val="51"/>
              <w:bidi w:val="0"/>
              <w:rPr>
                <w:rFonts w:hint="eastAsia"/>
                <w:highlight w:val="none"/>
              </w:rPr>
            </w:pPr>
            <w:r>
              <w:rPr>
                <w:rFonts w:hint="eastAsia"/>
                <w:highlight w:val="none"/>
                <w:lang w:val="en-US" w:eastAsia="zh-CN"/>
              </w:rPr>
              <w:t>撬装底座具体尺寸平面布置图设置，</w:t>
            </w:r>
            <w:r>
              <w:rPr>
                <w:rFonts w:hint="eastAsia"/>
                <w:highlight w:val="none"/>
              </w:rPr>
              <w:t>Q235B 碳钢底座</w:t>
            </w:r>
            <w:r>
              <w:rPr>
                <w:rFonts w:hint="eastAsia"/>
                <w:highlight w:val="none"/>
                <w:lang w:eastAsia="zh-CN"/>
              </w:rPr>
              <w:t>，</w:t>
            </w:r>
            <w:r>
              <w:rPr>
                <w:rFonts w:hint="eastAsia"/>
                <w:highlight w:val="none"/>
              </w:rPr>
              <w:t>主承重框架10# 国标槽钢（100×48×5.3mm）</w:t>
            </w:r>
            <w:r>
              <w:rPr>
                <w:rFonts w:hint="eastAsia"/>
                <w:highlight w:val="none"/>
                <w:lang w:eastAsia="zh-CN"/>
              </w:rPr>
              <w:t>，</w:t>
            </w:r>
            <w:r>
              <w:rPr>
                <w:rFonts w:hint="eastAsia"/>
                <w:highlight w:val="none"/>
              </w:rPr>
              <w:t>中间次横梁60×40 矩形方管，壁厚 3.0mm</w:t>
            </w:r>
            <w:r>
              <w:rPr>
                <w:rFonts w:hint="eastAsia"/>
                <w:highlight w:val="none"/>
                <w:lang w:eastAsia="zh-CN"/>
              </w:rPr>
              <w:t>；</w:t>
            </w:r>
            <w:r>
              <w:rPr>
                <w:rFonts w:hint="eastAsia"/>
                <w:highlight w:val="none"/>
              </w:rPr>
              <w:t>顶部安装铺板（泵、阀门固定面）薄板</w:t>
            </w:r>
            <w:r>
              <w:rPr>
                <w:rFonts w:hint="eastAsia"/>
                <w:highlight w:val="none"/>
                <w:lang w:eastAsia="zh-CN"/>
              </w:rPr>
              <w:t>（</w:t>
            </w:r>
            <w:r>
              <w:rPr>
                <w:rFonts w:hint="eastAsia"/>
                <w:highlight w:val="none"/>
                <w:lang w:val="en-US" w:eastAsia="zh-CN"/>
              </w:rPr>
              <w:t>6</w:t>
            </w:r>
            <w:r>
              <w:rPr>
                <w:rFonts w:hint="eastAsia"/>
                <w:highlight w:val="none"/>
              </w:rPr>
              <w:t>mm 厚 Q235 花纹钢板 / 平板，满焊于方管框架</w:t>
            </w:r>
            <w:r>
              <w:rPr>
                <w:rFonts w:hint="eastAsia"/>
                <w:highlight w:val="none"/>
                <w:lang w:eastAsia="zh-CN"/>
              </w:rPr>
              <w:t>），</w:t>
            </w:r>
            <w:r>
              <w:rPr>
                <w:rFonts w:hint="eastAsia"/>
                <w:highlight w:val="none"/>
              </w:rPr>
              <w:t>侧面仪表支架：40×40×</w:t>
            </w:r>
            <w:r>
              <w:rPr>
                <w:rFonts w:hint="eastAsia"/>
                <w:highlight w:val="none"/>
                <w:lang w:val="en-US" w:eastAsia="zh-CN"/>
              </w:rPr>
              <w:t>2.5</w:t>
            </w:r>
            <w:r>
              <w:rPr>
                <w:rFonts w:hint="eastAsia"/>
                <w:highlight w:val="none"/>
              </w:rPr>
              <w:t>mm 方管</w:t>
            </w:r>
            <w:r>
              <w:rPr>
                <w:rFonts w:hint="eastAsia"/>
                <w:highlight w:val="none"/>
                <w:lang w:eastAsia="zh-CN"/>
              </w:rPr>
              <w:t>，</w:t>
            </w:r>
            <w:r>
              <w:rPr>
                <w:rFonts w:hint="eastAsia"/>
                <w:highlight w:val="none"/>
                <w:lang w:val="en-US" w:eastAsia="zh-CN"/>
              </w:rPr>
              <w:t>防腐要求：除锈，</w:t>
            </w:r>
            <w:r>
              <w:rPr>
                <w:rFonts w:hint="eastAsia"/>
                <w:highlight w:val="none"/>
              </w:rPr>
              <w:t>环氧富锌底漆（干膜≥60μm）1 道；环氧云铁中间漆（干膜≥80μm）1 道；环氧耐酸碱面漆（蓝色 / 灰色，干膜≥70μm）2 道； 总干膜厚度≥2</w:t>
            </w:r>
            <w:r>
              <w:rPr>
                <w:rFonts w:hint="eastAsia"/>
                <w:highlight w:val="none"/>
                <w:lang w:val="en-US" w:eastAsia="zh-CN"/>
              </w:rPr>
              <w:t>8</w:t>
            </w:r>
            <w:r>
              <w:rPr>
                <w:rFonts w:hint="eastAsia"/>
                <w:highlight w:val="none"/>
              </w:rPr>
              <w:t>0μm，焊缝、边角额外预涂加厚。</w:t>
            </w:r>
          </w:p>
          <w:p>
            <w:pPr>
              <w:pStyle w:val="51"/>
              <w:bidi w:val="0"/>
              <w:rPr>
                <w:rFonts w:hint="eastAsia"/>
                <w:highlight w:val="none"/>
                <w:lang w:val="en-US" w:eastAsia="zh-CN"/>
              </w:rPr>
            </w:pPr>
            <w:r>
              <w:rPr>
                <w:rFonts w:hint="eastAsia"/>
                <w:highlight w:val="none"/>
                <w:lang w:val="en-US" w:eastAsia="zh-CN"/>
              </w:rPr>
              <w:t>过流部件防结垢、防腐蚀，泵体耐磨；管路设置冲洗接口，便于日常清理维护。</w:t>
            </w:r>
          </w:p>
        </w:tc>
        <w:tc>
          <w:tcPr>
            <w:tcW w:w="491" w:type="pct"/>
            <w:vAlign w:val="center"/>
          </w:tcPr>
          <w:p>
            <w:pPr>
              <w:pStyle w:val="51"/>
              <w:bidi w:val="0"/>
              <w:jc w:val="center"/>
              <w:rPr>
                <w:rFonts w:hint="eastAsia"/>
                <w:highlight w:val="none"/>
                <w:lang w:val="en-US" w:eastAsia="zh-CN"/>
              </w:rPr>
            </w:pPr>
            <w:r>
              <w:rPr>
                <w:rFonts w:hint="eastAsia"/>
                <w:highlight w:val="none"/>
                <w:lang w:val="en-US" w:eastAsia="zh-CN"/>
              </w:rPr>
              <w:t>套</w:t>
            </w:r>
          </w:p>
        </w:tc>
        <w:tc>
          <w:tcPr>
            <w:tcW w:w="434" w:type="pct"/>
            <w:vAlign w:val="center"/>
          </w:tcPr>
          <w:p>
            <w:pPr>
              <w:pStyle w:val="51"/>
              <w:bidi w:val="0"/>
              <w:jc w:val="center"/>
              <w:rPr>
                <w:rFonts w:hint="eastAsia"/>
                <w:highlight w:val="none"/>
                <w:lang w:val="en-US" w:eastAsia="zh-CN"/>
              </w:rPr>
            </w:pPr>
            <w:r>
              <w:rPr>
                <w:rFonts w:hint="eastAsia"/>
                <w:highlight w:val="none"/>
                <w:lang w:val="en-US" w:eastAsia="zh-CN"/>
              </w:rPr>
              <w:t>1</w:t>
            </w:r>
          </w:p>
        </w:tc>
        <w:tc>
          <w:tcPr>
            <w:tcW w:w="1026" w:type="pct"/>
            <w:vAlign w:val="center"/>
          </w:tcPr>
          <w:p>
            <w:pPr>
              <w:pStyle w:val="51"/>
              <w:bidi w:val="0"/>
              <w:rPr>
                <w:rFonts w:hint="eastAsia"/>
                <w:highlight w:val="none"/>
                <w:lang w:val="en-US" w:eastAsia="zh-CN"/>
              </w:rPr>
            </w:pPr>
            <w:r>
              <w:rPr>
                <w:rFonts w:hint="eastAsia"/>
                <w:highlight w:val="none"/>
                <w:lang w:val="en-US" w:eastAsia="zh-CN"/>
              </w:rPr>
              <w:t>1用</w:t>
            </w:r>
          </w:p>
          <w:p>
            <w:pPr>
              <w:pStyle w:val="51"/>
              <w:bidi w:val="0"/>
              <w:rPr>
                <w:highlight w:val="none"/>
                <w:lang w:val="en-US" w:eastAsia="zh-CN"/>
              </w:rPr>
            </w:pPr>
            <w:r>
              <w:rPr>
                <w:rFonts w:hint="eastAsia"/>
                <w:highlight w:val="none"/>
                <w:lang w:val="en-US" w:eastAsia="zh-CN"/>
              </w:rPr>
              <w:t>1台备存于库房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5" w:type="pct"/>
            <w:vAlign w:val="center"/>
          </w:tcPr>
          <w:p>
            <w:pPr>
              <w:pStyle w:val="51"/>
              <w:bidi w:val="0"/>
              <w:rPr>
                <w:rFonts w:hint="default"/>
                <w:highlight w:val="none"/>
                <w:lang w:val="en-US" w:eastAsia="zh-CN"/>
              </w:rPr>
            </w:pPr>
            <w:r>
              <w:rPr>
                <w:rFonts w:hint="eastAsia"/>
                <w:highlight w:val="none"/>
                <w:lang w:val="en-US" w:eastAsia="zh-CN"/>
              </w:rPr>
              <w:t>3</w:t>
            </w:r>
          </w:p>
        </w:tc>
        <w:tc>
          <w:tcPr>
            <w:tcW w:w="762" w:type="pct"/>
            <w:vAlign w:val="center"/>
          </w:tcPr>
          <w:p>
            <w:pPr>
              <w:pStyle w:val="51"/>
              <w:bidi w:val="0"/>
              <w:rPr>
                <w:rFonts w:hint="default"/>
                <w:highlight w:val="none"/>
                <w:lang w:val="en-US" w:eastAsia="zh-CN"/>
              </w:rPr>
            </w:pPr>
            <w:r>
              <w:rPr>
                <w:rFonts w:hint="eastAsia"/>
                <w:highlight w:val="none"/>
                <w:lang w:val="en-US" w:eastAsia="zh-CN"/>
              </w:rPr>
              <w:t>管子/管件</w:t>
            </w:r>
          </w:p>
        </w:tc>
        <w:tc>
          <w:tcPr>
            <w:tcW w:w="1980" w:type="pct"/>
            <w:vAlign w:val="center"/>
          </w:tcPr>
          <w:p>
            <w:pPr>
              <w:pStyle w:val="51"/>
              <w:bidi w:val="0"/>
              <w:rPr>
                <w:rFonts w:hint="default"/>
                <w:highlight w:val="none"/>
                <w:lang w:val="en-US" w:eastAsia="zh-CN"/>
              </w:rPr>
            </w:pPr>
            <w:r>
              <w:rPr>
                <w:rFonts w:hint="eastAsia"/>
                <w:highlight w:val="none"/>
                <w:lang w:val="en-US" w:eastAsia="zh-CN"/>
              </w:rPr>
              <w:t>耐压等级：1.6MPa；材质：CPVC 配套保温伴热</w:t>
            </w:r>
          </w:p>
        </w:tc>
        <w:tc>
          <w:tcPr>
            <w:tcW w:w="491" w:type="pct"/>
            <w:vAlign w:val="center"/>
          </w:tcPr>
          <w:p>
            <w:pPr>
              <w:pStyle w:val="51"/>
              <w:bidi w:val="0"/>
              <w:jc w:val="center"/>
              <w:rPr>
                <w:rFonts w:hint="default"/>
                <w:highlight w:val="none"/>
                <w:lang w:val="en-US" w:eastAsia="zh-CN"/>
              </w:rPr>
            </w:pPr>
            <w:r>
              <w:rPr>
                <w:rFonts w:hint="eastAsia"/>
                <w:highlight w:val="none"/>
                <w:lang w:val="en-US" w:eastAsia="zh-CN"/>
              </w:rPr>
              <w:t>项</w:t>
            </w:r>
          </w:p>
        </w:tc>
        <w:tc>
          <w:tcPr>
            <w:tcW w:w="434" w:type="pct"/>
            <w:vAlign w:val="center"/>
          </w:tcPr>
          <w:p>
            <w:pPr>
              <w:pStyle w:val="51"/>
              <w:bidi w:val="0"/>
              <w:jc w:val="center"/>
              <w:rPr>
                <w:rFonts w:hint="default"/>
                <w:highlight w:val="none"/>
                <w:lang w:val="en-US" w:eastAsia="zh-CN"/>
              </w:rPr>
            </w:pPr>
            <w:r>
              <w:rPr>
                <w:rFonts w:hint="eastAsia"/>
                <w:highlight w:val="none"/>
                <w:lang w:val="en-US" w:eastAsia="zh-CN"/>
              </w:rPr>
              <w:t>1</w:t>
            </w:r>
          </w:p>
        </w:tc>
        <w:tc>
          <w:tcPr>
            <w:tcW w:w="1026" w:type="pct"/>
            <w:vAlign w:val="center"/>
          </w:tcPr>
          <w:p>
            <w:pPr>
              <w:pStyle w:val="51"/>
              <w:bidi w:val="0"/>
              <w:rPr>
                <w:rFonts w:hint="eastAsia"/>
                <w:highlight w:val="none"/>
                <w:lang w:val="en-US" w:eastAsia="zh-CN"/>
              </w:rPr>
            </w:pPr>
            <w:r>
              <w:rPr>
                <w:highlight w:val="none"/>
                <w:lang w:val="en-US" w:eastAsia="zh-CN"/>
              </w:rPr>
              <w:t>/</w:t>
            </w:r>
          </w:p>
        </w:tc>
      </w:tr>
    </w:tbl>
    <w:p>
      <w:pPr>
        <w:pStyle w:val="7"/>
        <w:ind w:left="0" w:leftChars="0" w:firstLine="0" w:firstLineChars="0"/>
        <w:jc w:val="left"/>
        <w:rPr>
          <w:rFonts w:hint="eastAsia" w:eastAsia="宋体"/>
          <w:lang w:val="en-US" w:eastAsia="zh-CN"/>
        </w:rPr>
      </w:pPr>
    </w:p>
    <w:p>
      <w:pPr>
        <w:pStyle w:val="7"/>
        <w:ind w:left="0" w:leftChars="0" w:firstLine="0" w:firstLineChars="0"/>
        <w:jc w:val="left"/>
        <w:outlineLvl w:val="0"/>
        <w:rPr>
          <w:rFonts w:hint="eastAsia" w:eastAsia="宋体"/>
          <w:lang w:val="en-US" w:eastAsia="zh-CN"/>
        </w:rPr>
      </w:pPr>
      <w:r>
        <w:rPr>
          <w:rFonts w:hint="eastAsia" w:eastAsia="宋体"/>
          <w:lang w:val="en-US" w:eastAsia="zh-CN"/>
        </w:rPr>
        <w:t>附件五：超滤撬成套设备主要设备明细表（该设备整撬供货）</w:t>
      </w:r>
    </w:p>
    <w:tbl>
      <w:tblPr>
        <w:tblStyle w:val="14"/>
        <w:tblW w:w="9458" w:type="dxa"/>
        <w:tblInd w:w="-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6"/>
        <w:gridCol w:w="1405"/>
        <w:gridCol w:w="2405"/>
        <w:gridCol w:w="1255"/>
        <w:gridCol w:w="891"/>
        <w:gridCol w:w="813"/>
        <w:gridCol w:w="20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autoSpaceDN/>
              <w:spacing w:line="240" w:lineRule="auto"/>
              <w:ind w:firstLine="0" w:firstLineChars="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序号</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autoSpaceDN/>
              <w:spacing w:line="240" w:lineRule="auto"/>
              <w:ind w:firstLine="0" w:firstLineChars="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设备名称</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autoSpaceDN/>
              <w:spacing w:line="240" w:lineRule="auto"/>
              <w:ind w:firstLine="0" w:firstLineChars="0"/>
              <w:jc w:val="center"/>
              <w:textAlignment w:val="center"/>
              <w:rPr>
                <w:rFonts w:hint="eastAsia" w:ascii="宋体" w:hAnsi="宋体" w:eastAsia="宋体" w:cs="宋体"/>
                <w:b/>
                <w:bCs/>
                <w:i w:val="0"/>
                <w:iCs w:val="0"/>
                <w:color w:val="000000"/>
                <w:sz w:val="18"/>
                <w:szCs w:val="18"/>
                <w:highlight w:val="none"/>
                <w:u w:val="none"/>
              </w:rPr>
            </w:pPr>
            <w:r>
              <w:rPr>
                <w:rFonts w:hint="eastAsia" w:ascii="宋体" w:hAnsi="宋体" w:eastAsia="宋体" w:cs="宋体"/>
                <w:b/>
                <w:bCs/>
                <w:i w:val="0"/>
                <w:iCs w:val="0"/>
                <w:color w:val="000000"/>
                <w:kern w:val="0"/>
                <w:sz w:val="18"/>
                <w:szCs w:val="18"/>
                <w:highlight w:val="none"/>
                <w:u w:val="none"/>
                <w:lang w:val="en-US" w:eastAsia="zh-CN" w:bidi="ar"/>
              </w:rPr>
              <w:t>规格型号</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autoSpaceDN/>
              <w:spacing w:line="240" w:lineRule="auto"/>
              <w:ind w:firstLine="0" w:firstLineChars="0"/>
              <w:jc w:val="center"/>
              <w:textAlignment w:val="center"/>
              <w:rPr>
                <w:rFonts w:hint="eastAsia" w:ascii="宋体" w:hAnsi="宋体" w:eastAsia="宋体" w:cs="宋体"/>
                <w:b/>
                <w:bCs/>
                <w:i w:val="0"/>
                <w:iCs w:val="0"/>
                <w:color w:val="000000"/>
                <w:sz w:val="18"/>
                <w:szCs w:val="18"/>
                <w:highlight w:val="none"/>
                <w:u w:val="none"/>
                <w:lang w:val="en-US" w:eastAsia="zh-CN"/>
              </w:rPr>
            </w:pPr>
            <w:r>
              <w:rPr>
                <w:rFonts w:hint="eastAsia" w:ascii="宋体" w:hAnsi="宋体" w:cs="宋体"/>
                <w:b/>
                <w:bCs/>
                <w:i w:val="0"/>
                <w:iCs w:val="0"/>
                <w:color w:val="000000"/>
                <w:sz w:val="18"/>
                <w:szCs w:val="18"/>
                <w:highlight w:val="none"/>
                <w:u w:val="none"/>
                <w:lang w:val="en-US" w:eastAsia="zh-CN"/>
              </w:rPr>
              <w:t>单位</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autoSpaceDN/>
              <w:spacing w:line="240" w:lineRule="auto"/>
              <w:ind w:firstLine="0" w:firstLineChars="0"/>
              <w:jc w:val="center"/>
              <w:textAlignment w:val="center"/>
              <w:rPr>
                <w:rFonts w:hint="eastAsia" w:ascii="宋体" w:hAnsi="宋体" w:eastAsia="宋体" w:cs="宋体"/>
                <w:b/>
                <w:bCs/>
                <w:i w:val="0"/>
                <w:iCs w:val="0"/>
                <w:color w:val="000000"/>
                <w:sz w:val="18"/>
                <w:szCs w:val="18"/>
                <w:highlight w:val="none"/>
                <w:u w:val="none"/>
                <w:lang w:val="en-US" w:eastAsia="zh-CN"/>
              </w:rPr>
            </w:pPr>
            <w:r>
              <w:rPr>
                <w:rFonts w:hint="eastAsia" w:ascii="宋体" w:hAnsi="宋体" w:cs="宋体"/>
                <w:b/>
                <w:bCs/>
                <w:i w:val="0"/>
                <w:iCs w:val="0"/>
                <w:color w:val="000000"/>
                <w:sz w:val="18"/>
                <w:szCs w:val="18"/>
                <w:highlight w:val="none"/>
                <w:u w:val="none"/>
                <w:lang w:val="en-US" w:eastAsia="zh-CN"/>
              </w:rPr>
              <w:t>数量</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autoSpaceDE/>
              <w:autoSpaceDN/>
              <w:spacing w:line="240" w:lineRule="auto"/>
              <w:ind w:firstLine="0" w:firstLineChars="0"/>
              <w:jc w:val="center"/>
              <w:textAlignment w:val="center"/>
              <w:rPr>
                <w:rFonts w:hint="eastAsia" w:ascii="宋体" w:hAnsi="宋体" w:eastAsia="宋体" w:cs="宋体"/>
                <w:b/>
                <w:bCs/>
                <w:i w:val="0"/>
                <w:iCs w:val="0"/>
                <w:color w:val="000000"/>
                <w:sz w:val="18"/>
                <w:szCs w:val="18"/>
                <w:highlight w:val="none"/>
                <w:u w:val="none"/>
                <w:lang w:val="en-US" w:eastAsia="zh-CN"/>
              </w:rPr>
            </w:pPr>
            <w:r>
              <w:rPr>
                <w:rFonts w:hint="eastAsia" w:ascii="宋体" w:hAnsi="宋体" w:eastAsia="宋体" w:cs="宋体"/>
                <w:b/>
                <w:bCs/>
                <w:i w:val="0"/>
                <w:iCs w:val="0"/>
                <w:color w:val="000000"/>
                <w:sz w:val="18"/>
                <w:szCs w:val="18"/>
                <w:highlight w:val="none"/>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一</w:t>
            </w:r>
          </w:p>
        </w:tc>
        <w:tc>
          <w:tcPr>
            <w:tcW w:w="87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工艺设备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w:t>
            </w:r>
          </w:p>
        </w:tc>
        <w:tc>
          <w:tcPr>
            <w:tcW w:w="87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超滤供水系统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超滤供水泵</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流量：Q=40m3/h；扬程H=35m；功率：7.5kW；材质：316L；防爆等级不低于 Exdb IIBT4 Gb，防护等级不低于 IP65，符合 GB3836 系列防爆标准</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3</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自清洗过滤器</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lang w:val="en-US" w:eastAsia="zh-CN"/>
              </w:rPr>
            </w:pPr>
            <w:r>
              <w:rPr>
                <w:rFonts w:hint="eastAsia"/>
                <w:highlight w:val="none"/>
                <w:lang w:val="en-US" w:eastAsia="zh-CN"/>
              </w:rPr>
              <w:t>流量：Q=40m3/h；过滤精度100微米；过流部分：316L不锈钢；防爆电机；功率0.18KW；带自清洗控制柜。</w:t>
            </w:r>
          </w:p>
          <w:p>
            <w:pPr>
              <w:pStyle w:val="51"/>
              <w:bidi w:val="0"/>
              <w:rPr>
                <w:rFonts w:hint="eastAsia"/>
                <w:highlight w:val="none"/>
                <w:lang w:val="en-US" w:eastAsia="zh-CN"/>
              </w:rPr>
            </w:pPr>
            <w:r>
              <w:rPr>
                <w:rFonts w:hint="eastAsia"/>
                <w:highlight w:val="none"/>
                <w:lang w:val="en-US" w:eastAsia="zh-CN"/>
              </w:rPr>
              <w:t>管道直通式、在线连续过滤、供水不中断；压差自动启动清洗；带自清洗控制柜。</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压力传感器</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防爆压力传感器；量程0-0.6MPa；膜片316L材质；带显示</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供水管路</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lang w:val="en-US"/>
              </w:rPr>
            </w:pPr>
            <w:r>
              <w:rPr>
                <w:rFonts w:hint="eastAsia"/>
                <w:highlight w:val="none"/>
                <w:lang w:val="en-US" w:eastAsia="zh-CN"/>
              </w:rPr>
              <w:t>管路管件、管材等；UPVC材质；压力等级：1.0mpa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主机设备</w:t>
            </w:r>
          </w:p>
        </w:tc>
        <w:tc>
          <w:tcPr>
            <w:tcW w:w="7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主机机架</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碳钢防腐：碳钢防腐（环氧富锌底漆+中间漆+面漆 厚度≥280μm）</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超滤膜组件</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lang w:val="en-US" w:eastAsia="zh-CN"/>
              </w:rPr>
            </w:pPr>
            <w:r>
              <w:rPr>
                <w:rFonts w:hint="eastAsia"/>
                <w:highlight w:val="none"/>
                <w:lang w:val="en-US" w:eastAsia="zh-CN"/>
              </w:rPr>
              <w:t>6寸膜，单支膜通量1.5m³/h；过滤孔径0.03µm</w:t>
            </w:r>
          </w:p>
          <w:p>
            <w:pPr>
              <w:pStyle w:val="51"/>
              <w:bidi w:val="0"/>
              <w:rPr>
                <w:rFonts w:hint="eastAsia"/>
                <w:highlight w:val="none"/>
              </w:rPr>
            </w:pPr>
            <w:r>
              <w:rPr>
                <w:rFonts w:hint="eastAsia"/>
                <w:highlight w:val="none"/>
                <w:lang w:val="en-US" w:eastAsia="zh-CN"/>
              </w:rPr>
              <w:t>PVDF膜丝，UPVC外壳</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机台内部管材管件</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管路管件、管材等；材质：UPVC</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套</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3</w:t>
            </w:r>
          </w:p>
        </w:tc>
        <w:tc>
          <w:tcPr>
            <w:tcW w:w="87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反洗系统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3.1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反洗水泵</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流量：Q=55m3/h；扬程H=20m；功率：5.5kW；材质：过流部分316不锈钢，防爆电机</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3.2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反洗过滤器</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流量：Q=55m3/h；大通量滤芯,材质：过流部分316不锈钢</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3.3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反洗管路管材管件</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管路管件、管材等；UPVC材质；压力等级：1.0Mpa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清洗系统</w:t>
            </w:r>
          </w:p>
        </w:tc>
        <w:tc>
          <w:tcPr>
            <w:tcW w:w="7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4.1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清洗罐</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lang w:val="en-US"/>
              </w:rPr>
            </w:pPr>
            <w:r>
              <w:rPr>
                <w:rFonts w:hint="eastAsia"/>
                <w:highlight w:val="none"/>
                <w:lang w:val="en-US" w:eastAsia="zh-CN"/>
              </w:rPr>
              <w:t>V=1.5m3，PE（t≥5mm）；常压罐</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4.2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清洗泵</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流量：Q=30m3/h；扬程：H=35m；功率：5.5kW；材质：过流部分316不锈钢，防爆电机</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4.3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化学清洗管路</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UPVC材质；压力等级：1.0Mpa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加药系统</w:t>
            </w:r>
          </w:p>
        </w:tc>
        <w:tc>
          <w:tcPr>
            <w:tcW w:w="7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5.1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次氯酸钠储药罐</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有效容积：V=200L；PE（t≥5mm）</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个</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5.2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进水加药泵</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Q=8L/h ,P=10bar , N=0.25kw；防爆电机，380V，PVDF泵头</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5.3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次氯酸钠储药罐</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有效容积：V=200L；PE（t≥5mm）</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个</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5.4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次氯酸钠加药泵</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Q=310L/h，P=7bar，N=0.37kw；防爆电机，380V，PVDF泵头</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5.5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柠檬储药罐</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有效容积：V=200L；PE（t≥5mm）；含搅拌器，防爆</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个</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5.6</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柠檬酸加药泵</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Q=120L/h，P=10bar，N=0.37kw；防爆电机  380V PVDF泵头</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5.7</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管材管件</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管路管件、管材等；UPVC；压力等级：1.0Mpa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6</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空气管道</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管路管件、管材、阀门等；材质：304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二</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仪表系统</w:t>
            </w:r>
          </w:p>
        </w:tc>
        <w:tc>
          <w:tcPr>
            <w:tcW w:w="7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 xml:space="preserve">液位计 </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投入式（金属探头）；量程：5m；探头材质：316L</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6</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产水电磁流量计</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0~80m3/h，4~20mA，DN100；防爆型，316L电极，四氟衬里</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反洗电磁流量计</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0~80m3/h，4~20mA，DN100；防爆型，316L电极，四氟衬里</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含油防震压力表</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ϕ100,0-0.25MPa；材质：304</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块</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6</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浓水转子流量计</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rPr>
            </w:pPr>
            <w:r>
              <w:rPr>
                <w:rFonts w:hint="eastAsia"/>
                <w:highlight w:val="none"/>
                <w:lang w:val="en-US" w:eastAsia="zh-CN"/>
              </w:rPr>
              <w:t>LZB-50；转子材质：316L</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三</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阀门系统</w:t>
            </w:r>
          </w:p>
        </w:tc>
        <w:tc>
          <w:tcPr>
            <w:tcW w:w="738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w:t>
            </w:r>
          </w:p>
        </w:tc>
        <w:tc>
          <w:tcPr>
            <w:tcW w:w="87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自动阀门（气动）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进水阀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DN100，PN=1.0</w:t>
            </w:r>
          </w:p>
        </w:tc>
        <w:tc>
          <w:tcPr>
            <w:tcW w:w="12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对夹气动蝶阀，阀体阀板UPVC材质，橡胶密封，配防爆电磁阀</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产水阀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DN100，PN=1.0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补水阀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DN100，PN=1.0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上排阀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DN125，PN=1.0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1.5</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下排阀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DN125，PN=1.0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1.6</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反洗阀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DN100，PN=1.0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1.7</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浓水阀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DN50，PN=1.0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1.8</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进气阀</w:t>
            </w:r>
          </w:p>
        </w:tc>
        <w:tc>
          <w:tcPr>
            <w:tcW w:w="2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DN50，PN=1.0</w:t>
            </w:r>
          </w:p>
        </w:tc>
        <w:tc>
          <w:tcPr>
            <w:tcW w:w="12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手动阀门</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UPVC材质；压力等级：1.0Mpa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3</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公用管路系统</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UPVC材质；压力等级：1.0Mpa</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4</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管道支架及附件</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碳钢防腐（环氧富锌底漆+中间漆+面漆 厚度≥280μm）</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批</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四</w:t>
            </w:r>
          </w:p>
        </w:tc>
        <w:tc>
          <w:tcPr>
            <w:tcW w:w="879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电气控制系统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1</w:t>
            </w:r>
          </w:p>
        </w:tc>
        <w:tc>
          <w:tcPr>
            <w:tcW w:w="140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PLC控制柜</w:t>
            </w:r>
          </w:p>
        </w:tc>
        <w:tc>
          <w:tcPr>
            <w:tcW w:w="36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2200*800*600；316SS防爆</w:t>
            </w:r>
          </w:p>
        </w:tc>
        <w:tc>
          <w:tcPr>
            <w:tcW w:w="891"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2</w:t>
            </w:r>
          </w:p>
        </w:tc>
        <w:tc>
          <w:tcPr>
            <w:tcW w:w="1405" w:type="dxa"/>
            <w:tcBorders>
              <w:top w:val="nil"/>
              <w:left w:val="nil"/>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电磁阀箱</w:t>
            </w:r>
          </w:p>
        </w:tc>
        <w:tc>
          <w:tcPr>
            <w:tcW w:w="3660" w:type="dxa"/>
            <w:gridSpan w:val="2"/>
            <w:tcBorders>
              <w:top w:val="nil"/>
              <w:left w:val="nil"/>
              <w:bottom w:val="single" w:color="000000"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600*500*200；316SS防爆</w:t>
            </w:r>
          </w:p>
        </w:tc>
        <w:tc>
          <w:tcPr>
            <w:tcW w:w="891" w:type="dxa"/>
            <w:tcBorders>
              <w:top w:val="nil"/>
              <w:left w:val="nil"/>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台</w:t>
            </w:r>
          </w:p>
        </w:tc>
        <w:tc>
          <w:tcPr>
            <w:tcW w:w="813" w:type="dxa"/>
            <w:tcBorders>
              <w:top w:val="nil"/>
              <w:left w:val="nil"/>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2</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highlight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rPr>
                <w:rFonts w:hint="default"/>
                <w:highlight w:val="none"/>
                <w:lang w:val="en-US" w:eastAsia="zh-CN"/>
              </w:rPr>
            </w:pPr>
            <w:r>
              <w:rPr>
                <w:rFonts w:hint="eastAsia"/>
                <w:highlight w:val="none"/>
                <w:lang w:val="en-US" w:eastAsia="zh-CN"/>
              </w:rPr>
              <w:t>3</w:t>
            </w:r>
          </w:p>
        </w:tc>
        <w:tc>
          <w:tcPr>
            <w:tcW w:w="1405" w:type="dxa"/>
            <w:tcBorders>
              <w:top w:val="nil"/>
              <w:left w:val="nil"/>
              <w:bottom w:val="single" w:color="000000" w:sz="4" w:space="0"/>
              <w:right w:val="single" w:color="000000" w:sz="4" w:space="0"/>
            </w:tcBorders>
            <w:shd w:val="clear" w:color="auto" w:fill="auto"/>
            <w:vAlign w:val="center"/>
          </w:tcPr>
          <w:p>
            <w:pPr>
              <w:pStyle w:val="51"/>
              <w:bidi w:val="0"/>
              <w:rPr>
                <w:rFonts w:hint="default"/>
                <w:highlight w:val="none"/>
                <w:lang w:val="en-US" w:eastAsia="zh-CN"/>
              </w:rPr>
            </w:pPr>
            <w:r>
              <w:rPr>
                <w:rFonts w:hint="eastAsia"/>
                <w:highlight w:val="none"/>
                <w:lang w:val="en-US" w:eastAsia="zh-CN"/>
              </w:rPr>
              <w:t>防爆配电箱</w:t>
            </w:r>
          </w:p>
        </w:tc>
        <w:tc>
          <w:tcPr>
            <w:tcW w:w="3660" w:type="dxa"/>
            <w:gridSpan w:val="2"/>
            <w:tcBorders>
              <w:top w:val="nil"/>
              <w:left w:val="nil"/>
              <w:bottom w:val="single" w:color="000000" w:sz="4" w:space="0"/>
              <w:right w:val="single" w:color="000000" w:sz="4" w:space="0"/>
            </w:tcBorders>
            <w:shd w:val="clear" w:color="auto" w:fill="auto"/>
            <w:vAlign w:val="center"/>
          </w:tcPr>
          <w:p>
            <w:pPr>
              <w:pStyle w:val="51"/>
              <w:bidi w:val="0"/>
              <w:rPr>
                <w:rFonts w:hint="default"/>
                <w:highlight w:val="none"/>
                <w:lang w:val="en-US" w:eastAsia="zh-CN"/>
              </w:rPr>
            </w:pPr>
            <w:r>
              <w:rPr>
                <w:rFonts w:hint="eastAsia"/>
                <w:highlight w:val="none"/>
                <w:lang w:val="en-US" w:eastAsia="zh-CN"/>
              </w:rPr>
              <w:t>防爆等级不低于 Exdb IIBT4 Gb，防护等级不低于 IP65，符合 GB3836 系列防爆标准</w:t>
            </w:r>
          </w:p>
        </w:tc>
        <w:tc>
          <w:tcPr>
            <w:tcW w:w="891" w:type="dxa"/>
            <w:tcBorders>
              <w:top w:val="nil"/>
              <w:left w:val="nil"/>
              <w:bottom w:val="single" w:color="000000" w:sz="4" w:space="0"/>
              <w:right w:val="single" w:color="000000" w:sz="4" w:space="0"/>
            </w:tcBorders>
            <w:shd w:val="clear" w:color="auto" w:fill="auto"/>
            <w:vAlign w:val="center"/>
          </w:tcPr>
          <w:p>
            <w:pPr>
              <w:pStyle w:val="51"/>
              <w:bidi w:val="0"/>
              <w:ind w:firstLine="0" w:firstLineChars="0"/>
              <w:rPr>
                <w:rFonts w:hint="default"/>
                <w:highlight w:val="none"/>
                <w:lang w:val="en-US" w:eastAsia="zh-CN"/>
              </w:rPr>
            </w:pPr>
            <w:r>
              <w:rPr>
                <w:rFonts w:hint="eastAsia"/>
                <w:highlight w:val="none"/>
                <w:lang w:val="en-US" w:eastAsia="zh-CN"/>
              </w:rPr>
              <w:t>项</w:t>
            </w:r>
          </w:p>
        </w:tc>
        <w:tc>
          <w:tcPr>
            <w:tcW w:w="813" w:type="dxa"/>
            <w:tcBorders>
              <w:top w:val="nil"/>
              <w:left w:val="nil"/>
              <w:bottom w:val="single" w:color="000000" w:sz="4" w:space="0"/>
              <w:right w:val="single" w:color="000000" w:sz="4" w:space="0"/>
            </w:tcBorders>
            <w:shd w:val="clear" w:color="auto" w:fill="auto"/>
            <w:vAlign w:val="center"/>
          </w:tcPr>
          <w:p>
            <w:pPr>
              <w:pStyle w:val="51"/>
              <w:bidi w:val="0"/>
              <w:ind w:firstLine="0" w:firstLineChars="0"/>
              <w:rPr>
                <w:rFonts w:hint="default"/>
                <w:highlight w:val="none"/>
                <w:lang w:val="en-US" w:eastAsia="zh-CN"/>
              </w:rPr>
            </w:pPr>
            <w:r>
              <w:rPr>
                <w:rFonts w:hint="eastAsia"/>
                <w:highlight w:val="none"/>
                <w:lang w:val="en-US" w:eastAsia="zh-CN"/>
              </w:rPr>
              <w:t>1</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1"/>
              <w:bidi w:val="0"/>
              <w:ind w:firstLine="0" w:firstLineChars="0"/>
              <w:rPr>
                <w:rFonts w:hint="eastAsia" w:ascii="Times New Roman" w:hAnsi="Times New Roman" w:eastAsia="宋体" w:cs="宋体"/>
                <w:color w:val="000000" w:themeColor="text1"/>
                <w:kern w:val="0"/>
                <w:sz w:val="18"/>
                <w:szCs w:val="18"/>
                <w:highlight w:val="none"/>
                <w:u w:val="none"/>
                <w:lang w:val="en-US" w:eastAsia="zh-CN" w:bidi="ar"/>
                <w14:textFill>
                  <w14:solidFill>
                    <w14:schemeClr w14:val="tx1"/>
                  </w14:solidFill>
                </w14:textFill>
              </w:rPr>
            </w:pPr>
            <w:r>
              <w:rPr>
                <w:rFonts w:hint="eastAsia"/>
                <w:highlight w:val="none"/>
                <w:lang w:val="en-US" w:eastAsia="zh-CN"/>
              </w:rPr>
              <w:t>撬外电源接入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66" w:type="dxa"/>
            <w:tcBorders>
              <w:top w:val="single" w:color="000000" w:sz="4" w:space="0"/>
              <w:left w:val="single" w:color="000000" w:sz="4" w:space="0"/>
              <w:bottom w:val="single" w:color="auto" w:sz="4" w:space="0"/>
              <w:right w:val="single" w:color="000000" w:sz="4" w:space="0"/>
            </w:tcBorders>
            <w:shd w:val="clear" w:color="auto" w:fill="auto"/>
            <w:vAlign w:val="center"/>
          </w:tcPr>
          <w:p>
            <w:pPr>
              <w:pStyle w:val="51"/>
              <w:bidi w:val="0"/>
              <w:rPr>
                <w:rFonts w:hint="eastAsia" w:eastAsia="宋体"/>
                <w:highlight w:val="none"/>
                <w:lang w:val="en-US" w:eastAsia="zh-CN"/>
              </w:rPr>
            </w:pPr>
            <w:r>
              <w:rPr>
                <w:rFonts w:hint="eastAsia"/>
                <w:highlight w:val="none"/>
                <w:lang w:val="en-US" w:eastAsia="zh-CN"/>
              </w:rPr>
              <w:t>五</w:t>
            </w:r>
          </w:p>
        </w:tc>
        <w:tc>
          <w:tcPr>
            <w:tcW w:w="8792" w:type="dxa"/>
            <w:gridSpan w:val="6"/>
            <w:tcBorders>
              <w:top w:val="single" w:color="000000" w:sz="4" w:space="0"/>
              <w:left w:val="single" w:color="000000" w:sz="4" w:space="0"/>
              <w:bottom w:val="single" w:color="auto" w:sz="4" w:space="0"/>
              <w:right w:val="single" w:color="000000" w:sz="4" w:space="0"/>
            </w:tcBorders>
            <w:shd w:val="clear" w:color="auto" w:fill="auto"/>
            <w:vAlign w:val="center"/>
          </w:tcPr>
          <w:p>
            <w:pPr>
              <w:pStyle w:val="51"/>
              <w:bidi w:val="0"/>
              <w:rPr>
                <w:rFonts w:hint="eastAsia"/>
                <w:highlight w:val="none"/>
              </w:rPr>
            </w:pPr>
            <w:r>
              <w:rPr>
                <w:rFonts w:hint="eastAsia"/>
                <w:highlight w:val="none"/>
                <w:lang w:val="en-US" w:eastAsia="zh-CN"/>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1"/>
              <w:bidi w:val="0"/>
              <w:rPr>
                <w:rFonts w:hint="eastAsia"/>
                <w:highlight w:val="none"/>
              </w:rPr>
            </w:pPr>
            <w:r>
              <w:rPr>
                <w:rFonts w:hint="eastAsia"/>
                <w:highlight w:val="none"/>
                <w:lang w:val="en-US" w:eastAsia="zh-CN"/>
              </w:rPr>
              <w:t>1</w:t>
            </w:r>
          </w:p>
        </w:tc>
        <w:tc>
          <w:tcPr>
            <w:tcW w:w="140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1"/>
              <w:bidi w:val="0"/>
              <w:rPr>
                <w:rFonts w:hint="default"/>
                <w:highlight w:val="none"/>
                <w:lang w:val="en-US"/>
              </w:rPr>
            </w:pPr>
            <w:r>
              <w:rPr>
                <w:rFonts w:hint="eastAsia"/>
                <w:highlight w:val="none"/>
                <w:lang w:val="en-US" w:eastAsia="zh-CN"/>
              </w:rPr>
              <w:t>一体化设备</w:t>
            </w:r>
          </w:p>
        </w:tc>
        <w:tc>
          <w:tcPr>
            <w:tcW w:w="36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pStyle w:val="51"/>
              <w:bidi w:val="0"/>
              <w:rPr>
                <w:rFonts w:hint="eastAsia"/>
                <w:highlight w:val="none"/>
              </w:rPr>
            </w:pPr>
            <w:r>
              <w:rPr>
                <w:rFonts w:hint="eastAsia"/>
                <w:highlight w:val="none"/>
                <w:lang w:val="en-US" w:eastAsia="zh-CN"/>
              </w:rPr>
              <w:t>9000*2500*5300mm（两层总尺寸）；碳钢防腐（环氧富锌底漆+中间漆+面漆 厚度≥280μm），保温：阻燃聚氨酯+铝箔+接缝打胶密封（不锈钢瓦楞板包覆）</w:t>
            </w:r>
          </w:p>
        </w:tc>
        <w:tc>
          <w:tcPr>
            <w:tcW w:w="89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1"/>
              <w:bidi w:val="0"/>
              <w:rPr>
                <w:rFonts w:hint="eastAsia"/>
                <w:highlight w:val="none"/>
                <w:lang w:val="en-US" w:eastAsia="zh-CN"/>
              </w:rPr>
            </w:pPr>
            <w:r>
              <w:rPr>
                <w:rFonts w:hint="eastAsia"/>
                <w:highlight w:val="none"/>
                <w:lang w:val="en-US" w:eastAsia="zh-CN"/>
              </w:rPr>
              <w:t>项</w:t>
            </w:r>
          </w:p>
        </w:tc>
        <w:tc>
          <w:tcPr>
            <w:tcW w:w="81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1"/>
              <w:bidi w:val="0"/>
              <w:rPr>
                <w:rFonts w:hint="eastAsia"/>
                <w:highlight w:val="none"/>
                <w:lang w:val="en-US" w:eastAsia="zh-CN"/>
              </w:rPr>
            </w:pPr>
            <w:r>
              <w:rPr>
                <w:rFonts w:hint="eastAsia"/>
                <w:highlight w:val="none"/>
                <w:lang w:val="en-US" w:eastAsia="zh-CN"/>
              </w:rPr>
              <w:t>1</w:t>
            </w:r>
          </w:p>
        </w:tc>
        <w:tc>
          <w:tcPr>
            <w:tcW w:w="2023"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1"/>
              <w:bidi w:val="0"/>
              <w:rPr>
                <w:rFonts w:hint="eastAsia"/>
                <w:highlight w:val="none"/>
              </w:rPr>
            </w:pPr>
            <w:r>
              <w:rPr>
                <w:highlight w:val="none"/>
                <w:lang w:val="en-US" w:eastAsia="zh-CN"/>
              </w:rPr>
              <w:t>/</w:t>
            </w:r>
          </w:p>
        </w:tc>
      </w:tr>
    </w:tbl>
    <w:p>
      <w:pPr>
        <w:rPr>
          <w:rFonts w:hint="default"/>
          <w:lang w:val="en-US" w:eastAsia="zh-CN"/>
        </w:rPr>
      </w:pPr>
    </w:p>
    <w:p>
      <w:pPr>
        <w:rPr>
          <w:rFonts w:hint="default"/>
          <w:lang w:val="en-US" w:eastAsia="zh-CN"/>
        </w:rPr>
      </w:pPr>
    </w:p>
    <w:p>
      <w:pPr>
        <w:pStyle w:val="20"/>
        <w:rPr>
          <w:rFonts w:hint="default"/>
          <w:lang w:val="en-US" w:eastAsia="zh-CN"/>
        </w:rPr>
      </w:pPr>
    </w:p>
    <w:p>
      <w:pPr>
        <w:pStyle w:val="20"/>
        <w:rPr>
          <w:rFonts w:hint="default"/>
          <w:lang w:val="en-US" w:eastAsia="zh-CN"/>
        </w:rPr>
      </w:pPr>
    </w:p>
    <w:p>
      <w:pPr>
        <w:pStyle w:val="20"/>
        <w:rPr>
          <w:rFonts w:hint="default"/>
          <w:lang w:val="en-US" w:eastAsia="zh-CN"/>
        </w:rPr>
      </w:pPr>
    </w:p>
    <w:p>
      <w:pPr>
        <w:pStyle w:val="20"/>
        <w:rPr>
          <w:rFonts w:hint="default"/>
          <w:lang w:val="en-US" w:eastAsia="zh-CN"/>
        </w:rPr>
      </w:pPr>
    </w:p>
    <w:p>
      <w:pPr>
        <w:pStyle w:val="7"/>
        <w:ind w:left="0" w:leftChars="0" w:firstLine="0" w:firstLineChars="0"/>
        <w:jc w:val="left"/>
        <w:outlineLvl w:val="0"/>
        <w:rPr>
          <w:rFonts w:hint="eastAsia" w:eastAsia="宋体"/>
          <w:lang w:val="en-US" w:eastAsia="zh-CN"/>
        </w:rPr>
      </w:pPr>
      <w:r>
        <w:rPr>
          <w:rFonts w:hint="eastAsia" w:eastAsia="宋体"/>
          <w:lang w:val="en-US" w:eastAsia="zh-CN"/>
        </w:rPr>
        <w:t>附件五：绥中36-1原油处理厂污水处理系统优化提升项目设计文件</w:t>
      </w:r>
    </w:p>
    <w:p>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0"/>
        <w:rPr>
          <w:rFonts w:hint="eastAsia" w:eastAsia="宋体"/>
          <w:lang w:val="en-US" w:eastAsia="zh-CN"/>
        </w:rPr>
      </w:pPr>
      <w:r>
        <w:rPr>
          <w:rFonts w:hint="eastAsia" w:eastAsia="宋体"/>
          <w:lang w:val="en-US" w:eastAsia="zh-CN"/>
        </w:rPr>
        <w:t>包含：工艺流程图、设备布置图、管道布置图、电气原理图 / 接线图、仪表回路图、钢结构施工图等。 备注：招标方提供，作为施工、验收、工程量核算的正式依据；本技术要求书与图纸不一致时，以设计图纸为准。</w:t>
      </w:r>
    </w:p>
    <w:bookmarkEnd w:id="124"/>
    <w:p>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left"/>
        <w:textAlignment w:val="auto"/>
        <w:outlineLvl w:val="0"/>
        <w:rPr>
          <w:rFonts w:hint="default" w:eastAsia="宋体"/>
          <w:lang w:val="en-US" w:eastAsia="zh-CN"/>
        </w:rPr>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AndChars" w:linePitch="312" w:charSpace="0"/>
        </w:sectPr>
      </w:pPr>
    </w:p>
    <w:p>
      <w:pPr>
        <w:pStyle w:val="20"/>
        <w:ind w:left="0" w:leftChars="0" w:firstLine="0" w:firstLineChars="0"/>
        <w:rPr>
          <w:rFonts w:hint="default"/>
          <w:lang w:val="en-US" w:eastAsia="zh-CN"/>
        </w:rPr>
      </w:pPr>
    </w:p>
    <w:sectPr>
      <w:pgSz w:w="16838" w:h="11906" w:orient="landscape"/>
      <w:pgMar w:top="1797" w:right="1440" w:bottom="1797" w:left="1440"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0833711"/>
    </w:sdtPr>
    <w:sdtContent>
      <w:p>
        <w:pPr>
          <w:pStyle w:val="9"/>
          <w:jc w:val="center"/>
        </w:pPr>
        <w:r>
          <w:fldChar w:fldCharType="begin"/>
        </w:r>
        <w:r>
          <w:instrText xml:space="preserve">PAGE   \* MERGEFORMAT</w:instrText>
        </w:r>
        <w:r>
          <w:fldChar w:fldCharType="separate"/>
        </w:r>
        <w:r>
          <w:rPr>
            <w:lang w:val="zh-CN" w:eastAsia="zh-CN"/>
          </w:rPr>
          <w:t>2</w:t>
        </w:r>
        <w:r>
          <w:fldChar w:fldCharType="end"/>
        </w:r>
      </w:p>
    </w:sdtContent>
  </w:sdt>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8AE31C"/>
    <w:multiLevelType w:val="singleLevel"/>
    <w:tmpl w:val="9E8AE31C"/>
    <w:lvl w:ilvl="0" w:tentative="0">
      <w:start w:val="1"/>
      <w:numFmt w:val="decimal"/>
      <w:lvlText w:val="%1)"/>
      <w:lvlJc w:val="left"/>
      <w:pPr>
        <w:tabs>
          <w:tab w:val="left" w:pos="420"/>
        </w:tabs>
        <w:ind w:left="845" w:hanging="425"/>
      </w:pPr>
      <w:rPr>
        <w:rFonts w:hint="default"/>
      </w:rPr>
    </w:lvl>
  </w:abstractNum>
  <w:abstractNum w:abstractNumId="1">
    <w:nsid w:val="A8918493"/>
    <w:multiLevelType w:val="singleLevel"/>
    <w:tmpl w:val="A8918493"/>
    <w:lvl w:ilvl="0" w:tentative="0">
      <w:start w:val="1"/>
      <w:numFmt w:val="decimal"/>
      <w:lvlText w:val="%1)"/>
      <w:lvlJc w:val="left"/>
      <w:pPr>
        <w:ind w:left="425" w:hanging="425"/>
      </w:pPr>
      <w:rPr>
        <w:rFonts w:hint="default"/>
      </w:rPr>
    </w:lvl>
  </w:abstractNum>
  <w:abstractNum w:abstractNumId="2">
    <w:nsid w:val="AB56A333"/>
    <w:multiLevelType w:val="singleLevel"/>
    <w:tmpl w:val="AB56A333"/>
    <w:lvl w:ilvl="0" w:tentative="0">
      <w:start w:val="1"/>
      <w:numFmt w:val="decimal"/>
      <w:lvlText w:val="%1)"/>
      <w:lvlJc w:val="left"/>
      <w:pPr>
        <w:ind w:left="425" w:hanging="425"/>
      </w:pPr>
      <w:rPr>
        <w:rFonts w:hint="default"/>
      </w:rPr>
    </w:lvl>
  </w:abstractNum>
  <w:abstractNum w:abstractNumId="3">
    <w:nsid w:val="B37D5A5B"/>
    <w:multiLevelType w:val="singleLevel"/>
    <w:tmpl w:val="B37D5A5B"/>
    <w:lvl w:ilvl="0" w:tentative="0">
      <w:start w:val="1"/>
      <w:numFmt w:val="decimal"/>
      <w:lvlText w:val="%1)"/>
      <w:lvlJc w:val="left"/>
      <w:pPr>
        <w:ind w:left="425" w:hanging="425"/>
      </w:pPr>
      <w:rPr>
        <w:rFonts w:hint="default"/>
      </w:rPr>
    </w:lvl>
  </w:abstractNum>
  <w:abstractNum w:abstractNumId="4">
    <w:nsid w:val="DD48637F"/>
    <w:multiLevelType w:val="multilevel"/>
    <w:tmpl w:val="DD48637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E67918E1"/>
    <w:multiLevelType w:val="singleLevel"/>
    <w:tmpl w:val="E67918E1"/>
    <w:lvl w:ilvl="0" w:tentative="0">
      <w:start w:val="1"/>
      <w:numFmt w:val="decimal"/>
      <w:lvlText w:val="(%1)"/>
      <w:lvlJc w:val="left"/>
      <w:pPr>
        <w:ind w:left="425" w:hanging="425"/>
      </w:pPr>
      <w:rPr>
        <w:rFonts w:hint="default"/>
      </w:rPr>
    </w:lvl>
  </w:abstractNum>
  <w:abstractNum w:abstractNumId="6">
    <w:nsid w:val="01791F17"/>
    <w:multiLevelType w:val="multilevel"/>
    <w:tmpl w:val="01791F17"/>
    <w:lvl w:ilvl="0" w:tentative="0">
      <w:start w:val="1"/>
      <w:numFmt w:val="decimal"/>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decimal"/>
      <w:lvlText w:val="(%3)"/>
      <w:lvlJc w:val="left"/>
      <w:pPr>
        <w:ind w:left="440" w:hanging="440"/>
      </w:pPr>
      <w:rPr>
        <w:rFonts w:hint="default"/>
      </w:r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04A96F86"/>
    <w:multiLevelType w:val="multilevel"/>
    <w:tmpl w:val="04A96F86"/>
    <w:lvl w:ilvl="0" w:tentative="0">
      <w:start w:val="1"/>
      <w:numFmt w:val="bullet"/>
      <w:lvlText w:val=""/>
      <w:lvlJc w:val="left"/>
      <w:pPr>
        <w:ind w:left="880" w:hanging="440"/>
      </w:pPr>
      <w:rPr>
        <w:rFonts w:hint="default" w:ascii="Wingdings" w:hAnsi="Wingdings"/>
      </w:rPr>
    </w:lvl>
    <w:lvl w:ilvl="1" w:tentative="0">
      <w:start w:val="1"/>
      <w:numFmt w:val="bullet"/>
      <w:lvlText w:val=""/>
      <w:lvlJc w:val="left"/>
      <w:pPr>
        <w:ind w:left="1320" w:hanging="440"/>
      </w:pPr>
      <w:rPr>
        <w:rFonts w:hint="default" w:ascii="Wingdings" w:hAnsi="Wingdings"/>
      </w:rPr>
    </w:lvl>
    <w:lvl w:ilvl="2" w:tentative="0">
      <w:start w:val="1"/>
      <w:numFmt w:val="bullet"/>
      <w:lvlText w:val=""/>
      <w:lvlJc w:val="left"/>
      <w:pPr>
        <w:ind w:left="1760" w:hanging="440"/>
      </w:pPr>
      <w:rPr>
        <w:rFonts w:hint="default" w:ascii="Wingdings" w:hAnsi="Wingdings"/>
      </w:rPr>
    </w:lvl>
    <w:lvl w:ilvl="3" w:tentative="0">
      <w:start w:val="1"/>
      <w:numFmt w:val="bullet"/>
      <w:lvlText w:val=""/>
      <w:lvlJc w:val="left"/>
      <w:pPr>
        <w:ind w:left="2200" w:hanging="440"/>
      </w:pPr>
      <w:rPr>
        <w:rFonts w:hint="default" w:ascii="Wingdings" w:hAnsi="Wingdings"/>
      </w:rPr>
    </w:lvl>
    <w:lvl w:ilvl="4" w:tentative="0">
      <w:start w:val="1"/>
      <w:numFmt w:val="bullet"/>
      <w:lvlText w:val=""/>
      <w:lvlJc w:val="left"/>
      <w:pPr>
        <w:ind w:left="2640" w:hanging="440"/>
      </w:pPr>
      <w:rPr>
        <w:rFonts w:hint="default" w:ascii="Wingdings" w:hAnsi="Wingdings"/>
      </w:rPr>
    </w:lvl>
    <w:lvl w:ilvl="5" w:tentative="0">
      <w:start w:val="1"/>
      <w:numFmt w:val="bullet"/>
      <w:lvlText w:val=""/>
      <w:lvlJc w:val="left"/>
      <w:pPr>
        <w:ind w:left="3080" w:hanging="440"/>
      </w:pPr>
      <w:rPr>
        <w:rFonts w:hint="default" w:ascii="Wingdings" w:hAnsi="Wingdings"/>
      </w:rPr>
    </w:lvl>
    <w:lvl w:ilvl="6" w:tentative="0">
      <w:start w:val="1"/>
      <w:numFmt w:val="bullet"/>
      <w:lvlText w:val=""/>
      <w:lvlJc w:val="left"/>
      <w:pPr>
        <w:ind w:left="3520" w:hanging="440"/>
      </w:pPr>
      <w:rPr>
        <w:rFonts w:hint="default" w:ascii="Wingdings" w:hAnsi="Wingdings"/>
      </w:rPr>
    </w:lvl>
    <w:lvl w:ilvl="7" w:tentative="0">
      <w:start w:val="1"/>
      <w:numFmt w:val="bullet"/>
      <w:lvlText w:val=""/>
      <w:lvlJc w:val="left"/>
      <w:pPr>
        <w:ind w:left="3960" w:hanging="440"/>
      </w:pPr>
      <w:rPr>
        <w:rFonts w:hint="default" w:ascii="Wingdings" w:hAnsi="Wingdings"/>
      </w:rPr>
    </w:lvl>
    <w:lvl w:ilvl="8" w:tentative="0">
      <w:start w:val="1"/>
      <w:numFmt w:val="bullet"/>
      <w:lvlText w:val=""/>
      <w:lvlJc w:val="left"/>
      <w:pPr>
        <w:ind w:left="4400" w:hanging="440"/>
      </w:pPr>
      <w:rPr>
        <w:rFonts w:hint="default" w:ascii="Wingdings" w:hAnsi="Wingdings"/>
      </w:rPr>
    </w:lvl>
  </w:abstractNum>
  <w:abstractNum w:abstractNumId="8">
    <w:nsid w:val="09CBF65A"/>
    <w:multiLevelType w:val="singleLevel"/>
    <w:tmpl w:val="09CBF65A"/>
    <w:lvl w:ilvl="0" w:tentative="0">
      <w:start w:val="1"/>
      <w:numFmt w:val="decimal"/>
      <w:suff w:val="nothing"/>
      <w:lvlText w:val="%1"/>
      <w:lvlJc w:val="left"/>
      <w:pPr>
        <w:ind w:left="0" w:firstLine="397"/>
      </w:pPr>
      <w:rPr>
        <w:rFonts w:hint="default"/>
      </w:rPr>
    </w:lvl>
  </w:abstractNum>
  <w:abstractNum w:abstractNumId="9">
    <w:nsid w:val="20FD4DA7"/>
    <w:multiLevelType w:val="multilevel"/>
    <w:tmpl w:val="20FD4DA7"/>
    <w:lvl w:ilvl="0" w:tentative="0">
      <w:start w:val="1"/>
      <w:numFmt w:val="bullet"/>
      <w:lvlText w:val=""/>
      <w:lvlJc w:val="left"/>
      <w:pPr>
        <w:ind w:left="440" w:hanging="440"/>
      </w:pPr>
      <w:rPr>
        <w:rFonts w:hint="default" w:ascii="Wingdings" w:hAnsi="Wingdings"/>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50A6A7E2"/>
    <w:multiLevelType w:val="singleLevel"/>
    <w:tmpl w:val="50A6A7E2"/>
    <w:lvl w:ilvl="0" w:tentative="0">
      <w:start w:val="1"/>
      <w:numFmt w:val="decimal"/>
      <w:suff w:val="space"/>
      <w:lvlText w:val="(%1)"/>
      <w:lvlJc w:val="left"/>
    </w:lvl>
  </w:abstractNum>
  <w:abstractNum w:abstractNumId="11">
    <w:nsid w:val="6E7C62B9"/>
    <w:multiLevelType w:val="singleLevel"/>
    <w:tmpl w:val="6E7C62B9"/>
    <w:lvl w:ilvl="0" w:tentative="0">
      <w:start w:val="7"/>
      <w:numFmt w:val="chineseCounting"/>
      <w:suff w:val="nothing"/>
      <w:lvlText w:val="%1、"/>
      <w:lvlJc w:val="left"/>
      <w:rPr>
        <w:rFonts w:hint="eastAsia"/>
      </w:rPr>
    </w:lvl>
  </w:abstractNum>
  <w:num w:numId="1">
    <w:abstractNumId w:val="10"/>
  </w:num>
  <w:num w:numId="2">
    <w:abstractNumId w:val="2"/>
  </w:num>
  <w:num w:numId="3">
    <w:abstractNumId w:val="5"/>
  </w:num>
  <w:num w:numId="4">
    <w:abstractNumId w:val="6"/>
  </w:num>
  <w:num w:numId="5">
    <w:abstractNumId w:val="4"/>
  </w:num>
  <w:num w:numId="6">
    <w:abstractNumId w:val="7"/>
  </w:num>
  <w:num w:numId="7">
    <w:abstractNumId w:val="9"/>
  </w:num>
  <w:num w:numId="8">
    <w:abstractNumId w:val="0"/>
  </w:num>
  <w:num w:numId="9">
    <w:abstractNumId w:val="11"/>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F19"/>
    <w:rsid w:val="00007F80"/>
    <w:rsid w:val="00033369"/>
    <w:rsid w:val="00042166"/>
    <w:rsid w:val="00064B21"/>
    <w:rsid w:val="00064C22"/>
    <w:rsid w:val="000748AC"/>
    <w:rsid w:val="0011152B"/>
    <w:rsid w:val="00127A3A"/>
    <w:rsid w:val="001805C0"/>
    <w:rsid w:val="00182336"/>
    <w:rsid w:val="002402E1"/>
    <w:rsid w:val="00240F7B"/>
    <w:rsid w:val="00244792"/>
    <w:rsid w:val="002A53D7"/>
    <w:rsid w:val="002C109E"/>
    <w:rsid w:val="002C4346"/>
    <w:rsid w:val="002C44E8"/>
    <w:rsid w:val="002E703C"/>
    <w:rsid w:val="002F2FE5"/>
    <w:rsid w:val="002F7236"/>
    <w:rsid w:val="00350010"/>
    <w:rsid w:val="0035237F"/>
    <w:rsid w:val="003560FF"/>
    <w:rsid w:val="003E4533"/>
    <w:rsid w:val="003F07F2"/>
    <w:rsid w:val="00401164"/>
    <w:rsid w:val="00424BF0"/>
    <w:rsid w:val="004417DE"/>
    <w:rsid w:val="00447731"/>
    <w:rsid w:val="00454C73"/>
    <w:rsid w:val="004750A5"/>
    <w:rsid w:val="004769EB"/>
    <w:rsid w:val="0048108D"/>
    <w:rsid w:val="004B16EE"/>
    <w:rsid w:val="004C03BF"/>
    <w:rsid w:val="004C1353"/>
    <w:rsid w:val="004C7620"/>
    <w:rsid w:val="0051012A"/>
    <w:rsid w:val="0053033B"/>
    <w:rsid w:val="00553E50"/>
    <w:rsid w:val="00584B45"/>
    <w:rsid w:val="005D2A06"/>
    <w:rsid w:val="005D762F"/>
    <w:rsid w:val="005E6C8A"/>
    <w:rsid w:val="00616E27"/>
    <w:rsid w:val="00672ECA"/>
    <w:rsid w:val="006A0527"/>
    <w:rsid w:val="006A7572"/>
    <w:rsid w:val="006D3871"/>
    <w:rsid w:val="006E2615"/>
    <w:rsid w:val="00702739"/>
    <w:rsid w:val="00717F28"/>
    <w:rsid w:val="00720354"/>
    <w:rsid w:val="00732450"/>
    <w:rsid w:val="00735329"/>
    <w:rsid w:val="0077141D"/>
    <w:rsid w:val="007D3819"/>
    <w:rsid w:val="007E403E"/>
    <w:rsid w:val="00840243"/>
    <w:rsid w:val="00855298"/>
    <w:rsid w:val="008565B3"/>
    <w:rsid w:val="0087492C"/>
    <w:rsid w:val="00882F61"/>
    <w:rsid w:val="008A0F63"/>
    <w:rsid w:val="008A2F19"/>
    <w:rsid w:val="008A7041"/>
    <w:rsid w:val="008C495A"/>
    <w:rsid w:val="009701DB"/>
    <w:rsid w:val="009707EC"/>
    <w:rsid w:val="009708E0"/>
    <w:rsid w:val="00981C70"/>
    <w:rsid w:val="009822DF"/>
    <w:rsid w:val="00987CE5"/>
    <w:rsid w:val="009E5471"/>
    <w:rsid w:val="00A5624A"/>
    <w:rsid w:val="00A64DA1"/>
    <w:rsid w:val="00A72594"/>
    <w:rsid w:val="00A73DD3"/>
    <w:rsid w:val="00A7557F"/>
    <w:rsid w:val="00A7568D"/>
    <w:rsid w:val="00A75EC8"/>
    <w:rsid w:val="00A95CF9"/>
    <w:rsid w:val="00B0626F"/>
    <w:rsid w:val="00B13324"/>
    <w:rsid w:val="00B17452"/>
    <w:rsid w:val="00B3642A"/>
    <w:rsid w:val="00BA1CC8"/>
    <w:rsid w:val="00BB178C"/>
    <w:rsid w:val="00BE4067"/>
    <w:rsid w:val="00BF0F68"/>
    <w:rsid w:val="00BF340F"/>
    <w:rsid w:val="00C04003"/>
    <w:rsid w:val="00C10B57"/>
    <w:rsid w:val="00C2407C"/>
    <w:rsid w:val="00C25291"/>
    <w:rsid w:val="00C43CB1"/>
    <w:rsid w:val="00C47F1D"/>
    <w:rsid w:val="00C92A2A"/>
    <w:rsid w:val="00CA4503"/>
    <w:rsid w:val="00CE2DBB"/>
    <w:rsid w:val="00CE4BFB"/>
    <w:rsid w:val="00D13602"/>
    <w:rsid w:val="00D14B72"/>
    <w:rsid w:val="00D21E08"/>
    <w:rsid w:val="00D7037B"/>
    <w:rsid w:val="00D73F92"/>
    <w:rsid w:val="00D74016"/>
    <w:rsid w:val="00D848B7"/>
    <w:rsid w:val="00D857AA"/>
    <w:rsid w:val="00D91DF4"/>
    <w:rsid w:val="00DA754C"/>
    <w:rsid w:val="00E762D9"/>
    <w:rsid w:val="00E80947"/>
    <w:rsid w:val="00EC429B"/>
    <w:rsid w:val="00EC6CA3"/>
    <w:rsid w:val="00ED2F3D"/>
    <w:rsid w:val="00F024F1"/>
    <w:rsid w:val="00F02D4E"/>
    <w:rsid w:val="00F138FD"/>
    <w:rsid w:val="00F37A68"/>
    <w:rsid w:val="00F507E7"/>
    <w:rsid w:val="00F9615B"/>
    <w:rsid w:val="00FB12DF"/>
    <w:rsid w:val="00FB79AC"/>
    <w:rsid w:val="00FE4B26"/>
    <w:rsid w:val="018276FB"/>
    <w:rsid w:val="01EC20E2"/>
    <w:rsid w:val="02233590"/>
    <w:rsid w:val="032B053F"/>
    <w:rsid w:val="036F35B2"/>
    <w:rsid w:val="03B81543"/>
    <w:rsid w:val="03F816BB"/>
    <w:rsid w:val="04192B56"/>
    <w:rsid w:val="047775AF"/>
    <w:rsid w:val="04BE6EF8"/>
    <w:rsid w:val="051A57EC"/>
    <w:rsid w:val="05451EB3"/>
    <w:rsid w:val="0593460B"/>
    <w:rsid w:val="06C83B4C"/>
    <w:rsid w:val="0A560E35"/>
    <w:rsid w:val="0A600591"/>
    <w:rsid w:val="0AFC45A1"/>
    <w:rsid w:val="0F0947E6"/>
    <w:rsid w:val="0F8575E2"/>
    <w:rsid w:val="0FE54120"/>
    <w:rsid w:val="102F109D"/>
    <w:rsid w:val="103F349B"/>
    <w:rsid w:val="10DD1499"/>
    <w:rsid w:val="11014DCF"/>
    <w:rsid w:val="12152B32"/>
    <w:rsid w:val="12756C41"/>
    <w:rsid w:val="1360594A"/>
    <w:rsid w:val="13C3447C"/>
    <w:rsid w:val="14200B1E"/>
    <w:rsid w:val="15185CA7"/>
    <w:rsid w:val="153F2EF3"/>
    <w:rsid w:val="158F246E"/>
    <w:rsid w:val="167B5885"/>
    <w:rsid w:val="17005817"/>
    <w:rsid w:val="172320E3"/>
    <w:rsid w:val="172A2F4C"/>
    <w:rsid w:val="18130574"/>
    <w:rsid w:val="189C466F"/>
    <w:rsid w:val="1B3308E3"/>
    <w:rsid w:val="1C725F39"/>
    <w:rsid w:val="1E00075A"/>
    <w:rsid w:val="1EF92460"/>
    <w:rsid w:val="1FA3679B"/>
    <w:rsid w:val="20602CAB"/>
    <w:rsid w:val="20931775"/>
    <w:rsid w:val="21321E93"/>
    <w:rsid w:val="21D83CF3"/>
    <w:rsid w:val="22462129"/>
    <w:rsid w:val="22673A0F"/>
    <w:rsid w:val="227710FC"/>
    <w:rsid w:val="2345201F"/>
    <w:rsid w:val="2368701E"/>
    <w:rsid w:val="23F63B75"/>
    <w:rsid w:val="24183F62"/>
    <w:rsid w:val="24E442F8"/>
    <w:rsid w:val="25A718F0"/>
    <w:rsid w:val="264803D1"/>
    <w:rsid w:val="268A1B9A"/>
    <w:rsid w:val="2846729E"/>
    <w:rsid w:val="28E55011"/>
    <w:rsid w:val="29502D1F"/>
    <w:rsid w:val="29A1688F"/>
    <w:rsid w:val="2A260C0D"/>
    <w:rsid w:val="2A37529E"/>
    <w:rsid w:val="2A6D37AC"/>
    <w:rsid w:val="2A8D770F"/>
    <w:rsid w:val="2B045186"/>
    <w:rsid w:val="2BC455B0"/>
    <w:rsid w:val="2D6B72D5"/>
    <w:rsid w:val="2E674200"/>
    <w:rsid w:val="2EC701BE"/>
    <w:rsid w:val="2F8D13A2"/>
    <w:rsid w:val="31AA504A"/>
    <w:rsid w:val="329C5C14"/>
    <w:rsid w:val="34841945"/>
    <w:rsid w:val="35585E1E"/>
    <w:rsid w:val="35942299"/>
    <w:rsid w:val="35B11B13"/>
    <w:rsid w:val="36545584"/>
    <w:rsid w:val="36595A3B"/>
    <w:rsid w:val="36D026DB"/>
    <w:rsid w:val="373A6E70"/>
    <w:rsid w:val="37926A3C"/>
    <w:rsid w:val="37B95FE7"/>
    <w:rsid w:val="380D6386"/>
    <w:rsid w:val="38442273"/>
    <w:rsid w:val="39A36E70"/>
    <w:rsid w:val="39F529A3"/>
    <w:rsid w:val="3A623524"/>
    <w:rsid w:val="3AD65514"/>
    <w:rsid w:val="3BB93588"/>
    <w:rsid w:val="3BF1114F"/>
    <w:rsid w:val="3C9A513B"/>
    <w:rsid w:val="3DCE51F2"/>
    <w:rsid w:val="3DFD3B43"/>
    <w:rsid w:val="3E9845F9"/>
    <w:rsid w:val="3F8D5553"/>
    <w:rsid w:val="3F9B2F92"/>
    <w:rsid w:val="403646E7"/>
    <w:rsid w:val="40650814"/>
    <w:rsid w:val="40EA138C"/>
    <w:rsid w:val="40EB5511"/>
    <w:rsid w:val="415A0FC6"/>
    <w:rsid w:val="42C35F6C"/>
    <w:rsid w:val="43C01B3F"/>
    <w:rsid w:val="44006D3C"/>
    <w:rsid w:val="44061EA9"/>
    <w:rsid w:val="44E42A46"/>
    <w:rsid w:val="44FA23B6"/>
    <w:rsid w:val="469D0869"/>
    <w:rsid w:val="47264328"/>
    <w:rsid w:val="4752380F"/>
    <w:rsid w:val="48667E54"/>
    <w:rsid w:val="487B11B0"/>
    <w:rsid w:val="489C351F"/>
    <w:rsid w:val="49075986"/>
    <w:rsid w:val="490E217C"/>
    <w:rsid w:val="49202B06"/>
    <w:rsid w:val="498D56B8"/>
    <w:rsid w:val="4A0E2C84"/>
    <w:rsid w:val="4A6A1823"/>
    <w:rsid w:val="4B5C51AF"/>
    <w:rsid w:val="4B5D3575"/>
    <w:rsid w:val="4B966D92"/>
    <w:rsid w:val="4C1930A0"/>
    <w:rsid w:val="4C4B1D39"/>
    <w:rsid w:val="4D9C3EAB"/>
    <w:rsid w:val="4E646CF5"/>
    <w:rsid w:val="4E6845E1"/>
    <w:rsid w:val="4F5A67AC"/>
    <w:rsid w:val="4F615AA1"/>
    <w:rsid w:val="4FAF7F17"/>
    <w:rsid w:val="509853C5"/>
    <w:rsid w:val="512F3B40"/>
    <w:rsid w:val="517C1235"/>
    <w:rsid w:val="52710461"/>
    <w:rsid w:val="52ED4D9B"/>
    <w:rsid w:val="52F954D1"/>
    <w:rsid w:val="550735D6"/>
    <w:rsid w:val="56510FA5"/>
    <w:rsid w:val="58D37E2A"/>
    <w:rsid w:val="59712A4B"/>
    <w:rsid w:val="5A1A1BDF"/>
    <w:rsid w:val="5B1A7584"/>
    <w:rsid w:val="5B500161"/>
    <w:rsid w:val="5B8D4F11"/>
    <w:rsid w:val="5CB337F7"/>
    <w:rsid w:val="5DA570B1"/>
    <w:rsid w:val="5E985FB2"/>
    <w:rsid w:val="5F4D3766"/>
    <w:rsid w:val="603749E8"/>
    <w:rsid w:val="60AE1BB1"/>
    <w:rsid w:val="61A50EA2"/>
    <w:rsid w:val="61E8720F"/>
    <w:rsid w:val="622F4F7B"/>
    <w:rsid w:val="63694D48"/>
    <w:rsid w:val="657F0712"/>
    <w:rsid w:val="66703465"/>
    <w:rsid w:val="66751F24"/>
    <w:rsid w:val="67CF6CDD"/>
    <w:rsid w:val="684C176D"/>
    <w:rsid w:val="6945507D"/>
    <w:rsid w:val="69BF2D66"/>
    <w:rsid w:val="6AA25334"/>
    <w:rsid w:val="6AC91EBE"/>
    <w:rsid w:val="6B0F0434"/>
    <w:rsid w:val="6B0F2632"/>
    <w:rsid w:val="6B7113D2"/>
    <w:rsid w:val="6B7B7763"/>
    <w:rsid w:val="6B8F3FEE"/>
    <w:rsid w:val="6C0B52C6"/>
    <w:rsid w:val="6C156FF3"/>
    <w:rsid w:val="6C4A452A"/>
    <w:rsid w:val="6C621CBC"/>
    <w:rsid w:val="6C7A6EA4"/>
    <w:rsid w:val="6EC53A8C"/>
    <w:rsid w:val="6EFF1BEC"/>
    <w:rsid w:val="6F663551"/>
    <w:rsid w:val="700852D9"/>
    <w:rsid w:val="7196395B"/>
    <w:rsid w:val="72064D9E"/>
    <w:rsid w:val="730C7ECF"/>
    <w:rsid w:val="73667253"/>
    <w:rsid w:val="73693E74"/>
    <w:rsid w:val="739E3BBB"/>
    <w:rsid w:val="73CF0C55"/>
    <w:rsid w:val="7431442E"/>
    <w:rsid w:val="75757044"/>
    <w:rsid w:val="760338C7"/>
    <w:rsid w:val="76A10290"/>
    <w:rsid w:val="776F45A5"/>
    <w:rsid w:val="778A2F0E"/>
    <w:rsid w:val="77D919A7"/>
    <w:rsid w:val="77DA4A65"/>
    <w:rsid w:val="77EC603C"/>
    <w:rsid w:val="7867243B"/>
    <w:rsid w:val="78F66FE4"/>
    <w:rsid w:val="797B1294"/>
    <w:rsid w:val="79C9377E"/>
    <w:rsid w:val="7AB31001"/>
    <w:rsid w:val="7B797EF7"/>
    <w:rsid w:val="7C3837E8"/>
    <w:rsid w:val="7D1A4FA1"/>
    <w:rsid w:val="7D2B5066"/>
    <w:rsid w:val="7E213677"/>
    <w:rsid w:val="7EAB7A4E"/>
    <w:rsid w:val="7EAB7AE1"/>
    <w:rsid w:val="7F4C286A"/>
    <w:rsid w:val="7F556C75"/>
    <w:rsid w:val="7FE35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1"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1"/>
    <w:pPr>
      <w:spacing w:line="479" w:lineRule="exact"/>
      <w:outlineLvl w:val="1"/>
    </w:pPr>
    <w:rPr>
      <w:rFonts w:ascii="Microsoft YaHei UI" w:hAnsi="Microsoft YaHei UI" w:eastAsia="Microsoft YaHei UI"/>
      <w:spacing w:val="2"/>
      <w:sz w:val="32"/>
      <w:szCs w:val="32"/>
      <w:lang w:eastAsia="zh-CN"/>
    </w:rPr>
  </w:style>
  <w:style w:type="paragraph" w:styleId="4">
    <w:name w:val="heading 3"/>
    <w:basedOn w:val="1"/>
    <w:next w:val="1"/>
    <w:link w:val="50"/>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tabs>
        <w:tab w:val="left" w:pos="-709"/>
        <w:tab w:val="left" w:pos="284"/>
      </w:tabs>
      <w:adjustRightInd w:val="0"/>
      <w:spacing w:line="300" w:lineRule="auto"/>
      <w:ind w:firstLine="510"/>
      <w:jc w:val="center"/>
      <w:textAlignment w:val="baseline"/>
    </w:pPr>
    <w:rPr>
      <w:rFonts w:ascii="宋体" w:hAnsi="Times New Roman" w:eastAsia="宋体" w:cs="Times New Roman"/>
      <w:sz w:val="24"/>
      <w:szCs w:val="20"/>
      <w:lang w:eastAsia="zh-CN"/>
    </w:rPr>
  </w:style>
  <w:style w:type="paragraph" w:styleId="6">
    <w:name w:val="annotation text"/>
    <w:basedOn w:val="1"/>
    <w:semiHidden/>
    <w:unhideWhenUsed/>
    <w:qFormat/>
    <w:uiPriority w:val="99"/>
  </w:style>
  <w:style w:type="paragraph" w:styleId="7">
    <w:name w:val="Body Text"/>
    <w:basedOn w:val="1"/>
    <w:link w:val="23"/>
    <w:qFormat/>
    <w:uiPriority w:val="1"/>
    <w:pPr>
      <w:ind w:firstLine="200" w:firstLineChars="200"/>
      <w:jc w:val="both"/>
    </w:pPr>
    <w:rPr>
      <w:rFonts w:ascii="Microsoft YaHei UI" w:hAnsi="Microsoft YaHei UI" w:eastAsia="Microsoft YaHei UI"/>
      <w:sz w:val="21"/>
      <w:szCs w:val="21"/>
    </w:rPr>
  </w:style>
  <w:style w:type="paragraph" w:styleId="8">
    <w:name w:val="toc 3"/>
    <w:basedOn w:val="1"/>
    <w:next w:val="1"/>
    <w:unhideWhenUsed/>
    <w:qFormat/>
    <w:uiPriority w:val="39"/>
    <w:pPr>
      <w:ind w:left="840" w:leftChars="400"/>
    </w:pPr>
  </w:style>
  <w:style w:type="paragraph" w:styleId="9">
    <w:name w:val="footer"/>
    <w:basedOn w:val="1"/>
    <w:next w:val="5"/>
    <w:link w:val="21"/>
    <w:unhideWhenUsed/>
    <w:qFormat/>
    <w:uiPriority w:val="99"/>
    <w:pPr>
      <w:tabs>
        <w:tab w:val="center" w:pos="4153"/>
        <w:tab w:val="right" w:pos="8306"/>
      </w:tabs>
      <w:snapToGrid w:val="0"/>
    </w:pPr>
    <w:rPr>
      <w:sz w:val="18"/>
      <w:szCs w:val="18"/>
    </w:rPr>
  </w:style>
  <w:style w:type="paragraph" w:styleId="10">
    <w:name w:val="header"/>
    <w:basedOn w:val="1"/>
    <w:link w:val="29"/>
    <w:unhideWhenUsed/>
    <w:qFormat/>
    <w:uiPriority w:val="99"/>
    <w:pP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8296"/>
      </w:tabs>
    </w:pPr>
  </w:style>
  <w:style w:type="paragraph" w:styleId="12">
    <w:name w:val="toc 2"/>
    <w:basedOn w:val="1"/>
    <w:next w:val="1"/>
    <w:unhideWhenUsed/>
    <w:qFormat/>
    <w:uiPriority w:val="39"/>
    <w:pPr>
      <w:tabs>
        <w:tab w:val="right" w:leader="dot" w:pos="8296"/>
      </w:tabs>
      <w:spacing w:line="360" w:lineRule="auto"/>
      <w:ind w:left="440" w:leftChars="200"/>
      <w:jc w:val="center"/>
      <w:pPrChange w:id="0" w:author="喻 寒" w:date="2025-06-23T17:22:00Z">
        <w:pPr>
          <w:widowControl w:val="0"/>
          <w:ind w:left="420" w:leftChars="200"/>
        </w:pPr>
      </w:pPrChange>
    </w:pPr>
    <w:rPr>
      <w:rPrChange w:id="1" w:author="喻 寒" w:date="2025-06-23T17:22:00Z">
        <w:rPr>
          <w:rFonts w:asciiTheme="minorHAnsi" w:hAnsiTheme="minorHAnsi" w:eastAsiaTheme="minorEastAsia" w:cstheme="minorBidi"/>
          <w:sz w:val="22"/>
          <w:szCs w:val="22"/>
          <w:lang w:val="en-US" w:eastAsia="en-US" w:bidi="ar-SA"/>
        </w:rPr>
      </w:rPrChange>
    </w:rPr>
  </w:style>
  <w:style w:type="paragraph" w:styleId="13">
    <w:name w:val="Normal (Web)"/>
    <w:basedOn w:val="1"/>
    <w:semiHidden/>
    <w:unhideWhenUsed/>
    <w:qFormat/>
    <w:uiPriority w:val="99"/>
    <w:pPr>
      <w:spacing w:beforeAutospacing="1" w:afterAutospacing="1"/>
    </w:pPr>
    <w:rPr>
      <w:rFonts w:cs="Times New Roman"/>
      <w:sz w:val="24"/>
      <w:lang w:eastAsia="zh-CN"/>
    </w:r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FollowedHyperlink"/>
    <w:basedOn w:val="16"/>
    <w:semiHidden/>
    <w:unhideWhenUsed/>
    <w:qFormat/>
    <w:uiPriority w:val="99"/>
    <w:rPr>
      <w:color w:val="954F72"/>
      <w:u w:val="single"/>
    </w:rPr>
  </w:style>
  <w:style w:type="character" w:styleId="19">
    <w:name w:val="Hyperlink"/>
    <w:basedOn w:val="16"/>
    <w:unhideWhenUsed/>
    <w:qFormat/>
    <w:uiPriority w:val="99"/>
    <w:rPr>
      <w:color w:val="0563C1"/>
      <w:u w:val="single"/>
    </w:rPr>
  </w:style>
  <w:style w:type="paragraph" w:customStyle="1" w:styleId="20">
    <w:name w:val="0正文"/>
    <w:unhideWhenUsed/>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脚 字符"/>
    <w:basedOn w:val="16"/>
    <w:link w:val="9"/>
    <w:qFormat/>
    <w:uiPriority w:val="99"/>
    <w:rPr>
      <w:kern w:val="0"/>
      <w:sz w:val="18"/>
      <w:szCs w:val="18"/>
      <w:lang w:eastAsia="en-US"/>
      <w14:ligatures w14:val="none"/>
    </w:rPr>
  </w:style>
  <w:style w:type="character" w:customStyle="1" w:styleId="22">
    <w:name w:val="标题 2 字符"/>
    <w:basedOn w:val="16"/>
    <w:link w:val="3"/>
    <w:qFormat/>
    <w:uiPriority w:val="1"/>
    <w:rPr>
      <w:rFonts w:ascii="Microsoft YaHei UI" w:hAnsi="Microsoft YaHei UI" w:eastAsia="Microsoft YaHei UI"/>
      <w:spacing w:val="2"/>
      <w:kern w:val="0"/>
      <w:sz w:val="32"/>
      <w:szCs w:val="32"/>
      <w14:ligatures w14:val="none"/>
    </w:rPr>
  </w:style>
  <w:style w:type="character" w:customStyle="1" w:styleId="23">
    <w:name w:val="正文文本 字符"/>
    <w:basedOn w:val="16"/>
    <w:link w:val="7"/>
    <w:qFormat/>
    <w:uiPriority w:val="1"/>
    <w:rPr>
      <w:rFonts w:ascii="Microsoft YaHei UI" w:hAnsi="Microsoft YaHei UI" w:eastAsia="Microsoft YaHei UI"/>
      <w:kern w:val="0"/>
      <w:sz w:val="21"/>
      <w:szCs w:val="21"/>
      <w:lang w:eastAsia="en-US"/>
      <w14:ligatures w14:val="none"/>
    </w:rPr>
  </w:style>
  <w:style w:type="paragraph" w:styleId="24">
    <w:name w:val="List Paragraph"/>
    <w:basedOn w:val="1"/>
    <w:qFormat/>
    <w:uiPriority w:val="34"/>
    <w:pPr>
      <w:ind w:firstLine="420" w:firstLineChars="200"/>
    </w:pPr>
  </w:style>
  <w:style w:type="character" w:customStyle="1" w:styleId="25">
    <w:name w:val="标题 1 字符"/>
    <w:basedOn w:val="16"/>
    <w:link w:val="2"/>
    <w:qFormat/>
    <w:uiPriority w:val="9"/>
    <w:rPr>
      <w:b/>
      <w:bCs/>
      <w:kern w:val="44"/>
      <w:sz w:val="44"/>
      <w:szCs w:val="44"/>
      <w:lang w:eastAsia="en-US"/>
      <w14:ligatures w14:val="none"/>
    </w:rPr>
  </w:style>
  <w:style w:type="paragraph" w:customStyle="1" w:styleId="26">
    <w:name w:val="涠洲正文"/>
    <w:basedOn w:val="1"/>
    <w:next w:val="1"/>
    <w:qFormat/>
    <w:uiPriority w:val="0"/>
    <w:pPr>
      <w:tabs>
        <w:tab w:val="left" w:pos="960"/>
      </w:tabs>
      <w:spacing w:afterLines="100"/>
      <w:ind w:left="964" w:hanging="964"/>
      <w:jc w:val="both"/>
    </w:pPr>
    <w:rPr>
      <w:rFonts w:ascii="Arial" w:hAnsi="Arial" w:eastAsia="宋体" w:cs="宋体"/>
      <w:kern w:val="2"/>
      <w:szCs w:val="24"/>
      <w:lang w:eastAsia="zh-CN"/>
    </w:rPr>
  </w:style>
  <w:style w:type="paragraph" w:customStyle="1" w:styleId="27">
    <w:name w:val="说明书正文"/>
    <w:basedOn w:val="1"/>
    <w:qFormat/>
    <w:uiPriority w:val="0"/>
    <w:pPr>
      <w:spacing w:line="440" w:lineRule="exact"/>
      <w:ind w:firstLine="200" w:firstLineChars="200"/>
      <w:jc w:val="both"/>
    </w:pPr>
    <w:rPr>
      <w:rFonts w:ascii="Times New Roman" w:hAnsi="Times New Roman" w:eastAsia="宋体" w:cs="Times New Roman"/>
      <w:kern w:val="2"/>
      <w:sz w:val="21"/>
      <w:szCs w:val="24"/>
      <w:lang w:val="zh-CN" w:eastAsia="zh-CN"/>
    </w:rPr>
  </w:style>
  <w:style w:type="character" w:customStyle="1" w:styleId="28">
    <w:name w:val="qk-md-text"/>
    <w:basedOn w:val="16"/>
    <w:qFormat/>
    <w:uiPriority w:val="0"/>
  </w:style>
  <w:style w:type="character" w:customStyle="1" w:styleId="29">
    <w:name w:val="页眉 字符"/>
    <w:basedOn w:val="16"/>
    <w:link w:val="10"/>
    <w:qFormat/>
    <w:uiPriority w:val="99"/>
    <w:rPr>
      <w:kern w:val="0"/>
      <w:sz w:val="18"/>
      <w:szCs w:val="18"/>
      <w:lang w:eastAsia="en-US"/>
      <w14:ligatures w14:val="none"/>
    </w:rPr>
  </w:style>
  <w:style w:type="paragraph" w:customStyle="1" w:styleId="30">
    <w:name w:val="msonormal"/>
    <w:basedOn w:val="1"/>
    <w:qFormat/>
    <w:uiPriority w:val="0"/>
    <w:pPr>
      <w:widowControl/>
      <w:spacing w:before="100" w:beforeAutospacing="1" w:after="100" w:afterAutospacing="1"/>
    </w:pPr>
    <w:rPr>
      <w:rFonts w:ascii="宋体" w:hAnsi="宋体" w:eastAsia="宋体" w:cs="宋体"/>
      <w:sz w:val="24"/>
      <w:szCs w:val="24"/>
      <w:lang w:eastAsia="zh-CN"/>
    </w:rPr>
  </w:style>
  <w:style w:type="paragraph" w:customStyle="1" w:styleId="31">
    <w:name w:val="font5"/>
    <w:basedOn w:val="1"/>
    <w:qFormat/>
    <w:uiPriority w:val="0"/>
    <w:pPr>
      <w:widowControl/>
      <w:spacing w:before="100" w:beforeAutospacing="1" w:after="100" w:afterAutospacing="1"/>
    </w:pPr>
    <w:rPr>
      <w:rFonts w:ascii="等线" w:hAnsi="等线" w:eastAsia="等线" w:cs="宋体"/>
      <w:sz w:val="18"/>
      <w:szCs w:val="18"/>
      <w:lang w:eastAsia="zh-CN"/>
    </w:rPr>
  </w:style>
  <w:style w:type="paragraph" w:customStyle="1" w:styleId="32">
    <w:name w:val="xl73"/>
    <w:basedOn w:val="1"/>
    <w:qFormat/>
    <w:uiPriority w:val="0"/>
    <w:pPr>
      <w:widowControl/>
      <w:spacing w:before="100" w:beforeAutospacing="1" w:after="100" w:afterAutospacing="1"/>
      <w:jc w:val="center"/>
    </w:pPr>
    <w:rPr>
      <w:rFonts w:ascii="宋体" w:hAnsi="宋体" w:eastAsia="宋体" w:cs="宋体"/>
      <w:sz w:val="24"/>
      <w:szCs w:val="24"/>
      <w:lang w:eastAsia="zh-CN"/>
    </w:rPr>
  </w:style>
  <w:style w:type="paragraph" w:customStyle="1" w:styleId="3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sz w:val="21"/>
      <w:szCs w:val="21"/>
      <w:lang w:eastAsia="zh-CN"/>
    </w:rPr>
  </w:style>
  <w:style w:type="paragraph" w:customStyle="1" w:styleId="3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4"/>
      <w:szCs w:val="24"/>
      <w:lang w:eastAsia="zh-CN"/>
    </w:rPr>
  </w:style>
  <w:style w:type="paragraph" w:customStyle="1" w:styleId="3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sz w:val="24"/>
      <w:szCs w:val="24"/>
      <w:lang w:eastAsia="zh-CN"/>
    </w:rPr>
  </w:style>
  <w:style w:type="paragraph" w:customStyle="1" w:styleId="36">
    <w:name w:val="xl77"/>
    <w:basedOn w:val="1"/>
    <w:qFormat/>
    <w:uiPriority w:val="0"/>
    <w:pPr>
      <w:widowControl/>
      <w:spacing w:before="100" w:beforeAutospacing="1" w:after="100" w:afterAutospacing="1"/>
    </w:pPr>
    <w:rPr>
      <w:rFonts w:ascii="宋体" w:hAnsi="宋体" w:eastAsia="宋体" w:cs="宋体"/>
      <w:sz w:val="24"/>
      <w:szCs w:val="24"/>
      <w:lang w:eastAsia="zh-CN"/>
    </w:rPr>
  </w:style>
  <w:style w:type="paragraph" w:customStyle="1" w:styleId="37">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4"/>
      <w:szCs w:val="24"/>
      <w:lang w:eastAsia="zh-CN"/>
    </w:rPr>
  </w:style>
  <w:style w:type="paragraph" w:customStyle="1" w:styleId="38">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sz w:val="21"/>
      <w:szCs w:val="21"/>
      <w:lang w:eastAsia="zh-CN"/>
    </w:rPr>
  </w:style>
  <w:style w:type="paragraph" w:customStyle="1" w:styleId="39">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4"/>
      <w:szCs w:val="24"/>
      <w:lang w:eastAsia="zh-CN"/>
    </w:rPr>
  </w:style>
  <w:style w:type="paragraph" w:customStyle="1" w:styleId="40">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sz w:val="24"/>
      <w:szCs w:val="24"/>
      <w:lang w:eastAsia="zh-CN"/>
    </w:rPr>
  </w:style>
  <w:style w:type="paragraph" w:customStyle="1" w:styleId="41">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sz w:val="21"/>
      <w:szCs w:val="21"/>
      <w:lang w:eastAsia="zh-CN"/>
    </w:rPr>
  </w:style>
  <w:style w:type="paragraph" w:customStyle="1" w:styleId="42">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4"/>
      <w:szCs w:val="24"/>
      <w:lang w:eastAsia="zh-CN"/>
    </w:rPr>
  </w:style>
  <w:style w:type="paragraph" w:customStyle="1" w:styleId="4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sz w:val="21"/>
      <w:szCs w:val="21"/>
      <w:lang w:eastAsia="zh-CN"/>
    </w:rPr>
  </w:style>
  <w:style w:type="paragraph" w:customStyle="1" w:styleId="4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sz w:val="21"/>
      <w:szCs w:val="21"/>
      <w:lang w:eastAsia="zh-CN"/>
    </w:rPr>
  </w:style>
  <w:style w:type="paragraph" w:customStyle="1" w:styleId="4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4"/>
      <w:szCs w:val="24"/>
      <w:lang w:eastAsia="zh-CN"/>
    </w:rPr>
  </w:style>
  <w:style w:type="paragraph" w:customStyle="1" w:styleId="4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sz w:val="24"/>
      <w:szCs w:val="24"/>
      <w:lang w:eastAsia="zh-CN"/>
    </w:rPr>
  </w:style>
  <w:style w:type="paragraph" w:customStyle="1" w:styleId="47">
    <w:name w:val="Normal_1"/>
    <w:next w:val="48"/>
    <w:qFormat/>
    <w:uiPriority w:val="1"/>
    <w:pPr>
      <w:widowControl w:val="0"/>
    </w:pPr>
    <w:rPr>
      <w:rFonts w:ascii="宋体" w:hAnsi="宋体" w:eastAsia="宋体" w:cs="宋体"/>
      <w:sz w:val="22"/>
      <w:szCs w:val="22"/>
      <w:lang w:val="en-US" w:eastAsia="en-US" w:bidi="ar-SA"/>
    </w:rPr>
  </w:style>
  <w:style w:type="paragraph" w:customStyle="1" w:styleId="48">
    <w:name w:val="Body Text1"/>
    <w:basedOn w:val="47"/>
    <w:qFormat/>
    <w:uiPriority w:val="0"/>
    <w:pPr>
      <w:spacing w:after="120"/>
    </w:pPr>
    <w:rPr>
      <w:rFonts w:ascii="Calibri" w:hAnsi="Calibri"/>
      <w:sz w:val="24"/>
    </w:rPr>
  </w:style>
  <w:style w:type="paragraph" w:customStyle="1" w:styleId="49">
    <w:name w:val="Revision"/>
    <w:hidden/>
    <w:unhideWhenUsed/>
    <w:qFormat/>
    <w:uiPriority w:val="99"/>
    <w:rPr>
      <w:rFonts w:asciiTheme="minorHAnsi" w:hAnsiTheme="minorHAnsi" w:eastAsiaTheme="minorEastAsia" w:cstheme="minorBidi"/>
      <w:sz w:val="22"/>
      <w:szCs w:val="22"/>
      <w:lang w:val="en-US" w:eastAsia="en-US" w:bidi="ar-SA"/>
    </w:rPr>
  </w:style>
  <w:style w:type="character" w:customStyle="1" w:styleId="50">
    <w:name w:val="标题 3 字符"/>
    <w:basedOn w:val="16"/>
    <w:link w:val="4"/>
    <w:qFormat/>
    <w:uiPriority w:val="9"/>
    <w:rPr>
      <w:rFonts w:asciiTheme="minorHAnsi" w:hAnsiTheme="minorHAnsi" w:eastAsiaTheme="minorEastAsia" w:cstheme="minorBidi"/>
      <w:b/>
      <w:bCs/>
      <w:sz w:val="32"/>
      <w:szCs w:val="32"/>
      <w:lang w:eastAsia="en-US"/>
    </w:rPr>
  </w:style>
  <w:style w:type="paragraph" w:customStyle="1" w:styleId="51">
    <w:name w:val="表格内文字"/>
    <w:basedOn w:val="1"/>
    <w:qFormat/>
    <w:uiPriority w:val="0"/>
    <w:pPr>
      <w:widowControl/>
      <w:spacing w:line="240" w:lineRule="auto"/>
      <w:ind w:firstLine="0" w:firstLineChars="0"/>
      <w:jc w:val="left"/>
      <w:textAlignment w:val="center"/>
    </w:pPr>
    <w:rPr>
      <w:rFonts w:hint="default" w:ascii="Times New Roman" w:hAnsi="Times New Roman" w:eastAsia="宋体" w:cs="宋体"/>
      <w:color w:val="000000" w:themeColor="text1"/>
      <w:sz w:val="18"/>
      <w:szCs w:val="18"/>
      <w:u w:val="none"/>
      <w:lang w:eastAsia="zh-CN" w:bidi="ar"/>
      <w14:textFill>
        <w14:solidFill>
          <w14:schemeClr w14:val="tx1"/>
        </w14:solidFill>
      </w14:textFill>
    </w:rPr>
  </w:style>
  <w:style w:type="paragraph" w:customStyle="1" w:styleId="52">
    <w:name w:val="Table Text"/>
    <w:basedOn w:val="1"/>
    <w:semiHidden/>
    <w:qFormat/>
    <w:uiPriority w:val="0"/>
    <w:rPr>
      <w:rFonts w:ascii="微软雅黑" w:hAnsi="微软雅黑" w:eastAsia="微软雅黑" w:cs="微软雅黑"/>
      <w:sz w:val="16"/>
      <w:szCs w:val="16"/>
      <w:lang w:val="en-US" w:eastAsia="en-US" w:bidi="ar-SA"/>
    </w:rPr>
  </w:style>
  <w:style w:type="table" w:customStyle="1" w:styleId="53">
    <w:name w:val="Table Normal"/>
    <w:semiHidden/>
    <w:unhideWhenUsed/>
    <w:qFormat/>
    <w:uiPriority w:val="0"/>
    <w:tblPr>
      <w:tblCellMar>
        <w:top w:w="0" w:type="dxa"/>
        <w:left w:w="0" w:type="dxa"/>
        <w:bottom w:w="0" w:type="dxa"/>
        <w:right w:w="0" w:type="dxa"/>
      </w:tblCellMar>
    </w:tblPr>
  </w:style>
  <w:style w:type="paragraph" w:customStyle="1" w:styleId="54">
    <w:name w:val="列出段落1"/>
    <w:basedOn w:val="1"/>
    <w:qFormat/>
    <w:uiPriority w:val="34"/>
    <w:pPr>
      <w:ind w:firstLine="420"/>
    </w:pPr>
  </w:style>
  <w:style w:type="character" w:customStyle="1" w:styleId="55">
    <w:name w:val="font61"/>
    <w:basedOn w:val="16"/>
    <w:qFormat/>
    <w:uiPriority w:val="0"/>
    <w:rPr>
      <w:rFonts w:hint="default" w:ascii="Arial" w:hAnsi="Arial" w:cs="Arial"/>
      <w:color w:val="000000"/>
      <w:sz w:val="24"/>
      <w:szCs w:val="24"/>
      <w:u w:val="none"/>
    </w:rPr>
  </w:style>
  <w:style w:type="character" w:customStyle="1" w:styleId="56">
    <w:name w:val="font41"/>
    <w:basedOn w:val="16"/>
    <w:qFormat/>
    <w:uiPriority w:val="0"/>
    <w:rPr>
      <w:rFonts w:hint="default" w:ascii="楷体_GB2312" w:eastAsia="楷体_GB2312" w:cs="楷体_GB2312"/>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9A967-E640-4650-8BDA-5D0E58BAB7BE}">
  <ds:schemaRefs/>
</ds:datastoreItem>
</file>

<file path=docProps/app.xml><?xml version="1.0" encoding="utf-8"?>
<Properties xmlns="http://schemas.openxmlformats.org/officeDocument/2006/extended-properties" xmlns:vt="http://schemas.openxmlformats.org/officeDocument/2006/docPropsVTypes">
  <Template>Normal.dotm</Template>
  <Pages>64</Pages>
  <Words>23304</Words>
  <Characters>25675</Characters>
  <Lines>425</Lines>
  <Paragraphs>119</Paragraphs>
  <TotalTime>1</TotalTime>
  <ScaleCrop>false</ScaleCrop>
  <LinksUpToDate>false</LinksUpToDate>
  <CharactersWithSpaces>26539</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2025-06-23T07:36:00Z</dcterms:created>
  <dc:creator>喻 寒</dc:creator>
  <cp:lastModifiedBy>zhangjg35</cp:lastModifiedBy>
  <dcterms:modified xsi:type="dcterms:W3CDTF">2026-09-16T09:24:29Z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F3BEF241452744C0ADFEEEBE7CA99A77_13</vt:lpwstr>
  </property>
  <property fmtid="{D5CDD505-2E9C-101B-9397-08002B2CF9AE}" pid="4" name="KSOTemplateDocerSaveRecord">
    <vt:lpwstr>eyJoZGlkIjoiNWVkYWQ2OTNlYzYzYWUxMTllM2FlOGU5M2U4NjBkZWUiLCJ1c2VySWQiOiIyOTYyOTM3MzUifQ==</vt:lpwstr>
  </property>
</Properties>
</file>