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hint="eastAsia" w:ascii="宋体" w:hAnsi="宋体" w:eastAsia="宋体" w:cs="宋体"/>
          <w:b/>
          <w:bCs w:val="0"/>
          <w:sz w:val="28"/>
          <w:szCs w:val="28"/>
        </w:rPr>
      </w:pPr>
      <w:r>
        <w:rPr>
          <w:rFonts w:hint="eastAsia" w:ascii="宋体" w:hAnsi="宋体" w:eastAsia="宋体" w:cs="宋体"/>
          <w:b/>
          <w:bCs w:val="0"/>
          <w:kern w:val="44"/>
          <w:sz w:val="28"/>
          <w:szCs w:val="28"/>
        </w:rPr>
        <w:t>采办计划公告</w:t>
      </w:r>
    </w:p>
    <w:p>
      <w:pPr>
        <w:pStyle w:val="35"/>
        <w:rPr>
          <w:rFonts w:hint="eastAsia" w:ascii="宋体" w:hAnsi="宋体" w:eastAsia="宋体" w:cs="宋体"/>
          <w:b/>
          <w:bCs w:val="0"/>
          <w:sz w:val="28"/>
          <w:szCs w:val="28"/>
        </w:rPr>
      </w:pPr>
      <w:r>
        <w:rPr>
          <w:rFonts w:hint="eastAsia" w:ascii="宋体" w:hAnsi="宋体" w:eastAsia="宋体" w:cs="宋体"/>
          <w:b/>
          <w:bCs w:val="0"/>
          <w:sz w:val="28"/>
          <w:szCs w:val="28"/>
        </w:rPr>
        <w:t>窗体顶端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left"/>
        <w:rPr>
          <w:rFonts w:hint="eastAsia" w:ascii="宋体" w:hAnsi="宋体" w:eastAsia="宋体" w:cs="宋体"/>
          <w:b/>
          <w:bCs w:val="0"/>
          <w:sz w:val="28"/>
          <w:szCs w:val="28"/>
        </w:rPr>
      </w:pPr>
      <w:r>
        <w:rPr>
          <w:rFonts w:hint="eastAsia" w:ascii="宋体" w:hAnsi="宋体" w:eastAsia="宋体" w:cs="宋体"/>
          <w:b/>
          <w:bCs w:val="0"/>
          <w:color w:val="333333"/>
          <w:kern w:val="2"/>
          <w:sz w:val="28"/>
          <w:szCs w:val="28"/>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2" w:firstLineChars="200"/>
        <w:jc w:val="left"/>
        <w:rPr>
          <w:rFonts w:hint="eastAsia" w:ascii="宋体" w:hAnsi="宋体" w:eastAsia="宋体" w:cs="宋体"/>
          <w:b/>
          <w:bCs w:val="0"/>
          <w:sz w:val="28"/>
          <w:szCs w:val="28"/>
        </w:rPr>
      </w:pPr>
      <w:r>
        <w:rPr>
          <w:rFonts w:hint="eastAsia" w:ascii="宋体" w:hAnsi="宋体" w:eastAsia="宋体" w:cs="宋体"/>
          <w:b/>
          <w:bCs w:val="0"/>
          <w:color w:val="333333"/>
          <w:kern w:val="2"/>
          <w:sz w:val="28"/>
          <w:szCs w:val="28"/>
          <w:lang w:val="en-US" w:eastAsia="zh-CN" w:bidi="ar"/>
        </w:rPr>
        <w:t>为便于供应商及时了解项目采办信息，现将</w:t>
      </w:r>
      <w:r>
        <w:rPr>
          <w:rFonts w:hint="eastAsia" w:ascii="宋体" w:hAnsi="宋体" w:eastAsia="宋体" w:cs="宋体"/>
          <w:b/>
          <w:bCs w:val="0"/>
          <w:color w:val="333333"/>
          <w:kern w:val="2"/>
          <w:sz w:val="28"/>
          <w:szCs w:val="28"/>
          <w:u w:val="single"/>
          <w:lang w:val="en-US" w:eastAsia="zh-CN" w:bidi="ar"/>
        </w:rPr>
        <w:t>（海油发展-上海区域中心-</w:t>
      </w:r>
      <w:r>
        <w:rPr>
          <w:rStyle w:val="12"/>
          <w:rFonts w:hint="eastAsia" w:ascii="宋体" w:hAnsi="宋体" w:eastAsia="宋体" w:cs="宋体"/>
          <w:b/>
          <w:bCs/>
          <w:i w:val="0"/>
          <w:iCs w:val="0"/>
          <w:caps w:val="0"/>
          <w:color w:val="333333"/>
          <w:spacing w:val="0"/>
          <w:sz w:val="28"/>
          <w:szCs w:val="28"/>
          <w:u w:val="single"/>
          <w:shd w:val="clear" w:fill="FFFFFF"/>
          <w:lang w:eastAsia="zh-CN"/>
        </w:rPr>
        <w:t>常州院高性能聚酯腻子采购专有协议</w:t>
      </w:r>
      <w:r>
        <w:rPr>
          <w:rFonts w:hint="eastAsia" w:ascii="宋体" w:hAnsi="宋体" w:eastAsia="宋体" w:cs="宋体"/>
          <w:b/>
          <w:bCs w:val="0"/>
          <w:color w:val="333333"/>
          <w:kern w:val="2"/>
          <w:sz w:val="28"/>
          <w:szCs w:val="28"/>
          <w:u w:val="single"/>
          <w:lang w:val="en-US" w:eastAsia="zh-CN" w:bidi="ar"/>
        </w:rPr>
        <w:t>）</w:t>
      </w:r>
      <w:r>
        <w:rPr>
          <w:rFonts w:hint="eastAsia" w:ascii="宋体" w:hAnsi="宋体" w:eastAsia="宋体" w:cs="宋体"/>
          <w:b/>
          <w:bCs w:val="0"/>
          <w:color w:val="333333"/>
          <w:kern w:val="2"/>
          <w:sz w:val="28"/>
          <w:szCs w:val="28"/>
          <w:lang w:val="en-US" w:eastAsia="zh-CN" w:bidi="ar"/>
        </w:rPr>
        <w:t>的采办计划公开如下：</w:t>
      </w:r>
    </w:p>
    <w:tbl>
      <w:tblPr>
        <w:tblStyle w:val="9"/>
        <w:tblW w:w="91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3"/>
        <w:gridCol w:w="781"/>
        <w:gridCol w:w="1274"/>
        <w:gridCol w:w="1010"/>
        <w:gridCol w:w="4230"/>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9" w:hRule="atLeast"/>
        </w:trPr>
        <w:tc>
          <w:tcPr>
            <w:tcW w:w="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序号</w:t>
            </w:r>
          </w:p>
        </w:tc>
        <w:tc>
          <w:tcPr>
            <w:tcW w:w="78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采办包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名称</w:t>
            </w:r>
          </w:p>
        </w:tc>
        <w:tc>
          <w:tcPr>
            <w:tcW w:w="127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采购范围与主要技术指标</w:t>
            </w:r>
          </w:p>
        </w:tc>
        <w:tc>
          <w:tcPr>
            <w:tcW w:w="10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预计发标时间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p>
        </w:tc>
        <w:tc>
          <w:tcPr>
            <w:tcW w:w="423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供应商资质基本要求</w:t>
            </w:r>
          </w:p>
        </w:tc>
        <w:tc>
          <w:tcPr>
            <w:tcW w:w="13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0" w:hRule="atLeast"/>
        </w:trPr>
        <w:tc>
          <w:tcPr>
            <w:tcW w:w="563"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rPr>
            </w:pPr>
            <w:r>
              <w:rPr>
                <w:rFonts w:hint="eastAsia" w:ascii="宋体" w:hAnsi="宋体" w:eastAsia="宋体" w:cs="宋体"/>
                <w:b/>
                <w:bCs w:val="0"/>
                <w:color w:val="333333"/>
                <w:kern w:val="0"/>
                <w:sz w:val="21"/>
                <w:szCs w:val="21"/>
                <w:lang w:val="en-US" w:eastAsia="zh-CN" w:bidi="ar"/>
              </w:rPr>
              <w:t>1</w:t>
            </w:r>
          </w:p>
        </w:tc>
        <w:tc>
          <w:tcPr>
            <w:tcW w:w="781" w:type="dxa"/>
            <w:vMerge w:val="restart"/>
            <w:tcBorders>
              <w:top w:val="single" w:color="auto" w:sz="4" w:space="0"/>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常州院高性能聚酯腻子采购专有协议</w:t>
            </w:r>
          </w:p>
        </w:tc>
        <w:tc>
          <w:tcPr>
            <w:tcW w:w="1274" w:type="dxa"/>
            <w:vMerge w:val="restart"/>
            <w:tcBorders>
              <w:top w:val="single" w:color="auto" w:sz="4" w:space="0"/>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840" w:right="0" w:hanging="843" w:hangingChars="400"/>
              <w:jc w:val="left"/>
              <w:rPr>
                <w:rFonts w:hint="eastAsia" w:ascii="宋体" w:hAnsi="宋体" w:eastAsia="宋体" w:cs="宋体"/>
                <w:b/>
                <w:bCs w:val="0"/>
                <w:sz w:val="21"/>
                <w:szCs w:val="21"/>
              </w:rPr>
            </w:pPr>
            <w:r>
              <w:rPr>
                <w:rFonts w:hint="eastAsia" w:ascii="宋体" w:hAnsi="宋体" w:eastAsia="宋体" w:cs="宋体"/>
                <w:b/>
                <w:bCs w:val="0"/>
                <w:i w:val="0"/>
                <w:iCs w:val="0"/>
                <w:caps w:val="0"/>
                <w:color w:val="333333"/>
                <w:spacing w:val="0"/>
                <w:kern w:val="2"/>
                <w:sz w:val="21"/>
                <w:szCs w:val="21"/>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sz w:val="21"/>
                <w:szCs w:val="21"/>
              </w:rPr>
            </w:pPr>
            <w:r>
              <w:rPr>
                <w:rFonts w:hint="eastAsia" w:ascii="宋体" w:hAnsi="宋体" w:eastAsia="宋体" w:cs="宋体"/>
                <w:b/>
                <w:bCs w:val="0"/>
                <w:i w:val="0"/>
                <w:iCs w:val="0"/>
                <w:caps w:val="0"/>
                <w:color w:val="333333"/>
                <w:spacing w:val="0"/>
                <w:kern w:val="2"/>
                <w:sz w:val="21"/>
                <w:szCs w:val="21"/>
                <w:lang w:val="en-US" w:eastAsia="zh-CN" w:bidi="ar"/>
              </w:rPr>
              <w:t>具体内容要求见《附件技术文件》</w:t>
            </w:r>
          </w:p>
        </w:tc>
        <w:tc>
          <w:tcPr>
            <w:tcW w:w="1010" w:type="dxa"/>
            <w:vMerge w:val="restart"/>
            <w:tcBorders>
              <w:top w:val="single" w:color="auto" w:sz="4" w:space="0"/>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2026.7</w:t>
            </w:r>
          </w:p>
        </w:tc>
        <w:tc>
          <w:tcPr>
            <w:tcW w:w="423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（1）资格要求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营业执照：投标人须是中华人民共和国境内具有独立承担民事责任能力的法人 ，或具备国家认可经营资格的其他组织。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（1）投标人为企业的，应具有合法有效的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企业法人营业执照、税务登记证及组织机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构代码证或证照合一的营业执照；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（2）投标人为分公司的，应具有合法有效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的营业执照、税务登记证及组织机构代码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证或证照合一的营业执照和总公司合法授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权书。总公司与分支机构只可一家参与投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 xml:space="preserve">标，同时参与投标视为投标无效。 </w:t>
            </w:r>
          </w:p>
        </w:tc>
        <w:tc>
          <w:tcPr>
            <w:tcW w:w="1320" w:type="dxa"/>
            <w:vMerge w:val="restart"/>
            <w:tcBorders>
              <w:top w:val="single" w:color="auto" w:sz="4" w:space="0"/>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25" w:hRule="atLeast"/>
        </w:trPr>
        <w:tc>
          <w:tcPr>
            <w:tcW w:w="563"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sz w:val="21"/>
                <w:szCs w:val="21"/>
              </w:rPr>
            </w:pPr>
          </w:p>
        </w:tc>
        <w:tc>
          <w:tcPr>
            <w:tcW w:w="781"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sz w:val="21"/>
                <w:szCs w:val="21"/>
              </w:rPr>
            </w:pPr>
          </w:p>
        </w:tc>
        <w:tc>
          <w:tcPr>
            <w:tcW w:w="1274"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sz w:val="21"/>
                <w:szCs w:val="21"/>
              </w:rPr>
            </w:pPr>
          </w:p>
        </w:tc>
        <w:tc>
          <w:tcPr>
            <w:tcW w:w="1010"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423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auto"/>
                <w:spacing w:val="0"/>
                <w:kern w:val="2"/>
                <w:sz w:val="21"/>
                <w:szCs w:val="21"/>
                <w:lang w:val="en-US" w:eastAsia="zh-CN" w:bidi="ar"/>
              </w:rPr>
            </w:pPr>
            <w:r>
              <w:rPr>
                <w:rFonts w:hint="eastAsia" w:ascii="宋体" w:hAnsi="宋体" w:eastAsia="宋体" w:cs="宋体"/>
                <w:b/>
                <w:bCs w:val="0"/>
                <w:i w:val="0"/>
                <w:iCs w:val="0"/>
                <w:caps w:val="0"/>
                <w:color w:val="auto"/>
                <w:spacing w:val="0"/>
                <w:kern w:val="2"/>
                <w:sz w:val="21"/>
                <w:szCs w:val="21"/>
                <w:lang w:val="en-US" w:eastAsia="zh-CN" w:bidi="ar"/>
              </w:rPr>
              <w:t>（2）信誉要求：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A、应答人不得是最高人民法院在“信用中国”网站（</w:t>
            </w:r>
            <w:r>
              <w:rPr>
                <w:rFonts w:hint="eastAsia" w:ascii="宋体" w:hAnsi="宋体" w:eastAsia="宋体" w:cs="宋体"/>
                <w:b/>
                <w:bCs w:val="0"/>
                <w:i w:val="0"/>
                <w:iCs w:val="0"/>
                <w:caps w:val="0"/>
                <w:color w:val="333333"/>
                <w:spacing w:val="0"/>
                <w:kern w:val="2"/>
                <w:sz w:val="21"/>
                <w:szCs w:val="21"/>
                <w:lang w:val="en-US" w:eastAsia="zh-CN" w:bidi="ar"/>
              </w:rPr>
              <w:fldChar w:fldCharType="begin"/>
            </w:r>
            <w:r>
              <w:rPr>
                <w:rFonts w:hint="eastAsia" w:ascii="宋体" w:hAnsi="宋体" w:eastAsia="宋体" w:cs="宋体"/>
                <w:b/>
                <w:bCs w:val="0"/>
                <w:i w:val="0"/>
                <w:iCs w:val="0"/>
                <w:caps w:val="0"/>
                <w:color w:val="333333"/>
                <w:spacing w:val="0"/>
                <w:kern w:val="2"/>
                <w:sz w:val="21"/>
                <w:szCs w:val="21"/>
                <w:lang w:val="en-US" w:eastAsia="zh-CN" w:bidi="ar"/>
              </w:rPr>
              <w:instrText xml:space="preserve"> HYPERLINK "http://www.creditchina.gov.cn）或" </w:instrText>
            </w:r>
            <w:r>
              <w:rPr>
                <w:rFonts w:hint="eastAsia" w:ascii="宋体" w:hAnsi="宋体" w:eastAsia="宋体" w:cs="宋体"/>
                <w:b/>
                <w:bCs w:val="0"/>
                <w:i w:val="0"/>
                <w:iCs w:val="0"/>
                <w:caps w:val="0"/>
                <w:color w:val="333333"/>
                <w:spacing w:val="0"/>
                <w:kern w:val="2"/>
                <w:sz w:val="21"/>
                <w:szCs w:val="21"/>
                <w:lang w:val="en-US" w:eastAsia="zh-CN" w:bidi="ar"/>
              </w:rPr>
              <w:fldChar w:fldCharType="separate"/>
            </w:r>
            <w:r>
              <w:rPr>
                <w:rFonts w:hint="eastAsia" w:ascii="宋体" w:hAnsi="宋体" w:eastAsia="宋体" w:cs="宋体"/>
                <w:b/>
                <w:bCs w:val="0"/>
                <w:i w:val="0"/>
                <w:iCs w:val="0"/>
                <w:caps w:val="0"/>
                <w:color w:val="333333"/>
                <w:spacing w:val="0"/>
                <w:kern w:val="2"/>
                <w:sz w:val="21"/>
                <w:szCs w:val="21"/>
                <w:lang w:val="en-US" w:eastAsia="zh-CN" w:bidi="ar"/>
              </w:rPr>
              <w:t>www.creditchina.gov.cn）或“中国执行信息公开网</w:t>
            </w:r>
            <w:r>
              <w:rPr>
                <w:rFonts w:hint="eastAsia" w:ascii="宋体" w:hAnsi="宋体" w:eastAsia="宋体" w:cs="宋体"/>
                <w:b/>
                <w:bCs w:val="0"/>
                <w:i w:val="0"/>
                <w:iCs w:val="0"/>
                <w:caps w:val="0"/>
                <w:color w:val="333333"/>
                <w:spacing w:val="0"/>
                <w:kern w:val="2"/>
                <w:sz w:val="21"/>
                <w:szCs w:val="21"/>
                <w:lang w:val="en-US" w:eastAsia="zh-CN" w:bidi="ar"/>
              </w:rPr>
              <w:fldChar w:fldCharType="end"/>
            </w:r>
            <w:r>
              <w:rPr>
                <w:rFonts w:hint="eastAsia" w:ascii="宋体" w:hAnsi="宋体" w:eastAsia="宋体" w:cs="宋体"/>
                <w:b/>
                <w:bCs w:val="0"/>
                <w:i w:val="0"/>
                <w:iCs w:val="0"/>
                <w:caps w:val="0"/>
                <w:color w:val="333333"/>
                <w:spacing w:val="0"/>
                <w:kern w:val="2"/>
                <w:sz w:val="21"/>
                <w:szCs w:val="21"/>
                <w:lang w:val="en-US" w:eastAsia="zh-CN" w:bidi="ar"/>
              </w:rPr>
              <w:t>”（</w:t>
            </w:r>
            <w:r>
              <w:rPr>
                <w:rFonts w:hint="eastAsia" w:ascii="宋体" w:hAnsi="宋体" w:eastAsia="宋体" w:cs="宋体"/>
                <w:b/>
                <w:bCs w:val="0"/>
                <w:i w:val="0"/>
                <w:iCs w:val="0"/>
                <w:caps w:val="0"/>
                <w:color w:val="333333"/>
                <w:spacing w:val="0"/>
                <w:kern w:val="2"/>
                <w:sz w:val="21"/>
                <w:szCs w:val="21"/>
                <w:lang w:val="en-US" w:eastAsia="zh-CN" w:bidi="ar"/>
              </w:rPr>
              <w:fldChar w:fldCharType="begin"/>
            </w:r>
            <w:r>
              <w:rPr>
                <w:rFonts w:hint="eastAsia" w:ascii="宋体" w:hAnsi="宋体" w:eastAsia="宋体" w:cs="宋体"/>
                <w:b/>
                <w:bCs w:val="0"/>
                <w:i w:val="0"/>
                <w:iCs w:val="0"/>
                <w:caps w:val="0"/>
                <w:color w:val="333333"/>
                <w:spacing w:val="0"/>
                <w:kern w:val="2"/>
                <w:sz w:val="21"/>
                <w:szCs w:val="21"/>
                <w:lang w:val="en-US" w:eastAsia="zh-CN" w:bidi="ar"/>
              </w:rPr>
              <w:instrText xml:space="preserve"> HYPERLINK "http://zxgk.court.gov.cn/）列入失信被执行人名单（应附查询结果复印件并加盖单位章" </w:instrText>
            </w:r>
            <w:r>
              <w:rPr>
                <w:rFonts w:hint="eastAsia" w:ascii="宋体" w:hAnsi="宋体" w:eastAsia="宋体" w:cs="宋体"/>
                <w:b/>
                <w:bCs w:val="0"/>
                <w:i w:val="0"/>
                <w:iCs w:val="0"/>
                <w:caps w:val="0"/>
                <w:color w:val="333333"/>
                <w:spacing w:val="0"/>
                <w:kern w:val="2"/>
                <w:sz w:val="21"/>
                <w:szCs w:val="21"/>
                <w:lang w:val="en-US" w:eastAsia="zh-CN" w:bidi="ar"/>
              </w:rPr>
              <w:fldChar w:fldCharType="separate"/>
            </w:r>
            <w:r>
              <w:rPr>
                <w:rFonts w:hint="eastAsia" w:ascii="宋体" w:hAnsi="宋体" w:eastAsia="宋体" w:cs="宋体"/>
                <w:b/>
                <w:bCs w:val="0"/>
                <w:i w:val="0"/>
                <w:iCs w:val="0"/>
                <w:caps w:val="0"/>
                <w:color w:val="333333"/>
                <w:spacing w:val="0"/>
                <w:kern w:val="2"/>
                <w:sz w:val="21"/>
                <w:szCs w:val="21"/>
                <w:lang w:val="en-US" w:eastAsia="zh-CN" w:bidi="ar"/>
              </w:rPr>
              <w:t>http://zxgk.court.gov.cn/）列入失信被执行人名单（应附查询结果复印件并加盖单位章</w:t>
            </w:r>
            <w:r>
              <w:rPr>
                <w:rFonts w:hint="eastAsia" w:ascii="宋体" w:hAnsi="宋体" w:eastAsia="宋体" w:cs="宋体"/>
                <w:b/>
                <w:bCs w:val="0"/>
                <w:i w:val="0"/>
                <w:iCs w:val="0"/>
                <w:caps w:val="0"/>
                <w:color w:val="333333"/>
                <w:spacing w:val="0"/>
                <w:kern w:val="2"/>
                <w:sz w:val="21"/>
                <w:szCs w:val="21"/>
                <w:lang w:val="en-US" w:eastAsia="zh-CN" w:bidi="ar"/>
              </w:rPr>
              <w:fldChar w:fldCharType="end"/>
            </w:r>
            <w:r>
              <w:rPr>
                <w:rFonts w:hint="eastAsia" w:ascii="宋体" w:hAnsi="宋体" w:eastAsia="宋体" w:cs="宋体"/>
                <w:b/>
                <w:bCs w:val="0"/>
                <w:i w:val="0"/>
                <w:iCs w:val="0"/>
                <w:caps w:val="0"/>
                <w:color w:val="333333"/>
                <w:spacing w:val="0"/>
                <w:kern w:val="2"/>
                <w:sz w:val="21"/>
                <w:szCs w:val="21"/>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2.近3年（2023年1月1日-报价截止日前）内应答人或其法定代表人、拟委任的项目负责人不得有行贿犯罪行为（应附查询结果复印件并加盖单位章，查询网站为“中国裁判文书网”http://wenshu.court.gov.cn）；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3.应答人不得被工商行政管理机关在全国企业信用信息公示系统（http://www.gsxt.gov.cn）中列入严重违法失信企业名单（应附查询结果复印件并加盖单位章）；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4.应答人与本采购项目其他应答人不得存在控股关系或管理关系、单位负责人为同一人的情形。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5.应答人在《中国海洋石油集团有限公司采办业务管理与交易系统》填报供应商注册信息，并在注册审核通过后，方可具备参与采办业务的基本资格，未通过注册审核的应答人应答均视为无效。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6.应答人应在应答文件中提供其公司章程或其他能够体现出资人、股东信息的法定文件，作为评标/评审时的依据。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7.应答人承诺：中国海油在职员工（不含正式派出的）未有在投标人单位担任股东、法人代表、董事、监事和其他任职人员的情形。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8.应答人承诺：与本采购项目其他应答人不存在控股关系或管理关系、单位负责人为同一人的情形。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1320"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89" w:hRule="atLeast"/>
        </w:trPr>
        <w:tc>
          <w:tcPr>
            <w:tcW w:w="563"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781"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1274"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1010"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423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pPr>
            <w:r>
              <w:rPr>
                <w:rStyle w:val="12"/>
                <w:rFonts w:hint="eastAsia" w:ascii="宋体" w:hAnsi="宋体" w:eastAsia="宋体" w:cs="宋体"/>
                <w:b/>
                <w:bCs/>
                <w:i w:val="0"/>
                <w:iCs w:val="0"/>
                <w:caps w:val="0"/>
                <w:spacing w:val="0"/>
                <w:kern w:val="0"/>
                <w:sz w:val="21"/>
                <w:szCs w:val="21"/>
                <w:lang w:val="en-US" w:eastAsia="zh-CN" w:bidi="ar"/>
              </w:rPr>
              <w:t>（3）</w:t>
            </w:r>
            <w:r>
              <w:rPr>
                <w:rStyle w:val="12"/>
                <w:rFonts w:hint="eastAsia" w:ascii="宋体" w:hAnsi="宋体" w:eastAsia="宋体" w:cs="宋体"/>
                <w:b/>
                <w:bCs/>
                <w:i w:val="0"/>
                <w:iCs w:val="0"/>
                <w:caps w:val="0"/>
                <w:color w:val="333333"/>
                <w:spacing w:val="0"/>
                <w:kern w:val="0"/>
                <w:sz w:val="21"/>
                <w:szCs w:val="21"/>
                <w:lang w:val="en-US" w:eastAsia="zh-CN" w:bidi="ar"/>
              </w:rPr>
              <w:t>制造商、代理商、贸易商要求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pPr>
            <w:r>
              <w:rPr>
                <w:rStyle w:val="12"/>
                <w:rFonts w:hint="eastAsia" w:ascii="宋体" w:hAnsi="宋体" w:eastAsia="宋体" w:cs="宋体"/>
                <w:b/>
                <w:bCs/>
                <w:i w:val="0"/>
                <w:iCs w:val="0"/>
                <w:caps w:val="0"/>
                <w:color w:val="333333"/>
                <w:spacing w:val="0"/>
                <w:kern w:val="0"/>
                <w:sz w:val="21"/>
                <w:szCs w:val="21"/>
                <w:lang w:val="en-US" w:eastAsia="zh-CN" w:bidi="ar"/>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sym w:font="Wingdings 2" w:char="00A3"/>
            </w:r>
            <w:r>
              <w:rPr>
                <w:rStyle w:val="12"/>
                <w:rFonts w:hint="eastAsia" w:ascii="宋体" w:hAnsi="宋体" w:eastAsia="宋体" w:cs="宋体"/>
                <w:b/>
                <w:bCs/>
                <w:i w:val="0"/>
                <w:iCs w:val="0"/>
                <w:caps w:val="0"/>
                <w:color w:val="333333"/>
                <w:spacing w:val="0"/>
                <w:kern w:val="0"/>
                <w:sz w:val="21"/>
                <w:szCs w:val="21"/>
                <w:lang w:val="en-US" w:eastAsia="zh-CN" w:bidi="ar"/>
              </w:rPr>
              <w:t>贸易商，承诺满足以下条件：</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1）我司承诺承揽中国海油的业务量与其资质能力、财务状况、质量保障能力相匹配。</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2) 我司承诺具有获取产品的渠道能力，且产品质量优良。</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3）我司承诺自有社保人数≥5人，可提供近个三月连续社保证明。</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4）我司承诺中国海油不是我司唯一服务客户，我司具有中国海油外业绩，且为近三年内已完成业绩，并可提供原件合同及发票备查。</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□代理商，承诺满足以下条件：</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1）我司承诺承揽中国海油的业务量与其资质能力、财务状况、质量保障能力相匹配。</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2) 我司承诺具有获取产品的渠道能力，且产品质量优良。</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3）我司承诺自有社保人数≥5人，可提供近三月连续社保证明。</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t>4）我司承诺中国海油不是我司唯一服务客户，我司具有中国海油外业绩，且为近三年内已完成业绩，并可提供原件合同及发票备查。</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jc w:val="left"/>
              <w:textAlignment w:val="auto"/>
            </w:pPr>
            <w:r>
              <w:rPr>
                <w:rStyle w:val="12"/>
                <w:rFonts w:hint="eastAsia" w:ascii="宋体" w:hAnsi="宋体" w:eastAsia="宋体" w:cs="宋体"/>
                <w:b/>
                <w:bCs/>
                <w:i w:val="0"/>
                <w:iCs w:val="0"/>
                <w:caps w:val="0"/>
                <w:spacing w:val="0"/>
                <w:kern w:val="0"/>
                <w:sz w:val="21"/>
                <w:szCs w:val="21"/>
                <w:lang w:val="en-US" w:eastAsia="zh-CN" w:bidi="ar"/>
              </w:rPr>
              <w:t> </w:t>
            </w:r>
          </w:p>
          <w:p>
            <w:pPr>
              <w:rPr>
                <w:rFonts w:hint="eastAsia" w:ascii="宋体" w:hAnsi="宋体" w:eastAsia="宋体" w:cs="宋体"/>
                <w:b/>
                <w:bCs w:val="0"/>
                <w:i w:val="0"/>
                <w:iCs w:val="0"/>
                <w:caps w:val="0"/>
                <w:color w:val="333333"/>
                <w:spacing w:val="0"/>
                <w:kern w:val="2"/>
                <w:sz w:val="21"/>
                <w:szCs w:val="21"/>
                <w:lang w:val="en-US" w:eastAsia="zh-CN" w:bidi="ar"/>
              </w:rPr>
            </w:pPr>
            <w:r>
              <w:rPr>
                <w:rStyle w:val="12"/>
                <w:rFonts w:hint="eastAsia" w:ascii="宋体" w:hAnsi="宋体" w:eastAsia="宋体" w:cs="宋体"/>
                <w:b/>
                <w:bCs/>
                <w:i w:val="0"/>
                <w:iCs w:val="0"/>
                <w:caps w:val="0"/>
                <w:color w:val="333333"/>
                <w:spacing w:val="0"/>
                <w:kern w:val="0"/>
                <w:sz w:val="21"/>
                <w:szCs w:val="21"/>
                <w:lang w:val="en-US" w:eastAsia="zh-CN" w:bidi="ar"/>
              </w:rPr>
              <w:sym w:font="Wingdings 2" w:char="00A3"/>
            </w:r>
            <w:r>
              <w:rPr>
                <w:rStyle w:val="12"/>
                <w:rFonts w:hint="eastAsia" w:ascii="宋体" w:hAnsi="宋体" w:eastAsia="宋体" w:cs="宋体"/>
                <w:b/>
                <w:bCs/>
                <w:i w:val="0"/>
                <w:iCs w:val="0"/>
                <w:caps w:val="0"/>
                <w:spacing w:val="0"/>
                <w:kern w:val="0"/>
                <w:sz w:val="21"/>
                <w:szCs w:val="21"/>
                <w:lang w:val="en-US" w:eastAsia="zh-CN" w:bidi="ar"/>
              </w:rPr>
              <w:t>制造商需满足：如为制造商，须填写《5.7：供应商承诺书》，并根据《5.8：制造商属性证明书》中的要求提供相关证明材料。</w:t>
            </w:r>
          </w:p>
        </w:tc>
        <w:tc>
          <w:tcPr>
            <w:tcW w:w="1320" w:type="dxa"/>
            <w:vMerge w:val="continue"/>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70" w:hRule="atLeast"/>
        </w:trPr>
        <w:tc>
          <w:tcPr>
            <w:tcW w:w="563" w:type="dxa"/>
            <w:tcBorders>
              <w:left w:val="single" w:color="auto" w:sz="4" w:space="0"/>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781" w:type="dxa"/>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1274" w:type="dxa"/>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1010" w:type="dxa"/>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bCs w:val="0"/>
                <w:i w:val="0"/>
                <w:iCs w:val="0"/>
                <w:caps w:val="0"/>
                <w:color w:val="333333"/>
                <w:spacing w:val="0"/>
                <w:kern w:val="2"/>
                <w:sz w:val="21"/>
                <w:szCs w:val="21"/>
                <w:lang w:val="en-US" w:eastAsia="zh-CN" w:bidi="ar"/>
              </w:rPr>
            </w:pPr>
          </w:p>
        </w:tc>
        <w:tc>
          <w:tcPr>
            <w:tcW w:w="4230" w:type="dxa"/>
            <w:tcBorders>
              <w:top w:val="single" w:color="auto" w:sz="4" w:space="0"/>
              <w:left w:val="nil"/>
              <w:bottom w:val="single" w:color="auto" w:sz="4" w:space="0"/>
              <w:right w:val="single" w:color="auto" w:sz="4" w:space="0"/>
            </w:tcBorders>
            <w:shd w:val="clear" w:color="auto" w:fill="auto"/>
            <w:vAlign w:val="center"/>
          </w:tcPr>
          <w:p>
            <w:pPr>
              <w:pStyle w:val="5"/>
              <w:keepNext w:val="0"/>
              <w:keepLines w:val="0"/>
              <w:pageBreakBefore w:val="0"/>
              <w:widowControl w:val="0"/>
              <w:numPr>
                <w:numId w:val="0"/>
              </w:numPr>
              <w:kinsoku/>
              <w:wordWrap/>
              <w:overflowPunct/>
              <w:topLinePunct w:val="0"/>
              <w:autoSpaceDE/>
              <w:autoSpaceDN/>
              <w:bidi w:val="0"/>
              <w:adjustRightInd/>
              <w:snapToGrid/>
              <w:spacing w:line="360" w:lineRule="auto"/>
              <w:ind w:right="125" w:rightChars="0"/>
              <w:textAlignment w:val="auto"/>
              <w:rPr>
                <w:rStyle w:val="12"/>
                <w:rFonts w:hint="eastAsia" w:ascii="宋体" w:hAnsi="宋体" w:eastAsia="宋体" w:cs="宋体"/>
                <w:b/>
                <w:bCs/>
                <w:i w:val="0"/>
                <w:iCs w:val="0"/>
                <w:caps w:val="0"/>
                <w:color w:val="333333"/>
                <w:spacing w:val="0"/>
                <w:kern w:val="0"/>
                <w:sz w:val="21"/>
                <w:szCs w:val="21"/>
                <w:lang w:val="en-US" w:eastAsia="zh-CN" w:bidi="ar"/>
              </w:rPr>
            </w:pPr>
            <w:r>
              <w:rPr>
                <w:rStyle w:val="12"/>
                <w:rFonts w:hint="eastAsia" w:ascii="宋体" w:hAnsi="宋体" w:eastAsia="宋体" w:cs="宋体"/>
                <w:i w:val="0"/>
                <w:iCs w:val="0"/>
                <w:caps w:val="0"/>
                <w:spacing w:val="0"/>
                <w:kern w:val="0"/>
                <w:sz w:val="21"/>
                <w:szCs w:val="21"/>
                <w:lang w:val="en-US" w:eastAsia="zh-CN" w:bidi="ar"/>
              </w:rPr>
              <w:t>供应商出具满足产品技术参数的检验报告或合格证且提供承诺书（承诺所出具的检验报告或合格证真实无误），未出具检验报告或合格证以及未提供承诺书的的视为技术评议不通过；</w:t>
            </w:r>
          </w:p>
        </w:tc>
        <w:tc>
          <w:tcPr>
            <w:tcW w:w="1320" w:type="dxa"/>
            <w:tcBorders>
              <w:left w:val="nil"/>
              <w:right w:val="single" w:color="auto" w:sz="4"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b/>
                <w:bCs w:val="0"/>
                <w:i w:val="0"/>
                <w:iCs w:val="0"/>
                <w:caps w:val="0"/>
                <w:color w:val="333333"/>
                <w:spacing w:val="0"/>
                <w:kern w:val="2"/>
                <w:sz w:val="21"/>
                <w:szCs w:val="21"/>
                <w:lang w:val="en-US" w:eastAsia="zh-CN" w:bidi="ar"/>
              </w:rPr>
            </w:pPr>
            <w:r>
              <w:rPr>
                <w:rFonts w:hint="eastAsia" w:ascii="宋体" w:hAnsi="宋体" w:eastAsia="宋体" w:cs="宋体"/>
                <w:b/>
                <w:bCs w:val="0"/>
                <w:i w:val="0"/>
                <w:iCs w:val="0"/>
                <w:caps w:val="0"/>
                <w:color w:val="333333"/>
                <w:spacing w:val="0"/>
                <w:kern w:val="2"/>
                <w:sz w:val="21"/>
                <w:szCs w:val="21"/>
                <w:lang w:val="en-US" w:eastAsia="zh-CN" w:bidi="ar"/>
              </w:rPr>
              <w:t>反馈是提供！</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color w:val="333333"/>
          <w:kern w:val="2"/>
          <w:sz w:val="24"/>
          <w:szCs w:val="24"/>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color w:val="333333"/>
          <w:kern w:val="2"/>
          <w:sz w:val="21"/>
          <w:szCs w:val="21"/>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b/>
          <w:bCs/>
          <w:color w:val="333333"/>
          <w:kern w:val="2"/>
          <w:sz w:val="24"/>
          <w:szCs w:val="24"/>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firstLineChars="200"/>
        <w:rPr>
          <w:rFonts w:hint="eastAsia" w:ascii="宋体" w:hAnsi="宋体" w:eastAsia="宋体" w:cs="宋体"/>
          <w:b/>
          <w:bCs/>
          <w:sz w:val="24"/>
          <w:szCs w:val="24"/>
          <w:lang w:val="en-US" w:eastAsia="zh-CN"/>
        </w:rPr>
      </w:pPr>
      <w:r>
        <w:rPr>
          <w:rFonts w:hint="eastAsia" w:ascii="宋体" w:hAnsi="宋体" w:eastAsia="宋体" w:cs="宋体"/>
          <w:b/>
          <w:bCs/>
          <w:color w:val="333333"/>
          <w:kern w:val="2"/>
          <w:sz w:val="24"/>
          <w:szCs w:val="24"/>
          <w:lang w:val="en-US" w:eastAsia="zh-CN" w:bidi="ar"/>
        </w:rPr>
        <w:t>本次报价允许制造商、贸易商、代理商参与。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976" w:firstLine="482" w:firstLineChars="200"/>
        <w:jc w:val="left"/>
        <w:rPr>
          <w:rFonts w:hint="eastAsia" w:ascii="宋体" w:hAnsi="宋体" w:eastAsia="宋体" w:cs="宋体"/>
          <w:b/>
          <w:bCs/>
          <w:sz w:val="24"/>
          <w:szCs w:val="24"/>
        </w:rPr>
      </w:pPr>
      <w:r>
        <w:rPr>
          <w:rFonts w:hint="eastAsia" w:ascii="宋体" w:hAnsi="宋体" w:eastAsia="宋体" w:cs="宋体"/>
          <w:b/>
          <w:bCs/>
          <w:color w:val="333333"/>
          <w:kern w:val="2"/>
          <w:sz w:val="24"/>
          <w:szCs w:val="24"/>
          <w:lang w:val="en-US" w:eastAsia="zh-CN" w:bidi="ar"/>
        </w:rPr>
        <w:t>本次公开的采办计划是本项目采办工作的初步安排，实际采购应以相关采购公告和采购文件为准，所有提供和反馈的信息只作为项目</w:t>
      </w:r>
      <w:bookmarkStart w:id="0" w:name="_GoBack"/>
      <w:bookmarkEnd w:id="0"/>
      <w:r>
        <w:rPr>
          <w:rFonts w:hint="eastAsia" w:ascii="宋体" w:hAnsi="宋体" w:eastAsia="宋体" w:cs="宋体"/>
          <w:b/>
          <w:bCs/>
          <w:color w:val="333333"/>
          <w:kern w:val="2"/>
          <w:sz w:val="24"/>
          <w:szCs w:val="24"/>
          <w:lang w:val="en-US" w:eastAsia="zh-CN" w:bidi="ar"/>
        </w:rPr>
        <w:t>采办参考。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482" w:firstLineChars="200"/>
        <w:jc w:val="left"/>
        <w:rPr>
          <w:rFonts w:hint="eastAsia" w:ascii="宋体" w:hAnsi="宋体" w:eastAsia="宋体" w:cs="宋体"/>
          <w:b/>
          <w:bCs/>
          <w:color w:val="333333"/>
          <w:kern w:val="2"/>
          <w:sz w:val="24"/>
          <w:szCs w:val="24"/>
          <w:lang w:val="en-US" w:eastAsia="zh-CN" w:bidi="ar"/>
        </w:rPr>
      </w:pPr>
      <w:r>
        <w:rPr>
          <w:rFonts w:hint="eastAsia" w:ascii="宋体" w:hAnsi="宋体" w:eastAsia="宋体" w:cs="宋体"/>
          <w:b/>
          <w:bCs/>
          <w:color w:val="333333"/>
          <w:kern w:val="2"/>
          <w:sz w:val="24"/>
          <w:szCs w:val="24"/>
          <w:lang w:val="en-US" w:eastAsia="zh-CN" w:bidi="ar"/>
        </w:rPr>
        <w:t>本次公告有效期是（2026年6月29日）至（2026年7月3日）止。在此期间，有意参与的系统用户可在集团公司采办系统中提交反馈材料。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color w:val="333333"/>
          <w:kern w:val="2"/>
          <w:sz w:val="24"/>
          <w:szCs w:val="24"/>
          <w:lang w:val="en-US" w:eastAsia="zh-CN" w:bidi="ar"/>
        </w:rPr>
      </w:pPr>
      <w:r>
        <w:rPr>
          <w:rFonts w:hint="eastAsia" w:ascii="宋体" w:hAnsi="宋体" w:eastAsia="宋体" w:cs="宋体"/>
          <w:b/>
          <w:bCs/>
          <w:color w:val="333333"/>
          <w:kern w:val="2"/>
          <w:sz w:val="24"/>
          <w:szCs w:val="24"/>
          <w:lang w:val="en-US" w:eastAsia="zh-CN" w:bidi="ar"/>
        </w:rPr>
        <w:t>如对上述公开内容真实、有效性存疑，请拨打社会监督电话：022-25802262，其他事项不受理！</w:t>
      </w:r>
    </w:p>
    <w:p>
      <w:pPr>
        <w:pStyle w:val="8"/>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jc w:val="left"/>
        <w:rPr>
          <w:rFonts w:hint="eastAsia" w:ascii="宋体" w:hAnsi="宋体" w:eastAsia="宋体" w:cs="宋体"/>
          <w:b/>
          <w:bCs/>
          <w:sz w:val="24"/>
          <w:szCs w:val="24"/>
        </w:rPr>
      </w:pPr>
      <w:r>
        <w:rPr>
          <w:rFonts w:hint="eastAsia" w:ascii="宋体" w:hAnsi="宋体" w:eastAsia="宋体" w:cs="宋体"/>
          <w:b/>
          <w:bCs/>
          <w:color w:val="333333"/>
          <w:kern w:val="2"/>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320" w:firstLine="960"/>
        <w:jc w:val="right"/>
        <w:rPr>
          <w:rFonts w:hint="eastAsia" w:ascii="宋体" w:hAnsi="宋体" w:eastAsia="宋体" w:cs="宋体"/>
          <w:b/>
          <w:bCs/>
          <w:sz w:val="24"/>
          <w:szCs w:val="24"/>
        </w:rPr>
      </w:pPr>
      <w:r>
        <w:rPr>
          <w:rFonts w:hint="eastAsia" w:ascii="宋体" w:hAnsi="宋体" w:eastAsia="宋体" w:cs="宋体"/>
          <w:b/>
          <w:bCs/>
          <w:i w:val="0"/>
          <w:iCs w:val="0"/>
          <w:caps w:val="0"/>
          <w:color w:val="333333"/>
          <w:spacing w:val="0"/>
          <w:kern w:val="0"/>
          <w:sz w:val="24"/>
          <w:szCs w:val="24"/>
          <w:lang w:val="en-US" w:eastAsia="zh-CN" w:bidi="ar"/>
        </w:rPr>
        <w:t>中海油能源发展股份有限公司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320" w:firstLine="960"/>
        <w:jc w:val="right"/>
        <w:rPr>
          <w:rFonts w:hint="eastAsia" w:ascii="宋体" w:hAnsi="宋体" w:eastAsia="宋体" w:cs="宋体"/>
          <w:b/>
          <w:bCs/>
          <w:sz w:val="24"/>
          <w:szCs w:val="24"/>
        </w:rPr>
      </w:pPr>
      <w:r>
        <w:rPr>
          <w:rFonts w:hint="eastAsia" w:ascii="宋体" w:hAnsi="宋体" w:eastAsia="宋体" w:cs="宋体"/>
          <w:b/>
          <w:bCs/>
          <w:i w:val="0"/>
          <w:iCs w:val="0"/>
          <w:caps w:val="0"/>
          <w:color w:val="333333"/>
          <w:spacing w:val="0"/>
          <w:kern w:val="0"/>
          <w:sz w:val="24"/>
          <w:szCs w:val="24"/>
          <w:lang w:val="en-US" w:eastAsia="zh-CN" w:bidi="ar"/>
        </w:rPr>
        <w:t>采办共享中心</w:t>
      </w:r>
      <w:r>
        <w:rPr>
          <w:rFonts w:hint="eastAsia" w:ascii="宋体" w:hAnsi="宋体" w:eastAsia="宋体" w:cs="宋体"/>
          <w:b/>
          <w:bCs/>
          <w:vanish/>
          <w:color w:val="333333"/>
          <w:kern w:val="2"/>
          <w:sz w:val="24"/>
          <w:szCs w:val="24"/>
        </w:rPr>
        <w:t>窗体顶端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320" w:firstLine="960"/>
        <w:jc w:val="right"/>
        <w:rPr>
          <w:rFonts w:hint="default" w:ascii="宋体" w:hAnsi="宋体" w:eastAsia="宋体" w:cs="宋体"/>
          <w:b/>
          <w:bCs/>
          <w:i w:val="0"/>
          <w:iCs w:val="0"/>
          <w:caps w:val="0"/>
          <w:color w:val="333333"/>
          <w:spacing w:val="0"/>
          <w:kern w:val="0"/>
          <w:sz w:val="24"/>
          <w:szCs w:val="24"/>
          <w:lang w:val="en-US" w:eastAsia="zh-CN" w:bidi="ar"/>
        </w:rPr>
      </w:pPr>
      <w:r>
        <w:rPr>
          <w:rFonts w:hint="eastAsia" w:ascii="宋体" w:hAnsi="宋体" w:eastAsia="宋体" w:cs="宋体"/>
          <w:b/>
          <w:bCs/>
          <w:i w:val="0"/>
          <w:iCs w:val="0"/>
          <w:caps w:val="0"/>
          <w:color w:val="333333"/>
          <w:spacing w:val="0"/>
          <w:kern w:val="0"/>
          <w:sz w:val="24"/>
          <w:szCs w:val="24"/>
          <w:lang w:val="en-US" w:eastAsia="zh-CN" w:bidi="ar"/>
        </w:rPr>
        <w:t>联系人：王红红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320" w:firstLine="960"/>
        <w:jc w:val="right"/>
        <w:rPr>
          <w:rFonts w:hint="eastAsia" w:ascii="宋体" w:hAnsi="宋体" w:eastAsia="宋体" w:cs="宋体"/>
          <w:b/>
          <w:bCs/>
          <w:i w:val="0"/>
          <w:iCs w:val="0"/>
          <w:caps w:val="0"/>
          <w:color w:val="333333"/>
          <w:spacing w:val="0"/>
          <w:kern w:val="0"/>
          <w:sz w:val="24"/>
          <w:szCs w:val="24"/>
          <w:lang w:val="en-US" w:eastAsia="zh-CN" w:bidi="ar"/>
        </w:rPr>
      </w:pPr>
      <w:r>
        <w:rPr>
          <w:rFonts w:hint="eastAsia" w:ascii="宋体" w:hAnsi="宋体" w:eastAsia="宋体" w:cs="宋体"/>
          <w:b/>
          <w:bCs/>
          <w:i w:val="0"/>
          <w:iCs w:val="0"/>
          <w:caps w:val="0"/>
          <w:color w:val="333333"/>
          <w:spacing w:val="0"/>
          <w:kern w:val="0"/>
          <w:sz w:val="24"/>
          <w:szCs w:val="24"/>
          <w:lang w:val="en-US" w:eastAsia="zh-CN" w:bidi="ar"/>
        </w:rPr>
        <w:t>电话：0519-83299392</w:t>
      </w:r>
    </w:p>
    <w:p>
      <w:pPr>
        <w:pStyle w:val="8"/>
        <w:rPr>
          <w:rFonts w:hint="eastAsia" w:ascii="宋体" w:hAnsi="宋体" w:eastAsia="宋体" w:cs="宋体"/>
          <w:b/>
          <w:bCs/>
          <w:i w:val="0"/>
          <w:iCs w:val="0"/>
          <w:caps w:val="0"/>
          <w:color w:val="333333"/>
          <w:spacing w:val="0"/>
          <w:kern w:val="0"/>
          <w:sz w:val="24"/>
          <w:szCs w:val="24"/>
          <w:lang w:val="en-US" w:eastAsia="zh-CN" w:bidi="ar"/>
        </w:rPr>
      </w:pPr>
      <w:r>
        <w:rPr>
          <w:rFonts w:hint="eastAsia" w:ascii="宋体" w:hAnsi="宋体" w:eastAsia="宋体" w:cs="宋体"/>
          <w:b/>
          <w:bCs/>
          <w:i w:val="0"/>
          <w:iCs w:val="0"/>
          <w:caps w:val="0"/>
          <w:color w:val="333333"/>
          <w:spacing w:val="0"/>
          <w:kern w:val="0"/>
          <w:sz w:val="24"/>
          <w:szCs w:val="24"/>
          <w:lang w:val="en-US" w:eastAsia="zh-CN" w:bidi="ar"/>
        </w:rPr>
        <w:t xml:space="preserve">                           邮箱：wanghh31@cnooc.com.cn</w:t>
      </w:r>
    </w:p>
    <w:p>
      <w:pPr>
        <w:pStyle w:val="8"/>
        <w:rPr>
          <w:rFonts w:hint="eastAsia" w:ascii="宋体" w:hAnsi="宋体" w:eastAsia="宋体" w:cs="宋体"/>
          <w:b/>
          <w:bCs/>
          <w:sz w:val="24"/>
          <w:szCs w:val="24"/>
          <w:lang w:val="en-US"/>
        </w:rPr>
      </w:pPr>
    </w:p>
    <w:p>
      <w:pPr>
        <w:pStyle w:val="36"/>
        <w:rPr>
          <w:rFonts w:hint="eastAsia" w:ascii="宋体" w:hAnsi="宋体" w:eastAsia="宋体" w:cs="宋体"/>
          <w:b/>
          <w:bCs/>
          <w:sz w:val="24"/>
          <w:szCs w:val="24"/>
        </w:rPr>
      </w:pPr>
      <w:r>
        <w:rPr>
          <w:rFonts w:hint="eastAsia" w:ascii="宋体" w:hAnsi="宋体" w:eastAsia="宋体" w:cs="宋体"/>
          <w:b/>
          <w:bCs/>
          <w:sz w:val="24"/>
          <w:szCs w:val="24"/>
        </w:rPr>
        <w:t>窗体底端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320" w:firstLine="960"/>
        <w:jc w:val="right"/>
        <w:rPr>
          <w:rFonts w:ascii="Times New Roman" w:hAnsi="Times New Roman" w:eastAsia="仿宋_GB2312" w:cs="Times New Roman"/>
          <w:b/>
          <w:bCs w:val="0"/>
          <w:sz w:val="32"/>
          <w:szCs w:val="32"/>
        </w:rPr>
      </w:pPr>
      <w:r>
        <w:rPr>
          <w:rFonts w:ascii="Times New Roman" w:hAnsi="Times New Roman" w:eastAsia="仿宋_GB2312" w:cs="Times New Roman"/>
          <w:b/>
          <w:bCs w:val="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RlNjZiOTY5ZTYxNmEzMzQzZTgzYWQ4M2U1OTIwMTIifQ=="/>
  </w:docVars>
  <w:rsids>
    <w:rsidRoot w:val="00AE20AB"/>
    <w:rsid w:val="002E3C4A"/>
    <w:rsid w:val="004029A6"/>
    <w:rsid w:val="00AE20AB"/>
    <w:rsid w:val="00D8335B"/>
    <w:rsid w:val="00ED277A"/>
    <w:rsid w:val="0426756C"/>
    <w:rsid w:val="05D04004"/>
    <w:rsid w:val="0862593E"/>
    <w:rsid w:val="0CAB071A"/>
    <w:rsid w:val="0DCE7DDB"/>
    <w:rsid w:val="0EB50650"/>
    <w:rsid w:val="1330502F"/>
    <w:rsid w:val="136A494F"/>
    <w:rsid w:val="14796C9A"/>
    <w:rsid w:val="14B64E5B"/>
    <w:rsid w:val="15CA4DA9"/>
    <w:rsid w:val="1AAF7FB9"/>
    <w:rsid w:val="1AD854DD"/>
    <w:rsid w:val="1C085D68"/>
    <w:rsid w:val="1CC63914"/>
    <w:rsid w:val="1DAD0030"/>
    <w:rsid w:val="1EC133EC"/>
    <w:rsid w:val="1F5369F9"/>
    <w:rsid w:val="20221C64"/>
    <w:rsid w:val="2135614E"/>
    <w:rsid w:val="223F21B3"/>
    <w:rsid w:val="260062E8"/>
    <w:rsid w:val="2C685962"/>
    <w:rsid w:val="2EDA6C4B"/>
    <w:rsid w:val="31582B5A"/>
    <w:rsid w:val="33616C57"/>
    <w:rsid w:val="389D4D23"/>
    <w:rsid w:val="38AC7189"/>
    <w:rsid w:val="38DF2E5B"/>
    <w:rsid w:val="3B35302E"/>
    <w:rsid w:val="422856B9"/>
    <w:rsid w:val="43161BCF"/>
    <w:rsid w:val="45146604"/>
    <w:rsid w:val="49207A71"/>
    <w:rsid w:val="4A72177B"/>
    <w:rsid w:val="4BB778F7"/>
    <w:rsid w:val="4CF5760C"/>
    <w:rsid w:val="4F2C607D"/>
    <w:rsid w:val="4F815FEA"/>
    <w:rsid w:val="57010F6D"/>
    <w:rsid w:val="5AF17725"/>
    <w:rsid w:val="5AF46EE7"/>
    <w:rsid w:val="5C2059B1"/>
    <w:rsid w:val="5E8839B3"/>
    <w:rsid w:val="60035389"/>
    <w:rsid w:val="61107BF2"/>
    <w:rsid w:val="63434286"/>
    <w:rsid w:val="634F44C4"/>
    <w:rsid w:val="64E90A1E"/>
    <w:rsid w:val="663F57B9"/>
    <w:rsid w:val="67282DE4"/>
    <w:rsid w:val="685E62F7"/>
    <w:rsid w:val="6A680BA0"/>
    <w:rsid w:val="6B007CF6"/>
    <w:rsid w:val="6D98513C"/>
    <w:rsid w:val="6ECC6B72"/>
    <w:rsid w:val="6F3619F3"/>
    <w:rsid w:val="705436C5"/>
    <w:rsid w:val="71865732"/>
    <w:rsid w:val="73CA14AC"/>
    <w:rsid w:val="78A76975"/>
    <w:rsid w:val="79300ED3"/>
    <w:rsid w:val="79D67358"/>
    <w:rsid w:val="7AA517F5"/>
    <w:rsid w:val="7D4E1D1F"/>
    <w:rsid w:val="7E417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5"/>
    <w:unhideWhenUsed/>
    <w:qFormat/>
    <w:uiPriority w:val="99"/>
    <w:pPr>
      <w:tabs>
        <w:tab w:val="center" w:pos="4153"/>
        <w:tab w:val="right" w:pos="8306"/>
      </w:tabs>
      <w:snapToGrid w:val="0"/>
      <w:jc w:val="left"/>
    </w:pPr>
    <w:rPr>
      <w:sz w:val="18"/>
      <w:szCs w:val="18"/>
    </w:rPr>
  </w:style>
  <w:style w:type="paragraph" w:styleId="4">
    <w:name w:val="Normal Indent"/>
    <w:basedOn w:val="1"/>
    <w:next w:val="1"/>
    <w:unhideWhenUsed/>
    <w:qFormat/>
    <w:uiPriority w:val="0"/>
    <w:pPr>
      <w:widowControl w:val="0"/>
      <w:ind w:firstLine="420" w:firstLineChars="200"/>
    </w:pPr>
    <w:rPr>
      <w:rFonts w:ascii="Times New Roman" w:hAnsi="Times New Roman" w:eastAsia="宋体" w:cs="Times New Roman"/>
      <w:sz w:val="22"/>
      <w:szCs w:val="22"/>
      <w:lang w:val="en-US" w:eastAsia="en-US" w:bidi="ar-SA"/>
    </w:rPr>
  </w:style>
  <w:style w:type="paragraph" w:styleId="5">
    <w:name w:val="Body Text"/>
    <w:basedOn w:val="1"/>
    <w:next w:val="1"/>
    <w:qFormat/>
    <w:uiPriority w:val="1"/>
    <w:pPr>
      <w:spacing w:before="36"/>
      <w:ind w:left="780"/>
      <w:jc w:val="left"/>
    </w:pPr>
    <w:rPr>
      <w:rFonts w:ascii="宋体" w:hAnsi="宋体" w:eastAsia="宋体"/>
      <w:kern w:val="0"/>
      <w:szCs w:val="21"/>
      <w:lang w:eastAsia="en-US"/>
    </w:rPr>
  </w:style>
  <w:style w:type="paragraph" w:styleId="6">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8">
    <w:name w:val="Body Text First Indent"/>
    <w:basedOn w:val="5"/>
    <w:unhideWhenUsed/>
    <w:qFormat/>
    <w:uiPriority w:val="99"/>
    <w:pPr>
      <w:ind w:firstLine="567"/>
    </w:pPr>
  </w:style>
  <w:style w:type="table" w:styleId="10">
    <w:name w:val="Table Grid"/>
    <w:basedOn w:val="9"/>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FollowedHyperlink"/>
    <w:basedOn w:val="11"/>
    <w:semiHidden/>
    <w:unhideWhenUsed/>
    <w:qFormat/>
    <w:uiPriority w:val="99"/>
    <w:rPr>
      <w:color w:val="333333"/>
      <w:u w:val="none"/>
    </w:rPr>
  </w:style>
  <w:style w:type="character" w:styleId="14">
    <w:name w:val="Emphasis"/>
    <w:basedOn w:val="11"/>
    <w:qFormat/>
    <w:uiPriority w:val="20"/>
    <w:rPr>
      <w:b/>
      <w:bCs/>
    </w:rPr>
  </w:style>
  <w:style w:type="character" w:styleId="15">
    <w:name w:val="HTML Definition"/>
    <w:basedOn w:val="11"/>
    <w:semiHidden/>
    <w:unhideWhenUsed/>
    <w:qFormat/>
    <w:uiPriority w:val="99"/>
  </w:style>
  <w:style w:type="character" w:styleId="16">
    <w:name w:val="HTML Typewriter"/>
    <w:basedOn w:val="11"/>
    <w:semiHidden/>
    <w:unhideWhenUsed/>
    <w:qFormat/>
    <w:uiPriority w:val="99"/>
    <w:rPr>
      <w:rFonts w:hint="default" w:ascii="monospace" w:hAnsi="monospace" w:eastAsia="monospace" w:cs="monospace"/>
      <w:sz w:val="20"/>
    </w:rPr>
  </w:style>
  <w:style w:type="character" w:styleId="17">
    <w:name w:val="HTML Acronym"/>
    <w:basedOn w:val="11"/>
    <w:semiHidden/>
    <w:unhideWhenUsed/>
    <w:qFormat/>
    <w:uiPriority w:val="99"/>
  </w:style>
  <w:style w:type="character" w:styleId="18">
    <w:name w:val="HTML Variable"/>
    <w:basedOn w:val="11"/>
    <w:semiHidden/>
    <w:unhideWhenUsed/>
    <w:qFormat/>
    <w:uiPriority w:val="99"/>
  </w:style>
  <w:style w:type="character" w:styleId="19">
    <w:name w:val="Hyperlink"/>
    <w:basedOn w:val="11"/>
    <w:semiHidden/>
    <w:unhideWhenUsed/>
    <w:qFormat/>
    <w:uiPriority w:val="99"/>
    <w:rPr>
      <w:color w:val="333333"/>
      <w:u w:val="none"/>
    </w:rPr>
  </w:style>
  <w:style w:type="character" w:styleId="20">
    <w:name w:val="HTML Code"/>
    <w:basedOn w:val="11"/>
    <w:semiHidden/>
    <w:unhideWhenUsed/>
    <w:qFormat/>
    <w:uiPriority w:val="99"/>
    <w:rPr>
      <w:rFonts w:hint="default" w:ascii="monospace" w:hAnsi="monospace" w:eastAsia="monospace" w:cs="monospace"/>
      <w:sz w:val="20"/>
    </w:rPr>
  </w:style>
  <w:style w:type="character" w:styleId="21">
    <w:name w:val="HTML Cite"/>
    <w:basedOn w:val="11"/>
    <w:semiHidden/>
    <w:unhideWhenUsed/>
    <w:qFormat/>
    <w:uiPriority w:val="99"/>
  </w:style>
  <w:style w:type="character" w:styleId="22">
    <w:name w:val="HTML Keyboard"/>
    <w:basedOn w:val="11"/>
    <w:semiHidden/>
    <w:unhideWhenUsed/>
    <w:qFormat/>
    <w:uiPriority w:val="99"/>
    <w:rPr>
      <w:rFonts w:hint="default" w:ascii="monospace" w:hAnsi="monospace" w:eastAsia="monospace" w:cs="monospace"/>
      <w:sz w:val="20"/>
    </w:rPr>
  </w:style>
  <w:style w:type="character" w:styleId="23">
    <w:name w:val="HTML Sample"/>
    <w:basedOn w:val="11"/>
    <w:semiHidden/>
    <w:unhideWhenUsed/>
    <w:qFormat/>
    <w:uiPriority w:val="99"/>
    <w:rPr>
      <w:rFonts w:ascii="monospace" w:hAnsi="monospace" w:eastAsia="monospace" w:cs="monospace"/>
    </w:rPr>
  </w:style>
  <w:style w:type="character" w:customStyle="1" w:styleId="24">
    <w:name w:val="页眉 字符"/>
    <w:basedOn w:val="11"/>
    <w:link w:val="6"/>
    <w:qFormat/>
    <w:uiPriority w:val="99"/>
    <w:rPr>
      <w:sz w:val="18"/>
      <w:szCs w:val="18"/>
    </w:rPr>
  </w:style>
  <w:style w:type="character" w:customStyle="1" w:styleId="25">
    <w:name w:val="页脚 字符"/>
    <w:basedOn w:val="11"/>
    <w:link w:val="2"/>
    <w:qFormat/>
    <w:uiPriority w:val="99"/>
    <w:rPr>
      <w:sz w:val="18"/>
      <w:szCs w:val="18"/>
    </w:rPr>
  </w:style>
  <w:style w:type="character" w:customStyle="1" w:styleId="26">
    <w:name w:val="comboiconspanclear"/>
    <w:basedOn w:val="11"/>
    <w:qFormat/>
    <w:uiPriority w:val="0"/>
  </w:style>
  <w:style w:type="character" w:customStyle="1" w:styleId="27">
    <w:name w:val="comboiconspan"/>
    <w:basedOn w:val="11"/>
    <w:qFormat/>
    <w:uiPriority w:val="0"/>
  </w:style>
  <w:style w:type="character" w:customStyle="1" w:styleId="28">
    <w:name w:val="select"/>
    <w:basedOn w:val="11"/>
    <w:qFormat/>
    <w:uiPriority w:val="0"/>
  </w:style>
  <w:style w:type="character" w:customStyle="1" w:styleId="29">
    <w:name w:val="clear"/>
    <w:basedOn w:val="11"/>
    <w:qFormat/>
    <w:uiPriority w:val="0"/>
  </w:style>
  <w:style w:type="character" w:customStyle="1" w:styleId="30">
    <w:name w:val="ui-icon47"/>
    <w:basedOn w:val="11"/>
    <w:qFormat/>
    <w:uiPriority w:val="0"/>
  </w:style>
  <w:style w:type="paragraph" w:customStyle="1" w:styleId="31">
    <w:name w:val="_Style 26"/>
    <w:basedOn w:val="1"/>
    <w:next w:val="1"/>
    <w:qFormat/>
    <w:uiPriority w:val="0"/>
    <w:pPr>
      <w:pBdr>
        <w:bottom w:val="single" w:color="auto" w:sz="6" w:space="1"/>
      </w:pBdr>
      <w:jc w:val="center"/>
    </w:pPr>
    <w:rPr>
      <w:rFonts w:ascii="Arial" w:eastAsia="宋体"/>
      <w:vanish/>
      <w:sz w:val="16"/>
    </w:rPr>
  </w:style>
  <w:style w:type="paragraph" w:customStyle="1" w:styleId="32">
    <w:name w:val="_Style 27"/>
    <w:basedOn w:val="1"/>
    <w:next w:val="1"/>
    <w:qFormat/>
    <w:uiPriority w:val="0"/>
    <w:pPr>
      <w:pBdr>
        <w:top w:val="single" w:color="auto" w:sz="6" w:space="1"/>
      </w:pBdr>
      <w:jc w:val="center"/>
    </w:pPr>
    <w:rPr>
      <w:rFonts w:ascii="Arial" w:eastAsia="宋体"/>
      <w:vanish/>
      <w:sz w:val="16"/>
    </w:rPr>
  </w:style>
  <w:style w:type="paragraph" w:styleId="33">
    <w:name w:val="List Paragraph"/>
    <w:basedOn w:val="1"/>
    <w:qFormat/>
    <w:uiPriority w:val="34"/>
    <w:pPr>
      <w:ind w:firstLine="420" w:firstLineChars="200"/>
    </w:pPr>
  </w:style>
  <w:style w:type="character" w:customStyle="1" w:styleId="34">
    <w:name w:val="ui-icon"/>
    <w:basedOn w:val="11"/>
    <w:qFormat/>
    <w:uiPriority w:val="0"/>
  </w:style>
  <w:style w:type="paragraph" w:customStyle="1" w:styleId="35">
    <w:name w:val="_Style 31"/>
    <w:basedOn w:val="1"/>
    <w:next w:val="1"/>
    <w:qFormat/>
    <w:uiPriority w:val="0"/>
    <w:pPr>
      <w:pBdr>
        <w:bottom w:val="single" w:color="auto" w:sz="6" w:space="1"/>
      </w:pBdr>
      <w:jc w:val="center"/>
    </w:pPr>
    <w:rPr>
      <w:rFonts w:ascii="Arial" w:eastAsia="宋体"/>
      <w:vanish/>
      <w:sz w:val="16"/>
    </w:rPr>
  </w:style>
  <w:style w:type="paragraph" w:customStyle="1" w:styleId="36">
    <w:name w:val="_Style 32"/>
    <w:basedOn w:val="1"/>
    <w:next w:val="1"/>
    <w:qFormat/>
    <w:uiPriority w:val="0"/>
    <w:pPr>
      <w:pBdr>
        <w:top w:val="single" w:color="auto" w:sz="6" w:space="1"/>
      </w:pBdr>
      <w:jc w:val="center"/>
    </w:pPr>
    <w:rPr>
      <w:rFonts w:ascii="Arial" w:eastAsia="宋体"/>
      <w:vanish/>
      <w:sz w:val="16"/>
    </w:rPr>
  </w:style>
  <w:style w:type="paragraph" w:customStyle="1" w:styleId="37">
    <w:name w:val="Table Paragraph"/>
    <w:basedOn w:val="1"/>
    <w:qFormat/>
    <w:uiPriority w:val="0"/>
    <w:pPr>
      <w:jc w:val="left"/>
    </w:pPr>
    <w:rPr>
      <w:kern w:val="0"/>
      <w:sz w:val="22"/>
      <w:lang w:eastAsia="en-US"/>
    </w:rPr>
  </w:style>
  <w:style w:type="paragraph" w:customStyle="1" w:styleId="38">
    <w:name w:val="报告正文"/>
    <w:basedOn w:val="1"/>
    <w:qFormat/>
    <w:uiPriority w:val="99"/>
    <w:pPr>
      <w:adjustRightInd w:val="0"/>
      <w:snapToGrid w:val="0"/>
      <w:ind w:firstLine="560"/>
    </w:pPr>
    <w:rPr>
      <w:szCs w:val="28"/>
    </w:rPr>
  </w:style>
  <w:style w:type="character" w:customStyle="1" w:styleId="39">
    <w:name w:val="font21"/>
    <w:basedOn w:val="11"/>
    <w:qFormat/>
    <w:uiPriority w:val="0"/>
    <w:rPr>
      <w:rFonts w:hint="eastAsia" w:ascii="宋体" w:hAnsi="宋体" w:eastAsia="宋体" w:cs="宋体"/>
      <w:color w:val="000000"/>
      <w:sz w:val="22"/>
      <w:szCs w:val="22"/>
      <w:u w:val="none"/>
    </w:rPr>
  </w:style>
  <w:style w:type="character" w:customStyle="1" w:styleId="40">
    <w:name w:val="font11"/>
    <w:basedOn w:val="11"/>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750</Words>
  <Characters>803</Characters>
  <Lines>2</Lines>
  <Paragraphs>1</Paragraphs>
  <TotalTime>2</TotalTime>
  <ScaleCrop>false</ScaleCrop>
  <LinksUpToDate>false</LinksUpToDate>
  <CharactersWithSpaces>814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王红红</cp:lastModifiedBy>
  <dcterms:modified xsi:type="dcterms:W3CDTF">2026-06-29T07:03:27Z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E0DDD390ADD646098BB794C5DC637230</vt:lpwstr>
  </property>
</Properties>
</file>