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bCs/>
          <w:sz w:val="36"/>
          <w:szCs w:val="36"/>
          <w:highlight w:val="none"/>
        </w:rPr>
      </w:pPr>
      <w:bookmarkStart w:id="0" w:name="OLE_LINK33"/>
      <w:bookmarkStart w:id="1" w:name="OLE_LINK34"/>
      <w:bookmarkStart w:id="2" w:name="OLE_LINK29"/>
      <w:bookmarkStart w:id="3" w:name="OLE_LINK16"/>
      <w:bookmarkStart w:id="4" w:name="OLE_LINK25"/>
      <w:bookmarkStart w:id="5" w:name="OLE_LINK32"/>
      <w:bookmarkStart w:id="6" w:name="OLE_LINK20"/>
      <w:bookmarkStart w:id="7" w:name="OLE_LINK1"/>
      <w:bookmarkStart w:id="8" w:name="OLE_LINK15"/>
      <w:bookmarkStart w:id="9" w:name="OLE_LINK31"/>
      <w:bookmarkStart w:id="10" w:name="OLE_LINK28"/>
      <w:bookmarkStart w:id="11" w:name="OLE_LINK18"/>
      <w:bookmarkStart w:id="12" w:name="OLE_LINK30"/>
      <w:bookmarkStart w:id="13" w:name="OLE_LINK19"/>
      <w:bookmarkStart w:id="532" w:name="_GoBack"/>
      <w:bookmarkEnd w:id="532"/>
    </w:p>
    <w:p>
      <w:pPr>
        <w:widowControl w:val="0"/>
        <w:spacing w:line="360" w:lineRule="auto"/>
        <w:jc w:val="center"/>
        <w:rPr>
          <w:rFonts w:ascii="Times New Roman" w:hAnsi="Times New Roman" w:cs="Times New Roman"/>
          <w:b/>
          <w:bCs/>
          <w:kern w:val="2"/>
          <w:sz w:val="48"/>
          <w:szCs w:val="48"/>
          <w:highlight w:val="none"/>
        </w:rPr>
      </w:pPr>
      <w:bookmarkStart w:id="14" w:name="OLE_LINK24"/>
      <w:bookmarkStart w:id="15" w:name="OLE_LINK23"/>
      <w:r>
        <w:rPr>
          <w:rFonts w:ascii="Times New Roman" w:hAnsi="Times New Roman" w:cs="Times New Roman"/>
          <w:b/>
          <w:bCs/>
          <w:kern w:val="2"/>
          <w:sz w:val="48"/>
          <w:szCs w:val="48"/>
          <w:highlight w:val="none"/>
        </w:rPr>
        <w:t>年度采购协议</w:t>
      </w:r>
    </w:p>
    <w:p>
      <w:pPr>
        <w:widowControl w:val="0"/>
        <w:spacing w:line="360" w:lineRule="auto"/>
        <w:jc w:val="center"/>
        <w:rPr>
          <w:rFonts w:ascii="Times New Roman" w:hAnsi="Times New Roman" w:cs="Times New Roman"/>
          <w:b/>
          <w:bCs/>
          <w:highlight w:val="none"/>
        </w:rPr>
      </w:pPr>
      <w:r>
        <w:rPr>
          <w:rFonts w:ascii="Times New Roman" w:hAnsi="Times New Roman" w:cs="Times New Roman"/>
          <w:b/>
          <w:bCs/>
          <w:highlight w:val="none"/>
        </w:rPr>
        <w:t>（</w:t>
      </w:r>
      <w:r>
        <w:rPr>
          <w:rFonts w:hint="eastAsia" w:ascii="Times New Roman" w:hAnsi="Times New Roman" w:cs="Times New Roman"/>
          <w:b/>
          <w:bCs/>
          <w:highlight w:val="none"/>
        </w:rPr>
        <w:t>【</w:t>
      </w:r>
      <w:r>
        <w:rPr>
          <w:rFonts w:ascii="Times New Roman" w:hAnsi="Times New Roman" w:cs="Times New Roman"/>
          <w:b/>
          <w:bCs/>
          <w:highlight w:val="none"/>
        </w:rPr>
        <w:t>标的名称</w:t>
      </w:r>
      <w:r>
        <w:rPr>
          <w:rFonts w:hint="eastAsia" w:ascii="Times New Roman" w:hAnsi="Times New Roman" w:cs="Times New Roman"/>
          <w:b/>
          <w:bCs/>
          <w:highlight w:val="none"/>
        </w:rPr>
        <w:t>】</w:t>
      </w:r>
      <w:r>
        <w:rPr>
          <w:rFonts w:ascii="Times New Roman" w:hAnsi="Times New Roman" w:cs="Times New Roman"/>
          <w:b/>
          <w:bCs/>
          <w:highlight w:val="none"/>
        </w:rPr>
        <w:t>）</w:t>
      </w: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sz w:val="28"/>
          <w:szCs w:val="28"/>
          <w:highlight w:val="none"/>
        </w:rPr>
      </w:pPr>
    </w:p>
    <w:p>
      <w:pPr>
        <w:spacing w:line="360" w:lineRule="auto"/>
        <w:jc w:val="center"/>
        <w:rPr>
          <w:rFonts w:ascii="Times New Roman" w:hAnsi="Times New Roman" w:cs="Times New Roman"/>
          <w:b/>
          <w:bCs/>
          <w:sz w:val="30"/>
          <w:szCs w:val="30"/>
          <w:highlight w:val="none"/>
          <w:u w:val="single"/>
        </w:rPr>
      </w:pPr>
      <w:r>
        <w:rPr>
          <w:rFonts w:ascii="Times New Roman" w:hAnsi="Times New Roman" w:cs="Times New Roman"/>
          <w:b/>
          <w:bCs/>
          <w:sz w:val="30"/>
          <w:szCs w:val="30"/>
          <w:highlight w:val="none"/>
        </w:rPr>
        <w:t>（合同编号：</w:t>
      </w:r>
      <w:r>
        <w:rPr>
          <w:rFonts w:ascii="Times New Roman" w:hAnsi="Times New Roman" w:cs="Times New Roman"/>
          <w:b/>
          <w:bCs/>
          <w:sz w:val="30"/>
          <w:szCs w:val="30"/>
          <w:highlight w:val="none"/>
          <w:u w:val="single"/>
        </w:rPr>
        <w:t xml:space="preserve">            </w:t>
      </w:r>
      <w:r>
        <w:rPr>
          <w:rFonts w:ascii="Times New Roman" w:hAnsi="Times New Roman" w:cs="Times New Roman"/>
          <w:b/>
          <w:bCs/>
          <w:sz w:val="30"/>
          <w:szCs w:val="30"/>
          <w:highlight w:val="none"/>
        </w:rPr>
        <w:t>）</w:t>
      </w:r>
    </w:p>
    <w:p>
      <w:pPr>
        <w:spacing w:line="360" w:lineRule="auto"/>
        <w:ind w:firstLine="3947" w:firstLineChars="756"/>
        <w:rPr>
          <w:rFonts w:ascii="Times New Roman" w:hAnsi="Times New Roman" w:cs="Times New Roman"/>
          <w:b/>
          <w:bCs/>
          <w:sz w:val="52"/>
          <w:szCs w:val="52"/>
          <w:highlight w:val="none"/>
        </w:rPr>
      </w:pPr>
    </w:p>
    <w:p>
      <w:pPr>
        <w:pStyle w:val="17"/>
        <w:spacing w:line="360" w:lineRule="auto"/>
        <w:ind w:left="480" w:firstLine="359"/>
        <w:rPr>
          <w:rFonts w:ascii="Times New Roman" w:hAnsi="Times New Roman"/>
          <w:b/>
          <w:bCs/>
          <w:highlight w:val="none"/>
        </w:rPr>
      </w:pPr>
    </w:p>
    <w:p>
      <w:pPr>
        <w:spacing w:line="360" w:lineRule="auto"/>
        <w:rPr>
          <w:rFonts w:ascii="Times New Roman" w:hAnsi="Times New Roman" w:cs="Times New Roman"/>
          <w:b/>
          <w:bCs/>
          <w:sz w:val="36"/>
          <w:szCs w:val="36"/>
          <w:highlight w:val="none"/>
        </w:rPr>
      </w:pPr>
    </w:p>
    <w:p>
      <w:pPr>
        <w:spacing w:line="360" w:lineRule="auto"/>
        <w:jc w:val="center"/>
        <w:rPr>
          <w:rFonts w:ascii="Times New Roman" w:hAnsi="Times New Roman" w:cs="Times New Roman"/>
          <w:b/>
          <w:bCs/>
          <w:sz w:val="28"/>
          <w:szCs w:val="28"/>
          <w:highlight w:val="none"/>
        </w:rPr>
      </w:pPr>
    </w:p>
    <w:p>
      <w:pPr>
        <w:spacing w:line="360" w:lineRule="auto"/>
        <w:ind w:firstLine="2319" w:firstLineChars="825"/>
        <w:rPr>
          <w:rFonts w:ascii="Times New Roman" w:hAnsi="Times New Roman" w:cs="Times New Roman"/>
          <w:b/>
          <w:bCs/>
          <w:sz w:val="28"/>
          <w:szCs w:val="28"/>
          <w:highlight w:val="none"/>
        </w:rPr>
      </w:pPr>
      <w:r>
        <w:rPr>
          <w:rFonts w:ascii="Times New Roman" w:hAnsi="Times New Roman" w:cs="Times New Roman"/>
          <w:b/>
          <w:sz w:val="28"/>
          <w:szCs w:val="28"/>
          <w:highlight w:val="none"/>
        </w:rPr>
        <w:t>买方：</w:t>
      </w:r>
      <w:r>
        <w:rPr>
          <w:rFonts w:ascii="Times New Roman" w:hAnsi="Times New Roman" w:cs="Times New Roman"/>
          <w:b/>
          <w:sz w:val="28"/>
          <w:szCs w:val="28"/>
          <w:highlight w:val="none"/>
          <w:u w:val="single"/>
        </w:rPr>
        <w:t xml:space="preserve">   </w:t>
      </w:r>
      <w:r>
        <w:rPr>
          <w:rFonts w:ascii="Times New Roman" w:hAnsi="Times New Roman" w:cs="Times New Roman"/>
          <w:b/>
          <w:bCs/>
          <w:sz w:val="28"/>
          <w:szCs w:val="28"/>
          <w:highlight w:val="none"/>
          <w:u w:val="single"/>
        </w:rPr>
        <w:t xml:space="preserve">                            </w:t>
      </w:r>
    </w:p>
    <w:p>
      <w:pPr>
        <w:spacing w:line="360" w:lineRule="auto"/>
        <w:ind w:firstLine="2319" w:firstLineChars="825"/>
        <w:rPr>
          <w:rFonts w:ascii="Times New Roman" w:hAnsi="Times New Roman" w:cs="Times New Roman"/>
          <w:b/>
          <w:sz w:val="28"/>
          <w:szCs w:val="28"/>
          <w:highlight w:val="none"/>
          <w:u w:val="single"/>
        </w:rPr>
      </w:pPr>
      <w:r>
        <w:rPr>
          <w:rFonts w:ascii="Times New Roman" w:hAnsi="Times New Roman" w:cs="Times New Roman"/>
          <w:b/>
          <w:sz w:val="28"/>
          <w:szCs w:val="28"/>
          <w:highlight w:val="none"/>
        </w:rPr>
        <w:t>卖方：</w:t>
      </w:r>
      <w:r>
        <w:rPr>
          <w:rFonts w:ascii="Times New Roman" w:hAnsi="Times New Roman" w:cs="Times New Roman"/>
          <w:b/>
          <w:sz w:val="28"/>
          <w:szCs w:val="28"/>
          <w:highlight w:val="none"/>
          <w:u w:val="single"/>
        </w:rPr>
        <w:t xml:space="preserve">                               </w:t>
      </w:r>
    </w:p>
    <w:p>
      <w:pPr>
        <w:spacing w:line="360" w:lineRule="auto"/>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ind w:firstLine="2891" w:firstLineChars="1200"/>
        <w:rPr>
          <w:rFonts w:ascii="Times New Roman" w:hAnsi="Times New Roman" w:cs="Times New Roman"/>
          <w:b/>
          <w:highlight w:val="none"/>
          <w:u w:val="single"/>
        </w:rPr>
      </w:pPr>
      <w:r>
        <w:rPr>
          <w:rFonts w:ascii="Times New Roman" w:hAnsi="Times New Roman" w:cs="Times New Roman"/>
          <w:b/>
          <w:highlight w:val="none"/>
        </w:rPr>
        <w:t>签订地点：</w:t>
      </w:r>
      <w:r>
        <w:rPr>
          <w:rFonts w:ascii="Times New Roman" w:hAnsi="Times New Roman" w:cs="Times New Roman"/>
          <w:b/>
          <w:highlight w:val="none"/>
          <w:u w:val="single"/>
        </w:rPr>
        <w:t xml:space="preserve">                      </w:t>
      </w:r>
    </w:p>
    <w:p>
      <w:pPr>
        <w:spacing w:line="360" w:lineRule="auto"/>
        <w:ind w:firstLine="2891" w:firstLineChars="1200"/>
        <w:rPr>
          <w:rFonts w:ascii="Times New Roman" w:hAnsi="Times New Roman" w:cs="Times New Roman"/>
          <w:b/>
          <w:highlight w:val="none"/>
        </w:rPr>
      </w:pPr>
      <w:r>
        <w:rPr>
          <w:rFonts w:ascii="Times New Roman" w:hAnsi="Times New Roman" w:cs="Times New Roman"/>
          <w:b/>
          <w:highlight w:val="none"/>
        </w:rPr>
        <w:t>签订时间：</w:t>
      </w:r>
      <w:r>
        <w:rPr>
          <w:rFonts w:ascii="Times New Roman" w:hAnsi="Times New Roman" w:cs="Times New Roman"/>
          <w:b/>
          <w:highlight w:val="none"/>
          <w:u w:val="single"/>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spacing w:line="360" w:lineRule="auto"/>
        <w:rPr>
          <w:rFonts w:ascii="Times New Roman" w:hAnsi="Times New Roman" w:cs="Times New Roman"/>
          <w:highlight w:val="none"/>
        </w:rPr>
      </w:pPr>
    </w:p>
    <w:p>
      <w:pPr>
        <w:spacing w:line="360" w:lineRule="auto"/>
        <w:rPr>
          <w:rFonts w:ascii="Times New Roman" w:hAnsi="Times New Roman" w:cs="Times New Roman"/>
          <w:highlight w:val="none"/>
        </w:rPr>
      </w:pPr>
      <w:r>
        <w:rPr>
          <w:rFonts w:ascii="Times New Roman" w:hAnsi="Times New Roman" w:cs="Times New Roman"/>
          <w:highlight w:val="none"/>
        </w:rPr>
        <w:br w:type="page"/>
      </w:r>
    </w:p>
    <w:p>
      <w:pPr>
        <w:spacing w:line="360" w:lineRule="auto"/>
        <w:jc w:val="center"/>
        <w:rPr>
          <w:rFonts w:ascii="Times New Roman" w:hAnsi="Times New Roman" w:cs="Times New Roman"/>
          <w:b/>
          <w:bCs/>
          <w:sz w:val="36"/>
          <w:szCs w:val="36"/>
          <w:highlight w:val="none"/>
        </w:rPr>
      </w:pPr>
      <w:r>
        <w:rPr>
          <w:rFonts w:ascii="Times New Roman" w:hAnsi="Times New Roman" w:cs="Times New Roman"/>
          <w:b/>
          <w:bCs/>
          <w:sz w:val="36"/>
          <w:szCs w:val="36"/>
          <w:highlight w:val="none"/>
        </w:rPr>
        <w:t>目  录</w:t>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bookmarkStart w:id="16" w:name="_Toc297055760"/>
      <w:bookmarkStart w:id="17" w:name="_Toc297106662"/>
      <w:r>
        <w:rPr>
          <w:rFonts w:ascii="Times New Roman" w:hAnsi="Times New Roman"/>
          <w:sz w:val="24"/>
          <w:szCs w:val="24"/>
          <w:highlight w:val="none"/>
        </w:rPr>
        <w:fldChar w:fldCharType="begin"/>
      </w:r>
      <w:r>
        <w:rPr>
          <w:rFonts w:ascii="Times New Roman" w:hAnsi="Times New Roman"/>
          <w:sz w:val="24"/>
          <w:szCs w:val="24"/>
          <w:highlight w:val="none"/>
        </w:rPr>
        <w:instrText xml:space="preserve"> TOC \o "1-3" \h \z \u </w:instrText>
      </w:r>
      <w:r>
        <w:rPr>
          <w:rFonts w:ascii="Times New Roman" w:hAnsi="Times New Roman"/>
          <w:sz w:val="24"/>
          <w:szCs w:val="24"/>
          <w:highlight w:val="none"/>
        </w:rPr>
        <w:fldChar w:fldCharType="separate"/>
      </w:r>
      <w:r>
        <w:rPr>
          <w:highlight w:val="none"/>
        </w:rPr>
        <w:fldChar w:fldCharType="begin"/>
      </w:r>
      <w:r>
        <w:rPr>
          <w:highlight w:val="none"/>
        </w:rPr>
        <w:instrText xml:space="preserve"> HYPERLINK \l "_Toc152081932" </w:instrText>
      </w:r>
      <w:r>
        <w:rPr>
          <w:highlight w:val="none"/>
        </w:rPr>
        <w:fldChar w:fldCharType="separate"/>
      </w:r>
      <w:r>
        <w:rPr>
          <w:rStyle w:val="46"/>
          <w:rFonts w:ascii="Times New Roman" w:hAnsi="Times New Roman"/>
          <w:kern w:val="44"/>
          <w:sz w:val="24"/>
          <w:szCs w:val="24"/>
          <w:highlight w:val="none"/>
        </w:rPr>
        <w:t>第一部分  合同书</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_Toc152081932 \h </w:instrText>
      </w:r>
      <w:r>
        <w:rPr>
          <w:rFonts w:ascii="Times New Roman" w:hAnsi="Times New Roman"/>
          <w:sz w:val="24"/>
          <w:szCs w:val="24"/>
          <w:highlight w:val="none"/>
        </w:rPr>
        <w:fldChar w:fldCharType="separate"/>
      </w:r>
      <w:r>
        <w:rPr>
          <w:rFonts w:ascii="Times New Roman" w:hAnsi="Times New Roman"/>
          <w:sz w:val="24"/>
          <w:szCs w:val="24"/>
          <w:highlight w:val="none"/>
        </w:rPr>
        <w:t>1</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"_Toc152081933"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"_Toc152081934"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"_Toc152081935"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合同的构成和效力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"_Toc152081936"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联系方式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"_Toc152081937"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合同份数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"_Toc152081938"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合同有效期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"_Toc152081939"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合同生效</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"_Toc152081940" </w:instrText>
      </w:r>
      <w:r>
        <w:rPr>
          <w:highlight w:val="none"/>
        </w:rPr>
        <w:fldChar w:fldCharType="separate"/>
      </w:r>
      <w:r>
        <w:rPr>
          <w:rStyle w:val="46"/>
          <w:rFonts w:ascii="Times New Roman" w:hAnsi="Times New Roman"/>
          <w:kern w:val="44"/>
          <w:sz w:val="24"/>
          <w:szCs w:val="24"/>
          <w:highlight w:val="none"/>
        </w:rPr>
        <w:t>第二部分  专用合同条款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_Toc152081940 \h </w:instrText>
      </w:r>
      <w:r>
        <w:rPr>
          <w:rFonts w:ascii="Times New Roman" w:hAnsi="Times New Roman"/>
          <w:sz w:val="24"/>
          <w:szCs w:val="24"/>
          <w:highlight w:val="none"/>
        </w:rPr>
        <w:fldChar w:fldCharType="separate"/>
      </w:r>
      <w:r>
        <w:rPr>
          <w:rFonts w:ascii="Times New Roman" w:hAnsi="Times New Roman"/>
          <w:sz w:val="24"/>
          <w:szCs w:val="24"/>
          <w:highlight w:val="none"/>
        </w:rPr>
        <w:t>5</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"_Toc152081941"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"_Toc152081942"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"_Toc152081943"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交货和运输</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"_Toc152081944"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包装与标记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"_Toc152081945"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验收</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"_Toc152081946"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卖方代表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"_Toc152081947"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技术服务和培训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"_Toc152081948" </w:instrText>
      </w:r>
      <w:r>
        <w:rPr>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质保期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"_Toc152081949" </w:instrText>
      </w:r>
      <w:r>
        <w:rPr>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保险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"_Toc152081950" </w:instrText>
      </w:r>
      <w:r>
        <w:rPr>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知识产权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"_Toc152081951" </w:instrText>
      </w:r>
      <w:r>
        <w:rPr>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"_Toc152081952" </w:instrText>
      </w:r>
      <w:r>
        <w:rPr>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争议解决</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"_Toc152081953" </w:instrText>
      </w:r>
      <w:r>
        <w:rPr>
          <w:highlight w:val="none"/>
        </w:rPr>
        <w:fldChar w:fldCharType="separate"/>
      </w:r>
      <w:r>
        <w:rPr>
          <w:rStyle w:val="46"/>
          <w:rFonts w:ascii="Times New Roman" w:hAnsi="Times New Roman"/>
          <w:kern w:val="44"/>
          <w:sz w:val="24"/>
          <w:szCs w:val="24"/>
          <w:highlight w:val="none"/>
        </w:rPr>
        <w:t>第三部分  通用合同条款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_Toc152081953 \h </w:instrText>
      </w:r>
      <w:r>
        <w:rPr>
          <w:rFonts w:ascii="Times New Roman" w:hAnsi="Times New Roman"/>
          <w:sz w:val="24"/>
          <w:szCs w:val="24"/>
          <w:highlight w:val="none"/>
        </w:rPr>
        <w:fldChar w:fldCharType="separate"/>
      </w:r>
      <w:r>
        <w:rPr>
          <w:rFonts w:ascii="Times New Roman" w:hAnsi="Times New Roman"/>
          <w:sz w:val="24"/>
          <w:szCs w:val="24"/>
          <w:highlight w:val="none"/>
        </w:rPr>
        <w:t>14</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"_Toc152081954"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定义</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"_Toc152081955"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合同宗旨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"_Toc152081956"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"_Toc152081957"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年度协议订单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"_Toc152081958"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"_Toc152081959"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"_Toc152081960"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"_Toc152081961" </w:instrText>
      </w:r>
      <w:r>
        <w:rPr>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权利保证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"_Toc152081962" </w:instrText>
      </w:r>
      <w:r>
        <w:rPr>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保密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"_Toc152081963" </w:instrText>
      </w:r>
      <w:r>
        <w:rPr>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技术资料</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"_Toc152081964" </w:instrText>
      </w:r>
      <w:r>
        <w:rPr>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包装和标识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"_Toc152081965" </w:instrText>
      </w:r>
      <w:r>
        <w:rPr>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技术服务</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"_Toc152081966" </w:instrText>
      </w:r>
      <w:r>
        <w:rPr>
          <w:highlight w:val="none"/>
        </w:rPr>
        <w:fldChar w:fldCharType="separate"/>
      </w:r>
      <w:r>
        <w:rPr>
          <w:rStyle w:val="46"/>
          <w:rFonts w:ascii="Times New Roman" w:hAnsi="Times New Roman" w:cs="Times New Roman"/>
          <w:sz w:val="24"/>
          <w:szCs w:val="24"/>
          <w:highlight w:val="none"/>
        </w:rPr>
        <w:t>第十三条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调试和测试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"_Toc152081967" </w:instrText>
      </w:r>
      <w:r>
        <w:rPr>
          <w:highlight w:val="none"/>
        </w:rPr>
        <w:fldChar w:fldCharType="separate"/>
      </w:r>
      <w:r>
        <w:rPr>
          <w:rStyle w:val="46"/>
          <w:rFonts w:ascii="Times New Roman" w:hAnsi="Times New Roman" w:cs="Times New Roman"/>
          <w:sz w:val="24"/>
          <w:szCs w:val="24"/>
          <w:highlight w:val="none"/>
        </w:rPr>
        <w:t>第十四条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风险和所有权的转移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"_Toc152081968" </w:instrText>
      </w:r>
      <w:r>
        <w:rPr>
          <w:highlight w:val="none"/>
        </w:rPr>
        <w:fldChar w:fldCharType="separate"/>
      </w:r>
      <w:r>
        <w:rPr>
          <w:rStyle w:val="46"/>
          <w:rFonts w:ascii="Times New Roman" w:hAnsi="Times New Roman" w:cs="Times New Roman"/>
          <w:sz w:val="24"/>
          <w:szCs w:val="24"/>
          <w:highlight w:val="none"/>
        </w:rPr>
        <w:t>第十五条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"_Toc152081969" </w:instrText>
      </w:r>
      <w:r>
        <w:rPr>
          <w:highlight w:val="none"/>
        </w:rPr>
        <w:fldChar w:fldCharType="separate"/>
      </w:r>
      <w:r>
        <w:rPr>
          <w:rStyle w:val="46"/>
          <w:rFonts w:ascii="Times New Roman" w:hAnsi="Times New Roman" w:cs="Times New Roman"/>
          <w:sz w:val="24"/>
          <w:szCs w:val="24"/>
          <w:highlight w:val="none"/>
        </w:rPr>
        <w:t>第十六条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23</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"_Toc152081970" </w:instrText>
      </w:r>
      <w:r>
        <w:rPr>
          <w:highlight w:val="none"/>
        </w:rPr>
        <w:fldChar w:fldCharType="separate"/>
      </w:r>
      <w:r>
        <w:rPr>
          <w:rStyle w:val="46"/>
          <w:rFonts w:ascii="Times New Roman" w:hAnsi="Times New Roman" w:cs="Times New Roman"/>
          <w:sz w:val="24"/>
          <w:szCs w:val="24"/>
          <w:highlight w:val="none"/>
        </w:rPr>
        <w:t>第十七条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质量、健康、安全和环保</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"_Toc152081971" </w:instrText>
      </w:r>
      <w:r>
        <w:rPr>
          <w:highlight w:val="none"/>
        </w:rPr>
        <w:fldChar w:fldCharType="separate"/>
      </w:r>
      <w:r>
        <w:rPr>
          <w:rStyle w:val="46"/>
          <w:rFonts w:ascii="Times New Roman" w:hAnsi="Times New Roman" w:cs="Times New Roman"/>
          <w:sz w:val="24"/>
          <w:szCs w:val="24"/>
          <w:highlight w:val="none"/>
        </w:rPr>
        <w:t>第十八条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转让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"_Toc152081972" </w:instrText>
      </w:r>
      <w:r>
        <w:rPr>
          <w:highlight w:val="none"/>
        </w:rPr>
        <w:fldChar w:fldCharType="separate"/>
      </w:r>
      <w:r>
        <w:rPr>
          <w:rStyle w:val="46"/>
          <w:rFonts w:ascii="Times New Roman" w:hAnsi="Times New Roman" w:cs="Times New Roman"/>
          <w:sz w:val="24"/>
          <w:szCs w:val="24"/>
          <w:highlight w:val="none"/>
        </w:rPr>
        <w:t>第十九条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分包</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"_Toc152081973" </w:instrText>
      </w:r>
      <w:r>
        <w:rPr>
          <w:highlight w:val="none"/>
        </w:rPr>
        <w:fldChar w:fldCharType="separate"/>
      </w:r>
      <w:r>
        <w:rPr>
          <w:rStyle w:val="46"/>
          <w:rFonts w:ascii="Times New Roman" w:hAnsi="Times New Roman" w:cs="Times New Roman"/>
          <w:sz w:val="24"/>
          <w:szCs w:val="24"/>
          <w:highlight w:val="none"/>
        </w:rPr>
        <w:t>第二十条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合同的解除和终止</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"_Toc152081974" </w:instrText>
      </w:r>
      <w:r>
        <w:rPr>
          <w:highlight w:val="none"/>
        </w:rPr>
        <w:fldChar w:fldCharType="separate"/>
      </w:r>
      <w:r>
        <w:rPr>
          <w:rStyle w:val="46"/>
          <w:rFonts w:ascii="Times New Roman" w:hAnsi="Times New Roman" w:cs="Times New Roman"/>
          <w:sz w:val="24"/>
          <w:szCs w:val="24"/>
          <w:highlight w:val="none"/>
        </w:rPr>
        <w:t>第二十一条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不可抗力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"_Toc152081975" </w:instrText>
      </w:r>
      <w:r>
        <w:rPr>
          <w:highlight w:val="none"/>
        </w:rPr>
        <w:fldChar w:fldCharType="separate"/>
      </w:r>
      <w:r>
        <w:rPr>
          <w:rStyle w:val="46"/>
          <w:rFonts w:ascii="Times New Roman" w:hAnsi="Times New Roman" w:cs="Times New Roman"/>
          <w:sz w:val="24"/>
          <w:szCs w:val="24"/>
          <w:highlight w:val="none"/>
        </w:rPr>
        <w:t>第二十二条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"_Toc152081976" </w:instrText>
      </w:r>
      <w:r>
        <w:rPr>
          <w:highlight w:val="none"/>
        </w:rPr>
        <w:fldChar w:fldCharType="separate"/>
      </w:r>
      <w:r>
        <w:rPr>
          <w:rStyle w:val="46"/>
          <w:rFonts w:ascii="Times New Roman" w:hAnsi="Times New Roman" w:cs="Times New Roman"/>
          <w:sz w:val="24"/>
          <w:szCs w:val="24"/>
          <w:highlight w:val="none"/>
        </w:rPr>
        <w:t>第二十三条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税费</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"_Toc152081977" </w:instrText>
      </w:r>
      <w:r>
        <w:rPr>
          <w:highlight w:val="none"/>
        </w:rPr>
        <w:fldChar w:fldCharType="separate"/>
      </w:r>
      <w:r>
        <w:rPr>
          <w:rStyle w:val="46"/>
          <w:rFonts w:ascii="Times New Roman" w:hAnsi="Times New Roman" w:cs="Times New Roman"/>
          <w:sz w:val="24"/>
          <w:szCs w:val="24"/>
          <w:highlight w:val="none"/>
        </w:rPr>
        <w:t>第二十四条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审计和记录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"_Toc152081978" </w:instrText>
      </w:r>
      <w:r>
        <w:rPr>
          <w:highlight w:val="none"/>
        </w:rPr>
        <w:fldChar w:fldCharType="separate"/>
      </w:r>
      <w:r>
        <w:rPr>
          <w:rStyle w:val="46"/>
          <w:rFonts w:ascii="Times New Roman" w:hAnsi="Times New Roman" w:cs="Times New Roman"/>
          <w:sz w:val="24"/>
          <w:szCs w:val="24"/>
          <w:highlight w:val="none"/>
        </w:rPr>
        <w:t>第二十五条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通知</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"_Toc152081979" </w:instrText>
      </w:r>
      <w:r>
        <w:rPr>
          <w:highlight w:val="none"/>
        </w:rPr>
        <w:fldChar w:fldCharType="separate"/>
      </w:r>
      <w:r>
        <w:rPr>
          <w:rStyle w:val="46"/>
          <w:rFonts w:ascii="Times New Roman" w:hAnsi="Times New Roman" w:cs="Times New Roman"/>
          <w:sz w:val="24"/>
          <w:szCs w:val="24"/>
          <w:highlight w:val="none"/>
        </w:rPr>
        <w:t>第二十六条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适用法律</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"_Toc152081980" </w:instrText>
      </w:r>
      <w:r>
        <w:rPr>
          <w:highlight w:val="none"/>
        </w:rPr>
        <w:fldChar w:fldCharType="separate"/>
      </w:r>
      <w:r>
        <w:rPr>
          <w:rStyle w:val="46"/>
          <w:rFonts w:ascii="Times New Roman" w:hAnsi="Times New Roman" w:cs="Times New Roman"/>
          <w:sz w:val="24"/>
          <w:szCs w:val="24"/>
          <w:highlight w:val="none"/>
        </w:rPr>
        <w:t>第二十七条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合同语言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"_Toc152081981" </w:instrText>
      </w:r>
      <w:r>
        <w:rPr>
          <w:highlight w:val="none"/>
        </w:rPr>
        <w:fldChar w:fldCharType="separate"/>
      </w:r>
      <w:r>
        <w:rPr>
          <w:rStyle w:val="46"/>
          <w:rFonts w:ascii="Times New Roman" w:hAnsi="Times New Roman" w:cs="Times New Roman"/>
          <w:sz w:val="24"/>
          <w:szCs w:val="24"/>
          <w:highlight w:val="none"/>
        </w:rPr>
        <w:t>第二十八条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标题</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"_Toc152081982" </w:instrText>
      </w:r>
      <w:r>
        <w:rPr>
          <w:highlight w:val="none"/>
        </w:rPr>
        <w:fldChar w:fldCharType="separate"/>
      </w:r>
      <w:r>
        <w:rPr>
          <w:rStyle w:val="46"/>
          <w:rFonts w:ascii="Times New Roman" w:hAnsi="Times New Roman" w:cs="Times New Roman"/>
          <w:sz w:val="24"/>
          <w:szCs w:val="24"/>
          <w:highlight w:val="none"/>
        </w:rPr>
        <w:t>第二十九条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其它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"_Toc152081983" </w:instrText>
      </w:r>
      <w:r>
        <w:rPr>
          <w:highlight w:val="none"/>
        </w:rPr>
        <w:fldChar w:fldCharType="separate"/>
      </w:r>
      <w:r>
        <w:rPr>
          <w:rStyle w:val="46"/>
          <w:rFonts w:ascii="Times New Roman" w:hAnsi="Times New Roman"/>
          <w:kern w:val="44"/>
          <w:sz w:val="24"/>
          <w:szCs w:val="24"/>
          <w:highlight w:val="none"/>
        </w:rPr>
        <w:t>第四部分  附件</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_Toc152081983 \h </w:instrText>
      </w:r>
      <w:r>
        <w:rPr>
          <w:rFonts w:ascii="Times New Roman" w:hAnsi="Times New Roman"/>
          <w:sz w:val="24"/>
          <w:szCs w:val="24"/>
          <w:highlight w:val="none"/>
        </w:rPr>
        <w:fldChar w:fldCharType="separate"/>
      </w:r>
      <w:r>
        <w:rPr>
          <w:rFonts w:ascii="Times New Roman" w:hAnsi="Times New Roman"/>
          <w:sz w:val="24"/>
          <w:szCs w:val="24"/>
          <w:highlight w:val="none"/>
        </w:rPr>
        <w:t>30</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"_Toc152081984" </w:instrText>
      </w:r>
      <w:r>
        <w:rPr>
          <w:highlight w:val="none"/>
        </w:rPr>
        <w:fldChar w:fldCharType="separate"/>
      </w:r>
      <w:r>
        <w:rPr>
          <w:rStyle w:val="46"/>
          <w:rFonts w:ascii="Times New Roman" w:hAnsi="Times New Roman" w:cs="Times New Roman"/>
          <w:sz w:val="24"/>
          <w:szCs w:val="24"/>
          <w:highlight w:val="none"/>
        </w:rPr>
        <w:t>附件一：货物清单及货物规格（格式）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"_Toc152081985" </w:instrText>
      </w:r>
      <w:r>
        <w:rPr>
          <w:highlight w:val="none"/>
        </w:rPr>
        <w:fldChar w:fldCharType="separate"/>
      </w:r>
      <w:r>
        <w:rPr>
          <w:rStyle w:val="46"/>
          <w:rFonts w:ascii="Times New Roman" w:hAnsi="Times New Roman" w:cs="Times New Roman"/>
          <w:sz w:val="24"/>
          <w:szCs w:val="24"/>
          <w:highlight w:val="none"/>
        </w:rPr>
        <w:t>附件二：技术服务、技术资料和培训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"_Toc152081986" </w:instrText>
      </w:r>
      <w:r>
        <w:rPr>
          <w:highlight w:val="none"/>
        </w:rPr>
        <w:fldChar w:fldCharType="separate"/>
      </w:r>
      <w:r>
        <w:rPr>
          <w:rStyle w:val="46"/>
          <w:rFonts w:ascii="Times New Roman" w:hAnsi="Times New Roman" w:cs="Times New Roman"/>
          <w:sz w:val="24"/>
          <w:szCs w:val="24"/>
          <w:highlight w:val="none"/>
        </w:rPr>
        <w:t>附件三：年度协议订单及发货清单（格式）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"_Toc152081987" </w:instrText>
      </w:r>
      <w:r>
        <w:rPr>
          <w:highlight w:val="none"/>
        </w:rPr>
        <w:fldChar w:fldCharType="separate"/>
      </w:r>
      <w:r>
        <w:rPr>
          <w:rStyle w:val="46"/>
          <w:rFonts w:ascii="Times New Roman" w:hAnsi="Times New Roman" w:cs="Times New Roman"/>
          <w:sz w:val="24"/>
          <w:szCs w:val="24"/>
          <w:highlight w:val="none"/>
        </w:rPr>
        <w:t>附件四：送货单（格式）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"_Toc152081988" </w:instrText>
      </w:r>
      <w:r>
        <w:rPr>
          <w:highlight w:val="none"/>
        </w:rPr>
        <w:fldChar w:fldCharType="separate"/>
      </w:r>
      <w:r>
        <w:rPr>
          <w:rStyle w:val="46"/>
          <w:rFonts w:ascii="Times New Roman" w:hAnsi="Times New Roman" w:cs="Times New Roman"/>
          <w:sz w:val="24"/>
          <w:szCs w:val="24"/>
          <w:highlight w:val="none"/>
        </w:rPr>
        <w:t>附件五：验收标准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"_Toc152081989" </w:instrText>
      </w:r>
      <w:r>
        <w:rPr>
          <w:highlight w:val="none"/>
        </w:rPr>
        <w:fldChar w:fldCharType="separate"/>
      </w:r>
      <w:r>
        <w:rPr>
          <w:rStyle w:val="46"/>
          <w:rFonts w:ascii="Times New Roman" w:hAnsi="Times New Roman" w:cs="Times New Roman"/>
          <w:sz w:val="24"/>
          <w:szCs w:val="24"/>
          <w:highlight w:val="none"/>
        </w:rPr>
        <w:t>附件六：履约保函（格式）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"_Toc152081990" </w:instrText>
      </w:r>
      <w:r>
        <w:rPr>
          <w:highlight w:val="none"/>
        </w:rPr>
        <w:fldChar w:fldCharType="separate"/>
      </w:r>
      <w:r>
        <w:rPr>
          <w:rStyle w:val="46"/>
          <w:rFonts w:ascii="Times New Roman" w:hAnsi="Times New Roman" w:cs="Times New Roman"/>
          <w:sz w:val="24"/>
          <w:szCs w:val="24"/>
          <w:highlight w:val="none"/>
        </w:rPr>
        <w:t>附件七：预付款保函（格式）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"_Toc152081991" </w:instrText>
      </w:r>
      <w:r>
        <w:rPr>
          <w:highlight w:val="none"/>
        </w:rPr>
        <w:fldChar w:fldCharType="separate"/>
      </w:r>
      <w:r>
        <w:rPr>
          <w:rStyle w:val="46"/>
          <w:rFonts w:ascii="Times New Roman" w:hAnsi="Times New Roman" w:cs="Times New Roman"/>
          <w:sz w:val="24"/>
          <w:szCs w:val="24"/>
          <w:highlight w:val="none"/>
        </w:rPr>
        <w:t>附件八：质量、健康、安全和环保要求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"_Toc152081992" </w:instrText>
      </w:r>
      <w:r>
        <w:rPr>
          <w:highlight w:val="none"/>
        </w:rPr>
        <w:fldChar w:fldCharType="separate"/>
      </w:r>
      <w:r>
        <w:rPr>
          <w:rStyle w:val="46"/>
          <w:rFonts w:ascii="Times New Roman" w:hAnsi="Times New Roman" w:cs="Times New Roman"/>
          <w:sz w:val="24"/>
          <w:szCs w:val="24"/>
          <w:highlight w:val="none"/>
        </w:rPr>
        <w:t>附件九：廉洁备忘录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tabs>
          <w:tab w:val="right" w:leader="dot" w:pos="9354"/>
          <w:tab w:val="right" w:leader="dot" w:pos="9781"/>
        </w:tabs>
        <w:spacing w:line="360" w:lineRule="auto"/>
        <w:rPr>
          <w:rFonts w:ascii="Times New Roman" w:hAnsi="Times New Roman" w:cs="Times New Roman"/>
          <w:sz w:val="28"/>
          <w:szCs w:val="28"/>
          <w:highlight w:val="none"/>
        </w:rPr>
      </w:pPr>
      <w:r>
        <w:rPr>
          <w:rFonts w:ascii="Times New Roman" w:hAnsi="Times New Roman" w:cs="Times New Roman"/>
          <w:highlight w:val="none"/>
        </w:rPr>
        <w:fldChar w:fldCharType="end"/>
      </w:r>
    </w:p>
    <w:p>
      <w:pPr>
        <w:pStyle w:val="28"/>
        <w:tabs>
          <w:tab w:val="right" w:leader="dot" w:pos="9781"/>
        </w:tabs>
        <w:spacing w:line="360" w:lineRule="auto"/>
        <w:rPr>
          <w:rFonts w:ascii="Times New Roman" w:hAnsi="Times New Roman"/>
          <w:sz w:val="24"/>
          <w:szCs w:val="24"/>
          <w:highlight w:val="none"/>
        </w:rPr>
      </w:pPr>
      <w:r>
        <w:rPr>
          <w:rFonts w:ascii="Times New Roman" w:hAnsi="Times New Roman"/>
          <w:smallCaps/>
          <w:sz w:val="24"/>
          <w:szCs w:val="24"/>
          <w:highlight w:val="none"/>
        </w:rPr>
        <w:fldChar w:fldCharType="begin"/>
      </w:r>
      <w:r>
        <w:rPr>
          <w:rFonts w:ascii="Times New Roman" w:hAnsi="Times New Roman"/>
          <w:smallCaps/>
          <w:sz w:val="24"/>
          <w:szCs w:val="24"/>
          <w:highlight w:val="none"/>
        </w:rPr>
        <w:instrText xml:space="preserve">                       </w:instrText>
      </w:r>
      <w:r>
        <w:rPr>
          <w:rFonts w:ascii="Times New Roman" w:hAnsi="Times New Roman"/>
          <w:smallCaps/>
          <w:sz w:val="24"/>
          <w:szCs w:val="24"/>
          <w:highlight w:val="none"/>
        </w:rPr>
        <w:fldChar w:fldCharType="separate"/>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第一部分  合同书</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1</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合同的构成和效力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联系方式和地址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合同份数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合同生效</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第二部分  专用合同条款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6</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交货和运输</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包装与标记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验收</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技术服务和培训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质保期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卖方代表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保险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争议解决</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第三部分  通用合同条款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14</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定义</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合同宗旨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发货通知单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技术资料</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包装和标识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调试和测试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权利保证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保密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售后服务</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风险和所有权的转移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知识产权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质量、健康、安全和环保</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转让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分包</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合同的解除和终止</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不可抗力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税费</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审计和记录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通知</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适用法律</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合同语言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标题</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其他</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第四部分  附件</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32</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附件一：货物清单及货物规格（格式）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附件二：技术服务、技术资料和培训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附件三：发货通知单及发货清单（格式）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附件四：送货单（格式）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附件五：验收标准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附件六：履约保函（格式）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附件七：预付款保函（格式）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附件八：质量、健康、安全和环保要求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附件九：工程数字信息（EDIS）要求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附件十：廉洁备忘录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smallCaps/>
          <w:highlight w:val="none"/>
        </w:rPr>
        <w:sectPr>
          <w:headerReference r:id="rId4" w:type="first"/>
          <w:footerReference r:id="rId5" w:type="first"/>
          <w:headerReference r:id="rId3" w:type="default"/>
          <w:pgSz w:w="11906" w:h="16838"/>
          <w:pgMar w:top="1134" w:right="1134" w:bottom="851" w:left="1418" w:header="567" w:footer="567" w:gutter="0"/>
          <w:pgNumType w:start="1"/>
          <w:cols w:space="720" w:num="1"/>
          <w:titlePg/>
          <w:docGrid w:type="lines" w:linePitch="331" w:charSpace="0"/>
        </w:sectPr>
      </w:pPr>
      <w:r>
        <w:rPr>
          <w:rFonts w:ascii="Times New Roman" w:hAnsi="Times New Roman"/>
          <w:smallCaps/>
          <w:sz w:val="24"/>
          <w:szCs w:val="24"/>
          <w:highlight w:val="none"/>
        </w:rPr>
        <w:fldChar w:fldCharType="end"/>
      </w:r>
    </w:p>
    <w:p>
      <w:pPr>
        <w:pStyle w:val="2"/>
        <w:keepLines/>
        <w:spacing w:before="340" w:after="330" w:line="360" w:lineRule="auto"/>
        <w:ind w:left="525" w:hanging="525"/>
        <w:jc w:val="center"/>
        <w:rPr>
          <w:rFonts w:ascii="Times New Roman" w:hAnsi="Times New Roman"/>
          <w:kern w:val="44"/>
          <w:sz w:val="36"/>
          <w:szCs w:val="36"/>
          <w:highlight w:val="none"/>
        </w:rPr>
      </w:pPr>
      <w:bookmarkStart w:id="18" w:name="_Toc300671182"/>
      <w:bookmarkStart w:id="19" w:name="_Toc152081932"/>
      <w:r>
        <w:rPr>
          <w:rFonts w:ascii="Times New Roman" w:hAnsi="Times New Roman"/>
          <w:kern w:val="44"/>
          <w:sz w:val="36"/>
          <w:szCs w:val="36"/>
          <w:highlight w:val="none"/>
        </w:rPr>
        <w:t>第一部分  合同书</w:t>
      </w:r>
      <w:bookmarkEnd w:id="16"/>
      <w:bookmarkEnd w:id="17"/>
      <w:bookmarkEnd w:id="18"/>
      <w:bookmarkEnd w:id="19"/>
    </w:p>
    <w:p>
      <w:pPr>
        <w:tabs>
          <w:tab w:val="left" w:pos="3060"/>
        </w:tabs>
        <w:spacing w:line="360" w:lineRule="auto"/>
        <w:rPr>
          <w:rFonts w:ascii="Times New Roman" w:hAnsi="Times New Roman" w:cs="Times New Roman"/>
          <w:b/>
          <w:highlight w:val="none"/>
        </w:rPr>
      </w:pPr>
      <w:r>
        <w:rPr>
          <w:rFonts w:ascii="Times New Roman" w:hAnsi="Times New Roman" w:cs="Times New Roman"/>
          <w:b/>
          <w:highlight w:val="none"/>
        </w:rPr>
        <w:t>买  方：</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t>法定代表人（如有）：</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u w:val="single"/>
        </w:rPr>
      </w:pPr>
      <w:r>
        <w:rPr>
          <w:rFonts w:ascii="Times New Roman" w:hAnsi="Times New Roman" w:cs="Times New Roman"/>
          <w:highlight w:val="none"/>
        </w:rPr>
        <w:t>注册地址/住址：</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t>统一社会信用代码：</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p>
    <w:p>
      <w:pPr>
        <w:tabs>
          <w:tab w:val="left" w:pos="3060"/>
        </w:tabs>
        <w:spacing w:line="360" w:lineRule="auto"/>
        <w:rPr>
          <w:rFonts w:ascii="Times New Roman" w:hAnsi="Times New Roman" w:cs="Times New Roman"/>
          <w:b/>
          <w:highlight w:val="none"/>
        </w:rPr>
      </w:pPr>
      <w:r>
        <w:rPr>
          <w:rFonts w:ascii="Times New Roman" w:hAnsi="Times New Roman" w:cs="Times New Roman"/>
          <w:b/>
          <w:highlight w:val="none"/>
        </w:rPr>
        <w:t>卖  方：</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t>法定代表人（如有）：</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u w:val="single"/>
        </w:rPr>
      </w:pPr>
      <w:r>
        <w:rPr>
          <w:rFonts w:ascii="Times New Roman" w:hAnsi="Times New Roman" w:cs="Times New Roman"/>
          <w:highlight w:val="none"/>
        </w:rPr>
        <w:t>注册地址/住址：</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t>统一社会信用代码：</w:t>
      </w:r>
      <w:r>
        <w:rPr>
          <w:rFonts w:ascii="Times New Roman" w:hAnsi="Times New Roman" w:cs="Times New Roman"/>
          <w:highlight w:val="none"/>
          <w:u w:val="single"/>
        </w:rPr>
        <w:t xml:space="preserve">                    </w:t>
      </w:r>
    </w:p>
    <w:p>
      <w:pPr>
        <w:tabs>
          <w:tab w:val="left" w:pos="3060"/>
        </w:tabs>
        <w:spacing w:line="360" w:lineRule="auto"/>
        <w:rPr>
          <w:rFonts w:ascii="Times New Roman" w:hAnsi="Times New Roman" w:cs="Times New Roman"/>
          <w:highlight w:val="none"/>
        </w:rPr>
      </w:pPr>
    </w:p>
    <w:p>
      <w:pPr>
        <w:snapToGrid w:val="0"/>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鉴于，买方是一家根据中华人民共和国法律合法设立并存续的企业，希望购买符合本合同要求的【货物名称】（以下称“货物”）；</w:t>
      </w:r>
    </w:p>
    <w:p>
      <w:pPr>
        <w:snapToGrid w:val="0"/>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鉴于，卖方是一家根据</w:t>
      </w:r>
      <w:r>
        <w:rPr>
          <w:rFonts w:hint="eastAsia" w:ascii="Times New Roman" w:hAnsi="Times New Roman" w:cs="Times New Roman"/>
          <w:highlight w:val="none"/>
        </w:rPr>
        <w:t>【 】</w:t>
      </w:r>
      <w:r>
        <w:rPr>
          <w:rFonts w:ascii="Times New Roman" w:hAnsi="Times New Roman" w:cs="Times New Roman"/>
          <w:highlight w:val="none"/>
        </w:rPr>
        <w:t>法律合法设立并存续的企业，具备提供符合本合同要求的货物的全部资质、资格和条件；</w:t>
      </w:r>
    </w:p>
    <w:p>
      <w:pPr>
        <w:snapToGrid w:val="0"/>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鉴于，卖方在货物的制造、安装、质量保证、技术服务等方面具有较强的专业能力和良好信誉，愿意根据本合同的规定向买方提供货物；</w:t>
      </w:r>
    </w:p>
    <w:p>
      <w:pPr>
        <w:snapToGrid w:val="0"/>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鉴于，</w:t>
      </w:r>
      <w:r>
        <w:rPr>
          <w:rFonts w:ascii="Times New Roman" w:hAnsi="Times New Roman" w:cs="Times New Roman"/>
          <w:highlight w:val="none"/>
          <w:u w:val="single"/>
        </w:rPr>
        <w:t xml:space="preserve">                                                   </w:t>
      </w:r>
      <w:r>
        <w:rPr>
          <w:rFonts w:ascii="Times New Roman" w:hAnsi="Times New Roman" w:cs="Times New Roman"/>
          <w:highlight w:val="none"/>
        </w:rPr>
        <w:t>。</w:t>
      </w:r>
    </w:p>
    <w:p>
      <w:pPr>
        <w:snapToGrid w:val="0"/>
        <w:spacing w:line="360" w:lineRule="auto"/>
        <w:ind w:firstLine="660"/>
        <w:jc w:val="both"/>
        <w:rPr>
          <w:rFonts w:ascii="Times New Roman" w:hAnsi="Times New Roman" w:cs="Times New Roman"/>
          <w:highlight w:val="none"/>
        </w:rPr>
      </w:pPr>
      <w:r>
        <w:rPr>
          <w:rFonts w:ascii="Times New Roman" w:hAnsi="Times New Roman" w:cs="Times New Roman"/>
          <w:highlight w:val="none"/>
        </w:rPr>
        <w:t>（注：如果有需要，可以增加“鉴于”部分的条款。）</w:t>
      </w:r>
    </w:p>
    <w:p>
      <w:pPr>
        <w:tabs>
          <w:tab w:val="left" w:pos="3060"/>
        </w:tabs>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根据《中华人民共和国民法典》及相关法律法规，在遵循平等、自愿、公平和诚实信用原则的基础上，经协商一致，双方订立本合同如下：</w:t>
      </w:r>
    </w:p>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0" w:name="_Toc274669313"/>
      <w:bookmarkStart w:id="21" w:name="_Toc288567127"/>
      <w:bookmarkStart w:id="22" w:name="_Toc274075953"/>
      <w:bookmarkStart w:id="23" w:name="_Toc275597818"/>
      <w:bookmarkStart w:id="24" w:name="_Toc152081933"/>
      <w:bookmarkStart w:id="25" w:name="_Toc274075952"/>
      <w:bookmarkStart w:id="26" w:name="_Toc276157510"/>
      <w:bookmarkStart w:id="27" w:name="_Toc300671183"/>
      <w:bookmarkStart w:id="28" w:name="_Toc274343600"/>
      <w:bookmarkStart w:id="29" w:name="_Toc287364267"/>
      <w:bookmarkStart w:id="30" w:name="_Toc274403529"/>
      <w:bookmarkStart w:id="31" w:name="_Toc287657099"/>
      <w:bookmarkStart w:id="32" w:name="_Toc274076141"/>
      <w:bookmarkStart w:id="33" w:name="_Toc276251151"/>
      <w:bookmarkStart w:id="34" w:name="_Toc274754019"/>
      <w:r>
        <w:rPr>
          <w:rFonts w:ascii="Times New Roman" w:hAnsi="Times New Roman"/>
          <w:i w:val="0"/>
          <w:iCs w:val="0"/>
          <w:sz w:val="24"/>
          <w:szCs w:val="24"/>
          <w:highlight w:val="none"/>
        </w:rPr>
        <w:t>合同标的</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widowControl w:val="0"/>
        <w:numPr>
          <w:ilvl w:val="1"/>
          <w:numId w:val="3"/>
        </w:numPr>
        <w:spacing w:line="360" w:lineRule="auto"/>
        <w:ind w:left="426" w:hanging="579"/>
        <w:jc w:val="both"/>
        <w:rPr>
          <w:rFonts w:ascii="Times New Roman" w:hAnsi="Times New Roman" w:cs="Times New Roman"/>
          <w:color w:val="000000"/>
          <w:highlight w:val="none"/>
        </w:rPr>
      </w:pPr>
      <w:r>
        <w:rPr>
          <w:rFonts w:ascii="Times New Roman" w:hAnsi="Times New Roman" w:cs="Times New Roman"/>
          <w:color w:val="000000"/>
          <w:highlight w:val="none"/>
        </w:rPr>
        <w:t>卖方应根据本合同向买方销售货物，且就货物提供合同约定的培训、售后等相关服务。</w:t>
      </w:r>
    </w:p>
    <w:p>
      <w:pPr>
        <w:widowControl w:val="0"/>
        <w:numPr>
          <w:ilvl w:val="1"/>
          <w:numId w:val="3"/>
        </w:numPr>
        <w:spacing w:line="360" w:lineRule="auto"/>
        <w:ind w:left="426" w:hanging="579"/>
        <w:jc w:val="both"/>
        <w:rPr>
          <w:rFonts w:ascii="Times New Roman" w:hAnsi="Times New Roman" w:cs="Times New Roman"/>
          <w:highlight w:val="none"/>
        </w:rPr>
      </w:pPr>
      <w:r>
        <w:rPr>
          <w:rFonts w:ascii="Times New Roman" w:hAnsi="Times New Roman" w:cs="Times New Roman"/>
          <w:color w:val="000000"/>
          <w:highlight w:val="none"/>
        </w:rPr>
        <w:t>货物</w:t>
      </w:r>
      <w:r>
        <w:rPr>
          <w:rFonts w:ascii="Times New Roman" w:hAnsi="Times New Roman" w:cs="Times New Roman"/>
          <w:highlight w:val="none"/>
        </w:rPr>
        <w:t>的型号、规格、数量、技术规范、指标、性能和要求等详见【本合同附件一】。</w:t>
      </w:r>
    </w:p>
    <w:p>
      <w:pPr>
        <w:widowControl w:val="0"/>
        <w:numPr>
          <w:ilvl w:val="1"/>
          <w:numId w:val="3"/>
        </w:numPr>
        <w:spacing w:line="360" w:lineRule="auto"/>
        <w:ind w:left="426" w:hanging="579"/>
        <w:jc w:val="both"/>
        <w:rPr>
          <w:rFonts w:ascii="Times New Roman" w:hAnsi="Times New Roman" w:cs="Times New Roman"/>
          <w:highlight w:val="none"/>
        </w:rPr>
      </w:pPr>
      <w:r>
        <w:rPr>
          <w:rFonts w:ascii="Times New Roman" w:hAnsi="Times New Roman" w:cs="Times New Roman"/>
          <w:highlight w:val="none"/>
        </w:rPr>
        <w:t>货物的</w:t>
      </w:r>
      <w:r>
        <w:rPr>
          <w:rFonts w:hint="eastAsia" w:ascii="Times New Roman" w:hAnsi="Times New Roman" w:cs="Times New Roman"/>
          <w:highlight w:val="none"/>
        </w:rPr>
        <w:t>具体交付数量、</w:t>
      </w:r>
      <w:r>
        <w:rPr>
          <w:rFonts w:ascii="Times New Roman" w:hAnsi="Times New Roman" w:cs="Times New Roman"/>
          <w:highlight w:val="none"/>
        </w:rPr>
        <w:t>范围和交货时间</w:t>
      </w:r>
      <w:r>
        <w:rPr>
          <w:rFonts w:hint="eastAsia" w:ascii="Times New Roman" w:hAnsi="Times New Roman" w:cs="Times New Roman"/>
          <w:highlight w:val="none"/>
        </w:rPr>
        <w:t>、地点等具体信息</w:t>
      </w:r>
      <w:r>
        <w:rPr>
          <w:rFonts w:ascii="Times New Roman" w:hAnsi="Times New Roman" w:cs="Times New Roman"/>
          <w:highlight w:val="none"/>
        </w:rPr>
        <w:t>将根据双方</w:t>
      </w:r>
      <w:r>
        <w:rPr>
          <w:rFonts w:hint="eastAsia" w:ascii="Times New Roman" w:hAnsi="Times New Roman" w:cs="Times New Roman"/>
          <w:highlight w:val="none"/>
        </w:rPr>
        <w:t>在本年度采购下</w:t>
      </w:r>
      <w:r>
        <w:rPr>
          <w:rFonts w:ascii="Times New Roman" w:hAnsi="Times New Roman" w:cs="Times New Roman"/>
          <w:highlight w:val="none"/>
        </w:rPr>
        <w:t>另行签订的</w:t>
      </w:r>
      <w:r>
        <w:rPr>
          <w:rFonts w:hint="eastAsia" w:ascii="Times New Roman" w:hAnsi="Times New Roman" w:cs="Times New Roman"/>
          <w:highlight w:val="none"/>
        </w:rPr>
        <w:t>具体</w:t>
      </w:r>
      <w:r>
        <w:rPr>
          <w:rFonts w:ascii="Times New Roman" w:hAnsi="Times New Roman" w:cs="Times New Roman"/>
          <w:highlight w:val="none"/>
        </w:rPr>
        <w:t>订单</w:t>
      </w:r>
      <w:r>
        <w:rPr>
          <w:rFonts w:hint="eastAsia" w:ascii="Times New Roman" w:hAnsi="Times New Roman" w:cs="Times New Roman"/>
          <w:highlight w:val="none"/>
        </w:rPr>
        <w:t>（以下称“年度协议订单”）</w:t>
      </w:r>
      <w:r>
        <w:rPr>
          <w:rFonts w:ascii="Times New Roman" w:hAnsi="Times New Roman" w:cs="Times New Roman"/>
          <w:highlight w:val="none"/>
        </w:rPr>
        <w:t>确定。</w:t>
      </w:r>
    </w:p>
    <w:p>
      <w:pPr>
        <w:widowControl w:val="0"/>
        <w:numPr>
          <w:ilvl w:val="1"/>
          <w:numId w:val="3"/>
        </w:numPr>
        <w:spacing w:line="360" w:lineRule="auto"/>
        <w:ind w:left="426" w:hanging="579"/>
        <w:jc w:val="both"/>
        <w:rPr>
          <w:rFonts w:ascii="Times New Roman" w:hAnsi="Times New Roman" w:cs="Times New Roman"/>
          <w:highlight w:val="none"/>
        </w:rPr>
      </w:pPr>
      <w:r>
        <w:rPr>
          <w:rFonts w:ascii="Times New Roman" w:hAnsi="Times New Roman" w:cs="Times New Roman"/>
          <w:highlight w:val="none"/>
        </w:rPr>
        <w:t>货物的原产地/生产厂家/品牌为</w:t>
      </w:r>
      <w:r>
        <w:rPr>
          <w:rFonts w:hint="eastAsia" w:ascii="Times New Roman" w:hAnsi="Times New Roman" w:cs="Times New Roman"/>
          <w:highlight w:val="none"/>
        </w:rPr>
        <w:t>【 】</w:t>
      </w:r>
      <w:r>
        <w:rPr>
          <w:rFonts w:ascii="Times New Roman" w:hAnsi="Times New Roman" w:cs="Times New Roman"/>
          <w:highlight w:val="none"/>
        </w:rPr>
        <w:t>。</w:t>
      </w:r>
    </w:p>
    <w:p>
      <w:pPr>
        <w:tabs>
          <w:tab w:val="left" w:pos="620"/>
        </w:tabs>
        <w:spacing w:line="360" w:lineRule="auto"/>
        <w:ind w:left="426" w:hanging="579"/>
        <w:rPr>
          <w:rFonts w:ascii="Times New Roman" w:hAnsi="Times New Roman" w:cs="Times New Roman"/>
          <w:highlight w:val="none"/>
        </w:rPr>
      </w:pPr>
      <w:r>
        <w:rPr>
          <w:rFonts w:ascii="Times New Roman" w:hAnsi="Times New Roman" w:cs="Times New Roman"/>
          <w:highlight w:val="none"/>
        </w:rPr>
        <w:t>（注：本款为选择性条款，如无特殊要求，可不必规定。）</w:t>
      </w:r>
    </w:p>
    <w:p>
      <w:pPr>
        <w:widowControl w:val="0"/>
        <w:numPr>
          <w:ilvl w:val="1"/>
          <w:numId w:val="3"/>
        </w:numPr>
        <w:spacing w:line="360" w:lineRule="auto"/>
        <w:ind w:left="426" w:hanging="579"/>
        <w:jc w:val="both"/>
        <w:rPr>
          <w:rFonts w:ascii="Times New Roman" w:hAnsi="Times New Roman" w:cs="Times New Roman"/>
          <w:color w:val="000000"/>
          <w:highlight w:val="none"/>
        </w:rPr>
      </w:pPr>
      <w:r>
        <w:rPr>
          <w:rFonts w:ascii="Times New Roman" w:hAnsi="Times New Roman" w:cs="Times New Roman"/>
          <w:color w:val="000000"/>
          <w:highlight w:val="none"/>
        </w:rPr>
        <w:t>卖方提供的技术资料、技术服务和培训</w:t>
      </w:r>
      <w:r>
        <w:rPr>
          <w:rFonts w:ascii="Times New Roman" w:hAnsi="Times New Roman" w:cs="Times New Roman"/>
          <w:highlight w:val="none"/>
        </w:rPr>
        <w:t>详见</w:t>
      </w:r>
      <w:r>
        <w:rPr>
          <w:rFonts w:hint="eastAsia" w:ascii="Times New Roman" w:hAnsi="Times New Roman" w:cs="Times New Roman"/>
          <w:highlight w:val="none"/>
        </w:rPr>
        <w:t>【</w:t>
      </w:r>
      <w:r>
        <w:rPr>
          <w:rFonts w:ascii="Times New Roman" w:hAnsi="Times New Roman" w:cs="Times New Roman"/>
          <w:highlight w:val="none"/>
        </w:rPr>
        <w:t>本合同附件二】。</w:t>
      </w:r>
    </w:p>
    <w:p>
      <w:pPr>
        <w:tabs>
          <w:tab w:val="left" w:pos="620"/>
        </w:tabs>
        <w:spacing w:line="360" w:lineRule="auto"/>
        <w:ind w:left="-142"/>
        <w:rPr>
          <w:rFonts w:ascii="Times New Roman" w:hAnsi="Times New Roman" w:cs="Times New Roman"/>
          <w:color w:val="000000"/>
          <w:highlight w:val="none"/>
        </w:rPr>
      </w:pPr>
      <w:r>
        <w:rPr>
          <w:rFonts w:ascii="Times New Roman" w:hAnsi="Times New Roman" w:cs="Times New Roman"/>
          <w:color w:val="000000"/>
          <w:highlight w:val="none"/>
        </w:rPr>
        <w:t>（注：如果卖方提供的技术资料在附件一中规定，本款内容和附件可作相应调整；如卖方不提供技术资料，本款可删除。）</w:t>
      </w:r>
    </w:p>
    <w:p>
      <w:pPr>
        <w:widowControl w:val="0"/>
        <w:numPr>
          <w:ilvl w:val="1"/>
          <w:numId w:val="3"/>
        </w:numPr>
        <w:spacing w:line="360" w:lineRule="auto"/>
        <w:ind w:left="426" w:hanging="579"/>
        <w:jc w:val="both"/>
        <w:rPr>
          <w:rFonts w:ascii="Times New Roman" w:hAnsi="Times New Roman" w:cs="Times New Roman"/>
          <w:color w:val="000000"/>
          <w:highlight w:val="none"/>
        </w:rPr>
      </w:pPr>
      <w:r>
        <w:rPr>
          <w:rFonts w:ascii="Times New Roman" w:hAnsi="Times New Roman" w:cs="Times New Roman"/>
          <w:color w:val="000000"/>
          <w:highlight w:val="none"/>
        </w:rPr>
        <w:t>货物将用于</w:t>
      </w:r>
      <w:r>
        <w:rPr>
          <w:rFonts w:hint="eastAsia" w:ascii="Times New Roman" w:hAnsi="Times New Roman" w:cs="Times New Roman"/>
          <w:color w:val="000000"/>
          <w:highlight w:val="none"/>
        </w:rPr>
        <w:t>【 】</w:t>
      </w:r>
      <w:r>
        <w:rPr>
          <w:rFonts w:ascii="Times New Roman" w:hAnsi="Times New Roman" w:cs="Times New Roman"/>
          <w:color w:val="000000"/>
          <w:highlight w:val="none"/>
        </w:rPr>
        <w:t>项目/工程。</w:t>
      </w:r>
    </w:p>
    <w:p>
      <w:pPr>
        <w:tabs>
          <w:tab w:val="left" w:pos="620"/>
        </w:tabs>
        <w:spacing w:line="360" w:lineRule="auto"/>
        <w:ind w:left="426" w:hanging="579"/>
        <w:rPr>
          <w:rFonts w:ascii="Times New Roman" w:hAnsi="Times New Roman" w:cs="Times New Roman"/>
          <w:color w:val="000000"/>
          <w:highlight w:val="none"/>
        </w:rPr>
      </w:pPr>
      <w:r>
        <w:rPr>
          <w:rFonts w:ascii="Times New Roman" w:hAnsi="Times New Roman" w:cs="Times New Roman"/>
          <w:color w:val="000000"/>
          <w:highlight w:val="none"/>
        </w:rPr>
        <w:t>（注：如果货物不是用于特定项目或工程，可不必列明。）</w:t>
      </w:r>
    </w:p>
    <w:p>
      <w:pPr>
        <w:pStyle w:val="3"/>
        <w:keepLines/>
        <w:widowControl w:val="0"/>
        <w:numPr>
          <w:ilvl w:val="0"/>
          <w:numId w:val="2"/>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35" w:name="_Toc288479378"/>
      <w:bookmarkStart w:id="36" w:name="_Toc296959304"/>
      <w:bookmarkStart w:id="37" w:name="_Toc296955842"/>
      <w:bookmarkStart w:id="38" w:name="_Toc152081934"/>
      <w:bookmarkStart w:id="39" w:name="_Toc300671184"/>
      <w:bookmarkStart w:id="40" w:name="_Toc274474905"/>
      <w:bookmarkStart w:id="41" w:name="_Toc274403530"/>
      <w:bookmarkStart w:id="42" w:name="_Toc273451829"/>
      <w:bookmarkStart w:id="43" w:name="_Toc273451896"/>
      <w:bookmarkStart w:id="44" w:name="_Toc274669314"/>
      <w:bookmarkStart w:id="45" w:name="_Toc274075954"/>
      <w:bookmarkStart w:id="46" w:name="_Toc274754020"/>
      <w:bookmarkStart w:id="47" w:name="_Toc291435828"/>
      <w:bookmarkStart w:id="48" w:name="_Toc274668316"/>
      <w:bookmarkStart w:id="49" w:name="_Toc274076142"/>
      <w:bookmarkStart w:id="50" w:name="_Toc278889775"/>
      <w:bookmarkStart w:id="51" w:name="_Toc274343601"/>
      <w:bookmarkStart w:id="52" w:name="_Toc291435895"/>
      <w:r>
        <w:rPr>
          <w:rFonts w:ascii="Times New Roman" w:hAnsi="Times New Roman"/>
          <w:i w:val="0"/>
          <w:iCs w:val="0"/>
          <w:sz w:val="24"/>
          <w:szCs w:val="24"/>
          <w:highlight w:val="none"/>
        </w:rPr>
        <w:t>合同</w:t>
      </w:r>
      <w:bookmarkEnd w:id="35"/>
      <w:bookmarkEnd w:id="36"/>
      <w:bookmarkEnd w:id="37"/>
      <w:r>
        <w:rPr>
          <w:rFonts w:ascii="Times New Roman" w:hAnsi="Times New Roman"/>
          <w:i w:val="0"/>
          <w:iCs w:val="0"/>
          <w:sz w:val="24"/>
          <w:szCs w:val="24"/>
          <w:highlight w:val="none"/>
        </w:rPr>
        <w:t>价款</w:t>
      </w:r>
      <w:bookmarkEnd w:id="38"/>
      <w:bookmarkEnd w:id="39"/>
    </w:p>
    <w:p>
      <w:pPr>
        <w:widowControl w:val="0"/>
        <w:numPr>
          <w:ilvl w:val="0"/>
          <w:numId w:val="4"/>
        </w:numPr>
        <w:tabs>
          <w:tab w:val="left" w:pos="720"/>
        </w:tabs>
        <w:spacing w:line="360" w:lineRule="auto"/>
        <w:ind w:left="426" w:hanging="579"/>
        <w:jc w:val="both"/>
        <w:rPr>
          <w:rFonts w:ascii="Times New Roman" w:hAnsi="Times New Roman" w:cs="Times New Roman"/>
          <w:highlight w:val="none"/>
        </w:rPr>
      </w:pPr>
      <w:r>
        <w:rPr>
          <w:rFonts w:ascii="Times New Roman" w:hAnsi="Times New Roman" w:cs="Times New Roman"/>
          <w:highlight w:val="none"/>
        </w:rPr>
        <w:t>本合同为</w:t>
      </w:r>
      <w:r>
        <w:rPr>
          <w:rFonts w:hint="eastAsia" w:ascii="Times New Roman" w:hAnsi="Times New Roman" w:cs="Times New Roman"/>
          <w:highlight w:val="none"/>
        </w:rPr>
        <w:t>固定</w:t>
      </w:r>
      <w:r>
        <w:rPr>
          <w:rFonts w:ascii="Times New Roman" w:hAnsi="Times New Roman" w:cs="Times New Roman"/>
          <w:highlight w:val="none"/>
        </w:rPr>
        <w:t>单价</w:t>
      </w:r>
      <w:r>
        <w:rPr>
          <w:rFonts w:hint="eastAsia" w:ascii="Times New Roman" w:hAnsi="Times New Roman" w:cs="Times New Roman"/>
          <w:highlight w:val="none"/>
        </w:rPr>
        <w:t>/</w:t>
      </w:r>
      <w:r>
        <w:rPr>
          <w:rFonts w:ascii="Times New Roman" w:hAnsi="Times New Roman" w:cs="Times New Roman"/>
          <w:highlight w:val="none"/>
        </w:rPr>
        <w:t>费率合同，</w:t>
      </w:r>
      <w:r>
        <w:rPr>
          <w:rFonts w:hint="eastAsia" w:ascii="Times New Roman" w:hAnsi="Times New Roman" w:cs="Times New Roman"/>
          <w:highlight w:val="none"/>
        </w:rPr>
        <w:t>合同</w:t>
      </w:r>
      <w:r>
        <w:rPr>
          <w:rFonts w:ascii="Times New Roman" w:hAnsi="Times New Roman" w:cs="Times New Roman"/>
          <w:highlight w:val="none"/>
        </w:rPr>
        <w:t>总金额</w:t>
      </w:r>
      <w:r>
        <w:rPr>
          <w:rFonts w:hint="eastAsia" w:ascii="Times New Roman" w:hAnsi="Times New Roman" w:cs="Times New Roman"/>
          <w:highlight w:val="none"/>
        </w:rPr>
        <w:t>（</w:t>
      </w:r>
      <w:r>
        <w:rPr>
          <w:rFonts w:ascii="Times New Roman" w:hAnsi="Times New Roman" w:cs="Times New Roman"/>
          <w:highlight w:val="none"/>
        </w:rPr>
        <w:t>含税</w:t>
      </w:r>
      <w:r>
        <w:rPr>
          <w:rFonts w:hint="eastAsia" w:ascii="Times New Roman" w:hAnsi="Times New Roman" w:cs="Times New Roman"/>
          <w:highlight w:val="none"/>
        </w:rPr>
        <w:t>）</w:t>
      </w:r>
      <w:r>
        <w:rPr>
          <w:rFonts w:ascii="Times New Roman" w:hAnsi="Times New Roman" w:cs="Times New Roman"/>
          <w:highlight w:val="none"/>
        </w:rPr>
        <w:t>不超过人民币</w:t>
      </w:r>
      <w:r>
        <w:rPr>
          <w:rFonts w:hint="eastAsia" w:ascii="Times New Roman" w:hAnsi="Times New Roman" w:cs="Times New Roman"/>
          <w:highlight w:val="none"/>
        </w:rPr>
        <w:t>【 】</w:t>
      </w:r>
      <w:r>
        <w:rPr>
          <w:rFonts w:ascii="Times New Roman" w:hAnsi="Times New Roman" w:cs="Times New Roman"/>
          <w:highlight w:val="none"/>
        </w:rPr>
        <w:t>元（大写：人民币</w:t>
      </w:r>
      <w:r>
        <w:rPr>
          <w:rFonts w:hint="eastAsia" w:ascii="Times New Roman" w:hAnsi="Times New Roman" w:cs="Times New Roman"/>
          <w:highlight w:val="none"/>
        </w:rPr>
        <w:t>【 】</w:t>
      </w:r>
      <w:r>
        <w:rPr>
          <w:rFonts w:ascii="Times New Roman" w:hAnsi="Times New Roman" w:cs="Times New Roman"/>
          <w:highlight w:val="none"/>
        </w:rPr>
        <w:t>元），增值税税率为</w:t>
      </w:r>
      <w:r>
        <w:rPr>
          <w:rFonts w:hint="eastAsia" w:ascii="Times New Roman" w:hAnsi="Times New Roman" w:cs="Times New Roman"/>
          <w:highlight w:val="none"/>
        </w:rPr>
        <w:t>【】</w:t>
      </w:r>
      <w:r>
        <w:rPr>
          <w:rFonts w:ascii="Times New Roman" w:hAnsi="Times New Roman" w:cs="Times New Roman"/>
          <w:highlight w:val="none"/>
        </w:rPr>
        <w:t>%，不含税合同</w:t>
      </w:r>
      <w:r>
        <w:rPr>
          <w:rFonts w:hint="eastAsia" w:ascii="Times New Roman" w:hAnsi="Times New Roman" w:cs="Times New Roman"/>
          <w:highlight w:val="none"/>
        </w:rPr>
        <w:t>总</w:t>
      </w:r>
      <w:r>
        <w:rPr>
          <w:rFonts w:ascii="Times New Roman" w:hAnsi="Times New Roman" w:cs="Times New Roman"/>
          <w:highlight w:val="none"/>
        </w:rPr>
        <w:t>金额为人民币</w:t>
      </w:r>
      <w:r>
        <w:rPr>
          <w:rFonts w:hint="eastAsia" w:ascii="Times New Roman" w:hAnsi="Times New Roman" w:cs="Times New Roman"/>
          <w:highlight w:val="none"/>
        </w:rPr>
        <w:t>【 】</w:t>
      </w:r>
      <w:r>
        <w:rPr>
          <w:rFonts w:ascii="Times New Roman" w:hAnsi="Times New Roman" w:cs="Times New Roman"/>
          <w:highlight w:val="none"/>
        </w:rPr>
        <w:t>元</w:t>
      </w:r>
      <w:r>
        <w:rPr>
          <w:rFonts w:hint="eastAsia" w:ascii="Times New Roman" w:hAnsi="Times New Roman" w:cs="Times New Roman"/>
          <w:highlight w:val="none"/>
        </w:rPr>
        <w:t>（大写：</w:t>
      </w:r>
      <w:r>
        <w:rPr>
          <w:rFonts w:ascii="Times New Roman" w:hAnsi="Times New Roman" w:cs="Times New Roman"/>
          <w:highlight w:val="none"/>
        </w:rPr>
        <w:t>人民币</w:t>
      </w:r>
      <w:r>
        <w:rPr>
          <w:rFonts w:hint="eastAsia" w:ascii="Times New Roman" w:hAnsi="Times New Roman" w:cs="Times New Roman"/>
          <w:highlight w:val="none"/>
        </w:rPr>
        <w:t>【 】</w:t>
      </w:r>
      <w:r>
        <w:rPr>
          <w:rFonts w:ascii="Times New Roman" w:hAnsi="Times New Roman" w:cs="Times New Roman"/>
          <w:highlight w:val="none"/>
        </w:rPr>
        <w:t>元</w:t>
      </w:r>
      <w:r>
        <w:rPr>
          <w:rFonts w:hint="eastAsia" w:ascii="Times New Roman" w:hAnsi="Times New Roman" w:cs="Times New Roman"/>
          <w:highlight w:val="none"/>
        </w:rPr>
        <w:t>）</w:t>
      </w:r>
      <w:r>
        <w:rPr>
          <w:rFonts w:ascii="Times New Roman" w:hAnsi="Times New Roman" w:cs="Times New Roman"/>
          <w:highlight w:val="none"/>
        </w:rPr>
        <w:t>。分项价格、单价、费率或组成详见【本合同附件一】。</w:t>
      </w:r>
    </w:p>
    <w:p>
      <w:pPr>
        <w:widowControl w:val="0"/>
        <w:numPr>
          <w:ilvl w:val="0"/>
          <w:numId w:val="4"/>
        </w:numPr>
        <w:tabs>
          <w:tab w:val="left" w:pos="720"/>
        </w:tabs>
        <w:spacing w:line="360" w:lineRule="auto"/>
        <w:ind w:left="426" w:hanging="579"/>
        <w:contextualSpacing/>
        <w:jc w:val="both"/>
        <w:rPr>
          <w:rFonts w:ascii="Times New Roman" w:hAnsi="Times New Roman" w:cs="Times New Roman"/>
          <w:bCs/>
          <w:highlight w:val="none"/>
          <w:u w:val="single"/>
        </w:rPr>
      </w:pPr>
      <w:r>
        <w:rPr>
          <w:rFonts w:hint="eastAsia" w:ascii="Times New Roman" w:hAnsi="Times New Roman" w:cs="Times New Roman"/>
          <w:highlight w:val="none"/>
        </w:rPr>
        <w:t>本合同</w:t>
      </w:r>
      <w:r>
        <w:rPr>
          <w:rFonts w:ascii="Times New Roman" w:hAnsi="Times New Roman" w:cs="Times New Roman"/>
          <w:highlight w:val="none"/>
        </w:rPr>
        <w:t>执行期间</w:t>
      </w:r>
      <w:r>
        <w:rPr>
          <w:rFonts w:hint="eastAsia" w:ascii="Times New Roman" w:hAnsi="Times New Roman" w:cs="Times New Roman"/>
          <w:highlight w:val="none"/>
        </w:rPr>
        <w:t>，如遇</w:t>
      </w:r>
      <w:r>
        <w:rPr>
          <w:rFonts w:ascii="Times New Roman" w:hAnsi="Times New Roman" w:cs="Times New Roman"/>
          <w:highlight w:val="none"/>
        </w:rPr>
        <w:t>增值税税率</w:t>
      </w:r>
      <w:r>
        <w:rPr>
          <w:rFonts w:hint="eastAsia" w:ascii="Times New Roman" w:hAnsi="Times New Roman" w:cs="Times New Roman"/>
          <w:highlight w:val="none"/>
        </w:rPr>
        <w:t>依法</w:t>
      </w:r>
      <w:r>
        <w:rPr>
          <w:rFonts w:ascii="Times New Roman" w:hAnsi="Times New Roman" w:cs="Times New Roman"/>
          <w:highlight w:val="none"/>
        </w:rPr>
        <w:t>调整，</w:t>
      </w:r>
      <w:r>
        <w:rPr>
          <w:rFonts w:hint="eastAsia" w:ascii="Times New Roman" w:hAnsi="Times New Roman" w:cs="Times New Roman"/>
          <w:highlight w:val="none"/>
        </w:rPr>
        <w:t>则</w:t>
      </w:r>
      <w:r>
        <w:rPr>
          <w:rFonts w:ascii="Times New Roman" w:hAnsi="Times New Roman" w:cs="Times New Roman"/>
          <w:highlight w:val="none"/>
        </w:rPr>
        <w:t>增值税以最新税率为准</w:t>
      </w:r>
      <w:r>
        <w:rPr>
          <w:rFonts w:hint="eastAsia" w:ascii="Times New Roman" w:hAnsi="Times New Roman" w:cs="Times New Roman"/>
          <w:highlight w:val="none"/>
        </w:rPr>
        <w:t>进行计算</w:t>
      </w:r>
      <w:r>
        <w:rPr>
          <w:rFonts w:ascii="Times New Roman" w:hAnsi="Times New Roman" w:cs="Times New Roman"/>
          <w:highlight w:val="none"/>
        </w:rPr>
        <w:t>，货物税前</w:t>
      </w:r>
      <w:r>
        <w:rPr>
          <w:rFonts w:hint="eastAsia" w:ascii="Times New Roman" w:hAnsi="Times New Roman" w:cs="Times New Roman"/>
          <w:highlight w:val="none"/>
        </w:rPr>
        <w:t>单</w:t>
      </w:r>
      <w:r>
        <w:rPr>
          <w:rFonts w:ascii="Times New Roman" w:hAnsi="Times New Roman" w:cs="Times New Roman"/>
          <w:highlight w:val="none"/>
        </w:rPr>
        <w:t>价</w:t>
      </w:r>
      <w:r>
        <w:rPr>
          <w:rFonts w:hint="eastAsia" w:ascii="Times New Roman" w:hAnsi="Times New Roman" w:cs="Times New Roman"/>
          <w:highlight w:val="none"/>
        </w:rPr>
        <w:t>、费率及合同总价</w:t>
      </w:r>
      <w:r>
        <w:rPr>
          <w:rFonts w:ascii="Times New Roman" w:hAnsi="Times New Roman" w:cs="Times New Roman"/>
          <w:highlight w:val="none"/>
        </w:rPr>
        <w:t>保持不变</w:t>
      </w:r>
      <w:r>
        <w:rPr>
          <w:rFonts w:hint="eastAsia" w:ascii="Times New Roman" w:hAnsi="Times New Roman" w:cs="Times New Roman"/>
          <w:highlight w:val="none"/>
        </w:rPr>
        <w:t>；含税单价、费率及</w:t>
      </w:r>
      <w:r>
        <w:rPr>
          <w:rFonts w:ascii="Times New Roman" w:hAnsi="Times New Roman" w:cs="Times New Roman"/>
          <w:highlight w:val="none"/>
        </w:rPr>
        <w:t>合同总价</w:t>
      </w:r>
      <w:r>
        <w:rPr>
          <w:rFonts w:hint="eastAsia" w:ascii="Times New Roman" w:hAnsi="Times New Roman" w:cs="Times New Roman"/>
          <w:highlight w:val="none"/>
        </w:rPr>
        <w:t>相应</w:t>
      </w:r>
      <w:r>
        <w:rPr>
          <w:rFonts w:ascii="Times New Roman" w:hAnsi="Times New Roman" w:cs="Times New Roman"/>
          <w:highlight w:val="none"/>
        </w:rPr>
        <w:t>自动调整</w:t>
      </w:r>
      <w:r>
        <w:rPr>
          <w:rFonts w:hint="eastAsia" w:ascii="Times New Roman" w:hAnsi="Times New Roman" w:cs="Times New Roman"/>
          <w:highlight w:val="none"/>
        </w:rPr>
        <w:t>。增值税由卖方承担。</w:t>
      </w:r>
    </w:p>
    <w:bookmarkEnd w:id="40"/>
    <w:bookmarkEnd w:id="41"/>
    <w:bookmarkEnd w:id="42"/>
    <w:bookmarkEnd w:id="43"/>
    <w:bookmarkEnd w:id="44"/>
    <w:bookmarkEnd w:id="45"/>
    <w:bookmarkEnd w:id="46"/>
    <w:bookmarkEnd w:id="47"/>
    <w:bookmarkEnd w:id="48"/>
    <w:bookmarkEnd w:id="49"/>
    <w:bookmarkEnd w:id="50"/>
    <w:bookmarkEnd w:id="51"/>
    <w:bookmarkEnd w:id="52"/>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3" w:name="_Toc152081935"/>
      <w:bookmarkStart w:id="54" w:name="_Toc300671185"/>
      <w:r>
        <w:rPr>
          <w:rFonts w:ascii="Times New Roman" w:hAnsi="Times New Roman"/>
          <w:i w:val="0"/>
          <w:iCs w:val="0"/>
          <w:sz w:val="24"/>
          <w:szCs w:val="24"/>
          <w:highlight w:val="none"/>
        </w:rPr>
        <w:t>合同的构成和效力</w:t>
      </w:r>
      <w:bookmarkEnd w:id="53"/>
      <w:bookmarkEnd w:id="54"/>
    </w:p>
    <w:p>
      <w:pPr>
        <w:widowControl w:val="0"/>
        <w:numPr>
          <w:ilvl w:val="3"/>
          <w:numId w:val="5"/>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本合同由以下部分组成：</w:t>
      </w:r>
    </w:p>
    <w:p>
      <w:pPr>
        <w:widowControl w:val="0"/>
        <w:numPr>
          <w:ilvl w:val="5"/>
          <w:numId w:val="5"/>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第一部分：合同书</w:t>
      </w:r>
    </w:p>
    <w:p>
      <w:pPr>
        <w:widowControl w:val="0"/>
        <w:numPr>
          <w:ilvl w:val="5"/>
          <w:numId w:val="5"/>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第二部分：专用合同条款</w:t>
      </w:r>
    </w:p>
    <w:p>
      <w:pPr>
        <w:widowControl w:val="0"/>
        <w:numPr>
          <w:ilvl w:val="5"/>
          <w:numId w:val="5"/>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第三部分：通用合同条款</w:t>
      </w:r>
    </w:p>
    <w:p>
      <w:pPr>
        <w:widowControl w:val="0"/>
        <w:numPr>
          <w:ilvl w:val="5"/>
          <w:numId w:val="5"/>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第四部分：附件</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附件一：货物清单及货物规格</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附件二：技术资料、技术服务和培训</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附件三：年度协议订单及发货清单（格式）</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 xml:space="preserve">附件四：送货单（格式） </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附件五：验收标准</w:t>
      </w:r>
      <w:r>
        <w:rPr>
          <w:rFonts w:hint="eastAsia" w:ascii="Times New Roman" w:hAnsi="Times New Roman" w:cs="Times New Roman"/>
          <w:highlight w:val="none"/>
        </w:rPr>
        <w:t>及验收记录（格式）</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附件六：履约保函（格式）</w:t>
      </w:r>
    </w:p>
    <w:p>
      <w:pPr>
        <w:autoSpaceDE w:val="0"/>
        <w:autoSpaceDN w:val="0"/>
        <w:spacing w:line="360" w:lineRule="auto"/>
        <w:ind w:left="1318" w:leftChars="549"/>
        <w:textAlignment w:val="bottom"/>
        <w:rPr>
          <w:rFonts w:ascii="Times New Roman" w:hAnsi="Times New Roman" w:cs="Times New Roman"/>
          <w:highlight w:val="none"/>
        </w:rPr>
      </w:pPr>
      <w:r>
        <w:rPr>
          <w:rFonts w:ascii="Times New Roman" w:hAnsi="Times New Roman" w:cs="Times New Roman"/>
          <w:highlight w:val="none"/>
        </w:rPr>
        <w:t>附件七：预付款保函（格式）</w:t>
      </w:r>
    </w:p>
    <w:p>
      <w:pPr>
        <w:spacing w:line="360" w:lineRule="auto"/>
        <w:ind w:left="1318" w:leftChars="549"/>
        <w:rPr>
          <w:rFonts w:ascii="Times New Roman" w:hAnsi="Times New Roman" w:cs="Times New Roman"/>
          <w:highlight w:val="none"/>
        </w:rPr>
      </w:pPr>
      <w:r>
        <w:rPr>
          <w:rFonts w:ascii="Times New Roman" w:hAnsi="Times New Roman" w:cs="Times New Roman"/>
          <w:highlight w:val="none"/>
        </w:rPr>
        <w:t>附件八：质量、健康、安全和环保要求</w:t>
      </w:r>
    </w:p>
    <w:p>
      <w:pPr>
        <w:spacing w:line="360" w:lineRule="auto"/>
        <w:ind w:left="1318" w:leftChars="549"/>
        <w:rPr>
          <w:rFonts w:ascii="Times New Roman" w:hAnsi="Times New Roman" w:cs="Times New Roman"/>
          <w:highlight w:val="none"/>
        </w:rPr>
      </w:pPr>
      <w:r>
        <w:rPr>
          <w:rFonts w:ascii="Times New Roman" w:hAnsi="Times New Roman" w:cs="Times New Roman"/>
          <w:highlight w:val="none"/>
        </w:rPr>
        <w:t>附件九：廉洁备忘录</w:t>
      </w:r>
    </w:p>
    <w:p>
      <w:pPr>
        <w:widowControl w:val="0"/>
        <w:numPr>
          <w:ilvl w:val="5"/>
          <w:numId w:val="5"/>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u w:val="single"/>
        </w:rPr>
        <w:t xml:space="preserve">                      </w:t>
      </w:r>
    </w:p>
    <w:p>
      <w:pPr>
        <w:tabs>
          <w:tab w:val="left" w:pos="1260"/>
        </w:tabs>
        <w:spacing w:line="360" w:lineRule="auto"/>
        <w:ind w:left="1276"/>
        <w:rPr>
          <w:rFonts w:ascii="Times New Roman" w:hAnsi="Times New Roman" w:cs="Times New Roman"/>
          <w:highlight w:val="none"/>
        </w:rPr>
      </w:pPr>
      <w:r>
        <w:rPr>
          <w:rFonts w:ascii="Times New Roman" w:hAnsi="Times New Roman" w:cs="Times New Roman"/>
          <w:highlight w:val="none"/>
        </w:rPr>
        <w:t>（注：(1) 如实际情况需要，可以增减附件；(2) 如实际情况需要，可将招标文件、投标文件、技术澄清、中标通知书等招、投标文件作为合同组成部分，但应明确优先顺序，并尽可能减少合同文件之间的矛盾和冲突。）</w:t>
      </w:r>
    </w:p>
    <w:p>
      <w:pPr>
        <w:widowControl w:val="0"/>
        <w:numPr>
          <w:ilvl w:val="3"/>
          <w:numId w:val="5"/>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合同书、专用合同条款、通用合同条款和各附件、以及经买卖双方</w:t>
      </w:r>
      <w:r>
        <w:rPr>
          <w:rFonts w:hint="eastAsia" w:ascii="Times New Roman" w:hAnsi="Times New Roman" w:cs="Times New Roman"/>
          <w:highlight w:val="none"/>
        </w:rPr>
        <w:t>签署</w:t>
      </w:r>
      <w:r>
        <w:rPr>
          <w:rFonts w:ascii="Times New Roman" w:hAnsi="Times New Roman" w:cs="Times New Roman"/>
          <w:highlight w:val="none"/>
        </w:rPr>
        <w:t>确认的年度协议订单</w:t>
      </w:r>
      <w:r>
        <w:rPr>
          <w:rFonts w:hint="eastAsia" w:ascii="Times New Roman" w:hAnsi="Times New Roman" w:cs="Times New Roman"/>
          <w:highlight w:val="none"/>
        </w:rPr>
        <w:t>、送货单、验收记录等</w:t>
      </w:r>
      <w:r>
        <w:rPr>
          <w:rFonts w:ascii="Times New Roman" w:hAnsi="Times New Roman" w:cs="Times New Roman"/>
          <w:highlight w:val="none"/>
        </w:rPr>
        <w:t>均构成本合同不可分割的组成部分，各部分之间的内容相互补充、说明，以便对合同予以完整理解。如合同各组成部分之间存在冲突或不一致，以上述序列作为优先顺序进行解释。</w:t>
      </w:r>
    </w:p>
    <w:p>
      <w:pPr>
        <w:widowControl w:val="0"/>
        <w:numPr>
          <w:ilvl w:val="3"/>
          <w:numId w:val="5"/>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本合同构成双方就合同标的达成的全部理解和一致，本合同签署以前双方就合同标的达成的所有口头和/或书面的理解、声明、文件、信件及双方其它形式的通信在本合同生效后自动失效。但若该等理解、声明、文件、信件及双方其它形式的通信不与本合同约定冲突，则双方可在解释本合同用语时参考上述通信的内容。</w:t>
      </w:r>
    </w:p>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5" w:name="_Toc300671186"/>
      <w:bookmarkStart w:id="56" w:name="_Toc152081936"/>
      <w:r>
        <w:rPr>
          <w:rFonts w:ascii="Times New Roman" w:hAnsi="Times New Roman"/>
          <w:i w:val="0"/>
          <w:iCs w:val="0"/>
          <w:sz w:val="24"/>
          <w:szCs w:val="24"/>
          <w:highlight w:val="none"/>
        </w:rPr>
        <w:t>联系方式</w:t>
      </w:r>
      <w:bookmarkEnd w:id="55"/>
      <w:bookmarkEnd w:id="56"/>
    </w:p>
    <w:p>
      <w:pPr>
        <w:widowControl w:val="0"/>
        <w:numPr>
          <w:ilvl w:val="0"/>
          <w:numId w:val="6"/>
        </w:numPr>
        <w:tabs>
          <w:tab w:val="left" w:pos="426"/>
          <w:tab w:val="clear" w:pos="1468"/>
        </w:tabs>
        <w:spacing w:line="360" w:lineRule="auto"/>
        <w:ind w:left="426" w:hanging="568"/>
        <w:jc w:val="both"/>
        <w:rPr>
          <w:rFonts w:ascii="Times New Roman" w:hAnsi="Times New Roman" w:cs="Times New Roman"/>
          <w:highlight w:val="none"/>
        </w:rPr>
      </w:pPr>
      <w:r>
        <w:rPr>
          <w:rFonts w:hint="eastAsia" w:ascii="Times New Roman" w:hAnsi="Times New Roman" w:cs="Times New Roman"/>
          <w:highlight w:val="none"/>
        </w:rPr>
        <w:t>除非本合同另有明确规定或双方另行书面同意，任何一方根据本合同向另一方交付资料和发送通知，按照以下联系方式（本合同签订完成后，交付订单下的资料和发送通知，按照订单内容执行）</w:t>
      </w:r>
      <w:r>
        <w:rPr>
          <w:rFonts w:ascii="Times New Roman" w:hAnsi="Times New Roman" w:cs="Times New Roman"/>
          <w:highlight w:val="none"/>
        </w:rPr>
        <w:t>，卖方应于订单下达后每隔【 】日，通过传真、电子邮件、电话等方式将合同货物准备、发货交运等情况通知买方联系人：</w:t>
      </w:r>
    </w:p>
    <w:p>
      <w:pPr>
        <w:widowControl w:val="0"/>
        <w:spacing w:line="360" w:lineRule="auto"/>
        <w:ind w:left="426"/>
        <w:jc w:val="both"/>
        <w:rPr>
          <w:rFonts w:ascii="Times New Roman" w:hAnsi="Times New Roman" w:cs="Times New Roman"/>
          <w:highlight w:val="none"/>
        </w:rPr>
      </w:pPr>
      <w:r>
        <w:rPr>
          <w:rFonts w:ascii="Times New Roman" w:hAnsi="Times New Roman" w:cs="Times New Roman"/>
          <w:highlight w:val="none"/>
        </w:rPr>
        <w:t>双方联系方式如下：</w:t>
      </w:r>
    </w:p>
    <w:p>
      <w:pPr>
        <w:widowControl w:val="0"/>
        <w:numPr>
          <w:ilvl w:val="1"/>
          <w:numId w:val="6"/>
        </w:numPr>
        <w:tabs>
          <w:tab w:val="left" w:pos="1134"/>
        </w:tabs>
        <w:autoSpaceDE w:val="0"/>
        <w:autoSpaceDN w:val="0"/>
        <w:spacing w:line="360" w:lineRule="auto"/>
        <w:ind w:left="1418" w:hanging="992"/>
        <w:jc w:val="both"/>
        <w:textAlignment w:val="bottom"/>
        <w:rPr>
          <w:rFonts w:ascii="Times New Roman" w:hAnsi="Times New Roman" w:cs="Times New Roman"/>
          <w:highlight w:val="none"/>
        </w:rPr>
      </w:pPr>
      <w:r>
        <w:rPr>
          <w:rFonts w:ascii="Times New Roman" w:hAnsi="Times New Roman" w:cs="Times New Roman"/>
          <w:highlight w:val="none"/>
        </w:rPr>
        <w:t xml:space="preserve">买方地址： </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邮政编码：</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联系人：</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联系电话：</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传真号码：</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电子邮箱：</w:t>
      </w:r>
      <w:r>
        <w:rPr>
          <w:rFonts w:ascii="Times New Roman" w:hAnsi="Times New Roman" w:cs="Times New Roman"/>
          <w:highlight w:val="none"/>
          <w:u w:val="single"/>
        </w:rPr>
        <w:t xml:space="preserve">                   </w:t>
      </w:r>
    </w:p>
    <w:p>
      <w:pPr>
        <w:widowControl w:val="0"/>
        <w:numPr>
          <w:ilvl w:val="1"/>
          <w:numId w:val="6"/>
        </w:numPr>
        <w:tabs>
          <w:tab w:val="left" w:pos="1134"/>
        </w:tabs>
        <w:autoSpaceDE w:val="0"/>
        <w:autoSpaceDN w:val="0"/>
        <w:spacing w:line="360" w:lineRule="auto"/>
        <w:ind w:left="1418" w:hanging="992"/>
        <w:jc w:val="both"/>
        <w:textAlignment w:val="bottom"/>
        <w:rPr>
          <w:rFonts w:ascii="Times New Roman" w:hAnsi="Times New Roman" w:cs="Times New Roman"/>
          <w:highlight w:val="none"/>
        </w:rPr>
      </w:pPr>
      <w:r>
        <w:rPr>
          <w:rFonts w:ascii="Times New Roman" w:hAnsi="Times New Roman" w:cs="Times New Roman"/>
          <w:highlight w:val="none"/>
        </w:rPr>
        <w:t xml:space="preserve">卖方地址： </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邮政编码：</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联系人：</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联系电话：</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u w:val="single"/>
        </w:rPr>
      </w:pPr>
      <w:r>
        <w:rPr>
          <w:rFonts w:ascii="Times New Roman" w:hAnsi="Times New Roman" w:cs="Times New Roman"/>
          <w:highlight w:val="none"/>
        </w:rPr>
        <w:t>传真号码：</w:t>
      </w:r>
      <w:r>
        <w:rPr>
          <w:rFonts w:ascii="Times New Roman" w:hAnsi="Times New Roman" w:cs="Times New Roman"/>
          <w:highlight w:val="none"/>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none"/>
        </w:rPr>
      </w:pPr>
      <w:r>
        <w:rPr>
          <w:rFonts w:ascii="Times New Roman" w:hAnsi="Times New Roman" w:cs="Times New Roman"/>
          <w:highlight w:val="none"/>
        </w:rPr>
        <w:t>电子邮箱：</w:t>
      </w:r>
      <w:r>
        <w:rPr>
          <w:rFonts w:ascii="Times New Roman" w:hAnsi="Times New Roman" w:cs="Times New Roman"/>
          <w:highlight w:val="none"/>
          <w:u w:val="single"/>
        </w:rPr>
        <w:t xml:space="preserve">                   </w:t>
      </w:r>
    </w:p>
    <w:p>
      <w:pPr>
        <w:widowControl w:val="0"/>
        <w:numPr>
          <w:ilvl w:val="0"/>
          <w:numId w:val="6"/>
        </w:numPr>
        <w:tabs>
          <w:tab w:val="left" w:pos="426"/>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买方在接收、检验、安装或使用货物过程中如遇技术问题，可与卖方或以下技术服务单位联系：</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技术服务单位：</w:t>
      </w:r>
      <w:r>
        <w:rPr>
          <w:rFonts w:ascii="Times New Roman" w:hAnsi="Times New Roman" w:cs="Times New Roman"/>
          <w:highlight w:val="none"/>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地址：</w:t>
      </w:r>
      <w:r>
        <w:rPr>
          <w:rFonts w:ascii="Times New Roman" w:hAnsi="Times New Roman" w:cs="Times New Roman"/>
          <w:highlight w:val="none"/>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邮政编码：</w:t>
      </w:r>
      <w:r>
        <w:rPr>
          <w:rFonts w:ascii="Times New Roman" w:hAnsi="Times New Roman" w:cs="Times New Roman"/>
          <w:highlight w:val="none"/>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联系人：</w:t>
      </w:r>
      <w:r>
        <w:rPr>
          <w:rFonts w:ascii="Times New Roman" w:hAnsi="Times New Roman" w:cs="Times New Roman"/>
          <w:highlight w:val="none"/>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联系电话：</w:t>
      </w:r>
      <w:r>
        <w:rPr>
          <w:rFonts w:ascii="Times New Roman" w:hAnsi="Times New Roman" w:cs="Times New Roman"/>
          <w:highlight w:val="none"/>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none"/>
        </w:rPr>
      </w:pPr>
      <w:r>
        <w:rPr>
          <w:rFonts w:ascii="Times New Roman" w:hAnsi="Times New Roman" w:cs="Times New Roman"/>
          <w:highlight w:val="none"/>
        </w:rPr>
        <w:t>传真号码：</w:t>
      </w:r>
      <w:r>
        <w:rPr>
          <w:rFonts w:ascii="Times New Roman" w:hAnsi="Times New Roman" w:cs="Times New Roman"/>
          <w:highlight w:val="none"/>
          <w:u w:val="single"/>
        </w:rPr>
        <w:t xml:space="preserve">                   </w:t>
      </w:r>
    </w:p>
    <w:p>
      <w:pPr>
        <w:tabs>
          <w:tab w:val="left" w:pos="3060"/>
        </w:tabs>
        <w:spacing w:line="360" w:lineRule="auto"/>
        <w:ind w:left="720" w:leftChars="300" w:firstLine="24" w:firstLineChars="10"/>
        <w:rPr>
          <w:rFonts w:ascii="Times New Roman" w:hAnsi="Times New Roman" w:cs="Times New Roman"/>
          <w:highlight w:val="none"/>
        </w:rPr>
      </w:pPr>
      <w:r>
        <w:rPr>
          <w:rFonts w:ascii="Times New Roman" w:hAnsi="Times New Roman" w:cs="Times New Roman"/>
          <w:highlight w:val="none"/>
        </w:rPr>
        <w:t>（注：如不存在其它技术服务单位，上述内容可删除。）</w:t>
      </w:r>
    </w:p>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7" w:name="_Toc300671187"/>
      <w:bookmarkStart w:id="58" w:name="_Toc152081937"/>
      <w:r>
        <w:rPr>
          <w:rFonts w:ascii="Times New Roman" w:hAnsi="Times New Roman"/>
          <w:i w:val="0"/>
          <w:iCs w:val="0"/>
          <w:sz w:val="24"/>
          <w:szCs w:val="24"/>
          <w:highlight w:val="none"/>
        </w:rPr>
        <w:t>合同份数</w:t>
      </w:r>
      <w:bookmarkEnd w:id="57"/>
      <w:bookmarkEnd w:id="58"/>
    </w:p>
    <w:p>
      <w:pPr>
        <w:widowControl w:val="0"/>
        <w:numPr>
          <w:ilvl w:val="0"/>
          <w:numId w:val="7"/>
        </w:numPr>
        <w:tabs>
          <w:tab w:val="left" w:pos="426"/>
          <w:tab w:val="left" w:pos="168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本合同正本一式【●】份，买方执【●】份，卖方执【●】份，具有同等效力。</w:t>
      </w:r>
    </w:p>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9" w:name="_Toc152081938"/>
      <w:bookmarkStart w:id="60" w:name="_Toc300671188"/>
      <w:bookmarkStart w:id="61" w:name="_Toc298159080"/>
      <w:bookmarkStart w:id="62" w:name="_Toc299695678"/>
      <w:bookmarkStart w:id="63" w:name="_Toc299608974"/>
      <w:r>
        <w:rPr>
          <w:rFonts w:ascii="Times New Roman" w:hAnsi="Times New Roman"/>
          <w:i w:val="0"/>
          <w:iCs w:val="0"/>
          <w:sz w:val="24"/>
          <w:szCs w:val="24"/>
          <w:highlight w:val="none"/>
        </w:rPr>
        <w:t>合同有效期</w:t>
      </w:r>
      <w:bookmarkEnd w:id="59"/>
    </w:p>
    <w:p>
      <w:pPr>
        <w:pStyle w:val="77"/>
        <w:widowControl w:val="0"/>
        <w:numPr>
          <w:ilvl w:val="0"/>
          <w:numId w:val="8"/>
        </w:numPr>
        <w:tabs>
          <w:tab w:val="left" w:pos="426"/>
          <w:tab w:val="left" w:pos="1680"/>
        </w:tabs>
        <w:spacing w:line="360" w:lineRule="auto"/>
        <w:ind w:left="0" w:firstLine="0"/>
        <w:jc w:val="both"/>
        <w:rPr>
          <w:rFonts w:ascii="Times New Roman" w:hAnsi="Times New Roman" w:cs="Times New Roman"/>
          <w:highlight w:val="none"/>
        </w:rPr>
      </w:pPr>
      <w:r>
        <w:rPr>
          <w:rFonts w:ascii="Times New Roman" w:hAnsi="Times New Roman" w:cs="Times New Roman"/>
          <w:highlight w:val="none"/>
        </w:rPr>
        <w:t>本合同有效期为___年，自___年___月___日至___年___月___日。</w:t>
      </w:r>
    </w:p>
    <w:p>
      <w:pPr>
        <w:pStyle w:val="3"/>
        <w:keepLines/>
        <w:widowControl w:val="0"/>
        <w:numPr>
          <w:ilvl w:val="0"/>
          <w:numId w:val="2"/>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64" w:name="_Toc152081939"/>
      <w:r>
        <w:rPr>
          <w:rFonts w:ascii="Times New Roman" w:hAnsi="Times New Roman"/>
          <w:i w:val="0"/>
          <w:iCs w:val="0"/>
          <w:sz w:val="24"/>
          <w:szCs w:val="24"/>
          <w:highlight w:val="none"/>
        </w:rPr>
        <w:t>合同生效</w:t>
      </w:r>
      <w:bookmarkEnd w:id="60"/>
      <w:bookmarkEnd w:id="61"/>
      <w:bookmarkEnd w:id="62"/>
      <w:bookmarkEnd w:id="63"/>
      <w:bookmarkEnd w:id="64"/>
    </w:p>
    <w:p>
      <w:pPr>
        <w:pStyle w:val="77"/>
        <w:widowControl w:val="0"/>
        <w:numPr>
          <w:ilvl w:val="0"/>
          <w:numId w:val="9"/>
        </w:numPr>
        <w:tabs>
          <w:tab w:val="left" w:pos="426"/>
          <w:tab w:val="left" w:pos="3060"/>
          <w:tab w:val="clear" w:pos="1468"/>
        </w:tabs>
        <w:spacing w:line="360" w:lineRule="auto"/>
        <w:ind w:left="0" w:firstLine="0"/>
        <w:jc w:val="both"/>
        <w:rPr>
          <w:rFonts w:ascii="Times New Roman" w:hAnsi="Times New Roman" w:cs="Times New Roman"/>
          <w:highlight w:val="none"/>
        </w:rPr>
      </w:pPr>
      <w:r>
        <w:rPr>
          <w:rFonts w:ascii="Times New Roman" w:hAnsi="Times New Roman" w:cs="Times New Roman"/>
          <w:highlight w:val="none"/>
        </w:rPr>
        <w:t>本合同</w:t>
      </w:r>
      <w:r>
        <w:rPr>
          <w:rFonts w:ascii="Times New Roman" w:hAnsi="Times New Roman" w:cs="Times New Roman"/>
          <w:iCs/>
          <w:highlight w:val="none"/>
        </w:rPr>
        <w:t>在以下条件全部获得满足之后生效：（删除不适用选项）</w:t>
      </w:r>
    </w:p>
    <w:p>
      <w:pPr>
        <w:pStyle w:val="77"/>
        <w:numPr>
          <w:ilvl w:val="2"/>
          <w:numId w:val="10"/>
        </w:numPr>
        <w:spacing w:line="360" w:lineRule="auto"/>
        <w:ind w:left="120" w:leftChars="50" w:firstLine="304" w:firstLineChars="127"/>
        <w:jc w:val="both"/>
        <w:rPr>
          <w:rFonts w:ascii="Times New Roman" w:hAnsi="Times New Roman" w:cs="Times New Roman"/>
          <w:highlight w:val="none"/>
        </w:rPr>
      </w:pPr>
      <w:r>
        <w:rPr>
          <w:rFonts w:ascii="Times New Roman" w:hAnsi="Times New Roman" w:cs="Times New Roman"/>
          <w:highlight w:val="none"/>
        </w:rPr>
        <w:t>双方法定代表人或授权代表签字并加盖合同专用章/公章；</w:t>
      </w:r>
    </w:p>
    <w:p>
      <w:pPr>
        <w:pStyle w:val="77"/>
        <w:numPr>
          <w:ilvl w:val="2"/>
          <w:numId w:val="10"/>
        </w:numPr>
        <w:spacing w:line="360" w:lineRule="auto"/>
        <w:ind w:left="120" w:leftChars="50" w:firstLine="304" w:firstLineChars="127"/>
        <w:jc w:val="both"/>
        <w:rPr>
          <w:rFonts w:ascii="Times New Roman" w:hAnsi="Times New Roman" w:cs="Times New Roman"/>
          <w:highlight w:val="none"/>
        </w:rPr>
      </w:pPr>
      <w:r>
        <w:rPr>
          <w:rFonts w:ascii="Times New Roman" w:hAnsi="Times New Roman" w:cs="Times New Roman"/>
          <w:highlight w:val="none"/>
        </w:rPr>
        <w:t>卖方已根据合同规定提交履约保函；</w:t>
      </w:r>
    </w:p>
    <w:p>
      <w:pPr>
        <w:pStyle w:val="77"/>
        <w:numPr>
          <w:ilvl w:val="2"/>
          <w:numId w:val="10"/>
        </w:numPr>
        <w:spacing w:line="360" w:lineRule="auto"/>
        <w:ind w:left="120" w:leftChars="50" w:firstLine="304" w:firstLineChars="127"/>
        <w:jc w:val="both"/>
        <w:rPr>
          <w:rFonts w:ascii="Times New Roman" w:hAnsi="Times New Roman" w:cs="Times New Roman"/>
          <w:highlight w:val="none"/>
        </w:rPr>
      </w:pPr>
      <w:r>
        <w:rPr>
          <w:rFonts w:ascii="Times New Roman" w:hAnsi="Times New Roman" w:cs="Times New Roman"/>
          <w:highlight w:val="none"/>
        </w:rPr>
        <w:t>卖方已根据合同规定提交预付款保函；及</w:t>
      </w:r>
    </w:p>
    <w:p>
      <w:pPr>
        <w:pStyle w:val="77"/>
        <w:numPr>
          <w:ilvl w:val="2"/>
          <w:numId w:val="10"/>
        </w:numPr>
        <w:spacing w:line="360" w:lineRule="auto"/>
        <w:ind w:left="120" w:leftChars="50" w:firstLine="304" w:firstLineChars="127"/>
        <w:jc w:val="both"/>
        <w:rPr>
          <w:rFonts w:ascii="Times New Roman" w:hAnsi="Times New Roman" w:cs="Times New Roman"/>
          <w:highlight w:val="none"/>
        </w:rPr>
      </w:pPr>
      <w:r>
        <w:rPr>
          <w:rFonts w:ascii="Times New Roman" w:hAnsi="Times New Roman" w:cs="Times New Roman"/>
          <w:highlight w:val="none"/>
        </w:rPr>
        <w:t>其它____________________。</w:t>
      </w:r>
    </w:p>
    <w:p>
      <w:pPr>
        <w:pStyle w:val="77"/>
        <w:widowControl w:val="0"/>
        <w:numPr>
          <w:ilvl w:val="0"/>
          <w:numId w:val="9"/>
        </w:numPr>
        <w:tabs>
          <w:tab w:val="left" w:pos="426"/>
          <w:tab w:val="left" w:pos="3060"/>
          <w:tab w:val="clear" w:pos="1468"/>
        </w:tabs>
        <w:spacing w:line="360" w:lineRule="auto"/>
        <w:ind w:left="0" w:firstLine="0"/>
        <w:jc w:val="both"/>
        <w:rPr>
          <w:rFonts w:ascii="Times New Roman" w:hAnsi="Times New Roman" w:cs="Times New Roman"/>
          <w:highlight w:val="none"/>
        </w:rPr>
      </w:pPr>
      <w:r>
        <w:rPr>
          <w:rFonts w:ascii="Times New Roman" w:hAnsi="Times New Roman" w:cs="Times New Roman"/>
          <w:highlight w:val="none"/>
        </w:rPr>
        <w:t>本合同至双方在本合同项下的全部义务履行完毕后失效。</w:t>
      </w:r>
    </w:p>
    <w:p>
      <w:pPr>
        <w:pStyle w:val="77"/>
        <w:widowControl w:val="0"/>
        <w:numPr>
          <w:ilvl w:val="0"/>
          <w:numId w:val="9"/>
        </w:numPr>
        <w:tabs>
          <w:tab w:val="left" w:pos="426"/>
          <w:tab w:val="left" w:pos="3060"/>
          <w:tab w:val="clear" w:pos="1468"/>
        </w:tabs>
        <w:spacing w:line="360" w:lineRule="auto"/>
        <w:ind w:left="425" w:hanging="424" w:hangingChars="177"/>
        <w:jc w:val="both"/>
        <w:rPr>
          <w:rFonts w:ascii="Times New Roman" w:hAnsi="Times New Roman" w:cs="Times New Roman"/>
          <w:highlight w:val="none"/>
        </w:rPr>
      </w:pPr>
      <w:r>
        <w:rPr>
          <w:rFonts w:ascii="Times New Roman" w:hAnsi="Times New Roman" w:cs="Times New Roman"/>
          <w:highlight w:val="none"/>
        </w:rPr>
        <w:t>本合同期满后，如双方均无异议，合同有效期自动顺延【●】年。双方对本合同另行达成协议或者任何一方在合同期满前【●】日内以书面方式提出异议，本合同到期后自动终止。（注：本款可选择适用。）</w:t>
      </w:r>
    </w:p>
    <w:p>
      <w:pPr>
        <w:tabs>
          <w:tab w:val="left" w:pos="850"/>
        </w:tabs>
        <w:autoSpaceDE w:val="0"/>
        <w:autoSpaceDN w:val="0"/>
        <w:spacing w:line="360" w:lineRule="auto"/>
        <w:jc w:val="center"/>
        <w:textAlignment w:val="bottom"/>
        <w:rPr>
          <w:rFonts w:ascii="Times New Roman" w:hAnsi="Times New Roman" w:cs="Times New Roman"/>
          <w:b/>
          <w:bCs/>
          <w:highlight w:val="none"/>
        </w:rPr>
      </w:pPr>
    </w:p>
    <w:tbl>
      <w:tblPr>
        <w:tblStyle w:val="39"/>
        <w:tblW w:w="5000" w:type="pct"/>
        <w:tblInd w:w="-106" w:type="dxa"/>
        <w:tblLayout w:type="autofit"/>
        <w:tblCellMar>
          <w:top w:w="0" w:type="dxa"/>
          <w:left w:w="108" w:type="dxa"/>
          <w:bottom w:w="0" w:type="dxa"/>
          <w:right w:w="108" w:type="dxa"/>
        </w:tblCellMar>
      </w:tblPr>
      <w:tblGrid>
        <w:gridCol w:w="4983"/>
        <w:gridCol w:w="4588"/>
      </w:tblGrid>
      <w:tr>
        <w:tblPrEx>
          <w:tblCellMar>
            <w:top w:w="0" w:type="dxa"/>
            <w:left w:w="108" w:type="dxa"/>
            <w:bottom w:w="0" w:type="dxa"/>
            <w:right w:w="108" w:type="dxa"/>
          </w:tblCellMar>
        </w:tblPrEx>
        <w:trPr>
          <w:trHeight w:val="711" w:hRule="atLeast"/>
        </w:trPr>
        <w:tc>
          <w:tcPr>
            <w:tcW w:w="2603" w:type="pct"/>
          </w:tcPr>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买方：【】（盖章）</w:t>
            </w:r>
          </w:p>
        </w:tc>
        <w:tc>
          <w:tcPr>
            <w:tcW w:w="2397" w:type="pct"/>
          </w:tcPr>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卖方：【】（盖章）</w:t>
            </w:r>
          </w:p>
        </w:tc>
      </w:tr>
      <w:tr>
        <w:tblPrEx>
          <w:tblCellMar>
            <w:top w:w="0" w:type="dxa"/>
            <w:left w:w="108" w:type="dxa"/>
            <w:bottom w:w="0" w:type="dxa"/>
            <w:right w:w="108" w:type="dxa"/>
          </w:tblCellMar>
        </w:tblPrEx>
        <w:trPr>
          <w:trHeight w:val="1084" w:hRule="atLeast"/>
        </w:trPr>
        <w:tc>
          <w:tcPr>
            <w:tcW w:w="2603" w:type="pct"/>
            <w:vAlign w:val="center"/>
          </w:tcPr>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法定代表人或授权代表签字：</w:t>
            </w:r>
          </w:p>
          <w:p>
            <w:pPr>
              <w:tabs>
                <w:tab w:val="left" w:pos="850"/>
              </w:tabs>
              <w:autoSpaceDE w:val="0"/>
              <w:autoSpaceDN w:val="0"/>
              <w:spacing w:line="360" w:lineRule="auto"/>
              <w:textAlignment w:val="bottom"/>
              <w:rPr>
                <w:rFonts w:ascii="Times New Roman" w:hAnsi="Times New Roman" w:cs="Times New Roman"/>
                <w:highlight w:val="none"/>
              </w:rPr>
            </w:pPr>
          </w:p>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u w:val="single"/>
              </w:rPr>
              <w:t xml:space="preserve">                                  </w:t>
            </w:r>
          </w:p>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日期：</w:t>
            </w:r>
          </w:p>
          <w:p>
            <w:pPr>
              <w:tabs>
                <w:tab w:val="left" w:pos="850"/>
              </w:tabs>
              <w:autoSpaceDE w:val="0"/>
              <w:autoSpaceDN w:val="0"/>
              <w:spacing w:line="360" w:lineRule="auto"/>
              <w:textAlignment w:val="bottom"/>
              <w:rPr>
                <w:rFonts w:ascii="Times New Roman" w:hAnsi="Times New Roman" w:cs="Times New Roman"/>
                <w:highlight w:val="none"/>
              </w:rPr>
            </w:pPr>
          </w:p>
        </w:tc>
        <w:tc>
          <w:tcPr>
            <w:tcW w:w="2397" w:type="pct"/>
            <w:vAlign w:val="center"/>
          </w:tcPr>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法定代表人或授权代表签字：</w:t>
            </w:r>
          </w:p>
          <w:p>
            <w:pPr>
              <w:tabs>
                <w:tab w:val="left" w:pos="850"/>
              </w:tabs>
              <w:autoSpaceDE w:val="0"/>
              <w:autoSpaceDN w:val="0"/>
              <w:spacing w:line="360" w:lineRule="auto"/>
              <w:textAlignment w:val="bottom"/>
              <w:rPr>
                <w:rFonts w:ascii="Times New Roman" w:hAnsi="Times New Roman" w:cs="Times New Roman"/>
                <w:highlight w:val="none"/>
              </w:rPr>
            </w:pPr>
          </w:p>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u w:val="single"/>
              </w:rPr>
              <w:t xml:space="preserve">                                </w:t>
            </w:r>
          </w:p>
          <w:p>
            <w:pPr>
              <w:tabs>
                <w:tab w:val="left" w:pos="850"/>
              </w:tabs>
              <w:autoSpaceDE w:val="0"/>
              <w:autoSpaceDN w:val="0"/>
              <w:spacing w:line="360" w:lineRule="auto"/>
              <w:textAlignment w:val="bottom"/>
              <w:rPr>
                <w:rFonts w:ascii="Times New Roman" w:hAnsi="Times New Roman" w:cs="Times New Roman"/>
                <w:highlight w:val="none"/>
              </w:rPr>
            </w:pPr>
            <w:r>
              <w:rPr>
                <w:rFonts w:ascii="Times New Roman" w:hAnsi="Times New Roman" w:cs="Times New Roman"/>
                <w:highlight w:val="none"/>
              </w:rPr>
              <w:t>日期：</w:t>
            </w:r>
          </w:p>
          <w:p>
            <w:pPr>
              <w:tabs>
                <w:tab w:val="left" w:pos="850"/>
              </w:tabs>
              <w:autoSpaceDE w:val="0"/>
              <w:autoSpaceDN w:val="0"/>
              <w:spacing w:line="360" w:lineRule="auto"/>
              <w:textAlignment w:val="bottom"/>
              <w:rPr>
                <w:rFonts w:ascii="Times New Roman" w:hAnsi="Times New Roman" w:cs="Times New Roman"/>
                <w:highlight w:val="none"/>
              </w:rPr>
            </w:pPr>
          </w:p>
        </w:tc>
      </w:tr>
    </w:tbl>
    <w:p>
      <w:pPr>
        <w:pStyle w:val="2"/>
        <w:keepLines/>
        <w:spacing w:before="0" w:after="0" w:line="360" w:lineRule="auto"/>
        <w:ind w:left="525" w:hanging="525"/>
        <w:jc w:val="center"/>
        <w:rPr>
          <w:rFonts w:ascii="Times New Roman" w:hAnsi="Times New Roman"/>
          <w:sz w:val="24"/>
          <w:szCs w:val="24"/>
          <w:highlight w:val="none"/>
        </w:rPr>
      </w:pPr>
      <w:r>
        <w:rPr>
          <w:rFonts w:ascii="Times New Roman" w:hAnsi="Times New Roman"/>
          <w:sz w:val="24"/>
          <w:szCs w:val="24"/>
          <w:highlight w:val="none"/>
        </w:rPr>
        <w:br w:type="page"/>
      </w:r>
      <w:bookmarkStart w:id="65" w:name="_Toc300671189"/>
      <w:bookmarkStart w:id="66" w:name="_Toc297055766"/>
      <w:bookmarkStart w:id="67" w:name="_Toc152081940"/>
      <w:bookmarkStart w:id="68" w:name="_Toc297106668"/>
      <w:r>
        <w:rPr>
          <w:rFonts w:ascii="Times New Roman" w:hAnsi="Times New Roman"/>
          <w:kern w:val="44"/>
          <w:sz w:val="24"/>
          <w:szCs w:val="24"/>
          <w:highlight w:val="none"/>
        </w:rPr>
        <w:t>第二部分  专用合同条款</w:t>
      </w:r>
      <w:bookmarkEnd w:id="65"/>
      <w:bookmarkEnd w:id="66"/>
      <w:bookmarkEnd w:id="67"/>
      <w:bookmarkEnd w:id="68"/>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69" w:name="_Toc300671190"/>
      <w:bookmarkStart w:id="70" w:name="_Toc152081941"/>
      <w:r>
        <w:rPr>
          <w:rFonts w:ascii="Times New Roman" w:hAnsi="Times New Roman"/>
          <w:i w:val="0"/>
          <w:iCs w:val="0"/>
          <w:sz w:val="24"/>
          <w:szCs w:val="24"/>
          <w:highlight w:val="none"/>
        </w:rPr>
        <w:t>付款</w:t>
      </w:r>
      <w:bookmarkEnd w:id="69"/>
      <w:bookmarkEnd w:id="70"/>
    </w:p>
    <w:p>
      <w:pPr>
        <w:widowControl w:val="0"/>
        <w:numPr>
          <w:ilvl w:val="0"/>
          <w:numId w:val="12"/>
        </w:numPr>
        <w:tabs>
          <w:tab w:val="left" w:pos="567"/>
          <w:tab w:val="left" w:pos="900"/>
          <w:tab w:val="left" w:pos="1080"/>
          <w:tab w:val="clear" w:pos="-114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付款方式：□现金；□银行电汇；□汇票；□本票；□支票；□其它</w:t>
      </w:r>
      <w:r>
        <w:rPr>
          <w:rFonts w:ascii="Times New Roman" w:hAnsi="Times New Roman" w:cs="Times New Roman"/>
          <w:highlight w:val="none"/>
          <w:u w:val="single"/>
        </w:rPr>
        <w:t xml:space="preserve">       </w:t>
      </w:r>
      <w:r>
        <w:rPr>
          <w:rFonts w:ascii="Times New Roman" w:hAnsi="Times New Roman" w:cs="Times New Roman"/>
          <w:highlight w:val="none"/>
        </w:rPr>
        <w:t xml:space="preserve"> （删除不适用选项）</w:t>
      </w:r>
    </w:p>
    <w:p>
      <w:pPr>
        <w:widowControl w:val="0"/>
        <w:numPr>
          <w:ilvl w:val="0"/>
          <w:numId w:val="12"/>
        </w:numPr>
        <w:tabs>
          <w:tab w:val="left" w:pos="720"/>
          <w:tab w:val="left" w:pos="1080"/>
        </w:tabs>
        <w:spacing w:line="360" w:lineRule="auto"/>
        <w:ind w:left="540" w:hanging="540"/>
        <w:jc w:val="both"/>
        <w:rPr>
          <w:rFonts w:ascii="Times New Roman" w:hAnsi="Times New Roman" w:cs="Times New Roman"/>
          <w:color w:val="000000"/>
          <w:highlight w:val="none"/>
        </w:rPr>
      </w:pPr>
      <w:r>
        <w:rPr>
          <w:rFonts w:ascii="Times New Roman" w:hAnsi="Times New Roman" w:cs="Times New Roman"/>
          <w:color w:val="000000"/>
          <w:highlight w:val="none"/>
        </w:rPr>
        <w:t>履约保函</w:t>
      </w:r>
    </w:p>
    <w:p>
      <w:pPr>
        <w:tabs>
          <w:tab w:val="left" w:pos="3060"/>
        </w:tabs>
        <w:spacing w:line="360" w:lineRule="auto"/>
        <w:ind w:left="566" w:leftChars="236"/>
        <w:jc w:val="both"/>
        <w:rPr>
          <w:rFonts w:ascii="Times New Roman" w:hAnsi="Times New Roman" w:cs="Times New Roman"/>
          <w:highlight w:val="none"/>
        </w:rPr>
      </w:pPr>
      <w:r>
        <w:rPr>
          <w:rFonts w:ascii="Times New Roman" w:hAnsi="Times New Roman" w:cs="Times New Roman"/>
          <w:highlight w:val="none"/>
        </w:rPr>
        <w:t>本合同（</w:t>
      </w:r>
      <w:r>
        <w:rPr>
          <w:rFonts w:ascii="Times New Roman" w:hAnsi="Times New Roman" w:cs="Times New Roman"/>
          <w:color w:val="000000"/>
          <w:kern w:val="2"/>
          <w:highlight w:val="none"/>
        </w:rPr>
        <w:t>□</w:t>
      </w:r>
      <w:r>
        <w:rPr>
          <w:rFonts w:ascii="Times New Roman" w:hAnsi="Times New Roman" w:cs="Times New Roman"/>
          <w:highlight w:val="none"/>
        </w:rPr>
        <w:t>签署；</w:t>
      </w:r>
      <w:r>
        <w:rPr>
          <w:rFonts w:ascii="Times New Roman" w:hAnsi="Times New Roman" w:cs="Times New Roman"/>
          <w:color w:val="000000"/>
          <w:kern w:val="2"/>
          <w:highlight w:val="none"/>
        </w:rPr>
        <w:t>□</w:t>
      </w:r>
      <w:r>
        <w:rPr>
          <w:rFonts w:ascii="Times New Roman" w:hAnsi="Times New Roman" w:cs="Times New Roman"/>
          <w:highlight w:val="none"/>
        </w:rPr>
        <w:t>生效）后【●】日内，卖方应向买方提交金额为合同总价【●%】，即</w:t>
      </w:r>
      <w:r>
        <w:rPr>
          <w:rFonts w:ascii="Times New Roman" w:hAnsi="Times New Roman" w:cs="Times New Roman"/>
          <w:highlight w:val="none"/>
          <w:u w:val="single"/>
        </w:rPr>
        <w:t xml:space="preserve">【币种符号】          </w:t>
      </w:r>
      <w:r>
        <w:rPr>
          <w:rFonts w:ascii="Times New Roman" w:hAnsi="Times New Roman" w:cs="Times New Roman"/>
          <w:highlight w:val="none"/>
        </w:rPr>
        <w:t>（大写：</w:t>
      </w:r>
      <w:r>
        <w:rPr>
          <w:rFonts w:ascii="Times New Roman" w:hAnsi="Times New Roman" w:cs="Times New Roman"/>
          <w:highlight w:val="none"/>
          <w:u w:val="single"/>
        </w:rPr>
        <w:t xml:space="preserve">【币种】           </w:t>
      </w:r>
      <w:r>
        <w:rPr>
          <w:rFonts w:ascii="Times New Roman" w:hAnsi="Times New Roman" w:cs="Times New Roman"/>
          <w:highlight w:val="none"/>
        </w:rPr>
        <w:t>）、由买方认可的商业银行出具的、见索即付、不可撤销的履约保函，履约保函格式见【本合同附件六】。履约保函应自出具之日起生效，有效期至【本合同有效期届满】后第【三十一（31）】日。</w:t>
      </w:r>
    </w:p>
    <w:p>
      <w:pPr>
        <w:tabs>
          <w:tab w:val="left" w:pos="3060"/>
        </w:tabs>
        <w:spacing w:line="360" w:lineRule="auto"/>
        <w:ind w:left="566" w:leftChars="236"/>
        <w:jc w:val="both"/>
        <w:rPr>
          <w:rFonts w:ascii="Times New Roman" w:hAnsi="Times New Roman" w:cs="Times New Roman"/>
          <w:highlight w:val="none"/>
        </w:rPr>
      </w:pPr>
      <w:r>
        <w:rPr>
          <w:rFonts w:ascii="Times New Roman" w:hAnsi="Times New Roman" w:cs="Times New Roman"/>
          <w:highlight w:val="none"/>
        </w:rPr>
        <w:t>（注：(1) 是否要求提交履约保函及提交履约保函是否作为合同生效条件，可根据实际情况决定。(2) 合同主办单位应考虑货物是否存在分期分批到货的情形。(3) 如卖方无法按本条要求出具非固定期限的银行保函，则可要求卖方出具首尾相连的固定期限银行保函，以覆盖整个担保期，直至本合同有效期届满后第31日止。）</w:t>
      </w:r>
    </w:p>
    <w:p>
      <w:pPr>
        <w:widowControl w:val="0"/>
        <w:numPr>
          <w:ilvl w:val="0"/>
          <w:numId w:val="12"/>
        </w:numPr>
        <w:tabs>
          <w:tab w:val="left" w:pos="720"/>
          <w:tab w:val="left" w:pos="1080"/>
        </w:tabs>
        <w:spacing w:line="360" w:lineRule="auto"/>
        <w:ind w:left="540" w:hanging="540"/>
        <w:jc w:val="both"/>
        <w:rPr>
          <w:rFonts w:ascii="Times New Roman" w:hAnsi="Times New Roman" w:cs="Times New Roman"/>
          <w:color w:val="000000"/>
          <w:highlight w:val="none"/>
        </w:rPr>
      </w:pPr>
      <w:r>
        <w:rPr>
          <w:rFonts w:ascii="Times New Roman" w:hAnsi="Times New Roman" w:cs="Times New Roman"/>
          <w:color w:val="000000"/>
          <w:highlight w:val="none"/>
        </w:rPr>
        <w:t>预付款与预付款保函</w:t>
      </w:r>
    </w:p>
    <w:p>
      <w:pPr>
        <w:numPr>
          <w:ilvl w:val="1"/>
          <w:numId w:val="12"/>
        </w:numPr>
        <w:tabs>
          <w:tab w:val="left" w:pos="1320"/>
        </w:tabs>
        <w:spacing w:line="360" w:lineRule="auto"/>
        <w:ind w:left="1321" w:hanging="601"/>
        <w:jc w:val="both"/>
        <w:rPr>
          <w:rFonts w:ascii="Times New Roman" w:hAnsi="Times New Roman" w:cs="Times New Roman"/>
          <w:highlight w:val="none"/>
        </w:rPr>
      </w:pPr>
      <w:r>
        <w:rPr>
          <w:rFonts w:ascii="Times New Roman" w:hAnsi="Times New Roman" w:cs="Times New Roman"/>
          <w:highlight w:val="none"/>
        </w:rPr>
        <w:t>本合同（</w:t>
      </w:r>
      <w:r>
        <w:rPr>
          <w:rFonts w:ascii="Times New Roman" w:hAnsi="Times New Roman" w:cs="Times New Roman"/>
          <w:color w:val="000000"/>
          <w:kern w:val="2"/>
          <w:highlight w:val="none"/>
        </w:rPr>
        <w:t>□</w:t>
      </w:r>
      <w:r>
        <w:rPr>
          <w:rFonts w:ascii="Times New Roman" w:hAnsi="Times New Roman" w:cs="Times New Roman"/>
          <w:highlight w:val="none"/>
        </w:rPr>
        <w:t>签署；</w:t>
      </w:r>
      <w:r>
        <w:rPr>
          <w:rFonts w:ascii="Times New Roman" w:hAnsi="Times New Roman" w:cs="Times New Roman"/>
          <w:color w:val="000000"/>
          <w:kern w:val="2"/>
          <w:highlight w:val="none"/>
        </w:rPr>
        <w:t>□</w:t>
      </w:r>
      <w:r>
        <w:rPr>
          <w:rFonts w:ascii="Times New Roman" w:hAnsi="Times New Roman" w:cs="Times New Roman"/>
          <w:highlight w:val="none"/>
        </w:rPr>
        <w:t>生效）后【●】日内，卖方应向买方提交金额为合同总价【●%】，即</w:t>
      </w:r>
      <w:r>
        <w:rPr>
          <w:rFonts w:ascii="Times New Roman" w:hAnsi="Times New Roman" w:cs="Times New Roman"/>
          <w:highlight w:val="none"/>
          <w:u w:val="single"/>
        </w:rPr>
        <w:t xml:space="preserve">【币种符号】          </w:t>
      </w:r>
      <w:r>
        <w:rPr>
          <w:rFonts w:ascii="Times New Roman" w:hAnsi="Times New Roman" w:cs="Times New Roman"/>
          <w:highlight w:val="none"/>
        </w:rPr>
        <w:t>（大写：</w:t>
      </w:r>
      <w:r>
        <w:rPr>
          <w:rFonts w:ascii="Times New Roman" w:hAnsi="Times New Roman" w:cs="Times New Roman"/>
          <w:highlight w:val="none"/>
          <w:u w:val="single"/>
        </w:rPr>
        <w:t xml:space="preserve">【币种】           </w:t>
      </w:r>
      <w:r>
        <w:rPr>
          <w:rFonts w:ascii="Times New Roman" w:hAnsi="Times New Roman" w:cs="Times New Roman"/>
          <w:highlight w:val="none"/>
        </w:rPr>
        <w:t>）、由买方认可的商业银行出具的、见索即付、不可撤销的预付款保函，预付款保函格式见【本合同附件七】。预付款保函应自出具之日起生效，有效期至【本合同有效期届满】后第【三十一（31）】日或预付款按照合同规定全部抵扣完毕之日，以后到者为准。</w:t>
      </w:r>
    </w:p>
    <w:p>
      <w:pPr>
        <w:tabs>
          <w:tab w:val="left" w:pos="1320"/>
        </w:tabs>
        <w:spacing w:line="360" w:lineRule="auto"/>
        <w:ind w:left="1320"/>
        <w:jc w:val="both"/>
        <w:rPr>
          <w:rFonts w:ascii="Times New Roman" w:hAnsi="Times New Roman" w:cs="Times New Roman"/>
          <w:highlight w:val="none"/>
        </w:rPr>
      </w:pPr>
      <w:r>
        <w:rPr>
          <w:rFonts w:ascii="Times New Roman" w:hAnsi="Times New Roman" w:cs="Times New Roman"/>
          <w:highlight w:val="none"/>
        </w:rPr>
        <w:t>（注：是否要求提交预付款保函，可根据实际情况决定。但在支付预付款的情况下，应要求卖方提供预付款保函。）</w:t>
      </w:r>
    </w:p>
    <w:p>
      <w:pPr>
        <w:numPr>
          <w:ilvl w:val="1"/>
          <w:numId w:val="12"/>
        </w:numPr>
        <w:tabs>
          <w:tab w:val="left" w:pos="1320"/>
        </w:tabs>
        <w:spacing w:line="360" w:lineRule="auto"/>
        <w:ind w:left="1321" w:hanging="601"/>
        <w:jc w:val="both"/>
        <w:rPr>
          <w:rFonts w:ascii="Times New Roman" w:hAnsi="Times New Roman" w:cs="Times New Roman"/>
          <w:highlight w:val="none"/>
        </w:rPr>
      </w:pPr>
      <w:r>
        <w:rPr>
          <w:rFonts w:ascii="Times New Roman" w:hAnsi="Times New Roman" w:cs="Times New Roman"/>
          <w:highlight w:val="none"/>
        </w:rPr>
        <w:t>卖方根据本款规定提交预付款保函后，买方向卖方支付【币种符号】   （大写：【币种】           ）作为预付款。</w:t>
      </w:r>
    </w:p>
    <w:p>
      <w:pPr>
        <w:numPr>
          <w:ilvl w:val="1"/>
          <w:numId w:val="12"/>
        </w:numPr>
        <w:tabs>
          <w:tab w:val="left" w:pos="1320"/>
        </w:tabs>
        <w:spacing w:line="360" w:lineRule="auto"/>
        <w:ind w:left="1321" w:hanging="601"/>
        <w:jc w:val="both"/>
        <w:rPr>
          <w:rFonts w:ascii="Times New Roman" w:hAnsi="Times New Roman" w:cs="Times New Roman"/>
          <w:highlight w:val="none"/>
        </w:rPr>
      </w:pPr>
      <w:r>
        <w:rPr>
          <w:rFonts w:hint="eastAsia" w:ascii="Times New Roman" w:hAnsi="Times New Roman" w:cs="Times New Roman"/>
          <w:highlight w:val="none"/>
        </w:rPr>
        <w:t>买方每季度可将预付款总额的四分之一用于冲抵年度协议订单下的应付价款，直至预付款被全额冲抵完毕为止。在每一份年度协议订单下，使用预付款冲抵订单价款的具体数额由买方决定，并由买方在支付该份年度协议订单价款时直接扣除。如合同终止前预付款尚未全部冲抵完毕，</w:t>
      </w:r>
      <w:r>
        <w:rPr>
          <w:rFonts w:ascii="Times New Roman" w:hAnsi="Times New Roman" w:cs="Times New Roman"/>
          <w:highlight w:val="none"/>
        </w:rPr>
        <w:t>无论合同因何种原因终止，全部预付款余额构成卖方对买方的到期应付款</w:t>
      </w:r>
      <w:r>
        <w:rPr>
          <w:rFonts w:hint="eastAsia" w:ascii="Times New Roman" w:hAnsi="Times New Roman" w:cs="Times New Roman"/>
          <w:highlight w:val="none"/>
        </w:rPr>
        <w:t>，卖方应在合同终止后</w:t>
      </w:r>
      <w:r>
        <w:rPr>
          <w:rFonts w:ascii="Times New Roman" w:hAnsi="Times New Roman" w:cs="Times New Roman"/>
          <w:highlight w:val="none"/>
        </w:rPr>
        <w:t>【●】日内</w:t>
      </w:r>
      <w:r>
        <w:rPr>
          <w:rFonts w:hint="eastAsia" w:ascii="Times New Roman" w:hAnsi="Times New Roman" w:cs="Times New Roman"/>
          <w:highlight w:val="none"/>
        </w:rPr>
        <w:t>向买方全额偿还</w:t>
      </w:r>
      <w:r>
        <w:rPr>
          <w:rFonts w:ascii="Times New Roman" w:hAnsi="Times New Roman" w:cs="Times New Roman"/>
          <w:highlight w:val="none"/>
        </w:rPr>
        <w:t>。</w:t>
      </w:r>
    </w:p>
    <w:p>
      <w:pPr>
        <w:tabs>
          <w:tab w:val="left" w:pos="1320"/>
        </w:tabs>
        <w:spacing w:line="360" w:lineRule="auto"/>
        <w:ind w:left="1320"/>
        <w:rPr>
          <w:rFonts w:ascii="Times New Roman" w:hAnsi="Times New Roman" w:cs="Times New Roman"/>
          <w:highlight w:val="none"/>
        </w:rPr>
      </w:pPr>
      <w:r>
        <w:rPr>
          <w:rFonts w:ascii="Times New Roman" w:hAnsi="Times New Roman" w:cs="Times New Roman"/>
          <w:highlight w:val="none"/>
        </w:rPr>
        <w:t>（注：可根据实际情况确定预付款的扣除方式；是否要求提交预付款保函与支付预付款，可根据实际情况决定。）</w:t>
      </w:r>
    </w:p>
    <w:p>
      <w:pPr>
        <w:widowControl w:val="0"/>
        <w:numPr>
          <w:ilvl w:val="0"/>
          <w:numId w:val="12"/>
        </w:numPr>
        <w:tabs>
          <w:tab w:val="left" w:pos="720"/>
          <w:tab w:val="left" w:pos="900"/>
          <w:tab w:val="left" w:pos="1080"/>
        </w:tabs>
        <w:spacing w:line="360" w:lineRule="auto"/>
        <w:ind w:left="720" w:hanging="720"/>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履约保函和预付款保函的开立方式：</w:t>
      </w:r>
    </w:p>
    <w:p>
      <w:pPr>
        <w:widowControl w:val="0"/>
        <w:numPr>
          <w:ilvl w:val="0"/>
          <w:numId w:val="13"/>
        </w:numPr>
        <w:tabs>
          <w:tab w:val="left" w:pos="1134"/>
        </w:tabs>
        <w:spacing w:line="360" w:lineRule="auto"/>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信开方式</w:t>
      </w:r>
    </w:p>
    <w:p>
      <w:pPr>
        <w:widowControl w:val="0"/>
        <w:tabs>
          <w:tab w:val="left" w:pos="1134"/>
        </w:tabs>
        <w:spacing w:line="360" w:lineRule="auto"/>
        <w:ind w:left="708" w:leftChars="295" w:firstLine="424" w:firstLineChars="177"/>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买方接受保函的地址和联系人为：</w:t>
      </w:r>
      <w:r>
        <w:rPr>
          <w:rFonts w:ascii="Times New Roman" w:hAnsi="Times New Roman" w:cs="Times New Roman"/>
          <w:color w:val="000000"/>
          <w:kern w:val="2"/>
          <w:highlight w:val="none"/>
          <w:u w:val="single"/>
        </w:rPr>
        <w:t xml:space="preserve">                              </w:t>
      </w:r>
    </w:p>
    <w:p>
      <w:pPr>
        <w:widowControl w:val="0"/>
        <w:numPr>
          <w:ilvl w:val="0"/>
          <w:numId w:val="13"/>
        </w:numPr>
        <w:tabs>
          <w:tab w:val="left" w:pos="1134"/>
        </w:tabs>
        <w:spacing w:line="360" w:lineRule="auto"/>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电开方式</w:t>
      </w:r>
    </w:p>
    <w:p>
      <w:pPr>
        <w:widowControl w:val="0"/>
        <w:tabs>
          <w:tab w:val="left" w:pos="1134"/>
        </w:tabs>
        <w:spacing w:line="360" w:lineRule="auto"/>
        <w:ind w:left="708" w:leftChars="295" w:firstLine="424" w:firstLineChars="177"/>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买方的保函通知银行为：</w:t>
      </w:r>
      <w:r>
        <w:rPr>
          <w:rFonts w:ascii="Times New Roman" w:hAnsi="Times New Roman" w:cs="Times New Roman"/>
          <w:color w:val="000000"/>
          <w:kern w:val="2"/>
          <w:highlight w:val="none"/>
          <w:u w:val="single"/>
        </w:rPr>
        <w:t xml:space="preserve">                                      </w:t>
      </w:r>
    </w:p>
    <w:p>
      <w:pPr>
        <w:widowControl w:val="0"/>
        <w:numPr>
          <w:ilvl w:val="0"/>
          <w:numId w:val="12"/>
        </w:numPr>
        <w:tabs>
          <w:tab w:val="left" w:pos="720"/>
          <w:tab w:val="left" w:pos="900"/>
          <w:tab w:val="left" w:pos="108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对于本合同的合同价款，双方同意按照以下方式予以支付（保留有效的付款方式，删除其他选择项）：</w:t>
      </w:r>
    </w:p>
    <w:p>
      <w:pPr>
        <w:widowControl w:val="0"/>
        <w:numPr>
          <w:ilvl w:val="0"/>
          <w:numId w:val="14"/>
        </w:numPr>
        <w:tabs>
          <w:tab w:val="left" w:pos="1260"/>
        </w:tabs>
        <w:spacing w:line="360" w:lineRule="auto"/>
        <w:ind w:left="1259" w:hanging="539"/>
        <w:jc w:val="both"/>
        <w:rPr>
          <w:rFonts w:ascii="Times New Roman" w:hAnsi="Times New Roman" w:cs="Times New Roman"/>
          <w:highlight w:val="none"/>
        </w:rPr>
      </w:pPr>
      <w:r>
        <w:rPr>
          <w:rFonts w:ascii="Times New Roman" w:hAnsi="Times New Roman" w:cs="Times New Roman"/>
          <w:highlight w:val="none"/>
        </w:rPr>
        <w:t>一次性付款。双方在合同有效期满后根据实际发生的有效交易量确定应当支付的合同价款，并由卖方向买方提供合同有效期内合同价款</w:t>
      </w:r>
      <w:r>
        <w:rPr>
          <w:rFonts w:hint="eastAsia" w:ascii="Times New Roman" w:hAnsi="Times New Roman" w:cs="Times New Roman"/>
          <w:highlight w:val="none"/>
        </w:rPr>
        <w:t>对</w:t>
      </w:r>
      <w:r>
        <w:rPr>
          <w:rFonts w:ascii="Times New Roman" w:hAnsi="Times New Roman" w:cs="Times New Roman"/>
          <w:highlight w:val="none"/>
        </w:rPr>
        <w:t>应的</w:t>
      </w:r>
      <w:r>
        <w:rPr>
          <w:rFonts w:hint="eastAsia" w:ascii="Times New Roman" w:hAnsi="Times New Roman" w:cs="Times New Roman"/>
          <w:highlight w:val="none"/>
        </w:rPr>
        <w:t>合法</w:t>
      </w:r>
      <w:r>
        <w:rPr>
          <w:rFonts w:ascii="Times New Roman" w:hAnsi="Times New Roman" w:cs="Times New Roman"/>
          <w:highlight w:val="none"/>
        </w:rPr>
        <w:t>有效</w:t>
      </w:r>
      <w:r>
        <w:rPr>
          <w:rFonts w:hint="eastAsia" w:ascii="Times New Roman" w:hAnsi="Times New Roman" w:cs="Times New Roman"/>
          <w:highlight w:val="none"/>
        </w:rPr>
        <w:t>的增值税专用</w:t>
      </w:r>
      <w:r>
        <w:rPr>
          <w:rFonts w:ascii="Times New Roman" w:hAnsi="Times New Roman" w:cs="Times New Roman"/>
          <w:highlight w:val="none"/>
        </w:rPr>
        <w:t>发票</w:t>
      </w:r>
      <w:r>
        <w:rPr>
          <w:rFonts w:hint="eastAsia" w:ascii="Times New Roman" w:hAnsi="Times New Roman" w:cs="Times New Roman"/>
          <w:highlight w:val="none"/>
        </w:rPr>
        <w:t>（依法只能开具增值税普通发票的除外）</w:t>
      </w:r>
      <w:r>
        <w:rPr>
          <w:rFonts w:ascii="Times New Roman" w:hAnsi="Times New Roman" w:cs="Times New Roman"/>
          <w:highlight w:val="none"/>
        </w:rPr>
        <w:t>。买方在收到卖方开具的</w:t>
      </w:r>
      <w:r>
        <w:rPr>
          <w:rFonts w:hint="eastAsia" w:ascii="Times New Roman" w:hAnsi="Times New Roman" w:cs="Times New Roman"/>
          <w:highlight w:val="none"/>
        </w:rPr>
        <w:t>上述</w:t>
      </w:r>
      <w:r>
        <w:rPr>
          <w:rFonts w:ascii="Times New Roman" w:hAnsi="Times New Roman" w:cs="Times New Roman"/>
          <w:highlight w:val="none"/>
        </w:rPr>
        <w:t>发票并审核无误后于【●】日内一次性付清。</w:t>
      </w:r>
    </w:p>
    <w:p>
      <w:pPr>
        <w:widowControl w:val="0"/>
        <w:numPr>
          <w:ilvl w:val="0"/>
          <w:numId w:val="14"/>
        </w:numPr>
        <w:tabs>
          <w:tab w:val="left" w:pos="1260"/>
        </w:tabs>
        <w:spacing w:line="360" w:lineRule="auto"/>
        <w:ind w:left="1259" w:hanging="539"/>
        <w:jc w:val="both"/>
        <w:rPr>
          <w:rFonts w:ascii="Times New Roman" w:hAnsi="Times New Roman" w:cs="Times New Roman"/>
          <w:highlight w:val="none"/>
        </w:rPr>
      </w:pPr>
      <w:r>
        <w:rPr>
          <w:rFonts w:ascii="Times New Roman" w:hAnsi="Times New Roman" w:cs="Times New Roman"/>
          <w:highlight w:val="none"/>
        </w:rPr>
        <w:t>月度付款。双方在每月第【●】日前确认上个月度实际发生的有效交易量，并由卖方向买方提供与上个月度合同价款</w:t>
      </w:r>
      <w:r>
        <w:rPr>
          <w:rFonts w:hint="eastAsia" w:ascii="Times New Roman" w:hAnsi="Times New Roman" w:cs="Times New Roman"/>
          <w:highlight w:val="none"/>
        </w:rPr>
        <w:t>对</w:t>
      </w:r>
      <w:r>
        <w:rPr>
          <w:rFonts w:ascii="Times New Roman" w:hAnsi="Times New Roman" w:cs="Times New Roman"/>
          <w:highlight w:val="none"/>
        </w:rPr>
        <w:t>应的</w:t>
      </w:r>
      <w:r>
        <w:rPr>
          <w:rFonts w:hint="eastAsia" w:ascii="Times New Roman" w:hAnsi="Times New Roman" w:cs="Times New Roman"/>
          <w:highlight w:val="none"/>
        </w:rPr>
        <w:t>合法</w:t>
      </w:r>
      <w:r>
        <w:rPr>
          <w:rFonts w:ascii="Times New Roman" w:hAnsi="Times New Roman" w:cs="Times New Roman"/>
          <w:highlight w:val="none"/>
        </w:rPr>
        <w:t>有效</w:t>
      </w:r>
      <w:r>
        <w:rPr>
          <w:rFonts w:hint="eastAsia" w:ascii="Times New Roman" w:hAnsi="Times New Roman" w:cs="Times New Roman"/>
          <w:highlight w:val="none"/>
        </w:rPr>
        <w:t>的增值税专用</w:t>
      </w:r>
      <w:r>
        <w:rPr>
          <w:rFonts w:ascii="Times New Roman" w:hAnsi="Times New Roman" w:cs="Times New Roman"/>
          <w:highlight w:val="none"/>
        </w:rPr>
        <w:t>发票</w:t>
      </w:r>
      <w:r>
        <w:rPr>
          <w:rFonts w:hint="eastAsia" w:ascii="Times New Roman" w:hAnsi="Times New Roman" w:cs="Times New Roman"/>
          <w:highlight w:val="none"/>
        </w:rPr>
        <w:t>（依法只能开具增值税普通发票的除外）</w:t>
      </w:r>
      <w:r>
        <w:rPr>
          <w:rFonts w:ascii="Times New Roman" w:hAnsi="Times New Roman" w:cs="Times New Roman"/>
          <w:highlight w:val="none"/>
        </w:rPr>
        <w:t>。买方在收到</w:t>
      </w:r>
      <w:r>
        <w:rPr>
          <w:rFonts w:hint="eastAsia" w:ascii="Times New Roman" w:hAnsi="Times New Roman" w:cs="Times New Roman"/>
          <w:highlight w:val="none"/>
        </w:rPr>
        <w:t>上述</w:t>
      </w:r>
      <w:r>
        <w:rPr>
          <w:rFonts w:ascii="Times New Roman" w:hAnsi="Times New Roman" w:cs="Times New Roman"/>
          <w:highlight w:val="none"/>
        </w:rPr>
        <w:t>发票并审核无误后【●】日内结清上个月度的合同价款。</w:t>
      </w:r>
    </w:p>
    <w:p>
      <w:pPr>
        <w:widowControl w:val="0"/>
        <w:numPr>
          <w:ilvl w:val="0"/>
          <w:numId w:val="14"/>
        </w:numPr>
        <w:tabs>
          <w:tab w:val="left" w:pos="1260"/>
        </w:tabs>
        <w:spacing w:line="360" w:lineRule="auto"/>
        <w:ind w:left="1259" w:hanging="539"/>
        <w:jc w:val="both"/>
        <w:rPr>
          <w:rFonts w:ascii="Times New Roman" w:hAnsi="Times New Roman" w:cs="Times New Roman"/>
          <w:highlight w:val="none"/>
        </w:rPr>
      </w:pPr>
      <w:r>
        <w:rPr>
          <w:rFonts w:ascii="Times New Roman" w:hAnsi="Times New Roman" w:cs="Times New Roman"/>
          <w:highlight w:val="none"/>
        </w:rPr>
        <w:t>按照交货批次付款。卖方在每批次实际交付货物并经过双方确认后【●】日内向买方提供</w:t>
      </w:r>
      <w:r>
        <w:rPr>
          <w:rFonts w:hint="eastAsia" w:ascii="Times New Roman" w:hAnsi="Times New Roman" w:cs="Times New Roman"/>
          <w:highlight w:val="none"/>
        </w:rPr>
        <w:t>合法</w:t>
      </w:r>
      <w:r>
        <w:rPr>
          <w:rFonts w:ascii="Times New Roman" w:hAnsi="Times New Roman" w:cs="Times New Roman"/>
          <w:highlight w:val="none"/>
        </w:rPr>
        <w:t>有效</w:t>
      </w:r>
      <w:r>
        <w:rPr>
          <w:rFonts w:hint="eastAsia" w:ascii="Times New Roman" w:hAnsi="Times New Roman" w:cs="Times New Roman"/>
          <w:highlight w:val="none"/>
        </w:rPr>
        <w:t>的增值税专用</w:t>
      </w:r>
      <w:r>
        <w:rPr>
          <w:rFonts w:ascii="Times New Roman" w:hAnsi="Times New Roman" w:cs="Times New Roman"/>
          <w:highlight w:val="none"/>
        </w:rPr>
        <w:t>发票</w:t>
      </w:r>
      <w:r>
        <w:rPr>
          <w:rFonts w:hint="eastAsia" w:ascii="Times New Roman" w:hAnsi="Times New Roman" w:cs="Times New Roman"/>
          <w:highlight w:val="none"/>
        </w:rPr>
        <w:t>（依法只能开具增值税普通发票的除外）</w:t>
      </w:r>
      <w:r>
        <w:rPr>
          <w:rFonts w:ascii="Times New Roman" w:hAnsi="Times New Roman" w:cs="Times New Roman"/>
          <w:highlight w:val="none"/>
        </w:rPr>
        <w:t>，买方在收到</w:t>
      </w:r>
      <w:r>
        <w:rPr>
          <w:rFonts w:hint="eastAsia" w:ascii="Times New Roman" w:hAnsi="Times New Roman" w:cs="Times New Roman"/>
          <w:highlight w:val="none"/>
        </w:rPr>
        <w:t>上述</w:t>
      </w:r>
      <w:r>
        <w:rPr>
          <w:rFonts w:ascii="Times New Roman" w:hAnsi="Times New Roman" w:cs="Times New Roman"/>
          <w:highlight w:val="none"/>
        </w:rPr>
        <w:t>发票并审核无误后【●】日内支付该批次货物价款。</w:t>
      </w:r>
    </w:p>
    <w:p>
      <w:pPr>
        <w:widowControl w:val="0"/>
        <w:numPr>
          <w:ilvl w:val="0"/>
          <w:numId w:val="14"/>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其它</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0"/>
          <w:numId w:val="12"/>
        </w:numPr>
        <w:tabs>
          <w:tab w:val="left" w:pos="720"/>
          <w:tab w:val="left" w:pos="1080"/>
        </w:tabs>
        <w:spacing w:line="360" w:lineRule="auto"/>
        <w:ind w:left="1258" w:hanging="1258"/>
        <w:jc w:val="both"/>
        <w:rPr>
          <w:rFonts w:ascii="Times New Roman" w:hAnsi="Times New Roman" w:cs="Times New Roman"/>
          <w:highlight w:val="none"/>
        </w:rPr>
      </w:pPr>
      <w:r>
        <w:rPr>
          <w:rFonts w:ascii="Times New Roman" w:hAnsi="Times New Roman" w:cs="Times New Roman"/>
          <w:highlight w:val="none"/>
        </w:rPr>
        <w:t>卖方为买方开具上述发票所需信息如下：</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 xml:space="preserve">（1）公司名称： </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（2）纳税人识别号：</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（3）经营地址：</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（4）联系电话：</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（5）开户行名称：</w:t>
      </w:r>
    </w:p>
    <w:p>
      <w:pPr>
        <w:tabs>
          <w:tab w:val="left" w:pos="3060"/>
        </w:tabs>
        <w:spacing w:line="360" w:lineRule="auto"/>
        <w:ind w:left="567"/>
        <w:rPr>
          <w:rFonts w:ascii="Times New Roman" w:hAnsi="Times New Roman" w:cs="Times New Roman"/>
          <w:highlight w:val="none"/>
        </w:rPr>
      </w:pPr>
      <w:r>
        <w:rPr>
          <w:rFonts w:ascii="Times New Roman" w:hAnsi="Times New Roman" w:cs="Times New Roman"/>
          <w:highlight w:val="none"/>
        </w:rPr>
        <w:t>（6）银行账号：</w:t>
      </w:r>
    </w:p>
    <w:p>
      <w:pPr>
        <w:widowControl w:val="0"/>
        <w:numPr>
          <w:ilvl w:val="0"/>
          <w:numId w:val="12"/>
        </w:numPr>
        <w:tabs>
          <w:tab w:val="left" w:pos="720"/>
          <w:tab w:val="left" w:pos="1080"/>
        </w:tabs>
        <w:spacing w:line="360" w:lineRule="auto"/>
        <w:ind w:left="736" w:hanging="736"/>
        <w:jc w:val="both"/>
        <w:rPr>
          <w:rFonts w:ascii="Times New Roman" w:hAnsi="Times New Roman" w:cs="Times New Roman"/>
          <w:highlight w:val="none"/>
        </w:rPr>
      </w:pPr>
      <w:r>
        <w:rPr>
          <w:rFonts w:ascii="Times New Roman" w:hAnsi="Times New Roman" w:cs="Times New Roman"/>
          <w:highlight w:val="none"/>
        </w:rPr>
        <w:t>卖方应通过如下账户收取合同价款及其它款项，并通过该账户向买方支付与合同有关的任何款项：</w:t>
      </w:r>
    </w:p>
    <w:p>
      <w:pPr>
        <w:tabs>
          <w:tab w:val="left" w:pos="3060"/>
        </w:tabs>
        <w:spacing w:line="360" w:lineRule="auto"/>
        <w:ind w:left="718" w:leftChars="299"/>
        <w:rPr>
          <w:rFonts w:ascii="Times New Roman" w:hAnsi="Times New Roman" w:cs="Times New Roman"/>
          <w:highlight w:val="none"/>
        </w:rPr>
      </w:pPr>
      <w:r>
        <w:rPr>
          <w:rFonts w:ascii="Times New Roman" w:hAnsi="Times New Roman" w:cs="Times New Roman"/>
          <w:highlight w:val="none"/>
        </w:rPr>
        <w:t xml:space="preserve">卖 方 名 称： </w:t>
      </w:r>
    </w:p>
    <w:p>
      <w:pPr>
        <w:tabs>
          <w:tab w:val="left" w:pos="3060"/>
        </w:tabs>
        <w:spacing w:line="360" w:lineRule="auto"/>
        <w:ind w:left="718" w:leftChars="299"/>
        <w:rPr>
          <w:rFonts w:ascii="Times New Roman" w:hAnsi="Times New Roman" w:cs="Times New Roman"/>
          <w:highlight w:val="none"/>
        </w:rPr>
      </w:pPr>
      <w:r>
        <w:rPr>
          <w:rFonts w:ascii="Times New Roman" w:hAnsi="Times New Roman" w:cs="Times New Roman"/>
          <w:highlight w:val="none"/>
        </w:rPr>
        <w:t xml:space="preserve">账      号： </w:t>
      </w:r>
    </w:p>
    <w:p>
      <w:pPr>
        <w:tabs>
          <w:tab w:val="left" w:pos="3060"/>
        </w:tabs>
        <w:spacing w:line="360" w:lineRule="auto"/>
        <w:ind w:left="718" w:leftChars="299"/>
        <w:rPr>
          <w:rFonts w:ascii="Times New Roman" w:hAnsi="Times New Roman" w:cs="Times New Roman"/>
          <w:highlight w:val="none"/>
        </w:rPr>
      </w:pPr>
      <w:r>
        <w:rPr>
          <w:rFonts w:ascii="Times New Roman" w:hAnsi="Times New Roman" w:cs="Times New Roman"/>
          <w:highlight w:val="none"/>
        </w:rPr>
        <w:t xml:space="preserve">开户行名称： </w:t>
      </w:r>
    </w:p>
    <w:p>
      <w:pPr>
        <w:tabs>
          <w:tab w:val="left" w:pos="3060"/>
        </w:tabs>
        <w:spacing w:line="360" w:lineRule="auto"/>
        <w:ind w:left="718" w:leftChars="299"/>
        <w:rPr>
          <w:rFonts w:ascii="Times New Roman" w:hAnsi="Times New Roman" w:cs="Times New Roman"/>
          <w:highlight w:val="none"/>
        </w:rPr>
      </w:pPr>
      <w:r>
        <w:rPr>
          <w:rFonts w:ascii="Times New Roman" w:hAnsi="Times New Roman" w:cs="Times New Roman"/>
          <w:highlight w:val="none"/>
        </w:rPr>
        <w:t>开户行地址：</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71" w:name="_Toc152081942"/>
      <w:bookmarkStart w:id="72" w:name="_Toc288567129"/>
      <w:bookmarkStart w:id="73" w:name="_Toc287364269"/>
      <w:bookmarkStart w:id="74" w:name="_Toc300671191"/>
      <w:bookmarkStart w:id="75" w:name="_Toc287657101"/>
      <w:r>
        <w:rPr>
          <w:rFonts w:ascii="Times New Roman" w:hAnsi="Times New Roman"/>
          <w:i w:val="0"/>
          <w:iCs w:val="0"/>
          <w:sz w:val="24"/>
          <w:szCs w:val="24"/>
          <w:highlight w:val="none"/>
        </w:rPr>
        <w:t>订货方式</w:t>
      </w:r>
      <w:bookmarkEnd w:id="71"/>
      <w:bookmarkEnd w:id="72"/>
      <w:bookmarkEnd w:id="73"/>
      <w:bookmarkEnd w:id="74"/>
      <w:bookmarkEnd w:id="75"/>
    </w:p>
    <w:p>
      <w:pPr>
        <w:widowControl w:val="0"/>
        <w:numPr>
          <w:ilvl w:val="0"/>
          <w:numId w:val="15"/>
        </w:numPr>
        <w:tabs>
          <w:tab w:val="left" w:pos="720"/>
          <w:tab w:val="left" w:pos="306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本合同有效期内，买方应以签署年度协议订单的形式一次或分批向卖方</w:t>
      </w:r>
      <w:r>
        <w:rPr>
          <w:rFonts w:hint="eastAsia" w:ascii="Times New Roman" w:hAnsi="Times New Roman" w:cs="Times New Roman"/>
          <w:highlight w:val="none"/>
        </w:rPr>
        <w:t>选</w:t>
      </w:r>
      <w:r>
        <w:rPr>
          <w:rFonts w:ascii="Times New Roman" w:hAnsi="Times New Roman" w:cs="Times New Roman"/>
          <w:highlight w:val="none"/>
        </w:rPr>
        <w:t>购本合同约定范围内的货物。年度协议订单的格式详见【本合同附件三】。</w:t>
      </w:r>
    </w:p>
    <w:p>
      <w:pPr>
        <w:widowControl w:val="0"/>
        <w:numPr>
          <w:ilvl w:val="0"/>
          <w:numId w:val="15"/>
        </w:numPr>
        <w:tabs>
          <w:tab w:val="left" w:pos="720"/>
          <w:tab w:val="left" w:pos="306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年度协议订单由买方发出后经卖方确认即生效，卖方应当按照年度协议订单的要求向买方及时交付货物。</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76" w:name="_Toc152081943"/>
      <w:bookmarkStart w:id="77" w:name="_Toc300671192"/>
      <w:r>
        <w:rPr>
          <w:rFonts w:ascii="Times New Roman" w:hAnsi="Times New Roman"/>
          <w:i w:val="0"/>
          <w:iCs w:val="0"/>
          <w:sz w:val="24"/>
          <w:szCs w:val="24"/>
          <w:highlight w:val="none"/>
        </w:rPr>
        <w:t>交货和运输</w:t>
      </w:r>
      <w:bookmarkEnd w:id="76"/>
      <w:bookmarkEnd w:id="77"/>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本合同项下每批货物的供货范围、交货日期、交货地点等以年度协议订单为准。</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本合同项下的货物由卖方负责运输并承担与运输、包装等事项相关的全部费用。本合同项下货物的运输方式为：</w:t>
      </w:r>
    </w:p>
    <w:p>
      <w:pPr>
        <w:widowControl w:val="0"/>
        <w:numPr>
          <w:ilvl w:val="1"/>
          <w:numId w:val="16"/>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国内：</w:t>
      </w:r>
      <w:r>
        <w:rPr>
          <w:rFonts w:ascii="Times New Roman" w:hAnsi="Times New Roman" w:cs="Times New Roman"/>
          <w:highlight w:val="none"/>
          <w:u w:val="single"/>
        </w:rPr>
        <w:t xml:space="preserve">                 </w:t>
      </w:r>
    </w:p>
    <w:p>
      <w:pPr>
        <w:widowControl w:val="0"/>
        <w:numPr>
          <w:ilvl w:val="1"/>
          <w:numId w:val="16"/>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国外：</w:t>
      </w:r>
      <w:r>
        <w:rPr>
          <w:rFonts w:ascii="Times New Roman" w:hAnsi="Times New Roman" w:cs="Times New Roman"/>
          <w:highlight w:val="none"/>
          <w:u w:val="single"/>
        </w:rPr>
        <w:t xml:space="preserve">                 </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本合同项下货物的包装方式为：</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买方对交货日期及交货地点有特殊要求的，可以在年度协议订单中提出。</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在货物</w:t>
      </w:r>
      <w:r>
        <w:rPr>
          <w:rFonts w:ascii="Times New Roman" w:hAnsi="Times New Roman" w:cs="Times New Roman"/>
          <w:color w:val="000000"/>
          <w:kern w:val="2"/>
          <w:highlight w:val="none"/>
        </w:rPr>
        <w:t>交付运输后【●】日内，卖方应通过（□亲自递送；□特快专递；□传真；□电子邮件）向买方提供以下资料：</w:t>
      </w:r>
    </w:p>
    <w:p>
      <w:pPr>
        <w:widowControl w:val="0"/>
        <w:numPr>
          <w:ilvl w:val="1"/>
          <w:numId w:val="16"/>
        </w:numPr>
        <w:tabs>
          <w:tab w:val="left" w:pos="993"/>
          <w:tab w:val="left" w:pos="1260"/>
        </w:tabs>
        <w:spacing w:line="360" w:lineRule="auto"/>
        <w:ind w:hanging="105"/>
        <w:jc w:val="both"/>
        <w:rPr>
          <w:rFonts w:ascii="Times New Roman" w:hAnsi="Times New Roman" w:cs="Times New Roman"/>
          <w:highlight w:val="none"/>
        </w:rPr>
      </w:pPr>
      <w:r>
        <w:rPr>
          <w:rFonts w:ascii="Times New Roman" w:hAnsi="Times New Roman" w:cs="Times New Roman"/>
          <w:highlight w:val="none"/>
        </w:rPr>
        <w:t>发货清单（发货清单的格式详见【本合同附件三】）；</w:t>
      </w:r>
    </w:p>
    <w:p>
      <w:pPr>
        <w:widowControl w:val="0"/>
        <w:numPr>
          <w:ilvl w:val="1"/>
          <w:numId w:val="16"/>
        </w:numPr>
        <w:tabs>
          <w:tab w:val="left" w:pos="993"/>
          <w:tab w:val="left" w:pos="1260"/>
        </w:tabs>
        <w:spacing w:line="360" w:lineRule="auto"/>
        <w:ind w:hanging="105"/>
        <w:jc w:val="both"/>
        <w:rPr>
          <w:rFonts w:ascii="Times New Roman" w:hAnsi="Times New Roman" w:cs="Times New Roman"/>
          <w:highlight w:val="none"/>
        </w:rPr>
      </w:pPr>
      <w:r>
        <w:rPr>
          <w:rFonts w:ascii="Times New Roman" w:hAnsi="Times New Roman" w:cs="Times New Roman"/>
          <w:highlight w:val="none"/>
        </w:rPr>
        <w:t>出厂合格证书；</w:t>
      </w:r>
    </w:p>
    <w:p>
      <w:pPr>
        <w:widowControl w:val="0"/>
        <w:numPr>
          <w:ilvl w:val="1"/>
          <w:numId w:val="16"/>
        </w:numPr>
        <w:tabs>
          <w:tab w:val="left" w:pos="993"/>
          <w:tab w:val="left" w:pos="1260"/>
        </w:tabs>
        <w:spacing w:line="360" w:lineRule="auto"/>
        <w:ind w:hanging="105"/>
        <w:jc w:val="both"/>
        <w:rPr>
          <w:rFonts w:ascii="Times New Roman" w:hAnsi="Times New Roman" w:cs="Times New Roman"/>
          <w:highlight w:val="none"/>
        </w:rPr>
      </w:pPr>
      <w:r>
        <w:rPr>
          <w:rFonts w:ascii="Times New Roman" w:hAnsi="Times New Roman" w:cs="Times New Roman"/>
          <w:highlight w:val="none"/>
        </w:rPr>
        <w:t>相关证书、报告，如材质证、第三方检验合格证书及检验报告等；</w:t>
      </w:r>
    </w:p>
    <w:p>
      <w:pPr>
        <w:widowControl w:val="0"/>
        <w:numPr>
          <w:ilvl w:val="1"/>
          <w:numId w:val="16"/>
        </w:numPr>
        <w:tabs>
          <w:tab w:val="left" w:pos="993"/>
          <w:tab w:val="left" w:pos="1260"/>
        </w:tabs>
        <w:spacing w:line="360" w:lineRule="auto"/>
        <w:ind w:hanging="105"/>
        <w:jc w:val="both"/>
        <w:rPr>
          <w:rFonts w:ascii="Times New Roman" w:hAnsi="Times New Roman" w:cs="Times New Roman"/>
          <w:highlight w:val="none"/>
        </w:rPr>
      </w:pPr>
      <w:r>
        <w:rPr>
          <w:rFonts w:ascii="Times New Roman" w:hAnsi="Times New Roman" w:cs="Times New Roman"/>
          <w:highlight w:val="none"/>
        </w:rPr>
        <w:t>安装／操作／维修使用说明书；</w:t>
      </w:r>
    </w:p>
    <w:p>
      <w:pPr>
        <w:widowControl w:val="0"/>
        <w:numPr>
          <w:ilvl w:val="1"/>
          <w:numId w:val="16"/>
        </w:numPr>
        <w:tabs>
          <w:tab w:val="left" w:pos="993"/>
          <w:tab w:val="left" w:pos="1260"/>
        </w:tabs>
        <w:spacing w:line="360" w:lineRule="auto"/>
        <w:ind w:hanging="105"/>
        <w:jc w:val="both"/>
        <w:rPr>
          <w:rFonts w:ascii="Times New Roman" w:hAnsi="Times New Roman" w:cs="Times New Roman"/>
          <w:highlight w:val="none"/>
        </w:rPr>
      </w:pPr>
      <w:r>
        <w:rPr>
          <w:rFonts w:ascii="Times New Roman" w:hAnsi="Times New Roman" w:cs="Times New Roman"/>
          <w:highlight w:val="none"/>
        </w:rPr>
        <w:t>领货凭证；</w:t>
      </w:r>
    </w:p>
    <w:p>
      <w:pPr>
        <w:widowControl w:val="0"/>
        <w:numPr>
          <w:ilvl w:val="1"/>
          <w:numId w:val="16"/>
        </w:numPr>
        <w:tabs>
          <w:tab w:val="left" w:pos="993"/>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其它：</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tabs>
          <w:tab w:val="left" w:pos="993"/>
          <w:tab w:val="left" w:pos="1260"/>
        </w:tabs>
        <w:spacing w:line="360" w:lineRule="auto"/>
        <w:ind w:left="720"/>
        <w:jc w:val="both"/>
        <w:rPr>
          <w:rFonts w:ascii="Times New Roman" w:hAnsi="Times New Roman" w:cs="Times New Roman"/>
          <w:highlight w:val="none"/>
        </w:rPr>
      </w:pPr>
      <w:r>
        <w:rPr>
          <w:rFonts w:ascii="Times New Roman" w:hAnsi="Times New Roman" w:cs="Times New Roman"/>
          <w:highlight w:val="none"/>
        </w:rPr>
        <w:t>（注：上述材料、信息可根据实际情况删减。）</w:t>
      </w:r>
    </w:p>
    <w:p>
      <w:pPr>
        <w:widowControl w:val="0"/>
        <w:tabs>
          <w:tab w:val="left" w:pos="720"/>
          <w:tab w:val="left" w:pos="993"/>
        </w:tabs>
        <w:spacing w:line="360" w:lineRule="auto"/>
        <w:ind w:left="720"/>
        <w:jc w:val="both"/>
        <w:rPr>
          <w:rFonts w:ascii="Times New Roman" w:hAnsi="Times New Roman" w:cs="Times New Roman"/>
          <w:highlight w:val="none"/>
        </w:rPr>
      </w:pPr>
      <w:r>
        <w:rPr>
          <w:rFonts w:ascii="Times New Roman" w:hAnsi="Times New Roman" w:cs="Times New Roman"/>
          <w:highlight w:val="none"/>
        </w:rPr>
        <w:t>卖方交付的货物资料应完整、正确、整洁、书写明确、符合标准或行业惯例，并能满足买方正常使用与维护货物之所需。买方验收货物以卖方完整交付货物资料为前提。如买方发现货物资料存在任何错漏、短缺、损坏、遗失，买方应于收到之日起</w:t>
      </w:r>
      <w:r>
        <w:rPr>
          <w:rFonts w:ascii="Times New Roman" w:hAnsi="Times New Roman" w:cs="Times New Roman"/>
          <w:color w:val="000000"/>
          <w:kern w:val="2"/>
          <w:highlight w:val="none"/>
        </w:rPr>
        <w:t>【</w:t>
      </w:r>
      <w:bookmarkStart w:id="78" w:name="OLE_LINK9"/>
      <w:bookmarkStart w:id="79" w:name="OLE_LINK4"/>
      <w:r>
        <w:rPr>
          <w:rFonts w:ascii="Times New Roman" w:hAnsi="Times New Roman" w:cs="Times New Roman"/>
          <w:color w:val="000000"/>
          <w:kern w:val="2"/>
          <w:highlight w:val="none"/>
        </w:rPr>
        <w:t>●</w:t>
      </w:r>
      <w:bookmarkEnd w:id="78"/>
      <w:bookmarkEnd w:id="79"/>
      <w:r>
        <w:rPr>
          <w:rFonts w:ascii="Times New Roman" w:hAnsi="Times New Roman" w:cs="Times New Roman"/>
          <w:color w:val="000000"/>
          <w:kern w:val="2"/>
          <w:highlight w:val="none"/>
        </w:rPr>
        <w:t>】</w:t>
      </w:r>
      <w:r>
        <w:rPr>
          <w:rFonts w:ascii="Times New Roman" w:hAnsi="Times New Roman" w:cs="Times New Roman"/>
          <w:highlight w:val="none"/>
        </w:rPr>
        <w:t>日内通知卖方；卖方收到通知后</w:t>
      </w:r>
      <w:r>
        <w:rPr>
          <w:rFonts w:ascii="Times New Roman" w:hAnsi="Times New Roman" w:cs="Times New Roman"/>
          <w:color w:val="000000"/>
          <w:kern w:val="2"/>
          <w:highlight w:val="none"/>
        </w:rPr>
        <w:t>【●】</w:t>
      </w:r>
      <w:r>
        <w:rPr>
          <w:rFonts w:ascii="Times New Roman" w:hAnsi="Times New Roman" w:cs="Times New Roman"/>
          <w:highlight w:val="none"/>
        </w:rPr>
        <w:t>日内应自行承担费用将补充或替换的货物资料送达买方，并不得因此影响交货进度。</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eastAsiaTheme="minorEastAsia"/>
          <w:highlight w:val="none"/>
        </w:rPr>
        <w:t>若因卖方交付内容不符合本合同约定，而需修理、更换或补发货物及/或资料的，卖方完成交付的时间应以其最终完成符合本合同约定之交付的时间为准。</w:t>
      </w:r>
    </w:p>
    <w:p>
      <w:pPr>
        <w:widowControl w:val="0"/>
        <w:numPr>
          <w:ilvl w:val="0"/>
          <w:numId w:val="1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在货物</w:t>
      </w:r>
      <w:r>
        <w:rPr>
          <w:rFonts w:ascii="Times New Roman" w:hAnsi="Times New Roman" w:cs="Times New Roman"/>
          <w:color w:val="000000"/>
          <w:kern w:val="2"/>
          <w:highlight w:val="none"/>
        </w:rPr>
        <w:t>交付运输后【●】日内，卖方应通过（□亲自递送；□特快专递；□传真；□电子邮件）向买方提供【本合同附件二】中规定的技术资料。</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80" w:name="_Toc273451902"/>
      <w:bookmarkStart w:id="81" w:name="_Toc278889783"/>
      <w:bookmarkStart w:id="82" w:name="_Toc152081944"/>
      <w:bookmarkStart w:id="83" w:name="_Toc274669319"/>
      <w:bookmarkStart w:id="84" w:name="_Toc274403536"/>
      <w:bookmarkStart w:id="85" w:name="_Toc291435905"/>
      <w:bookmarkStart w:id="86" w:name="_Toc274075960"/>
      <w:bookmarkStart w:id="87" w:name="_Toc291435838"/>
      <w:bookmarkStart w:id="88" w:name="_Toc296959312"/>
      <w:bookmarkStart w:id="89" w:name="_Toc274474911"/>
      <w:bookmarkStart w:id="90" w:name="_Toc274668321"/>
      <w:bookmarkStart w:id="91" w:name="_Toc274754028"/>
      <w:bookmarkStart w:id="92" w:name="_Toc274343606"/>
      <w:bookmarkStart w:id="93" w:name="_Toc273451835"/>
      <w:bookmarkStart w:id="94" w:name="_Toc300671193"/>
      <w:bookmarkStart w:id="95" w:name="_Toc274076148"/>
      <w:bookmarkStart w:id="96" w:name="_Toc296955850"/>
      <w:r>
        <w:rPr>
          <w:rFonts w:ascii="Times New Roman" w:hAnsi="Times New Roman"/>
          <w:i w:val="0"/>
          <w:iCs w:val="0"/>
          <w:sz w:val="24"/>
          <w:szCs w:val="24"/>
          <w:highlight w:val="none"/>
        </w:rPr>
        <w:t>包装与标记</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widowControl w:val="0"/>
        <w:numPr>
          <w:ilvl w:val="0"/>
          <w:numId w:val="17"/>
        </w:numPr>
        <w:tabs>
          <w:tab w:val="left" w:pos="709"/>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卖方应在每件货物包装箱的两个侧面（如货物没有包装箱，在货物的其它显著位置），用不褪色的油漆或其它醒目方式以明显易见的中文字样注明以下标记：</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合同号；</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目的站；</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收货人及其联系电话；</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货物名称；</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箱号/件号；</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毛重/净重（公斤）；</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体积（长×宽×高，以毫米表示）；</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吊点；</w:t>
      </w:r>
    </w:p>
    <w:p>
      <w:pPr>
        <w:numPr>
          <w:ilvl w:val="0"/>
          <w:numId w:val="18"/>
        </w:numPr>
        <w:tabs>
          <w:tab w:val="left" w:pos="3060"/>
        </w:tabs>
        <w:spacing w:line="360" w:lineRule="auto"/>
        <w:ind w:hanging="431"/>
        <w:rPr>
          <w:rFonts w:ascii="Times New Roman" w:hAnsi="Times New Roman" w:cs="Times New Roman"/>
          <w:highlight w:val="none"/>
        </w:rPr>
      </w:pPr>
      <w:r>
        <w:rPr>
          <w:rFonts w:ascii="Times New Roman" w:hAnsi="Times New Roman" w:cs="Times New Roman"/>
          <w:highlight w:val="none"/>
        </w:rPr>
        <w:t>其它：</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widowControl w:val="0"/>
        <w:numPr>
          <w:ilvl w:val="0"/>
          <w:numId w:val="17"/>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凡重量超过【●】吨或体积超过【●】的货物，应在包装箱的侧面以运输常用的标记和图案标明重心位置及起吊点。</w:t>
      </w:r>
    </w:p>
    <w:p>
      <w:pPr>
        <w:widowControl w:val="0"/>
        <w:numPr>
          <w:ilvl w:val="0"/>
          <w:numId w:val="17"/>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根据货物的特点和装卸、运输的不同要求，包装箱应显著标明“轻放”、“勿倒置”、“防潮”和“防雨”等字样。</w:t>
      </w:r>
    </w:p>
    <w:p>
      <w:pPr>
        <w:widowControl w:val="0"/>
        <w:numPr>
          <w:ilvl w:val="0"/>
          <w:numId w:val="17"/>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如果在一个包装箱内同时装有两件以上不同的货物，卖方应显著标明主要货物的名称及货号。</w:t>
      </w:r>
    </w:p>
    <w:p>
      <w:pPr>
        <w:widowControl w:val="0"/>
        <w:numPr>
          <w:ilvl w:val="0"/>
          <w:numId w:val="17"/>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对裸装的大件货物，卖方应在每捆、每件上系上标签，标签应清晰标明：货物名称、规格型号、数量、装配图号、重心位置、起吊点、包装件号或系列号等。</w:t>
      </w:r>
    </w:p>
    <w:p>
      <w:pPr>
        <w:widowControl w:val="0"/>
        <w:numPr>
          <w:ilvl w:val="0"/>
          <w:numId w:val="17"/>
        </w:numPr>
        <w:tabs>
          <w:tab w:val="left" w:pos="708"/>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卖方向买方提供的货物资料，应具有适合长途运输、多次装卸及搬运、防潮和防雨的包装，货物资料包装的封面上应注明下述内容：</w:t>
      </w:r>
    </w:p>
    <w:p>
      <w:pPr>
        <w:numPr>
          <w:ilvl w:val="0"/>
          <w:numId w:val="19"/>
        </w:numPr>
        <w:tabs>
          <w:tab w:val="left" w:pos="1134"/>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合同号；</w:t>
      </w:r>
    </w:p>
    <w:p>
      <w:pPr>
        <w:numPr>
          <w:ilvl w:val="0"/>
          <w:numId w:val="19"/>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目的地；</w:t>
      </w:r>
    </w:p>
    <w:p>
      <w:pPr>
        <w:numPr>
          <w:ilvl w:val="0"/>
          <w:numId w:val="19"/>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收货人及其联系电话；</w:t>
      </w:r>
    </w:p>
    <w:p>
      <w:pPr>
        <w:numPr>
          <w:ilvl w:val="0"/>
          <w:numId w:val="19"/>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资料名称、编号；</w:t>
      </w:r>
    </w:p>
    <w:p>
      <w:pPr>
        <w:numPr>
          <w:ilvl w:val="0"/>
          <w:numId w:val="19"/>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毛重（公斤）；</w:t>
      </w:r>
    </w:p>
    <w:p>
      <w:pPr>
        <w:numPr>
          <w:ilvl w:val="0"/>
          <w:numId w:val="19"/>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none"/>
        </w:rPr>
      </w:pPr>
      <w:r>
        <w:rPr>
          <w:rFonts w:ascii="Times New Roman" w:hAnsi="Times New Roman" w:cs="Times New Roman"/>
          <w:highlight w:val="none"/>
        </w:rPr>
        <w:t>箱号/件号。</w:t>
      </w:r>
    </w:p>
    <w:p>
      <w:pPr>
        <w:spacing w:line="360" w:lineRule="auto"/>
        <w:ind w:left="708" w:leftChars="295"/>
        <w:textAlignment w:val="bottom"/>
        <w:rPr>
          <w:rFonts w:ascii="Times New Roman" w:hAnsi="Times New Roman" w:cs="Times New Roman"/>
          <w:highlight w:val="none"/>
        </w:rPr>
      </w:pPr>
      <w:r>
        <w:rPr>
          <w:rFonts w:ascii="Times New Roman" w:hAnsi="Times New Roman" w:cs="Times New Roman"/>
          <w:highlight w:val="none"/>
        </w:rPr>
        <w:t>每一包货物资料内应附有货物资料的详细清单两份，标明货物资料的序号、代号、名称和页数。</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97" w:name="_Toc300671194"/>
      <w:bookmarkStart w:id="98" w:name="_Toc152081945"/>
      <w:bookmarkStart w:id="99" w:name="_Toc288567131"/>
      <w:bookmarkStart w:id="100" w:name="_Toc287657103"/>
      <w:bookmarkStart w:id="101" w:name="_Toc287364271"/>
      <w:r>
        <w:rPr>
          <w:rFonts w:ascii="Times New Roman" w:hAnsi="Times New Roman"/>
          <w:i w:val="0"/>
          <w:iCs w:val="0"/>
          <w:sz w:val="24"/>
          <w:szCs w:val="24"/>
          <w:highlight w:val="none"/>
        </w:rPr>
        <w:t>验收</w:t>
      </w:r>
      <w:bookmarkEnd w:id="97"/>
      <w:bookmarkEnd w:id="98"/>
      <w:bookmarkEnd w:id="99"/>
      <w:bookmarkEnd w:id="100"/>
      <w:bookmarkEnd w:id="101"/>
    </w:p>
    <w:p>
      <w:pPr>
        <w:widowControl w:val="0"/>
        <w:numPr>
          <w:ilvl w:val="0"/>
          <w:numId w:val="20"/>
        </w:numPr>
        <w:tabs>
          <w:tab w:val="left" w:pos="720"/>
          <w:tab w:val="left" w:pos="108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货物到达指定交货地点后，买方在【●】日内对货物进行验收。验收由买方组织并指派专人参加，卖方应当指派人员参加。</w:t>
      </w:r>
      <w:r>
        <w:rPr>
          <w:rFonts w:ascii="Times New Roman" w:hAnsi="Times New Roman" w:cs="Times New Roman" w:eastAsiaTheme="minorEastAsia"/>
          <w:highlight w:val="none"/>
        </w:rPr>
        <w:t>如检验时卖方人员未按买方通知的时间到达现场，买方有权自行验收，验收结果和记录对双方均有效，并可作为买方向卖方提出索赔的有效证据。</w:t>
      </w:r>
      <w:r>
        <w:rPr>
          <w:rFonts w:ascii="Times New Roman" w:hAnsi="Times New Roman" w:cs="Times New Roman"/>
          <w:highlight w:val="none"/>
        </w:rPr>
        <w:t>验收标准见【本合同附件五】。</w:t>
      </w:r>
    </w:p>
    <w:p>
      <w:pPr>
        <w:widowControl w:val="0"/>
        <w:numPr>
          <w:ilvl w:val="0"/>
          <w:numId w:val="20"/>
        </w:numPr>
        <w:tabs>
          <w:tab w:val="left" w:pos="720"/>
          <w:tab w:val="left" w:pos="108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买方按照本合同约定的标准进行验收，并将验收结果通知卖方。对于验收合格的，由参与验收的人员在送货单（一式四联）上签字确认，买卖双方各留【二（2）】份</w:t>
      </w:r>
      <w:r>
        <w:rPr>
          <w:rFonts w:hint="eastAsia" w:ascii="Times New Roman" w:hAnsi="Times New Roman" w:cs="Times New Roman"/>
          <w:highlight w:val="none"/>
        </w:rPr>
        <w:t>（送货单格式见【本合同附件四】）</w:t>
      </w:r>
      <w:r>
        <w:rPr>
          <w:rFonts w:ascii="Times New Roman" w:hAnsi="Times New Roman" w:cs="Times New Roman"/>
          <w:highlight w:val="none"/>
        </w:rPr>
        <w:t>。对于验收中买方发现的问题，卖方应当在【●】日内予以书面回复。对于验收中发现的任何短少、缺陷、与合同约定不符等质量问题，</w:t>
      </w:r>
      <w:r>
        <w:rPr>
          <w:rFonts w:ascii="Times New Roman" w:hAnsi="Times New Roman" w:cs="Times New Roman" w:eastAsiaTheme="minorEastAsia"/>
          <w:highlight w:val="none"/>
        </w:rPr>
        <w:t>应做好记录，由双方代表签字，</w:t>
      </w:r>
      <w:r>
        <w:rPr>
          <w:rFonts w:hint="eastAsia" w:ascii="Times New Roman" w:hAnsi="Times New Roman" w:cs="Times New Roman" w:eastAsiaTheme="minorEastAsia"/>
          <w:highlight w:val="none"/>
        </w:rPr>
        <w:t>并由</w:t>
      </w:r>
      <w:r>
        <w:rPr>
          <w:rFonts w:ascii="Times New Roman" w:hAnsi="Times New Roman" w:cs="Times New Roman" w:eastAsiaTheme="minorEastAsia"/>
          <w:highlight w:val="none"/>
        </w:rPr>
        <w:t>双方各执一份，作为买方向卖方提出修理、更换或索赔的依据</w:t>
      </w:r>
      <w:r>
        <w:rPr>
          <w:rFonts w:hint="eastAsia" w:ascii="Times New Roman" w:hAnsi="Times New Roman" w:cs="Times New Roman" w:eastAsiaTheme="minorEastAsia"/>
          <w:highlight w:val="none"/>
        </w:rPr>
        <w:t>（验收记录格式见【本合同附件五】）</w:t>
      </w:r>
      <w:r>
        <w:rPr>
          <w:rFonts w:ascii="Times New Roman" w:hAnsi="Times New Roman" w:cs="Times New Roman" w:eastAsiaTheme="minorEastAsia"/>
          <w:highlight w:val="none"/>
        </w:rPr>
        <w:t>，因此产生的所有费用由卖方承担，</w:t>
      </w:r>
      <w:r>
        <w:rPr>
          <w:rFonts w:ascii="Times New Roman" w:hAnsi="Times New Roman" w:cs="Times New Roman"/>
          <w:highlight w:val="none"/>
        </w:rPr>
        <w:t>卖方应在验收后【●】日内根据买方的要求对上述问题予以解决。</w:t>
      </w:r>
    </w:p>
    <w:p>
      <w:pPr>
        <w:widowControl w:val="0"/>
        <w:numPr>
          <w:ilvl w:val="0"/>
          <w:numId w:val="20"/>
        </w:numPr>
        <w:tabs>
          <w:tab w:val="left" w:pos="720"/>
          <w:tab w:val="left" w:pos="108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卖方对验收结果提出异议的，由买卖双方协商解决。买卖双方协商不成的，买卖双方同意委托【●】进行检验并以该检验机构的检验结果为准。委托检验所发生的费用由卖方承担。</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02" w:name="_Toc152081946"/>
      <w:bookmarkStart w:id="103" w:name="_Toc300671197"/>
      <w:r>
        <w:rPr>
          <w:rFonts w:ascii="Times New Roman" w:hAnsi="Times New Roman"/>
          <w:i w:val="0"/>
          <w:iCs w:val="0"/>
          <w:sz w:val="24"/>
          <w:szCs w:val="24"/>
          <w:highlight w:val="none"/>
        </w:rPr>
        <w:t>卖方代表</w:t>
      </w:r>
      <w:bookmarkEnd w:id="102"/>
      <w:bookmarkEnd w:id="103"/>
    </w:p>
    <w:p>
      <w:pPr>
        <w:widowControl w:val="0"/>
        <w:numPr>
          <w:ilvl w:val="0"/>
          <w:numId w:val="21"/>
        </w:numPr>
        <w:tabs>
          <w:tab w:val="left" w:pos="70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卖方应于本合同生效后</w:t>
      </w:r>
      <w:r>
        <w:rPr>
          <w:rFonts w:ascii="Times New Roman" w:hAnsi="Times New Roman" w:cs="Times New Roman"/>
          <w:color w:val="000000"/>
          <w:kern w:val="2"/>
          <w:highlight w:val="none"/>
        </w:rPr>
        <w:t>【●】</w:t>
      </w:r>
      <w:r>
        <w:rPr>
          <w:rFonts w:ascii="Times New Roman" w:hAnsi="Times New Roman" w:cs="Times New Roman"/>
          <w:highlight w:val="none"/>
        </w:rPr>
        <w:t>日内向买方发送书面通知，指派一位项目经理作为卖方代表，全权代表卖方执行本合同，有权代表卖方接收和发出本合同项下的任何通知、同意、批准和决定等，有权代表卖方处理本合同项下需与买方沟通和协调的事项。</w:t>
      </w:r>
      <w:r>
        <w:rPr>
          <w:rFonts w:ascii="Times New Roman" w:hAnsi="Times New Roman" w:cs="Times New Roman"/>
          <w:highlight w:val="none"/>
          <w:lang w:val="en-GB"/>
        </w:rPr>
        <w:t>卖方代表的任何行为、疏忽或不作为应视同卖方的行为、疏忽或不作为，卖方应对此承担全部责任。</w:t>
      </w:r>
      <w:r>
        <w:rPr>
          <w:rFonts w:ascii="Times New Roman" w:hAnsi="Times New Roman" w:cs="Times New Roman"/>
          <w:highlight w:val="none"/>
        </w:rPr>
        <w:t>卖方代表应具有丰富的经验和良好的沟通及协调能力。</w:t>
      </w:r>
    </w:p>
    <w:p>
      <w:pPr>
        <w:widowControl w:val="0"/>
        <w:numPr>
          <w:ilvl w:val="0"/>
          <w:numId w:val="21"/>
        </w:numPr>
        <w:tabs>
          <w:tab w:val="left" w:pos="70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卖方应于指派卖方代表的同时将卖方代表的简历及联系方式提供给买方。未经买方事先书面同意，卖方不得更换卖方代表。</w:t>
      </w:r>
    </w:p>
    <w:p>
      <w:pPr>
        <w:widowControl w:val="0"/>
        <w:numPr>
          <w:ilvl w:val="0"/>
          <w:numId w:val="21"/>
        </w:numPr>
        <w:tabs>
          <w:tab w:val="left" w:pos="72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本合同有效期内，如果买方认为卖方代表无法胜任其工作，经书面通知卖方后，卖方应于收到买方通知后</w:t>
      </w:r>
      <w:r>
        <w:rPr>
          <w:rFonts w:ascii="Times New Roman" w:hAnsi="Times New Roman" w:cs="Times New Roman"/>
          <w:color w:val="000000"/>
          <w:kern w:val="2"/>
          <w:highlight w:val="none"/>
        </w:rPr>
        <w:t>【●】</w:t>
      </w:r>
      <w:r>
        <w:rPr>
          <w:rFonts w:ascii="Times New Roman" w:hAnsi="Times New Roman" w:cs="Times New Roman"/>
          <w:highlight w:val="none"/>
        </w:rPr>
        <w:t>日内更换卖方代表。</w:t>
      </w:r>
      <w:r>
        <w:rPr>
          <w:rStyle w:val="89"/>
          <w:rFonts w:ascii="Times New Roman" w:hAnsi="Times New Roman" w:cs="Times New Roman"/>
          <w:color w:val="auto"/>
          <w:highlight w:val="none"/>
          <w:u w:val="none"/>
          <w:lang w:val="zh-CN"/>
        </w:rPr>
        <w:t>如果卖方未在买方要求的期限内更换卖方代表，买方有权立即解除本合同并无需为此承担任何责任。</w:t>
      </w:r>
      <w:bookmarkStart w:id="104" w:name="_Toc287657108"/>
      <w:bookmarkStart w:id="105" w:name="_Toc288567138"/>
      <w:bookmarkStart w:id="106" w:name="_Toc287364276"/>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07" w:name="_Toc278889784"/>
      <w:bookmarkStart w:id="108" w:name="_Toc274669320"/>
      <w:bookmarkStart w:id="109" w:name="_Toc274076149"/>
      <w:bookmarkStart w:id="110" w:name="_Toc274754029"/>
      <w:bookmarkStart w:id="111" w:name="_Toc291435840"/>
      <w:bookmarkStart w:id="112" w:name="_Toc273451903"/>
      <w:bookmarkStart w:id="113" w:name="_Toc273451836"/>
      <w:bookmarkStart w:id="114" w:name="_Toc274668322"/>
      <w:bookmarkStart w:id="115" w:name="_Toc291435907"/>
      <w:bookmarkStart w:id="116" w:name="_Toc274343607"/>
      <w:bookmarkStart w:id="117" w:name="_Toc274474912"/>
      <w:bookmarkStart w:id="118" w:name="_Toc274403537"/>
      <w:bookmarkStart w:id="119" w:name="_Toc274075961"/>
      <w:bookmarkStart w:id="120" w:name="_Toc296959314"/>
      <w:bookmarkStart w:id="121" w:name="_Toc296955852"/>
      <w:bookmarkStart w:id="122" w:name="_Toc300671195"/>
      <w:bookmarkStart w:id="123" w:name="_Toc152081947"/>
      <w:r>
        <w:rPr>
          <w:rFonts w:ascii="Times New Roman" w:hAnsi="Times New Roman"/>
          <w:i w:val="0"/>
          <w:iCs w:val="0"/>
          <w:sz w:val="24"/>
          <w:szCs w:val="24"/>
          <w:highlight w:val="none"/>
        </w:rPr>
        <w:t>技术服务</w:t>
      </w:r>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Times New Roman" w:hAnsi="Times New Roman"/>
          <w:i w:val="0"/>
          <w:iCs w:val="0"/>
          <w:sz w:val="24"/>
          <w:szCs w:val="24"/>
          <w:highlight w:val="none"/>
        </w:rPr>
        <w:t>和培训</w:t>
      </w:r>
      <w:bookmarkEnd w:id="120"/>
      <w:bookmarkEnd w:id="121"/>
      <w:bookmarkEnd w:id="122"/>
      <w:bookmarkEnd w:id="123"/>
    </w:p>
    <w:p>
      <w:pPr>
        <w:widowControl w:val="0"/>
        <w:numPr>
          <w:ilvl w:val="0"/>
          <w:numId w:val="22"/>
        </w:numPr>
        <w:tabs>
          <w:tab w:val="left" w:pos="709"/>
        </w:tabs>
        <w:spacing w:line="360" w:lineRule="auto"/>
        <w:ind w:left="720" w:hanging="720"/>
        <w:jc w:val="both"/>
        <w:rPr>
          <w:rFonts w:ascii="Times New Roman" w:hAnsi="Times New Roman" w:cs="Times New Roman"/>
          <w:color w:val="000000"/>
          <w:highlight w:val="none"/>
        </w:rPr>
      </w:pPr>
      <w:r>
        <w:rPr>
          <w:rFonts w:ascii="Times New Roman" w:hAnsi="Times New Roman" w:cs="Times New Roman"/>
          <w:color w:val="000000"/>
          <w:highlight w:val="none"/>
        </w:rPr>
        <w:t>卖方应根据本合同的规定提供技术服务，相关费用已经包含在合同价款内。技术服务的内容和具体要求详见【本合同附件二】。</w:t>
      </w:r>
    </w:p>
    <w:p>
      <w:pPr>
        <w:widowControl w:val="0"/>
        <w:numPr>
          <w:ilvl w:val="0"/>
          <w:numId w:val="22"/>
        </w:numPr>
        <w:tabs>
          <w:tab w:val="left" w:pos="709"/>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卖方应根据本</w:t>
      </w:r>
      <w:r>
        <w:rPr>
          <w:rFonts w:ascii="Times New Roman" w:hAnsi="Times New Roman" w:cs="Times New Roman"/>
          <w:color w:val="000000"/>
          <w:highlight w:val="none"/>
        </w:rPr>
        <w:t>合同</w:t>
      </w:r>
      <w:r>
        <w:rPr>
          <w:rFonts w:ascii="Times New Roman" w:hAnsi="Times New Roman" w:cs="Times New Roman"/>
          <w:highlight w:val="none"/>
        </w:rPr>
        <w:t>的规定向买方人员提供培训服务，其相关费用已经包含在合同价款内，培训的范围、时间、方式等详见【本合同附件二】。</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24" w:name="_Toc300671196"/>
      <w:bookmarkStart w:id="125" w:name="_Toc288567132"/>
      <w:bookmarkStart w:id="126" w:name="_Toc152081948"/>
      <w:r>
        <w:rPr>
          <w:rFonts w:ascii="Times New Roman" w:hAnsi="Times New Roman"/>
          <w:i w:val="0"/>
          <w:iCs w:val="0"/>
          <w:sz w:val="24"/>
          <w:szCs w:val="24"/>
          <w:highlight w:val="none"/>
        </w:rPr>
        <w:t>质保期</w:t>
      </w:r>
      <w:bookmarkEnd w:id="124"/>
      <w:bookmarkEnd w:id="125"/>
      <w:bookmarkEnd w:id="126"/>
    </w:p>
    <w:p>
      <w:pPr>
        <w:widowControl w:val="0"/>
        <w:numPr>
          <w:ilvl w:val="0"/>
          <w:numId w:val="23"/>
        </w:numPr>
        <w:tabs>
          <w:tab w:val="left" w:pos="709"/>
        </w:tabs>
        <w:spacing w:line="360" w:lineRule="auto"/>
        <w:ind w:left="709" w:hanging="709"/>
        <w:jc w:val="both"/>
        <w:rPr>
          <w:rFonts w:ascii="Times New Roman" w:hAnsi="Times New Roman" w:cs="Times New Roman"/>
          <w:highlight w:val="none"/>
        </w:rPr>
      </w:pPr>
      <w:r>
        <w:rPr>
          <w:rFonts w:ascii="Times New Roman" w:hAnsi="Times New Roman" w:cs="Times New Roman"/>
          <w:highlight w:val="none"/>
        </w:rPr>
        <w:t>本合同项下每批货物的质量保证期为卖方交付该批货物并经双方签署送货单后【●】个月。</w:t>
      </w:r>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27" w:name="_Toc152081949"/>
      <w:bookmarkStart w:id="128" w:name="_Toc300671199"/>
      <w:r>
        <w:rPr>
          <w:rFonts w:ascii="Times New Roman" w:hAnsi="Times New Roman"/>
          <w:i w:val="0"/>
          <w:iCs w:val="0"/>
          <w:sz w:val="24"/>
          <w:szCs w:val="24"/>
          <w:highlight w:val="none"/>
        </w:rPr>
        <w:t>保险</w:t>
      </w:r>
      <w:bookmarkEnd w:id="104"/>
      <w:bookmarkEnd w:id="105"/>
      <w:bookmarkEnd w:id="106"/>
      <w:bookmarkEnd w:id="127"/>
      <w:bookmarkEnd w:id="128"/>
    </w:p>
    <w:p>
      <w:pPr>
        <w:widowControl w:val="0"/>
        <w:numPr>
          <w:ilvl w:val="0"/>
          <w:numId w:val="24"/>
        </w:numPr>
        <w:tabs>
          <w:tab w:val="left" w:pos="720"/>
          <w:tab w:val="clear" w:pos="1468"/>
        </w:tabs>
        <w:spacing w:line="360" w:lineRule="auto"/>
        <w:ind w:left="709" w:hanging="709"/>
        <w:jc w:val="both"/>
        <w:rPr>
          <w:rFonts w:ascii="Times New Roman" w:hAnsi="Times New Roman" w:cs="Times New Roman"/>
          <w:highlight w:val="none"/>
        </w:rPr>
      </w:pPr>
      <w:r>
        <w:rPr>
          <w:rFonts w:ascii="Times New Roman" w:hAnsi="Times New Roman" w:cs="Times New Roman"/>
          <w:highlight w:val="none"/>
        </w:rPr>
        <w:t>对于本合同项下的货物，卖方应向买方认可的、拥有合法资质的著名保险公司投保以下第</w:t>
      </w:r>
      <w:r>
        <w:rPr>
          <w:rFonts w:ascii="Times New Roman" w:hAnsi="Times New Roman" w:cs="Times New Roman"/>
          <w:highlight w:val="none"/>
          <w:u w:val="single"/>
        </w:rPr>
        <w:t xml:space="preserve">       </w:t>
      </w:r>
      <w:r>
        <w:rPr>
          <w:rFonts w:ascii="Times New Roman" w:hAnsi="Times New Roman" w:cs="Times New Roman"/>
          <w:highlight w:val="none"/>
        </w:rPr>
        <w:t>项规定的保险金额和险种的保险，并将买方列为共同被保险人或受益人。保险保障区段为卖方制造厂存储货物的仓库到买方用于存储货物的仓库，投保的期限始于装货（含装货）止于卸货后</w:t>
      </w:r>
      <w:r>
        <w:rPr>
          <w:rFonts w:ascii="Times New Roman" w:hAnsi="Times New Roman" w:cs="Times New Roman"/>
          <w:color w:val="000000"/>
          <w:kern w:val="2"/>
          <w:highlight w:val="none"/>
        </w:rPr>
        <w:t>【●】</w:t>
      </w:r>
      <w:r>
        <w:rPr>
          <w:rFonts w:ascii="Times New Roman" w:hAnsi="Times New Roman" w:cs="Times New Roman"/>
          <w:highlight w:val="none"/>
        </w:rPr>
        <w:t>日：</w:t>
      </w:r>
    </w:p>
    <w:p>
      <w:pPr>
        <w:widowControl w:val="0"/>
        <w:numPr>
          <w:ilvl w:val="0"/>
          <w:numId w:val="25"/>
        </w:numPr>
        <w:tabs>
          <w:tab w:val="left" w:pos="540"/>
          <w:tab w:val="left" w:pos="720"/>
          <w:tab w:val="left" w:pos="1260"/>
        </w:tabs>
        <w:spacing w:line="360" w:lineRule="auto"/>
        <w:ind w:left="720" w:firstLine="0"/>
        <w:jc w:val="both"/>
        <w:rPr>
          <w:rFonts w:ascii="Times New Roman" w:hAnsi="Times New Roman" w:cs="Times New Roman"/>
          <w:highlight w:val="none"/>
        </w:rPr>
      </w:pPr>
      <w:r>
        <w:rPr>
          <w:rFonts w:ascii="Times New Roman" w:hAnsi="Times New Roman" w:cs="Times New Roman"/>
          <w:highlight w:val="none"/>
        </w:rPr>
        <w:t>保险金额为合同总价【</w:t>
      </w:r>
      <w:bookmarkStart w:id="129" w:name="OLE_LINK5"/>
      <w:bookmarkStart w:id="130" w:name="OLE_LINK6"/>
      <w:r>
        <w:rPr>
          <w:rFonts w:ascii="Times New Roman" w:hAnsi="Times New Roman" w:cs="Times New Roman"/>
          <w:color w:val="000000"/>
          <w:kern w:val="2"/>
          <w:highlight w:val="none"/>
        </w:rPr>
        <w:t>●</w:t>
      </w:r>
      <w:r>
        <w:rPr>
          <w:rFonts w:ascii="Times New Roman" w:hAnsi="Times New Roman" w:cs="Times New Roman"/>
          <w:highlight w:val="none"/>
        </w:rPr>
        <w:t>%</w:t>
      </w:r>
      <w:bookmarkEnd w:id="129"/>
      <w:bookmarkEnd w:id="130"/>
      <w:r>
        <w:rPr>
          <w:rFonts w:ascii="Times New Roman" w:hAnsi="Times New Roman" w:cs="Times New Roman"/>
          <w:highlight w:val="none"/>
        </w:rPr>
        <w:t>】的运输保险；</w:t>
      </w:r>
    </w:p>
    <w:p>
      <w:pPr>
        <w:widowControl w:val="0"/>
        <w:numPr>
          <w:ilvl w:val="0"/>
          <w:numId w:val="25"/>
        </w:numPr>
        <w:tabs>
          <w:tab w:val="left" w:pos="540"/>
          <w:tab w:val="left" w:pos="720"/>
          <w:tab w:val="left" w:pos="1260"/>
        </w:tabs>
        <w:spacing w:line="360" w:lineRule="auto"/>
        <w:ind w:left="720" w:firstLine="0"/>
        <w:jc w:val="both"/>
        <w:rPr>
          <w:rFonts w:ascii="Times New Roman" w:hAnsi="Times New Roman" w:cs="Times New Roman"/>
          <w:highlight w:val="none"/>
        </w:rPr>
      </w:pP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0"/>
          <w:numId w:val="25"/>
        </w:numPr>
        <w:tabs>
          <w:tab w:val="left" w:pos="540"/>
          <w:tab w:val="left" w:pos="720"/>
          <w:tab w:val="left" w:pos="1260"/>
        </w:tabs>
        <w:spacing w:line="360" w:lineRule="auto"/>
        <w:ind w:left="720" w:firstLine="0"/>
        <w:jc w:val="both"/>
        <w:rPr>
          <w:rFonts w:ascii="Times New Roman" w:hAnsi="Times New Roman" w:cs="Times New Roman"/>
          <w:highlight w:val="none"/>
        </w:rPr>
      </w:pPr>
      <w:r>
        <w:rPr>
          <w:rFonts w:ascii="Times New Roman" w:hAnsi="Times New Roman" w:cs="Times New Roman"/>
          <w:highlight w:val="none"/>
          <w:u w:val="single"/>
        </w:rPr>
        <w:t xml:space="preserve">                                 ，</w:t>
      </w:r>
      <w:r>
        <w:rPr>
          <w:rFonts w:ascii="Times New Roman" w:hAnsi="Times New Roman" w:cs="Times New Roman"/>
          <w:highlight w:val="none"/>
        </w:rPr>
        <w:t>。</w:t>
      </w:r>
    </w:p>
    <w:p>
      <w:pPr>
        <w:tabs>
          <w:tab w:val="left" w:pos="720"/>
          <w:tab w:val="left" w:pos="3060"/>
        </w:tabs>
        <w:spacing w:line="360" w:lineRule="auto"/>
        <w:ind w:left="1002" w:leftChars="301" w:hanging="280" w:hangingChars="117"/>
        <w:rPr>
          <w:rFonts w:ascii="Times New Roman" w:hAnsi="Times New Roman" w:cs="Times New Roman"/>
          <w:highlight w:val="none"/>
        </w:rPr>
      </w:pPr>
      <w:r>
        <w:rPr>
          <w:rFonts w:ascii="Times New Roman" w:hAnsi="Times New Roman" w:cs="Times New Roman"/>
          <w:highlight w:val="none"/>
        </w:rPr>
        <w:t>（注：如买方负责运输或安排保险，本条规定应相应调整。）</w:t>
      </w:r>
    </w:p>
    <w:p>
      <w:pPr>
        <w:widowControl w:val="0"/>
        <w:numPr>
          <w:ilvl w:val="0"/>
          <w:numId w:val="24"/>
        </w:numPr>
        <w:tabs>
          <w:tab w:val="left" w:pos="720"/>
          <w:tab w:val="clear" w:pos="1468"/>
        </w:tabs>
        <w:spacing w:line="360" w:lineRule="auto"/>
        <w:ind w:left="720" w:hanging="720"/>
        <w:jc w:val="both"/>
        <w:rPr>
          <w:rFonts w:ascii="Times New Roman" w:hAnsi="Times New Roman" w:cs="Times New Roman"/>
          <w:highlight w:val="none"/>
        </w:rPr>
      </w:pPr>
      <w:bookmarkStart w:id="131" w:name="_Toc275783105"/>
      <w:bookmarkStart w:id="132" w:name="_Toc274343611"/>
      <w:bookmarkStart w:id="133" w:name="_Toc274669323"/>
      <w:bookmarkStart w:id="134" w:name="_Toc287657107"/>
      <w:bookmarkStart w:id="135" w:name="_Toc287364275"/>
      <w:bookmarkStart w:id="136" w:name="_Toc274474916"/>
      <w:bookmarkStart w:id="137" w:name="_Toc274403541"/>
      <w:bookmarkStart w:id="138" w:name="_Toc276069955"/>
      <w:bookmarkStart w:id="139" w:name="_Toc274668325"/>
      <w:bookmarkStart w:id="140" w:name="_Toc274076156"/>
      <w:bookmarkStart w:id="141" w:name="_Toc274754032"/>
      <w:bookmarkStart w:id="142" w:name="_Toc288567137"/>
      <w:bookmarkStart w:id="143" w:name="_Toc274075968"/>
      <w:r>
        <w:rPr>
          <w:rFonts w:ascii="Times New Roman" w:hAnsi="Times New Roman" w:cs="Times New Roman"/>
          <w:highlight w:val="none"/>
        </w:rPr>
        <w:t>货物交付前【●】日内，卖方应向买方提交保险合同的复印件，并应至少提前【三十（30）】日向买方通知所有保险的取消或内容的变更。</w:t>
      </w:r>
    </w:p>
    <w:p>
      <w:pPr>
        <w:widowControl w:val="0"/>
        <w:numPr>
          <w:ilvl w:val="0"/>
          <w:numId w:val="2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如果卖方未按照买方的上述要求对货物进行投保或无法提供保险合同的复印件，应自行承担货物在制造及运输过程中所产生的任何风险和费用。买方有权自行对货物进行投保并有权从合同价款中直接扣除因此产生的所有费用。</w:t>
      </w:r>
    </w:p>
    <w:p>
      <w:pPr>
        <w:widowControl w:val="0"/>
        <w:numPr>
          <w:ilvl w:val="0"/>
          <w:numId w:val="24"/>
        </w:numPr>
        <w:tabs>
          <w:tab w:val="left" w:pos="709"/>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合同规定的责任和义务购买其它保险（包括但不限于设计责任险、雇主责任险、员工意外伤害险、第三方责任险等）。卖方已购买的保险应足以覆盖本合同履行过程中可能产生的一切责任与风险，如果卖方未购买相应的保险，卖方应自行承担任何风险和损失。</w:t>
      </w:r>
    </w:p>
    <w:p>
      <w:pPr>
        <w:widowControl w:val="0"/>
        <w:numPr>
          <w:ilvl w:val="0"/>
          <w:numId w:val="24"/>
        </w:numPr>
        <w:tabs>
          <w:tab w:val="left" w:pos="709"/>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卖方在本合同项下购买的所有保险合同均应明确规定，承保人放弃任何可能因为卖方而产生的对买方的代位求偿权或任何形式的追索权。</w:t>
      </w:r>
    </w:p>
    <w:p>
      <w:pPr>
        <w:widowControl w:val="0"/>
        <w:numPr>
          <w:ilvl w:val="0"/>
          <w:numId w:val="24"/>
        </w:numPr>
        <w:tabs>
          <w:tab w:val="left" w:pos="709"/>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本第九条的规定不能限制并免除卖方在本合同项下的责任。</w:t>
      </w:r>
    </w:p>
    <w:p>
      <w:pPr>
        <w:widowControl w:val="0"/>
        <w:tabs>
          <w:tab w:val="left" w:pos="709"/>
        </w:tabs>
        <w:spacing w:line="360" w:lineRule="auto"/>
        <w:ind w:left="720"/>
        <w:jc w:val="both"/>
        <w:rPr>
          <w:rFonts w:ascii="Times New Roman" w:hAnsi="Times New Roman" w:cs="Times New Roman"/>
          <w:highlight w:val="none"/>
        </w:rPr>
      </w:pPr>
      <w:bookmarkStart w:id="144" w:name="OLE_LINK8"/>
      <w:bookmarkStart w:id="145" w:name="OLE_LINK7"/>
      <w:r>
        <w:rPr>
          <w:rFonts w:ascii="Times New Roman" w:hAnsi="Times New Roman" w:cs="Times New Roman"/>
          <w:highlight w:val="none"/>
        </w:rPr>
        <w:t>（注：可根据实际情况调整。）</w:t>
      </w:r>
      <w:bookmarkEnd w:id="144"/>
      <w:bookmarkEnd w:id="145"/>
    </w:p>
    <w:p>
      <w:pPr>
        <w:pStyle w:val="3"/>
        <w:keepLines/>
        <w:widowControl w:val="0"/>
        <w:numPr>
          <w:ilvl w:val="0"/>
          <w:numId w:val="11"/>
        </w:numPr>
        <w:tabs>
          <w:tab w:val="left" w:pos="720"/>
        </w:tabs>
        <w:spacing w:before="0" w:after="0" w:line="360" w:lineRule="auto"/>
        <w:ind w:left="959" w:hanging="959" w:hangingChars="398"/>
        <w:jc w:val="center"/>
        <w:rPr>
          <w:rFonts w:ascii="Times New Roman" w:hAnsi="Times New Roman"/>
          <w:i w:val="0"/>
          <w:sz w:val="24"/>
          <w:szCs w:val="24"/>
          <w:highlight w:val="none"/>
        </w:rPr>
      </w:pPr>
      <w:bookmarkStart w:id="146" w:name="_Toc300670403"/>
      <w:bookmarkStart w:id="147" w:name="_Toc300670799"/>
      <w:bookmarkStart w:id="148" w:name="_Toc300670331"/>
      <w:bookmarkStart w:id="149" w:name="_Toc152081950"/>
      <w:bookmarkStart w:id="150" w:name="_Toc296955855"/>
      <w:r>
        <w:rPr>
          <w:rFonts w:ascii="Times New Roman" w:hAnsi="Times New Roman"/>
          <w:i w:val="0"/>
          <w:sz w:val="24"/>
          <w:szCs w:val="24"/>
          <w:highlight w:val="none"/>
        </w:rPr>
        <w:t>知识产权</w:t>
      </w:r>
      <w:bookmarkEnd w:id="146"/>
      <w:bookmarkEnd w:id="147"/>
      <w:bookmarkEnd w:id="148"/>
      <w:bookmarkEnd w:id="149"/>
    </w:p>
    <w:p>
      <w:pPr>
        <w:numPr>
          <w:ilvl w:val="0"/>
          <w:numId w:val="26"/>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双方同意，货物交付且买方按照本合同约定支付合同价款之后，买方：（删除不适用选项）</w:t>
      </w:r>
    </w:p>
    <w:p>
      <w:pPr>
        <w:numPr>
          <w:ilvl w:val="3"/>
          <w:numId w:val="26"/>
        </w:numPr>
        <w:tabs>
          <w:tab w:val="left" w:pos="1134"/>
          <w:tab w:val="clear" w:pos="1620"/>
        </w:tabs>
        <w:spacing w:line="360" w:lineRule="auto"/>
        <w:ind w:left="1134" w:hanging="414"/>
        <w:rPr>
          <w:rFonts w:ascii="Times New Roman" w:hAnsi="Times New Roman" w:cs="Times New Roman"/>
          <w:color w:val="000000"/>
          <w:kern w:val="2"/>
          <w:highlight w:val="none"/>
        </w:rPr>
      </w:pPr>
      <w:r>
        <w:rPr>
          <w:rFonts w:ascii="Times New Roman" w:hAnsi="Times New Roman" w:cs="Times New Roman"/>
          <w:color w:val="000000"/>
          <w:kern w:val="2"/>
          <w:highlight w:val="none"/>
        </w:rPr>
        <w:t>自动获得并拥有货物自身附有的和/或为拥有、使用及维护货物所需的全部知识产权。</w:t>
      </w:r>
    </w:p>
    <w:p>
      <w:pPr>
        <w:numPr>
          <w:ilvl w:val="3"/>
          <w:numId w:val="26"/>
        </w:numPr>
        <w:tabs>
          <w:tab w:val="left" w:pos="1134"/>
          <w:tab w:val="clear" w:pos="1620"/>
        </w:tabs>
        <w:spacing w:line="360" w:lineRule="auto"/>
        <w:ind w:left="1134" w:hanging="414"/>
        <w:rPr>
          <w:rFonts w:ascii="Times New Roman" w:hAnsi="Times New Roman" w:cs="Times New Roman"/>
          <w:color w:val="000000"/>
          <w:kern w:val="2"/>
          <w:highlight w:val="none"/>
        </w:rPr>
      </w:pPr>
      <w:r>
        <w:rPr>
          <w:rFonts w:ascii="Times New Roman" w:hAnsi="Times New Roman" w:cs="Times New Roman"/>
          <w:color w:val="000000"/>
          <w:kern w:val="2"/>
          <w:highlight w:val="none"/>
        </w:rPr>
        <w:t>自动获得并拥有货物自身附有的和/或为拥有、使用及维护货物所需的以下知识产权，且</w:t>
      </w:r>
      <w:r>
        <w:rPr>
          <w:rFonts w:ascii="Times New Roman" w:hAnsi="Times New Roman" w:cs="Times New Roman"/>
          <w:highlight w:val="none"/>
        </w:rPr>
        <w:t>卖方同意无偿许可买方使用与货物有关的所有知识产权</w:t>
      </w:r>
      <w:r>
        <w:rPr>
          <w:rFonts w:ascii="Times New Roman" w:hAnsi="Times New Roman" w:cs="Times New Roman"/>
          <w:color w:val="000000"/>
          <w:kern w:val="2"/>
          <w:highlight w:val="none"/>
        </w:rPr>
        <w:t>：</w:t>
      </w:r>
    </w:p>
    <w:p>
      <w:pPr>
        <w:pStyle w:val="77"/>
        <w:numPr>
          <w:ilvl w:val="0"/>
          <w:numId w:val="27"/>
        </w:numPr>
        <w:tabs>
          <w:tab w:val="left" w:pos="709"/>
        </w:tabs>
        <w:spacing w:line="360" w:lineRule="auto"/>
        <w:ind w:left="1560" w:hanging="432"/>
        <w:rPr>
          <w:rFonts w:ascii="Times New Roman" w:hAnsi="Times New Roman" w:cs="Times New Roman"/>
          <w:color w:val="000000"/>
          <w:kern w:val="2"/>
          <w:highlight w:val="none"/>
        </w:rPr>
      </w:pPr>
      <w:r>
        <w:rPr>
          <w:rFonts w:ascii="Times New Roman" w:hAnsi="Times New Roman" w:cs="Times New Roman"/>
          <w:color w:val="000000"/>
          <w:kern w:val="2"/>
          <w:highlight w:val="none"/>
        </w:rPr>
        <w:t>____________；</w:t>
      </w:r>
    </w:p>
    <w:p>
      <w:pPr>
        <w:pStyle w:val="77"/>
        <w:numPr>
          <w:ilvl w:val="0"/>
          <w:numId w:val="27"/>
        </w:numPr>
        <w:tabs>
          <w:tab w:val="left" w:pos="709"/>
        </w:tabs>
        <w:spacing w:line="360" w:lineRule="auto"/>
        <w:ind w:left="1560" w:hanging="432"/>
        <w:rPr>
          <w:rFonts w:ascii="Times New Roman" w:hAnsi="Times New Roman" w:cs="Times New Roman"/>
          <w:color w:val="000000"/>
          <w:kern w:val="2"/>
          <w:highlight w:val="none"/>
        </w:rPr>
      </w:pPr>
      <w:r>
        <w:rPr>
          <w:rFonts w:ascii="Times New Roman" w:hAnsi="Times New Roman" w:cs="Times New Roman"/>
          <w:color w:val="000000"/>
          <w:kern w:val="2"/>
          <w:highlight w:val="none"/>
        </w:rPr>
        <w:t>____________；</w:t>
      </w:r>
    </w:p>
    <w:p>
      <w:pPr>
        <w:pStyle w:val="77"/>
        <w:numPr>
          <w:ilvl w:val="0"/>
          <w:numId w:val="27"/>
        </w:numPr>
        <w:tabs>
          <w:tab w:val="left" w:pos="709"/>
        </w:tabs>
        <w:spacing w:line="360" w:lineRule="auto"/>
        <w:ind w:left="1560" w:hanging="432"/>
        <w:rPr>
          <w:rFonts w:ascii="Times New Roman" w:hAnsi="Times New Roman" w:cs="Times New Roman"/>
          <w:color w:val="000000"/>
          <w:kern w:val="2"/>
          <w:highlight w:val="none"/>
        </w:rPr>
      </w:pPr>
      <w:r>
        <w:rPr>
          <w:rFonts w:ascii="Times New Roman" w:hAnsi="Times New Roman" w:cs="Times New Roman"/>
          <w:color w:val="000000"/>
          <w:kern w:val="2"/>
          <w:highlight w:val="none"/>
        </w:rPr>
        <w:t>____________；</w:t>
      </w:r>
    </w:p>
    <w:p>
      <w:pPr>
        <w:pStyle w:val="77"/>
        <w:numPr>
          <w:ilvl w:val="0"/>
          <w:numId w:val="27"/>
        </w:numPr>
        <w:tabs>
          <w:tab w:val="left" w:pos="709"/>
        </w:tabs>
        <w:spacing w:line="360" w:lineRule="auto"/>
        <w:ind w:left="1560" w:hanging="432"/>
        <w:rPr>
          <w:rFonts w:ascii="Times New Roman" w:hAnsi="Times New Roman" w:cs="Times New Roman"/>
          <w:color w:val="000000"/>
          <w:kern w:val="2"/>
          <w:highlight w:val="none"/>
        </w:rPr>
      </w:pPr>
      <w:r>
        <w:rPr>
          <w:rFonts w:ascii="Times New Roman" w:hAnsi="Times New Roman" w:cs="Times New Roman"/>
          <w:color w:val="000000"/>
          <w:kern w:val="2"/>
          <w:highlight w:val="none"/>
        </w:rPr>
        <w:t>____________。</w:t>
      </w:r>
    </w:p>
    <w:p>
      <w:pPr>
        <w:numPr>
          <w:ilvl w:val="3"/>
          <w:numId w:val="26"/>
        </w:numPr>
        <w:tabs>
          <w:tab w:val="left" w:pos="1134"/>
          <w:tab w:val="clear" w:pos="1620"/>
        </w:tabs>
        <w:spacing w:line="360" w:lineRule="auto"/>
        <w:ind w:left="1134" w:hanging="414"/>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除非双方另有约定，不自动获得并拥有货物自身附有的相关知识产权，但</w:t>
      </w:r>
      <w:r>
        <w:rPr>
          <w:rFonts w:ascii="Times New Roman" w:hAnsi="Times New Roman" w:cs="Times New Roman"/>
          <w:highlight w:val="none"/>
        </w:rPr>
        <w:t>卖方同意无偿许可买方使用与货物有关的所有知识产权</w:t>
      </w:r>
      <w:r>
        <w:rPr>
          <w:rFonts w:ascii="Times New Roman" w:hAnsi="Times New Roman" w:cs="Times New Roman"/>
          <w:color w:val="000000"/>
          <w:kern w:val="2"/>
          <w:highlight w:val="none"/>
        </w:rPr>
        <w:t>。</w:t>
      </w:r>
    </w:p>
    <w:p>
      <w:pPr>
        <w:numPr>
          <w:ilvl w:val="0"/>
          <w:numId w:val="26"/>
        </w:numPr>
        <w:tabs>
          <w:tab w:val="left" w:pos="709"/>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本合同有效期内，如卖方对所许可的专利和/或专有技术有所改进，则卖方应向买方免费提供技术支持以使该技术改进能顺利投入本合同项下货物的使用过程中。</w:t>
      </w:r>
    </w:p>
    <w:p>
      <w:pPr>
        <w:numPr>
          <w:ilvl w:val="0"/>
          <w:numId w:val="26"/>
        </w:numPr>
        <w:tabs>
          <w:tab w:val="left" w:pos="709"/>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买方有权对卖方许可买方使用的专利和/或专有技术予以改进，买方所作的任何技术改进的专利申请权归买方所有。</w:t>
      </w:r>
    </w:p>
    <w:p>
      <w:pPr>
        <w:numPr>
          <w:ilvl w:val="0"/>
          <w:numId w:val="26"/>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在货物设计、制造、组装、调试及运行期间，如果买方为此提供任何</w:t>
      </w:r>
      <w:r>
        <w:rPr>
          <w:rFonts w:ascii="Times New Roman" w:hAnsi="Times New Roman" w:cs="Times New Roman"/>
          <w:bCs/>
          <w:highlight w:val="none"/>
        </w:rPr>
        <w:t>构思、程序、软件、硬件、设计、图纸、技术、诀窍、发明、商标、专利及其它任何形式的保密信息或知识产权（“买方专有资料”），则无论该等买方专有资料是否构成货物不可分拆的一部分，且无论买方是否获得与货物有关的任何其它知识产权，买方应</w:t>
      </w:r>
      <w:r>
        <w:rPr>
          <w:rFonts w:ascii="Times New Roman" w:hAnsi="Times New Roman" w:cs="Times New Roman"/>
          <w:highlight w:val="none"/>
        </w:rPr>
        <w:t>始终拥有该等买方专有资料的所有权及与之相关的知识产权。</w:t>
      </w:r>
    </w:p>
    <w:p>
      <w:pPr>
        <w:pStyle w:val="3"/>
        <w:keepLines/>
        <w:widowControl w:val="0"/>
        <w:numPr>
          <w:ilvl w:val="0"/>
          <w:numId w:val="11"/>
        </w:numPr>
        <w:tabs>
          <w:tab w:val="left" w:pos="720"/>
        </w:tabs>
        <w:spacing w:before="0" w:after="0" w:line="360" w:lineRule="auto"/>
        <w:ind w:left="1842" w:leftChars="617" w:right="1274" w:rightChars="531" w:hanging="361" w:hangingChars="150"/>
        <w:jc w:val="center"/>
        <w:rPr>
          <w:rFonts w:ascii="Times New Roman" w:hAnsi="Times New Roman"/>
          <w:i w:val="0"/>
          <w:sz w:val="24"/>
          <w:szCs w:val="24"/>
          <w:highlight w:val="none"/>
        </w:rPr>
      </w:pPr>
      <w:bookmarkStart w:id="151" w:name="_Toc300670404"/>
      <w:bookmarkStart w:id="152" w:name="_Toc152081951"/>
      <w:bookmarkStart w:id="153" w:name="_Toc300670332"/>
      <w:bookmarkStart w:id="154" w:name="_Toc300670800"/>
      <w:r>
        <w:rPr>
          <w:rFonts w:ascii="Times New Roman" w:hAnsi="Times New Roman"/>
          <w:i w:val="0"/>
          <w:sz w:val="24"/>
          <w:szCs w:val="24"/>
          <w:highlight w:val="none"/>
        </w:rPr>
        <w:t>违约责任</w:t>
      </w:r>
      <w:bookmarkEnd w:id="150"/>
      <w:bookmarkEnd w:id="151"/>
      <w:bookmarkEnd w:id="152"/>
      <w:bookmarkEnd w:id="153"/>
      <w:bookmarkEnd w:id="154"/>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非因买方或不可抗力原因，卖方未按照合同规定的交货日期交货，每延期七（7）日（不足7日按7日计算），卖方应按照延期交货货物对应合同价款【●%】的比例，向买方支付违约金。如货物延期交付超过【●】日，除要求卖方支付延期交货违约金外，买方有权解除本合同，并有权要求卖方赔偿买方因此遭受的全部损失，同时，卖方应偿还买方支付的预付款。</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如非因买方或不可抗力原因，卖方未按时交付技术资料，每延期交付一日，卖方应支付违约金</w:t>
      </w:r>
      <w:r>
        <w:rPr>
          <w:rFonts w:ascii="Times New Roman" w:hAnsi="Times New Roman" w:cs="Times New Roman"/>
          <w:color w:val="000000"/>
          <w:kern w:val="2"/>
          <w:highlight w:val="none"/>
        </w:rPr>
        <w:t>【●】</w:t>
      </w:r>
      <w:r>
        <w:rPr>
          <w:rFonts w:ascii="Times New Roman" w:hAnsi="Times New Roman" w:cs="Times New Roman"/>
          <w:highlight w:val="none"/>
        </w:rPr>
        <w:t>元。如卖方延期交付技术资料超过</w:t>
      </w:r>
      <w:r>
        <w:rPr>
          <w:rFonts w:ascii="Times New Roman" w:hAnsi="Times New Roman" w:cs="Times New Roman"/>
          <w:color w:val="000000"/>
          <w:kern w:val="2"/>
          <w:highlight w:val="none"/>
        </w:rPr>
        <w:t>【●】</w:t>
      </w:r>
      <w:r>
        <w:rPr>
          <w:rFonts w:ascii="Times New Roman" w:hAnsi="Times New Roman" w:cs="Times New Roman"/>
          <w:highlight w:val="none"/>
        </w:rPr>
        <w:t>日，卖方除应向买方支付该等延期违约金外，还应赔偿买方因此遭受的全部损失。</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对于验收过程中发现的货物的任何损坏、缺陷、短缺，如卖方未能在买方发出修理、更换或补发通知后</w:t>
      </w:r>
      <w:r>
        <w:rPr>
          <w:rFonts w:ascii="Times New Roman" w:hAnsi="Times New Roman" w:cs="Times New Roman"/>
          <w:kern w:val="2"/>
          <w:highlight w:val="none"/>
        </w:rPr>
        <w:t>【●】</w:t>
      </w:r>
      <w:r>
        <w:rPr>
          <w:rFonts w:ascii="Times New Roman" w:hAnsi="Times New Roman" w:cs="Times New Roman"/>
          <w:highlight w:val="none"/>
        </w:rPr>
        <w:t>日内予以修理、更换或补发短缺部分，买方有权解除本合同，并要求卖方支付合同总价</w:t>
      </w:r>
      <w:r>
        <w:rPr>
          <w:rFonts w:ascii="Times New Roman" w:hAnsi="Times New Roman" w:cs="Times New Roman"/>
          <w:color w:val="000000"/>
          <w:kern w:val="2"/>
          <w:highlight w:val="none"/>
        </w:rPr>
        <w:t>【●%】</w:t>
      </w:r>
      <w:r>
        <w:rPr>
          <w:rFonts w:ascii="Times New Roman" w:hAnsi="Times New Roman" w:cs="Times New Roman"/>
          <w:highlight w:val="none"/>
        </w:rPr>
        <w:t>的违约金，同时有权要求卖方赔偿因此遭受的全部损失并偿还买方支付的预付款。</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如因运输、包装或保护措施</w:t>
      </w:r>
      <w:r>
        <w:rPr>
          <w:rFonts w:hint="eastAsia" w:ascii="Times New Roman" w:hAnsi="Times New Roman" w:cs="Times New Roman"/>
          <w:highlight w:val="none"/>
        </w:rPr>
        <w:t>不当</w:t>
      </w:r>
      <w:r>
        <w:rPr>
          <w:rFonts w:ascii="Times New Roman" w:hAnsi="Times New Roman" w:cs="Times New Roman"/>
          <w:highlight w:val="none"/>
        </w:rPr>
        <w:t>引起货物、货物资料或技术资料损坏、遗失或锈蚀，卖方应予以修理、替换、补充并赔偿买方因此遭受的全部损失。卖方应尽快将修理、替换或补充的货物、货物资料或技术资料运达目的地，并承担因此发生的任何费用。</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质保期内，如货物被发现存在任何缺陷，卖方未根据合同规定进行修理、更换或经修理、更换仍无法消除该等缺陷，除行使合同规定的其它权利外，买方有权要求卖方支付该货物之合同价款</w:t>
      </w:r>
      <w:r>
        <w:rPr>
          <w:rFonts w:ascii="Times New Roman" w:hAnsi="Times New Roman" w:cs="Times New Roman"/>
          <w:color w:val="000000"/>
          <w:kern w:val="2"/>
          <w:highlight w:val="none"/>
        </w:rPr>
        <w:t>【●%】</w:t>
      </w:r>
      <w:r>
        <w:rPr>
          <w:rFonts w:ascii="Times New Roman" w:hAnsi="Times New Roman" w:cs="Times New Roman"/>
          <w:highlight w:val="none"/>
        </w:rPr>
        <w:t>的违约金，卖方应同时赔偿买方因此遭受的全部损失。</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如卖方提供的技术服务发生延误或错误，每延期一日或发生一次错误，卖方应按照合同总价</w:t>
      </w:r>
      <w:r>
        <w:rPr>
          <w:rFonts w:ascii="Times New Roman" w:hAnsi="Times New Roman" w:cs="Times New Roman"/>
          <w:color w:val="000000"/>
          <w:kern w:val="2"/>
          <w:highlight w:val="none"/>
        </w:rPr>
        <w:t>【●%】</w:t>
      </w:r>
      <w:r>
        <w:rPr>
          <w:rFonts w:ascii="Times New Roman" w:hAnsi="Times New Roman" w:cs="Times New Roman"/>
          <w:highlight w:val="none"/>
        </w:rPr>
        <w:t>向买方支付违约金。如卖方延误提供技术服务超过</w:t>
      </w:r>
      <w:r>
        <w:rPr>
          <w:rFonts w:ascii="Times New Roman" w:hAnsi="Times New Roman" w:cs="Times New Roman"/>
          <w:color w:val="000000"/>
          <w:kern w:val="2"/>
          <w:highlight w:val="none"/>
        </w:rPr>
        <w:t>【●】</w:t>
      </w:r>
      <w:r>
        <w:rPr>
          <w:rFonts w:ascii="Times New Roman" w:hAnsi="Times New Roman" w:cs="Times New Roman"/>
          <w:highlight w:val="none"/>
        </w:rPr>
        <w:t>日，卖方除应向买方支付该等违约金外，还应赔偿买方因此遭受的全部损失。</w:t>
      </w:r>
    </w:p>
    <w:p>
      <w:pPr>
        <w:numPr>
          <w:ilvl w:val="1"/>
          <w:numId w:val="28"/>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未经买方同意，卖方擅自进行转让、分包，买方有权解除本合同，卖方应退还买方已支付的全部款项，并支付转让、分包货物之合同价款</w:t>
      </w:r>
      <w:r>
        <w:rPr>
          <w:rFonts w:ascii="Times New Roman" w:hAnsi="Times New Roman" w:cs="Times New Roman"/>
          <w:color w:val="000000"/>
          <w:kern w:val="2"/>
          <w:highlight w:val="none"/>
        </w:rPr>
        <w:t>【●%】</w:t>
      </w:r>
      <w:r>
        <w:rPr>
          <w:rFonts w:ascii="Times New Roman" w:hAnsi="Times New Roman" w:cs="Times New Roman"/>
          <w:highlight w:val="none"/>
        </w:rPr>
        <w:t>的违约金，卖方应同时赔偿买方因此遭受的全部损失。</w:t>
      </w:r>
    </w:p>
    <w:p>
      <w:pPr>
        <w:numPr>
          <w:ilvl w:val="1"/>
          <w:numId w:val="28"/>
        </w:numPr>
        <w:tabs>
          <w:tab w:val="clear" w:pos="420"/>
        </w:tabs>
        <w:spacing w:line="360" w:lineRule="auto"/>
        <w:ind w:left="709" w:hanging="709"/>
        <w:jc w:val="both"/>
        <w:rPr>
          <w:rFonts w:ascii="Times New Roman" w:hAnsi="Times New Roman" w:cs="Times New Roman"/>
          <w:highlight w:val="none"/>
        </w:rPr>
      </w:pPr>
      <w:r>
        <w:rPr>
          <w:rFonts w:ascii="Times New Roman" w:hAnsi="Times New Roman" w:cs="Times New Roman"/>
          <w:highlight w:val="none"/>
        </w:rPr>
        <w:t>如仅因买方原因，买方逾期向卖方付款，应按照合同签订日适用的中国人民银行授权银行间同业拆借中心发布的1年期银行贷款市场报价利率向乙方支付逾期应付而未付的合同价款的利息(中小微企业适用）。双方同意，该等利息的支付是买方就未能如期支付相关合同价款所需承担的全部责任。</w:t>
      </w:r>
    </w:p>
    <w:bookmarkEnd w:id="131"/>
    <w:bookmarkEnd w:id="132"/>
    <w:bookmarkEnd w:id="133"/>
    <w:bookmarkEnd w:id="134"/>
    <w:bookmarkEnd w:id="135"/>
    <w:bookmarkEnd w:id="136"/>
    <w:bookmarkEnd w:id="137"/>
    <w:bookmarkEnd w:id="138"/>
    <w:bookmarkEnd w:id="139"/>
    <w:bookmarkEnd w:id="140"/>
    <w:bookmarkEnd w:id="141"/>
    <w:bookmarkEnd w:id="142"/>
    <w:bookmarkEnd w:id="143"/>
    <w:p>
      <w:pPr>
        <w:pStyle w:val="3"/>
        <w:keepLines/>
        <w:widowControl w:val="0"/>
        <w:numPr>
          <w:ilvl w:val="0"/>
          <w:numId w:val="11"/>
        </w:numPr>
        <w:tabs>
          <w:tab w:val="left" w:pos="720"/>
        </w:tabs>
        <w:spacing w:before="0" w:after="0" w:line="360" w:lineRule="auto"/>
        <w:ind w:left="2409" w:leftChars="604" w:right="1274" w:rightChars="531" w:hanging="959" w:hangingChars="398"/>
        <w:jc w:val="center"/>
        <w:rPr>
          <w:rFonts w:ascii="Times New Roman" w:hAnsi="Times New Roman"/>
          <w:i w:val="0"/>
          <w:iCs w:val="0"/>
          <w:sz w:val="24"/>
          <w:szCs w:val="24"/>
          <w:highlight w:val="none"/>
        </w:rPr>
      </w:pPr>
      <w:bookmarkStart w:id="155" w:name="_Toc152081952"/>
      <w:bookmarkStart w:id="156" w:name="_Toc287657109"/>
      <w:bookmarkStart w:id="157" w:name="_Toc274474918"/>
      <w:bookmarkStart w:id="158" w:name="_Toc274668327"/>
      <w:bookmarkStart w:id="159" w:name="_Toc288567140"/>
      <w:bookmarkStart w:id="160" w:name="_Toc274403543"/>
      <w:bookmarkStart w:id="161" w:name="_Toc274754033"/>
      <w:bookmarkStart w:id="162" w:name="_Toc274669325"/>
      <w:bookmarkStart w:id="163" w:name="_Toc300671200"/>
      <w:bookmarkStart w:id="164" w:name="_Toc275783106"/>
      <w:bookmarkStart w:id="165" w:name="_Toc287364277"/>
      <w:bookmarkStart w:id="166" w:name="_Toc276069956"/>
      <w:r>
        <w:rPr>
          <w:rFonts w:ascii="Times New Roman" w:hAnsi="Times New Roman"/>
          <w:i w:val="0"/>
          <w:iCs w:val="0"/>
          <w:sz w:val="24"/>
          <w:szCs w:val="24"/>
          <w:highlight w:val="none"/>
        </w:rPr>
        <w:t>争议解决</w:t>
      </w:r>
      <w:bookmarkEnd w:id="155"/>
      <w:bookmarkEnd w:id="156"/>
      <w:bookmarkEnd w:id="157"/>
      <w:bookmarkEnd w:id="158"/>
      <w:bookmarkEnd w:id="159"/>
      <w:bookmarkEnd w:id="160"/>
      <w:bookmarkEnd w:id="161"/>
      <w:bookmarkEnd w:id="162"/>
      <w:bookmarkEnd w:id="163"/>
      <w:bookmarkEnd w:id="164"/>
      <w:bookmarkEnd w:id="165"/>
      <w:bookmarkEnd w:id="166"/>
    </w:p>
    <w:p>
      <w:pPr>
        <w:numPr>
          <w:ilvl w:val="0"/>
          <w:numId w:val="29"/>
        </w:numPr>
        <w:tabs>
          <w:tab w:val="left" w:pos="720"/>
          <w:tab w:val="left" w:pos="90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因履行本合同发生的或与本合同有关的一切争议，双方首先应友好协商解决，如经协商仍不能解决，双方同意选择以下方式予以解决：（删除不适用选项）</w:t>
      </w:r>
    </w:p>
    <w:p>
      <w:pPr>
        <w:numPr>
          <w:ilvl w:val="2"/>
          <w:numId w:val="30"/>
        </w:numPr>
        <w:tabs>
          <w:tab w:val="left" w:pos="648"/>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向买方所在地人民法院起诉。</w:t>
      </w:r>
    </w:p>
    <w:p>
      <w:pPr>
        <w:numPr>
          <w:ilvl w:val="2"/>
          <w:numId w:val="30"/>
        </w:numPr>
        <w:tabs>
          <w:tab w:val="left" w:pos="648"/>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提交（□中国国际经济贸易仲裁委员会；</w:t>
      </w:r>
      <w:r>
        <w:rPr>
          <w:rFonts w:eastAsiaTheme="minorEastAsia"/>
          <w:highlight w:val="none"/>
        </w:rPr>
        <w:t>□</w:t>
      </w:r>
      <w:r>
        <w:rPr>
          <w:rFonts w:hint="eastAsia" w:eastAsiaTheme="minorEastAsia"/>
          <w:highlight w:val="none"/>
        </w:rPr>
        <w:t>深圳国际仲裁院；</w:t>
      </w:r>
      <w:r>
        <w:rPr>
          <w:rFonts w:eastAsiaTheme="minorEastAsia"/>
          <w:highlight w:val="none"/>
        </w:rPr>
        <w:t>□</w:t>
      </w:r>
      <w:r>
        <w:rPr>
          <w:rFonts w:hint="eastAsia" w:eastAsiaTheme="minorEastAsia"/>
          <w:highlight w:val="none"/>
        </w:rPr>
        <w:t>上海国际经济贸易仲裁委员会</w:t>
      </w:r>
      <w:r>
        <w:rPr>
          <w:rFonts w:ascii="Times New Roman" w:hAnsi="Times New Roman" w:cs="Times New Roman"/>
          <w:highlight w:val="none"/>
        </w:rPr>
        <w:t>；□北京仲裁委员会；□天津仲裁委员会）进行仲裁。仲裁地点在</w:t>
      </w:r>
      <w:r>
        <w:rPr>
          <w:rFonts w:hint="eastAsia" w:ascii="Times New Roman" w:hAnsi="Times New Roman" w:cs="Times New Roman"/>
          <w:highlight w:val="none"/>
        </w:rPr>
        <w:t>【 】</w:t>
      </w:r>
      <w:r>
        <w:rPr>
          <w:rFonts w:ascii="Times New Roman" w:hAnsi="Times New Roman" w:cs="Times New Roman"/>
          <w:highlight w:val="none"/>
        </w:rPr>
        <w:t>。</w:t>
      </w:r>
      <w:r>
        <w:rPr>
          <w:rFonts w:hint="eastAsia" w:ascii="Times New Roman" w:hAnsi="Times New Roman" w:cs="Times New Roman"/>
          <w:highlight w:val="none"/>
        </w:rPr>
        <w:t>仲裁员人数为【】名。仲裁程序采用【</w:t>
      </w:r>
      <w:r>
        <w:rPr>
          <w:rFonts w:ascii="Times New Roman" w:hAnsi="Times New Roman" w:cs="Times New Roman"/>
          <w:highlight w:val="none"/>
        </w:rPr>
        <w:t xml:space="preserve"> </w:t>
      </w:r>
      <w:r>
        <w:rPr>
          <w:rFonts w:hint="eastAsia" w:ascii="Times New Roman" w:hAnsi="Times New Roman" w:cs="Times New Roman"/>
          <w:highlight w:val="none"/>
        </w:rPr>
        <w:t>】（语言）进行。</w:t>
      </w:r>
      <w:r>
        <w:rPr>
          <w:rFonts w:ascii="Times New Roman" w:hAnsi="Times New Roman" w:cs="Times New Roman"/>
          <w:highlight w:val="none"/>
        </w:rPr>
        <w:t>仲裁应根据该仲裁委员会现行有效的仲裁规则进行。仲裁裁决是终局的，对双方均有约束力。除仲裁庭另有裁决外，仲裁费用由败诉方承担。</w:t>
      </w:r>
    </w:p>
    <w:p>
      <w:pPr>
        <w:tabs>
          <w:tab w:val="left" w:pos="648"/>
        </w:tabs>
        <w:spacing w:line="360" w:lineRule="auto"/>
        <w:ind w:left="1134" w:firstLine="124" w:firstLineChars="52"/>
        <w:rPr>
          <w:rFonts w:ascii="Times New Roman" w:hAnsi="Times New Roman" w:cs="Times New Roman"/>
          <w:highlight w:val="none"/>
        </w:rPr>
      </w:pPr>
      <w:r>
        <w:rPr>
          <w:rFonts w:ascii="Times New Roman" w:hAnsi="Times New Roman" w:cs="Times New Roman"/>
          <w:highlight w:val="none"/>
        </w:rPr>
        <w:t>（注：仅可选择一家仲裁机构，删除其它选项。）</w:t>
      </w:r>
    </w:p>
    <w:p>
      <w:pPr>
        <w:numPr>
          <w:ilvl w:val="0"/>
          <w:numId w:val="29"/>
        </w:numPr>
        <w:tabs>
          <w:tab w:val="left" w:pos="720"/>
          <w:tab w:val="left" w:pos="90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争议解决期间，除争议事项外，双方应继续履行本合同。</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br w:type="page"/>
      </w:r>
    </w:p>
    <w:p>
      <w:pPr>
        <w:pStyle w:val="2"/>
        <w:keepLines/>
        <w:spacing w:before="0" w:after="0" w:line="360" w:lineRule="auto"/>
        <w:ind w:left="525" w:hanging="525"/>
        <w:jc w:val="center"/>
        <w:rPr>
          <w:rFonts w:ascii="Times New Roman" w:hAnsi="Times New Roman"/>
          <w:kern w:val="44"/>
          <w:sz w:val="24"/>
          <w:szCs w:val="24"/>
          <w:highlight w:val="none"/>
        </w:rPr>
      </w:pPr>
      <w:bookmarkStart w:id="167" w:name="_Toc300671201"/>
      <w:bookmarkStart w:id="168" w:name="_Toc152081953"/>
      <w:bookmarkStart w:id="169" w:name="_Toc297106680"/>
      <w:bookmarkStart w:id="170" w:name="_Toc297055778"/>
      <w:r>
        <w:rPr>
          <w:rFonts w:ascii="Times New Roman" w:hAnsi="Times New Roman"/>
          <w:kern w:val="44"/>
          <w:sz w:val="24"/>
          <w:szCs w:val="24"/>
          <w:highlight w:val="none"/>
        </w:rPr>
        <w:t>第三部分  通用合同条款</w:t>
      </w:r>
      <w:bookmarkEnd w:id="167"/>
      <w:bookmarkEnd w:id="168"/>
      <w:bookmarkEnd w:id="169"/>
      <w:bookmarkEnd w:id="170"/>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71" w:name="_Toc291435847"/>
      <w:bookmarkStart w:id="172" w:name="_Toc291435914"/>
      <w:bookmarkStart w:id="173" w:name="_Toc296955859"/>
      <w:bookmarkStart w:id="174" w:name="_Toc152081954"/>
      <w:bookmarkStart w:id="175" w:name="_Toc296959321"/>
      <w:bookmarkStart w:id="176" w:name="_Toc300671202"/>
      <w:bookmarkStart w:id="177" w:name="_Toc288567142"/>
      <w:r>
        <w:rPr>
          <w:rFonts w:ascii="Times New Roman" w:hAnsi="Times New Roman"/>
          <w:i w:val="0"/>
          <w:iCs w:val="0"/>
          <w:sz w:val="24"/>
          <w:szCs w:val="24"/>
          <w:highlight w:val="none"/>
        </w:rPr>
        <w:t>定义</w:t>
      </w:r>
      <w:bookmarkEnd w:id="171"/>
      <w:bookmarkEnd w:id="172"/>
      <w:bookmarkEnd w:id="173"/>
      <w:bookmarkEnd w:id="174"/>
      <w:bookmarkEnd w:id="175"/>
      <w:bookmarkEnd w:id="176"/>
    </w:p>
    <w:p>
      <w:pPr>
        <w:numPr>
          <w:ilvl w:val="1"/>
          <w:numId w:val="32"/>
        </w:numPr>
        <w:tabs>
          <w:tab w:val="left" w:pos="709"/>
        </w:tabs>
        <w:spacing w:line="360" w:lineRule="auto"/>
        <w:ind w:left="706" w:hanging="705" w:hangingChars="294"/>
        <w:rPr>
          <w:rFonts w:ascii="Times New Roman" w:hAnsi="Times New Roman" w:cs="Times New Roman"/>
          <w:highlight w:val="none"/>
        </w:rPr>
      </w:pPr>
      <w:r>
        <w:rPr>
          <w:rFonts w:ascii="Times New Roman" w:hAnsi="Times New Roman" w:cs="Times New Roman"/>
          <w:highlight w:val="none"/>
        </w:rPr>
        <w:t>本合同相关词语的定义如下：</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highlight w:val="none"/>
        </w:rPr>
        <w:t>“</w:t>
      </w:r>
      <w:r>
        <w:rPr>
          <w:rFonts w:ascii="Times New Roman" w:hAnsi="Times New Roman"/>
          <w:b/>
          <w:highlight w:val="none"/>
        </w:rPr>
        <w:t>本合同</w:t>
      </w:r>
      <w:r>
        <w:rPr>
          <w:rFonts w:ascii="Times New Roman" w:hAnsi="Times New Roman"/>
          <w:highlight w:val="none"/>
        </w:rPr>
        <w:t>”指合同书、专用合同条款、通用合同条款和各附件、以及经买卖双方确认的年度协议订单共同构成的不可分割的整体。</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“法律法规”</w:t>
      </w:r>
      <w:r>
        <w:rPr>
          <w:rFonts w:ascii="Times New Roman" w:hAnsi="Times New Roman"/>
          <w:highlight w:val="none"/>
        </w:rPr>
        <w:t>指中华人民共和国各级立法、行政机关不时颁布并生效的法律、法规、规章及其它规范性文件。</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“工作日”</w:t>
      </w:r>
      <w:r>
        <w:rPr>
          <w:rFonts w:ascii="Times New Roman" w:hAnsi="Times New Roman"/>
          <w:highlight w:val="none"/>
        </w:rPr>
        <w:t>是指除</w:t>
      </w:r>
      <w:r>
        <w:rPr>
          <w:rFonts w:ascii="Times New Roman" w:hAnsi="Times New Roman"/>
          <w:color w:val="000000"/>
          <w:highlight w:val="none"/>
        </w:rPr>
        <w:t>星期六、星期日和</w:t>
      </w:r>
      <w:r>
        <w:rPr>
          <w:rFonts w:ascii="Times New Roman" w:hAnsi="Times New Roman"/>
          <w:highlight w:val="none"/>
        </w:rPr>
        <w:t>中华人民共和国法定节假日外的日历日。</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“关联企业”</w:t>
      </w:r>
      <w:r>
        <w:rPr>
          <w:rFonts w:ascii="Times New Roman" w:hAnsi="Times New Roman"/>
          <w:highlight w:val="none"/>
        </w:rPr>
        <w:t>对任何一方而言指，指 (i) 控制该方的公司、企业或实体；(ii) 该方控制的公司、企业或实体；或 (iii) 与该方共受同一主体控制的公司、企业或实体。控制指直接或间接拥有50%以上股份，或有权直接或间接委派董事会或类似管理机构1/2以上成员，或通过其它方式决定其经营管理和决策。</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“合同价款”</w:t>
      </w:r>
      <w:r>
        <w:rPr>
          <w:rFonts w:ascii="Times New Roman" w:hAnsi="Times New Roman"/>
          <w:highlight w:val="none"/>
        </w:rPr>
        <w:t>是指买方根据本合同的规定应支付给卖方的价款。</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“货物”</w:t>
      </w:r>
      <w:r>
        <w:rPr>
          <w:rFonts w:ascii="Times New Roman" w:hAnsi="Times New Roman"/>
          <w:highlight w:val="none"/>
        </w:rPr>
        <w:t>是指卖方根据本合同的规定向买方提供的全部产品。</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“技术资料”</w:t>
      </w:r>
      <w:r>
        <w:rPr>
          <w:rFonts w:ascii="Times New Roman" w:hAnsi="Times New Roman"/>
          <w:highlight w:val="none"/>
        </w:rPr>
        <w:t>是指与货物的设计、制造、监造、检验、安装、调试、验收、操作、试运行、运行、检修、维护和技术指导等相关的文件（包括图纸、规格书、数据表、各种文字说明、标准、各种软件）。</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“技术服务”</w:t>
      </w:r>
      <w:r>
        <w:rPr>
          <w:rFonts w:ascii="Times New Roman" w:hAnsi="Times New Roman"/>
          <w:highlight w:val="none"/>
        </w:rPr>
        <w:t>是指卖方提供的与本货物的设计、监造、检验、安装、调试、验收、试运行、运行、操作、检修、维护等有关的指导、配合、协调、支持、培训等服务。</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“检验机构”</w:t>
      </w:r>
      <w:r>
        <w:rPr>
          <w:rFonts w:ascii="Times New Roman" w:hAnsi="Times New Roman"/>
          <w:highlight w:val="none"/>
        </w:rPr>
        <w:t>是指为确认货物符合技术规范的要求，买卖双方共同确定的第三方权威检验机构。</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“良好的行业惯例”</w:t>
      </w:r>
      <w:r>
        <w:rPr>
          <w:rFonts w:ascii="Times New Roman" w:hAnsi="Times New Roman"/>
          <w:highlight w:val="none"/>
        </w:rPr>
        <w:t>是指在履行本合同的过程中，卖方应遵守适用法律、法规、标准、商业惯例和诚实信用原则，采取一个经验丰富、合格的供应商在同等或类似条件应当采取的措施，并具备该等供应商应当具备的资质、技术、审慎、判断及其它方面的能力。</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“日、周、月”</w:t>
      </w:r>
      <w:r>
        <w:rPr>
          <w:rFonts w:ascii="Times New Roman" w:hAnsi="Times New Roman"/>
          <w:highlight w:val="none"/>
        </w:rPr>
        <w:t xml:space="preserve">是指日历日、日历周、日历月。 </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“现场”</w:t>
      </w:r>
      <w:r>
        <w:rPr>
          <w:rFonts w:ascii="Times New Roman" w:hAnsi="Times New Roman"/>
          <w:highlight w:val="none"/>
        </w:rPr>
        <w:t>是指买方指定的货物安装、运行场所。</w:t>
      </w:r>
    </w:p>
    <w:p>
      <w:pPr>
        <w:pStyle w:val="99"/>
        <w:numPr>
          <w:ilvl w:val="0"/>
          <w:numId w:val="33"/>
        </w:numPr>
        <w:spacing w:line="360" w:lineRule="auto"/>
        <w:ind w:left="1276" w:hanging="568"/>
        <w:rPr>
          <w:rFonts w:ascii="Times New Roman" w:hAnsi="Times New Roman"/>
          <w:highlight w:val="none"/>
        </w:rPr>
      </w:pPr>
      <w:r>
        <w:rPr>
          <w:rFonts w:ascii="Times New Roman" w:hAnsi="Times New Roman"/>
          <w:b/>
          <w:bCs/>
          <w:highlight w:val="none"/>
        </w:rPr>
        <w:t>“有效税务发票”</w:t>
      </w:r>
      <w:r>
        <w:rPr>
          <w:rFonts w:ascii="Times New Roman" w:hAnsi="Times New Roman"/>
          <w:highlight w:val="none"/>
        </w:rPr>
        <w:t>是指符合中国法律法规要求的发票。</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“知识产权”</w:t>
      </w:r>
      <w:r>
        <w:rPr>
          <w:rFonts w:ascii="Times New Roman" w:hAnsi="Times New Roman"/>
          <w:highlight w:val="none"/>
        </w:rPr>
        <w:t>指任何著作权、专利权、商标专用权、以及有关设计新型、商业秘密、服务标记、厂商名称、产地标记、原产地名称等其它知识产权。</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“中国”</w:t>
      </w:r>
      <w:r>
        <w:rPr>
          <w:rFonts w:ascii="Times New Roman" w:hAnsi="Times New Roman"/>
          <w:highlight w:val="none"/>
        </w:rPr>
        <w:t>指中华人民共和国，为本合同之目的，不包括香港特别行政区、澳门特别行政区和台湾地区。</w:t>
      </w:r>
    </w:p>
    <w:p>
      <w:pPr>
        <w:pStyle w:val="99"/>
        <w:numPr>
          <w:ilvl w:val="0"/>
          <w:numId w:val="33"/>
        </w:numPr>
        <w:tabs>
          <w:tab w:val="left" w:pos="709"/>
        </w:tabs>
        <w:spacing w:line="360" w:lineRule="auto"/>
        <w:ind w:left="1276" w:hanging="568"/>
        <w:rPr>
          <w:rFonts w:ascii="Times New Roman" w:hAnsi="Times New Roman"/>
          <w:highlight w:val="none"/>
        </w:rPr>
      </w:pPr>
      <w:r>
        <w:rPr>
          <w:rFonts w:ascii="Times New Roman" w:hAnsi="Times New Roman"/>
          <w:b/>
          <w:highlight w:val="none"/>
        </w:rPr>
        <w:t>“最终接受证书”</w:t>
      </w:r>
      <w:r>
        <w:rPr>
          <w:rFonts w:ascii="Times New Roman" w:hAnsi="Times New Roman"/>
          <w:highlight w:val="none"/>
        </w:rPr>
        <w:t>是指买方在货物质保期结束后向卖方签发的旨在表明货物符合本合同相关要求的文件。</w:t>
      </w:r>
    </w:p>
    <w:p>
      <w:pPr>
        <w:pStyle w:val="3"/>
        <w:keepLines/>
        <w:widowControl w:val="0"/>
        <w:numPr>
          <w:ilvl w:val="0"/>
          <w:numId w:val="31"/>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78" w:name="_Toc300671203"/>
      <w:bookmarkStart w:id="179" w:name="_Toc152081955"/>
      <w:r>
        <w:rPr>
          <w:rFonts w:ascii="Times New Roman" w:hAnsi="Times New Roman"/>
          <w:i w:val="0"/>
          <w:iCs w:val="0"/>
          <w:sz w:val="24"/>
          <w:szCs w:val="24"/>
          <w:highlight w:val="none"/>
        </w:rPr>
        <w:t>合同宗旨</w:t>
      </w:r>
      <w:bookmarkEnd w:id="177"/>
      <w:bookmarkEnd w:id="178"/>
      <w:bookmarkEnd w:id="179"/>
    </w:p>
    <w:p>
      <w:pPr>
        <w:widowControl w:val="0"/>
        <w:numPr>
          <w:ilvl w:val="1"/>
          <w:numId w:val="31"/>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双方之间是单纯的合同买卖关系。卖方不是买方的代理人和/或买卖代表，也不是买方的雇员或合伙人。</w:t>
      </w:r>
    </w:p>
    <w:p>
      <w:pPr>
        <w:widowControl w:val="0"/>
        <w:numPr>
          <w:ilvl w:val="1"/>
          <w:numId w:val="31"/>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卖方无权以买方的名义签订合同及其它法律文件，使买方在任何方面对任何第三人承担任何责任，或由买方负担任何费用、履行任何义务。</w:t>
      </w:r>
    </w:p>
    <w:p>
      <w:pPr>
        <w:widowControl w:val="0"/>
        <w:numPr>
          <w:ilvl w:val="1"/>
          <w:numId w:val="31"/>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本合同只是双方买卖关系的证明，任何一方不得超出此范围而使用本合同，或将本合同作为任何其它方面的证明。</w:t>
      </w:r>
    </w:p>
    <w:p>
      <w:pPr>
        <w:widowControl w:val="0"/>
        <w:numPr>
          <w:ilvl w:val="1"/>
          <w:numId w:val="31"/>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双方应本着诚实、信用原则解释、履行本合同。双方在履行本合同的过程中，应遵守中国法律法规的相关规定。</w:t>
      </w:r>
    </w:p>
    <w:p>
      <w:pPr>
        <w:pStyle w:val="3"/>
        <w:keepLines/>
        <w:widowControl w:val="0"/>
        <w:numPr>
          <w:ilvl w:val="0"/>
          <w:numId w:val="31"/>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0" w:name="_Toc152081956"/>
      <w:bookmarkStart w:id="181" w:name="_Toc300671204"/>
      <w:r>
        <w:rPr>
          <w:rFonts w:ascii="Times New Roman" w:hAnsi="Times New Roman"/>
          <w:i w:val="0"/>
          <w:iCs w:val="0"/>
          <w:sz w:val="24"/>
          <w:szCs w:val="24"/>
          <w:highlight w:val="none"/>
        </w:rPr>
        <w:t>合同标的</w:t>
      </w:r>
      <w:bookmarkEnd w:id="180"/>
      <w:bookmarkEnd w:id="181"/>
    </w:p>
    <w:p>
      <w:pPr>
        <w:widowControl w:val="0"/>
        <w:numPr>
          <w:ilvl w:val="0"/>
          <w:numId w:val="3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买方同意根据需要向卖方购买本合同附件中所列的全部或部分货物。在本合同有效期内，若【本合同附件一】货物清单发生变化，卖方应立即以书面形式通报买方。如【本合同附件一】货物清单所列货物发生断货、停产等影响交易的情况，卖方应当立即书面通知买方并提供相关有效证明，以便买方及时做出安排。</w:t>
      </w:r>
    </w:p>
    <w:p>
      <w:pPr>
        <w:widowControl w:val="0"/>
        <w:numPr>
          <w:ilvl w:val="0"/>
          <w:numId w:val="3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附件一】中的货物清单仅是供买方选择购买货物的清单，买方没有义务必须购买货物清单所列的全部或部分货物。买方有权向任何第三方购买与货物清单所列货物相同的货物。买方一旦选购了货物清单所列的货物，卖方必须按本合同约定的交易条件，将买方选购的货物出售给买方。</w:t>
      </w:r>
    </w:p>
    <w:p>
      <w:pPr>
        <w:widowControl w:val="0"/>
        <w:numPr>
          <w:ilvl w:val="0"/>
          <w:numId w:val="3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如果买方需要选购</w:t>
      </w:r>
      <w:r>
        <w:rPr>
          <w:rFonts w:hint="eastAsia" w:ascii="Times New Roman" w:hAnsi="Times New Roman" w:cs="Times New Roman"/>
          <w:highlight w:val="none"/>
        </w:rPr>
        <w:t>作为</w:t>
      </w:r>
      <w:r>
        <w:rPr>
          <w:rFonts w:ascii="Times New Roman" w:hAnsi="Times New Roman" w:cs="Times New Roman"/>
          <w:highlight w:val="none"/>
        </w:rPr>
        <w:t>本合同附件的货物清单约定范围之外的卖方生产或者销售的其它产品，卖方同意以不高于卖方向任何第三方销售价的优惠价格提供给买方。</w:t>
      </w:r>
    </w:p>
    <w:p>
      <w:pPr>
        <w:widowControl w:val="0"/>
        <w:numPr>
          <w:ilvl w:val="0"/>
          <w:numId w:val="3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双方可以通过补充协议的方式对本合同项下货物清单的部分或全部内容进行修改：</w:t>
      </w:r>
    </w:p>
    <w:p>
      <w:pPr>
        <w:pStyle w:val="77"/>
        <w:numPr>
          <w:ilvl w:val="0"/>
          <w:numId w:val="35"/>
        </w:numPr>
        <w:tabs>
          <w:tab w:val="left" w:pos="709"/>
          <w:tab w:val="left" w:pos="1260"/>
        </w:tabs>
        <w:spacing w:line="360" w:lineRule="auto"/>
        <w:rPr>
          <w:rFonts w:ascii="Times New Roman" w:hAnsi="Times New Roman" w:cs="Times New Roman"/>
          <w:highlight w:val="none"/>
        </w:rPr>
      </w:pPr>
      <w:r>
        <w:rPr>
          <w:rFonts w:ascii="Times New Roman" w:hAnsi="Times New Roman" w:cs="Times New Roman"/>
          <w:highlight w:val="none"/>
        </w:rPr>
        <w:t>增加或减少货物种类；</w:t>
      </w:r>
    </w:p>
    <w:p>
      <w:pPr>
        <w:pStyle w:val="77"/>
        <w:numPr>
          <w:ilvl w:val="0"/>
          <w:numId w:val="35"/>
        </w:numPr>
        <w:tabs>
          <w:tab w:val="left" w:pos="709"/>
          <w:tab w:val="left" w:pos="1260"/>
        </w:tabs>
        <w:spacing w:line="360" w:lineRule="auto"/>
        <w:rPr>
          <w:rFonts w:ascii="Times New Roman" w:hAnsi="Times New Roman" w:cs="Times New Roman"/>
          <w:highlight w:val="none"/>
        </w:rPr>
      </w:pPr>
      <w:r>
        <w:rPr>
          <w:rFonts w:ascii="Times New Roman" w:hAnsi="Times New Roman" w:cs="Times New Roman"/>
          <w:highlight w:val="none"/>
        </w:rPr>
        <w:t>调整货物价格；</w:t>
      </w:r>
    </w:p>
    <w:p>
      <w:pPr>
        <w:pStyle w:val="77"/>
        <w:numPr>
          <w:ilvl w:val="0"/>
          <w:numId w:val="35"/>
        </w:numPr>
        <w:tabs>
          <w:tab w:val="left" w:pos="720"/>
          <w:tab w:val="left" w:pos="1260"/>
        </w:tabs>
        <w:spacing w:line="360" w:lineRule="auto"/>
        <w:rPr>
          <w:rFonts w:ascii="Times New Roman" w:hAnsi="Times New Roman" w:cs="Times New Roman"/>
          <w:highlight w:val="none"/>
        </w:rPr>
      </w:pPr>
      <w:r>
        <w:rPr>
          <w:rFonts w:ascii="Times New Roman" w:hAnsi="Times New Roman" w:cs="Times New Roman"/>
          <w:highlight w:val="none"/>
        </w:rPr>
        <w:t>与货物有关的其它事项。</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2" w:name="_Toc152081957"/>
      <w:r>
        <w:rPr>
          <w:rFonts w:ascii="Times New Roman" w:hAnsi="Times New Roman"/>
          <w:i w:val="0"/>
          <w:iCs w:val="0"/>
          <w:sz w:val="24"/>
          <w:szCs w:val="24"/>
          <w:highlight w:val="none"/>
        </w:rPr>
        <w:t>年度协议订单</w:t>
      </w:r>
      <w:bookmarkEnd w:id="182"/>
    </w:p>
    <w:p>
      <w:pPr>
        <w:widowControl w:val="0"/>
        <w:numPr>
          <w:ilvl w:val="0"/>
          <w:numId w:val="3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年度协议订单的效力</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年度协议订单是本合同的有效组成部分，是对本合同及其附件的有效补充、解释，同本合同及其附件具有同等效力。</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买方有权分批次就一定数量的货物向卖方发送年度协议订单。</w:t>
      </w:r>
    </w:p>
    <w:p>
      <w:pPr>
        <w:widowControl w:val="0"/>
        <w:numPr>
          <w:ilvl w:val="0"/>
          <w:numId w:val="3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年度协议订单的送达</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买方有权根据需要，通过发送年度协议订单的方式，定期或不定期分批向卖方选购本合同附件货物清单所列货物。</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年度协议订单可以特快专递、传真、电子邮件或者双方另行书面同意的其它方式送达卖方。</w:t>
      </w:r>
    </w:p>
    <w:p>
      <w:pPr>
        <w:widowControl w:val="0"/>
        <w:numPr>
          <w:ilvl w:val="0"/>
          <w:numId w:val="3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年度协议订单的修改</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因买方原因需对年度协议订单规定的交货时间、数量等内容进行修改的，买方应当在卖方发货前【</w:t>
      </w:r>
      <w:r>
        <w:rPr>
          <w:rFonts w:ascii="Times New Roman" w:hAnsi="Times New Roman" w:cs="Times New Roman"/>
          <w:color w:val="000000"/>
          <w:kern w:val="2"/>
          <w:highlight w:val="none"/>
        </w:rPr>
        <w:t>●</w:t>
      </w:r>
      <w:r>
        <w:rPr>
          <w:rFonts w:ascii="Times New Roman" w:hAnsi="Times New Roman" w:cs="Times New Roman"/>
          <w:highlight w:val="none"/>
        </w:rPr>
        <w:t>】日将年度协议订单修改的内容以书面形式通知卖方，以便卖方在合理时间内准备货物。</w:t>
      </w:r>
    </w:p>
    <w:p>
      <w:pPr>
        <w:widowControl w:val="0"/>
        <w:tabs>
          <w:tab w:val="left" w:pos="1260"/>
        </w:tabs>
        <w:spacing w:line="360" w:lineRule="auto"/>
        <w:ind w:left="1200"/>
        <w:jc w:val="both"/>
        <w:rPr>
          <w:rFonts w:ascii="Times New Roman" w:hAnsi="Times New Roman" w:cs="Times New Roman"/>
          <w:highlight w:val="none"/>
        </w:rPr>
      </w:pPr>
      <w:r>
        <w:rPr>
          <w:rFonts w:ascii="Times New Roman" w:hAnsi="Times New Roman" w:cs="Times New Roman"/>
          <w:highlight w:val="none"/>
        </w:rPr>
        <w:t>买方无法在前款规定的时间内将年度协议订单修改情况书面通知卖方的，卖方在接到买方对年度协议订单修改的口头通知后应当采取必要措施，保证按照修改后的年度协议订单交货。</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经双方协商一致，可以对年度协议订单的相关条款进行修改，修改应当以书面形式进行。</w:t>
      </w:r>
    </w:p>
    <w:p>
      <w:pPr>
        <w:widowControl w:val="0"/>
        <w:numPr>
          <w:ilvl w:val="0"/>
          <w:numId w:val="36"/>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年度协议订单的确认</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除非双方另有约定，卖方在收到年度协议订单后，如果同意年度协议订单上的实质性条款（包括但不限于货物的数量、质量、交货日期、交货方式、价款等），须以书面形式向买方表示确认；如卖方在收到年度协议订单后【</w:t>
      </w:r>
      <w:r>
        <w:rPr>
          <w:rFonts w:ascii="Times New Roman" w:hAnsi="Times New Roman" w:cs="Times New Roman"/>
          <w:color w:val="000000"/>
          <w:kern w:val="2"/>
          <w:highlight w:val="none"/>
        </w:rPr>
        <w:t>●</w:t>
      </w:r>
      <w:r>
        <w:rPr>
          <w:rFonts w:ascii="Times New Roman" w:hAnsi="Times New Roman" w:cs="Times New Roman"/>
          <w:highlight w:val="none"/>
        </w:rPr>
        <w:t>】个工作日内未以书面形式通知买方，则将视为卖方已确认并接受年度协议订单的全部条款。</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除非买卖双方另有约定，卖方对年度协议订单的确认可以采用单独出具书面确认书的方式，也可以采用在年度协议订单上直接确认后以特快专递、电子邮件、传真等方式或者双方另行书面同意的其它方式送达买方的方式。</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卖方在确认书中修改了买方年度协议订单的条款的（包括但不限于货物的数量、质量、交货日期、交货方式、价款等），视为卖方未就买方的年度协议订单进行确认。</w:t>
      </w:r>
    </w:p>
    <w:p>
      <w:pPr>
        <w:widowControl w:val="0"/>
        <w:numPr>
          <w:ilvl w:val="1"/>
          <w:numId w:val="36"/>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除买方按照本条的规定对年度协议订单进行修改外，年度协议订单的内容以买方发出时的内容为准。</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3" w:name="_Toc273451792"/>
      <w:bookmarkStart w:id="184" w:name="_Toc274403501"/>
      <w:bookmarkStart w:id="185" w:name="_Toc274075972"/>
      <w:bookmarkStart w:id="186" w:name="_Toc273388507"/>
      <w:bookmarkStart w:id="187" w:name="_Toc288567150"/>
      <w:bookmarkStart w:id="188" w:name="_Toc274343570"/>
      <w:bookmarkStart w:id="189" w:name="_Toc152081958"/>
      <w:bookmarkStart w:id="190" w:name="_Toc274344102"/>
      <w:bookmarkStart w:id="191" w:name="_Toc274754036"/>
      <w:bookmarkStart w:id="192" w:name="_Toc274668226"/>
      <w:bookmarkStart w:id="193" w:name="_Toc300671209"/>
      <w:bookmarkStart w:id="194" w:name="_Toc276069961"/>
      <w:bookmarkStart w:id="195" w:name="_Toc274669167"/>
      <w:bookmarkStart w:id="196" w:name="_Toc273458606"/>
      <w:bookmarkStart w:id="197" w:name="_Toc273388606"/>
      <w:r>
        <w:rPr>
          <w:rFonts w:ascii="Times New Roman" w:hAnsi="Times New Roman"/>
          <w:i w:val="0"/>
          <w:iCs w:val="0"/>
          <w:sz w:val="24"/>
          <w:szCs w:val="24"/>
          <w:highlight w:val="none"/>
        </w:rPr>
        <w:t>质量标准</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widowControl w:val="0"/>
        <w:numPr>
          <w:ilvl w:val="0"/>
          <w:numId w:val="3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按照本合同约定提供的货物应当符合本合同和合同附件中约定的规范、标准。如果本合同或合同附件中没有约定规范、标准的，应当适用货物交货前中国颁布并生效的最新标准作为执行的标准。标准的适用顺序为：</w:t>
      </w:r>
    </w:p>
    <w:p>
      <w:pPr>
        <w:widowControl w:val="0"/>
        <w:numPr>
          <w:ilvl w:val="1"/>
          <w:numId w:val="38"/>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本合同规定的标准和规范；</w:t>
      </w:r>
    </w:p>
    <w:p>
      <w:pPr>
        <w:widowControl w:val="0"/>
        <w:numPr>
          <w:ilvl w:val="1"/>
          <w:numId w:val="38"/>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中国最新颁布的相关标准和规范；</w:t>
      </w:r>
    </w:p>
    <w:p>
      <w:pPr>
        <w:widowControl w:val="0"/>
        <w:numPr>
          <w:ilvl w:val="1"/>
          <w:numId w:val="38"/>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如果没有中国国家标准，适用最新的行业标准；</w:t>
      </w:r>
    </w:p>
    <w:p>
      <w:pPr>
        <w:widowControl w:val="0"/>
        <w:numPr>
          <w:ilvl w:val="1"/>
          <w:numId w:val="38"/>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如果没有中国国家和行业标准，适用符合合同目的的标准。</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98" w:name="_Toc300671211"/>
      <w:bookmarkStart w:id="199" w:name="_Toc274669169"/>
      <w:bookmarkStart w:id="200" w:name="_Toc274668228"/>
      <w:bookmarkStart w:id="201" w:name="_Toc274344104"/>
      <w:bookmarkStart w:id="202" w:name="_Toc274754038"/>
      <w:bookmarkStart w:id="203" w:name="_Toc288567152"/>
      <w:bookmarkStart w:id="204" w:name="_Toc152081959"/>
      <w:bookmarkStart w:id="205" w:name="_Toc274403503"/>
      <w:bookmarkStart w:id="206" w:name="_Toc274343572"/>
      <w:bookmarkStart w:id="207" w:name="_Toc276069962"/>
      <w:r>
        <w:rPr>
          <w:rFonts w:ascii="Times New Roman" w:hAnsi="Times New Roman"/>
          <w:i w:val="0"/>
          <w:iCs w:val="0"/>
          <w:sz w:val="24"/>
          <w:szCs w:val="24"/>
          <w:highlight w:val="none"/>
        </w:rPr>
        <w:t>合同价款</w:t>
      </w:r>
      <w:bookmarkEnd w:id="198"/>
      <w:bookmarkEnd w:id="199"/>
      <w:bookmarkEnd w:id="200"/>
      <w:bookmarkEnd w:id="201"/>
      <w:bookmarkEnd w:id="202"/>
      <w:bookmarkEnd w:id="203"/>
      <w:bookmarkEnd w:id="204"/>
      <w:bookmarkEnd w:id="205"/>
      <w:bookmarkEnd w:id="206"/>
      <w:bookmarkEnd w:id="207"/>
    </w:p>
    <w:p>
      <w:pPr>
        <w:widowControl w:val="0"/>
        <w:numPr>
          <w:ilvl w:val="0"/>
          <w:numId w:val="39"/>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合同价款将根据附件货物清单所列明的货物单价和买方在合同有效期内实际购买的货物数量计算后确定。</w:t>
      </w:r>
    </w:p>
    <w:p>
      <w:pPr>
        <w:widowControl w:val="0"/>
        <w:numPr>
          <w:ilvl w:val="0"/>
          <w:numId w:val="39"/>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双方同意，除非本合同另有明确规定，在本合同有效期内，本合同附件中所列的货物单价为固定价格，不因合同生效后物价上涨、原材料上涨、通货膨胀、汇率或利率变化、税收变化或政策性变化等因素而调整。</w:t>
      </w:r>
      <w:r>
        <w:rPr>
          <w:rFonts w:hint="eastAsia" w:ascii="Times New Roman" w:hAnsi="Times New Roman" w:cs="Times New Roman"/>
          <w:highlight w:val="none"/>
        </w:rPr>
        <w:t>卖</w:t>
      </w:r>
      <w:r>
        <w:rPr>
          <w:rFonts w:ascii="Times New Roman" w:hAnsi="Times New Roman" w:cs="Times New Roman"/>
          <w:highlight w:val="none"/>
        </w:rPr>
        <w:t>方不得以情势变更</w:t>
      </w:r>
      <w:r>
        <w:rPr>
          <w:rFonts w:hint="eastAsia" w:ascii="Times New Roman" w:hAnsi="Times New Roman" w:cs="Times New Roman"/>
          <w:highlight w:val="none"/>
        </w:rPr>
        <w:t>或任何其他理由</w:t>
      </w:r>
      <w:r>
        <w:rPr>
          <w:rFonts w:ascii="Times New Roman" w:hAnsi="Times New Roman" w:cs="Times New Roman"/>
          <w:highlight w:val="none"/>
        </w:rPr>
        <w:t>为由，要求</w:t>
      </w:r>
      <w:r>
        <w:rPr>
          <w:rFonts w:hint="eastAsia" w:ascii="Times New Roman" w:hAnsi="Times New Roman" w:cs="Times New Roman"/>
          <w:highlight w:val="none"/>
        </w:rPr>
        <w:t>增加</w:t>
      </w:r>
      <w:r>
        <w:rPr>
          <w:rFonts w:ascii="Times New Roman" w:hAnsi="Times New Roman" w:cs="Times New Roman"/>
          <w:highlight w:val="none"/>
        </w:rPr>
        <w:t>合同价款。</w:t>
      </w:r>
    </w:p>
    <w:p>
      <w:pPr>
        <w:widowControl w:val="0"/>
        <w:numPr>
          <w:ilvl w:val="0"/>
          <w:numId w:val="39"/>
        </w:numPr>
        <w:tabs>
          <w:tab w:val="left" w:pos="720"/>
          <w:tab w:val="clear" w:pos="1468"/>
        </w:tabs>
        <w:spacing w:line="360" w:lineRule="auto"/>
        <w:ind w:left="720" w:hanging="720"/>
        <w:jc w:val="both"/>
        <w:rPr>
          <w:rFonts w:ascii="Times New Roman" w:hAnsi="Times New Roman" w:cs="Times New Roman"/>
          <w:highlight w:val="none"/>
        </w:rPr>
      </w:pPr>
      <w:bookmarkStart w:id="208" w:name="_Toc274344105"/>
      <w:bookmarkStart w:id="209" w:name="_Toc274343573"/>
      <w:bookmarkStart w:id="210" w:name="_Toc274754039"/>
      <w:bookmarkStart w:id="211" w:name="_Toc288567154"/>
      <w:bookmarkStart w:id="212" w:name="_Toc274669170"/>
      <w:bookmarkStart w:id="213" w:name="_Toc274668229"/>
      <w:bookmarkStart w:id="214" w:name="_Toc276069964"/>
      <w:bookmarkStart w:id="215" w:name="_Toc300671212"/>
      <w:bookmarkStart w:id="216" w:name="_Toc274403504"/>
      <w:r>
        <w:rPr>
          <w:rFonts w:hint="eastAsia" w:ascii="Times New Roman" w:hAnsi="Times New Roman" w:cs="Times New Roman"/>
          <w:highlight w:val="none"/>
        </w:rPr>
        <w:t>本合同约定的价格</w:t>
      </w:r>
      <w:r>
        <w:rPr>
          <w:rFonts w:ascii="Times New Roman" w:hAnsi="Times New Roman" w:cs="Times New Roman"/>
          <w:highlight w:val="none"/>
        </w:rPr>
        <w:t>是本合同项下买方向卖方支付的全部款项。除非合同另有规定，卖方应承担其在履行合同义务时所产生的全部费用和税费。卖方确认，其在同意合同价格前已经获得了所有的信息并已考虑了所有可能影响成本和费用的因素。为避免歧义，合同</w:t>
      </w:r>
      <w:r>
        <w:rPr>
          <w:rFonts w:hint="eastAsia" w:ascii="Times New Roman" w:hAnsi="Times New Roman" w:cs="Times New Roman"/>
          <w:highlight w:val="none"/>
        </w:rPr>
        <w:t>价格已覆盖</w:t>
      </w:r>
      <w:r>
        <w:rPr>
          <w:rFonts w:ascii="Times New Roman" w:hAnsi="Times New Roman" w:cs="Times New Roman"/>
          <w:highlight w:val="none"/>
        </w:rPr>
        <w:t>物资成本、易耗品和易耗材料费用；税费（包括关税、增值税等）；运输、储存、包装、维修、搬运、交付费用；管理费和利润；直接成本、间接成本、人力成本；技术服务费用；质保期费用；或有费用及合同没有列明但系为实现合同目的所必需的工作和服务的费用；卖方所有的风险、义务和责任，以及合同中明确说明由卖方承担的成本与费用等。除买方同意某项费用属于额外的工作项目需另行支付费用外，买方不向卖方支付任何超出合同</w:t>
      </w:r>
      <w:r>
        <w:rPr>
          <w:rFonts w:hint="eastAsia" w:ascii="Times New Roman" w:hAnsi="Times New Roman" w:cs="Times New Roman"/>
          <w:highlight w:val="none"/>
        </w:rPr>
        <w:t>价格</w:t>
      </w:r>
      <w:r>
        <w:rPr>
          <w:rFonts w:ascii="Times New Roman" w:hAnsi="Times New Roman" w:cs="Times New Roman"/>
          <w:highlight w:val="none"/>
        </w:rPr>
        <w:t>的款项。</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17" w:name="_Toc152081960"/>
      <w:r>
        <w:rPr>
          <w:rFonts w:ascii="Times New Roman" w:hAnsi="Times New Roman"/>
          <w:i w:val="0"/>
          <w:iCs w:val="0"/>
          <w:sz w:val="24"/>
          <w:szCs w:val="24"/>
          <w:highlight w:val="none"/>
        </w:rPr>
        <w:t>付款</w:t>
      </w:r>
      <w:bookmarkEnd w:id="208"/>
      <w:bookmarkEnd w:id="209"/>
      <w:bookmarkEnd w:id="210"/>
      <w:bookmarkEnd w:id="211"/>
      <w:bookmarkEnd w:id="212"/>
      <w:bookmarkEnd w:id="213"/>
      <w:bookmarkEnd w:id="214"/>
      <w:bookmarkEnd w:id="215"/>
      <w:bookmarkEnd w:id="216"/>
      <w:bookmarkEnd w:id="217"/>
    </w:p>
    <w:p>
      <w:pPr>
        <w:widowControl w:val="0"/>
        <w:numPr>
          <w:ilvl w:val="0"/>
          <w:numId w:val="40"/>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卖方应根据合同规定的付款条件和进度，向买方开具有效税务发票并提供相关支持文件。如卖方未开具有效税务发票并提供相关支持文件，买方有权拒付相关合同价款。</w:t>
      </w:r>
    </w:p>
    <w:p>
      <w:pPr>
        <w:widowControl w:val="0"/>
        <w:numPr>
          <w:ilvl w:val="0"/>
          <w:numId w:val="40"/>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如果买方对卖方出具的有效税务发票和提供的相关支持文件无异议，应于收到该等发票和相关支持文件之日起【  】日内向卖方付款。</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18" w:name="_Toc296955864"/>
      <w:bookmarkStart w:id="219" w:name="_Toc291435854"/>
      <w:bookmarkStart w:id="220" w:name="_Toc152081961"/>
      <w:bookmarkStart w:id="221" w:name="_Toc296959326"/>
      <w:bookmarkStart w:id="222" w:name="_Toc291435921"/>
      <w:bookmarkStart w:id="223" w:name="_Toc300671213"/>
      <w:bookmarkStart w:id="224" w:name="_Toc278889794"/>
      <w:bookmarkStart w:id="225" w:name="_Toc274754040"/>
      <w:bookmarkStart w:id="226" w:name="_Toc274344106"/>
      <w:bookmarkStart w:id="227" w:name="_Toc274669171"/>
      <w:bookmarkStart w:id="228" w:name="_Toc274343574"/>
      <w:bookmarkStart w:id="229" w:name="_Toc273388508"/>
      <w:bookmarkStart w:id="230" w:name="_Toc274403505"/>
      <w:bookmarkStart w:id="231" w:name="_Toc273451793"/>
      <w:bookmarkStart w:id="232" w:name="_Toc288567155"/>
      <w:bookmarkStart w:id="233" w:name="_Toc273388607"/>
      <w:bookmarkStart w:id="234" w:name="_Toc273458607"/>
      <w:bookmarkStart w:id="235" w:name="_Toc276069965"/>
      <w:bookmarkStart w:id="236" w:name="_Toc274668230"/>
      <w:bookmarkStart w:id="237" w:name="_Toc274075973"/>
      <w:r>
        <w:rPr>
          <w:rFonts w:ascii="Times New Roman" w:hAnsi="Times New Roman"/>
          <w:i w:val="0"/>
          <w:iCs w:val="0"/>
          <w:sz w:val="24"/>
          <w:szCs w:val="24"/>
          <w:highlight w:val="none"/>
        </w:rPr>
        <w:t>权利保证</w:t>
      </w:r>
      <w:bookmarkEnd w:id="218"/>
      <w:bookmarkEnd w:id="219"/>
      <w:bookmarkEnd w:id="220"/>
      <w:bookmarkEnd w:id="221"/>
      <w:bookmarkEnd w:id="222"/>
      <w:bookmarkEnd w:id="223"/>
      <w:bookmarkEnd w:id="224"/>
    </w:p>
    <w:p>
      <w:pPr>
        <w:numPr>
          <w:ilvl w:val="0"/>
          <w:numId w:val="41"/>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保证，货物未侵犯任何专利权、商标权或其它知识产权；货物包含的或为买方使用及维护货物所需的全部专利、商标及其它知识产权均为卖方合法拥有或已获得第三方的合法有效授权。如卖方违反前述保证，导致买方遭受任何要求、禁令、处罚、索赔或诉讼，卖方应在收到买方通知后代理买方尽快予以妥善处理或应诉，或在买方书面同意的情况下与声称被货物侵权的任何第三方达成和解方案，因此产生的全部责任、义务及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或凭履约保函要求银行支付该等费用及履行上述责任和义务所需承担的费用，不足部分由卖方予以补偿。</w:t>
      </w:r>
    </w:p>
    <w:p>
      <w:pPr>
        <w:numPr>
          <w:ilvl w:val="0"/>
          <w:numId w:val="41"/>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保证，在货物交付前，卖方对其提供的货物享有完整的所有权，且货物上不存在任何形式的担保物权及其它任何权利负担，亦未侵犯任何第三方的权利。如卖方违反前述保证，买方有权解除本合同，并要求卖方赔偿买方因此遭受的全部损失。如卖方违反前述保证，导致买方遭受任何要求、禁令、处罚、索赔或诉讼，卖方应在收到买方通知后代理买方尽快予以妥善处理或应诉，</w:t>
      </w:r>
      <w:bookmarkStart w:id="238" w:name="_DV_C680"/>
      <w:r>
        <w:rPr>
          <w:rStyle w:val="89"/>
          <w:rFonts w:ascii="Times New Roman" w:hAnsi="Times New Roman" w:cs="Times New Roman"/>
          <w:color w:val="auto"/>
          <w:highlight w:val="none"/>
          <w:u w:val="none"/>
          <w:lang w:val="zh-CN"/>
        </w:rPr>
        <w:t>或在买方书面同意的情况下与声称被货物侵权的任何第三方达成和解方案，</w:t>
      </w:r>
      <w:bookmarkEnd w:id="238"/>
      <w:r>
        <w:rPr>
          <w:rFonts w:ascii="Times New Roman" w:hAnsi="Times New Roman" w:cs="Times New Roman"/>
          <w:highlight w:val="none"/>
        </w:rPr>
        <w:t>因此发生的全部责任、义务和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或凭履约保函要求银行支付该等费用及履行上述责任和义务所需承担的费用，不足部分由卖方予以补偿。</w:t>
      </w:r>
    </w:p>
    <w:p>
      <w:pPr>
        <w:numPr>
          <w:ilvl w:val="0"/>
          <w:numId w:val="41"/>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如根据法院判决或仲裁裁决或按照上述规定与声称被侵权的任何第三方之间达成的和解方案，</w:t>
      </w:r>
      <w:r>
        <w:rPr>
          <w:rFonts w:ascii="Times New Roman" w:hAnsi="Times New Roman" w:cs="Times New Roman"/>
          <w:spacing w:val="-2"/>
          <w:highlight w:val="none"/>
        </w:rPr>
        <w:t>卖方提供的货物侵犯任何第三方的权益或货物采用的技术、工艺、方法等</w:t>
      </w:r>
      <w:r>
        <w:rPr>
          <w:rFonts w:ascii="Times New Roman" w:hAnsi="Times New Roman" w:cs="Times New Roman"/>
          <w:highlight w:val="none"/>
        </w:rPr>
        <w:t>侵犯任何知识产权，卖方应根据买方要求采取如下措施</w:t>
      </w:r>
      <w:r>
        <w:rPr>
          <w:rFonts w:ascii="Times New Roman" w:hAnsi="Times New Roman" w:cs="Times New Roman"/>
          <w:spacing w:val="-2"/>
          <w:highlight w:val="none"/>
        </w:rPr>
        <w:t>：</w:t>
      </w:r>
    </w:p>
    <w:p>
      <w:pPr>
        <w:numPr>
          <w:ilvl w:val="0"/>
          <w:numId w:val="42"/>
        </w:numPr>
        <w:tabs>
          <w:tab w:val="left" w:pos="1134"/>
          <w:tab w:val="left" w:pos="3060"/>
          <w:tab w:val="clear" w:pos="900"/>
        </w:tabs>
        <w:spacing w:line="360" w:lineRule="auto"/>
        <w:ind w:left="1133" w:leftChars="295" w:hanging="425"/>
        <w:rPr>
          <w:rFonts w:ascii="Times New Roman" w:hAnsi="Times New Roman" w:cs="Times New Roman"/>
          <w:highlight w:val="none"/>
        </w:rPr>
      </w:pPr>
      <w:r>
        <w:rPr>
          <w:rFonts w:ascii="Times New Roman" w:hAnsi="Times New Roman" w:cs="Times New Roman"/>
          <w:highlight w:val="none"/>
        </w:rPr>
        <w:t>自行承担费用采取一切措施确保买方获得继续使用货物的权利，包括为买方的利益购买货物的全部权益（包括但不限于知识产权等）；</w:t>
      </w:r>
    </w:p>
    <w:p>
      <w:pPr>
        <w:numPr>
          <w:ilvl w:val="0"/>
          <w:numId w:val="42"/>
        </w:numPr>
        <w:tabs>
          <w:tab w:val="left" w:pos="1134"/>
          <w:tab w:val="left" w:pos="3060"/>
          <w:tab w:val="clear" w:pos="900"/>
        </w:tabs>
        <w:spacing w:line="360" w:lineRule="auto"/>
        <w:ind w:left="1133" w:leftChars="295" w:hanging="425"/>
        <w:rPr>
          <w:rFonts w:ascii="Times New Roman" w:hAnsi="Times New Roman" w:cs="Times New Roman"/>
          <w:highlight w:val="none"/>
        </w:rPr>
      </w:pPr>
      <w:r>
        <w:rPr>
          <w:rFonts w:ascii="Times New Roman" w:hAnsi="Times New Roman" w:cs="Times New Roman"/>
          <w:highlight w:val="none"/>
        </w:rPr>
        <w:t>采用不侵权的设备、材料、零部件、设计、技术、工艺、方法对货物进行变更，使得其不再构成任何侵权，且变更后货物的功能、品质和水平应符合本合同的规定，且不低于变更前的货物。</w:t>
      </w:r>
    </w:p>
    <w:p>
      <w:pPr>
        <w:tabs>
          <w:tab w:val="left" w:pos="1134"/>
          <w:tab w:val="left" w:pos="3060"/>
        </w:tabs>
        <w:spacing w:line="360" w:lineRule="auto"/>
        <w:ind w:left="708"/>
        <w:rPr>
          <w:rFonts w:ascii="Times New Roman" w:hAnsi="Times New Roman" w:cs="Times New Roman"/>
          <w:highlight w:val="none"/>
        </w:rPr>
      </w:pPr>
      <w:r>
        <w:rPr>
          <w:rFonts w:ascii="Times New Roman" w:hAnsi="Times New Roman" w:cs="Times New Roman"/>
          <w:highlight w:val="none"/>
        </w:rPr>
        <w:t>卖方依据本款采取的措施不影响买方的任何其它权利或补救措施。</w:t>
      </w:r>
    </w:p>
    <w:p>
      <w:pPr>
        <w:numPr>
          <w:ilvl w:val="0"/>
          <w:numId w:val="41"/>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卖方无权因本条的适用而获得额外的履约时间或合同价款。</w:t>
      </w:r>
    </w:p>
    <w:p>
      <w:pPr>
        <w:pStyle w:val="3"/>
        <w:keepLines/>
        <w:widowControl w:val="0"/>
        <w:numPr>
          <w:ilvl w:val="0"/>
          <w:numId w:val="31"/>
        </w:numPr>
        <w:tabs>
          <w:tab w:val="left" w:pos="0"/>
          <w:tab w:val="clear" w:pos="3688"/>
        </w:tabs>
        <w:spacing w:before="0" w:after="0" w:line="360" w:lineRule="auto"/>
        <w:ind w:left="960"/>
        <w:jc w:val="center"/>
        <w:rPr>
          <w:rFonts w:ascii="Times New Roman" w:hAnsi="Times New Roman"/>
          <w:i w:val="0"/>
          <w:iCs w:val="0"/>
          <w:sz w:val="24"/>
          <w:szCs w:val="24"/>
          <w:highlight w:val="none"/>
        </w:rPr>
      </w:pPr>
      <w:bookmarkStart w:id="239" w:name="_Toc296959327"/>
      <w:bookmarkStart w:id="240" w:name="_Toc300671214"/>
      <w:bookmarkStart w:id="241" w:name="_Toc296955865"/>
      <w:bookmarkStart w:id="242" w:name="_Toc152081962"/>
      <w:r>
        <w:rPr>
          <w:rFonts w:ascii="Times New Roman" w:hAnsi="Times New Roman"/>
          <w:i w:val="0"/>
          <w:iCs w:val="0"/>
          <w:sz w:val="24"/>
          <w:szCs w:val="24"/>
          <w:highlight w:val="none"/>
        </w:rPr>
        <w:t>保密</w:t>
      </w:r>
      <w:bookmarkEnd w:id="239"/>
      <w:bookmarkEnd w:id="240"/>
      <w:bookmarkEnd w:id="241"/>
      <w:bookmarkEnd w:id="242"/>
    </w:p>
    <w:p>
      <w:pPr>
        <w:numPr>
          <w:ilvl w:val="0"/>
          <w:numId w:val="43"/>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未经买方同意，卖方不得将买方保密信息披露给任何第三方（包括与合同无关的卖方员工和政府部门），亦不得将该等信息用于与本合同无关的用途。买方保密信息包括但不限于：</w:t>
      </w:r>
    </w:p>
    <w:p>
      <w:pPr>
        <w:numPr>
          <w:ilvl w:val="0"/>
          <w:numId w:val="44"/>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本合同的内容；</w:t>
      </w:r>
    </w:p>
    <w:p>
      <w:pPr>
        <w:numPr>
          <w:ilvl w:val="0"/>
          <w:numId w:val="44"/>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与本合同相关的谈判内容；</w:t>
      </w:r>
    </w:p>
    <w:p>
      <w:pPr>
        <w:numPr>
          <w:ilvl w:val="0"/>
          <w:numId w:val="44"/>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买方提供的与本合同有关的任何技术信息、图纸、样本、资料等；</w:t>
      </w:r>
    </w:p>
    <w:p>
      <w:pPr>
        <w:numPr>
          <w:ilvl w:val="0"/>
          <w:numId w:val="44"/>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本合同的履行情况；</w:t>
      </w:r>
    </w:p>
    <w:p>
      <w:pPr>
        <w:numPr>
          <w:ilvl w:val="0"/>
          <w:numId w:val="44"/>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买方提供的或履行合同过程中卖方获得的与项目或买方有关的任何技术和商务信息。</w:t>
      </w:r>
    </w:p>
    <w:p>
      <w:pPr>
        <w:numPr>
          <w:ilvl w:val="0"/>
          <w:numId w:val="43"/>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除非买方正常生产经营所致，未经卖方同意，买方不得将卖方保密信息披露给任何第三方（包括与合同无关的买方员工和政府部门），亦不得将该等信息用于与本合同无关的用途，卖方保密信息包括：</w:t>
      </w:r>
    </w:p>
    <w:p>
      <w:pPr>
        <w:numPr>
          <w:ilvl w:val="0"/>
          <w:numId w:val="45"/>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本合同的内容；</w:t>
      </w:r>
    </w:p>
    <w:p>
      <w:pPr>
        <w:numPr>
          <w:ilvl w:val="0"/>
          <w:numId w:val="45"/>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卖方提供的与本合同有关的任何技术信息、图纸、样本、资料；</w:t>
      </w:r>
    </w:p>
    <w:p>
      <w:pPr>
        <w:numPr>
          <w:ilvl w:val="0"/>
          <w:numId w:val="45"/>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卖方提供的或履行合同过程中买方获得的任何与卖方有关的任何技术和商务信息。</w:t>
      </w:r>
    </w:p>
    <w:p>
      <w:pPr>
        <w:tabs>
          <w:tab w:val="left" w:pos="3060"/>
        </w:tabs>
        <w:spacing w:line="360" w:lineRule="auto"/>
        <w:ind w:left="708" w:leftChars="295"/>
        <w:rPr>
          <w:rFonts w:ascii="Times New Roman" w:hAnsi="Times New Roman" w:cs="Times New Roman"/>
          <w:highlight w:val="none"/>
        </w:rPr>
      </w:pPr>
      <w:r>
        <w:rPr>
          <w:rFonts w:ascii="Times New Roman" w:hAnsi="Times New Roman" w:cs="Times New Roman"/>
          <w:highlight w:val="none"/>
        </w:rPr>
        <w:t>买方有权将上述卖方保密信息提供给实施相关项目或为买方提供相关服务的第三方，买方向第三方披露卖方保密信息以第三方必须获得相关信息并对信息承担保密义务为前提条件。</w:t>
      </w:r>
    </w:p>
    <w:p>
      <w:pPr>
        <w:numPr>
          <w:ilvl w:val="0"/>
          <w:numId w:val="43"/>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任何一方可在下列情况及范围内披露本属于保密的信息：</w:t>
      </w:r>
    </w:p>
    <w:p>
      <w:pPr>
        <w:numPr>
          <w:ilvl w:val="1"/>
          <w:numId w:val="46"/>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为履行其在本合同下义务之需要披露给一方员工，但仅限于有合理需要并已作出本条第9.1款或第9.2款承诺的员工；</w:t>
      </w:r>
    </w:p>
    <w:p>
      <w:pPr>
        <w:numPr>
          <w:ilvl w:val="1"/>
          <w:numId w:val="46"/>
        </w:numPr>
        <w:tabs>
          <w:tab w:val="left" w:pos="1134"/>
        </w:tabs>
        <w:spacing w:line="360" w:lineRule="auto"/>
        <w:ind w:hanging="839"/>
        <w:rPr>
          <w:rFonts w:ascii="Times New Roman" w:hAnsi="Times New Roman" w:cs="Times New Roman"/>
          <w:highlight w:val="none"/>
        </w:rPr>
      </w:pPr>
      <w:r>
        <w:rPr>
          <w:rFonts w:ascii="Times New Roman" w:hAnsi="Times New Roman" w:cs="Times New Roman"/>
          <w:highlight w:val="none"/>
        </w:rPr>
        <w:t>任何对披露信息有管辖权的法律法规或政府机关强制要求的披露；</w:t>
      </w:r>
    </w:p>
    <w:p>
      <w:pPr>
        <w:numPr>
          <w:ilvl w:val="1"/>
          <w:numId w:val="46"/>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为本合同或与本合同有关的索赔而透露给其专业顾问、或其审计人员、或该方的任何实际或潜在的银行或融资方，或向法院、仲裁庭或其它争议解决机构披露；或</w:t>
      </w:r>
    </w:p>
    <w:p>
      <w:pPr>
        <w:numPr>
          <w:ilvl w:val="1"/>
          <w:numId w:val="46"/>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另一方已对此等披露事先给予明确的批准。</w:t>
      </w:r>
    </w:p>
    <w:p>
      <w:pPr>
        <w:numPr>
          <w:ilvl w:val="0"/>
          <w:numId w:val="43"/>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本条第9.1款和第9.2款不应适用于任何由一方披露的本属于保密的信息，但该信息在被披露时：</w:t>
      </w:r>
    </w:p>
    <w:p>
      <w:pPr>
        <w:numPr>
          <w:ilvl w:val="1"/>
          <w:numId w:val="47"/>
        </w:numPr>
        <w:tabs>
          <w:tab w:val="left" w:pos="1134"/>
        </w:tabs>
        <w:spacing w:line="360" w:lineRule="auto"/>
        <w:ind w:left="709" w:firstLine="0"/>
        <w:rPr>
          <w:rFonts w:ascii="Times New Roman" w:hAnsi="Times New Roman" w:cs="Times New Roman"/>
          <w:highlight w:val="none"/>
        </w:rPr>
      </w:pPr>
      <w:r>
        <w:rPr>
          <w:rFonts w:ascii="Times New Roman" w:hAnsi="Times New Roman" w:cs="Times New Roman"/>
          <w:highlight w:val="none"/>
        </w:rPr>
        <w:t>已进入公众领域；</w:t>
      </w:r>
    </w:p>
    <w:p>
      <w:pPr>
        <w:numPr>
          <w:ilvl w:val="1"/>
          <w:numId w:val="47"/>
        </w:numPr>
        <w:tabs>
          <w:tab w:val="left" w:pos="1134"/>
        </w:tabs>
        <w:spacing w:line="360" w:lineRule="auto"/>
        <w:ind w:left="1132" w:leftChars="295" w:hanging="424" w:hangingChars="177"/>
        <w:rPr>
          <w:rFonts w:ascii="Times New Roman" w:hAnsi="Times New Roman" w:cs="Times New Roman"/>
          <w:highlight w:val="none"/>
        </w:rPr>
      </w:pPr>
      <w:r>
        <w:rPr>
          <w:rFonts w:hint="default" w:ascii="Times New Roman" w:hAnsi="Times New Roman" w:cs="Times New Roman"/>
          <w:highlight w:val="none"/>
          <w:lang w:val="en-US"/>
        </w:rPr>
        <w:t>披露方</w:t>
      </w:r>
      <w:r>
        <w:rPr>
          <w:rFonts w:ascii="Times New Roman" w:hAnsi="Times New Roman" w:cs="Times New Roman"/>
          <w:highlight w:val="none"/>
        </w:rPr>
        <w:t>事前已从非另一方的合法途径获得，且对其使用及披露无任何限制；</w:t>
      </w:r>
    </w:p>
    <w:p>
      <w:pPr>
        <w:numPr>
          <w:ilvl w:val="1"/>
          <w:numId w:val="47"/>
        </w:numPr>
        <w:tabs>
          <w:tab w:val="left" w:pos="1134"/>
        </w:tabs>
        <w:spacing w:line="360" w:lineRule="auto"/>
        <w:ind w:left="1132" w:leftChars="295" w:hanging="424" w:hangingChars="177"/>
        <w:rPr>
          <w:rFonts w:ascii="Times New Roman" w:hAnsi="Times New Roman" w:cs="Times New Roman"/>
          <w:highlight w:val="none"/>
        </w:rPr>
      </w:pPr>
      <w:r>
        <w:rPr>
          <w:rFonts w:ascii="Times New Roman" w:hAnsi="Times New Roman" w:cs="Times New Roman"/>
          <w:highlight w:val="none"/>
        </w:rPr>
        <w:t>由第三方合法、独立地提供给披露方，且该第三方不受任何对该信息使用或披露的限制。</w:t>
      </w:r>
    </w:p>
    <w:p>
      <w:pPr>
        <w:pStyle w:val="3"/>
        <w:keepLines/>
        <w:widowControl w:val="0"/>
        <w:numPr>
          <w:ilvl w:val="0"/>
          <w:numId w:val="31"/>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43" w:name="_Toc152081963"/>
      <w:bookmarkStart w:id="244" w:name="_Toc274668234"/>
      <w:bookmarkStart w:id="245" w:name="_Toc274075974"/>
      <w:bookmarkStart w:id="246" w:name="_Toc273451794"/>
      <w:bookmarkStart w:id="247" w:name="_Toc278889797"/>
      <w:bookmarkStart w:id="248" w:name="_Toc273388509"/>
      <w:bookmarkStart w:id="249" w:name="_Toc274403508"/>
      <w:bookmarkStart w:id="250" w:name="_Toc274343577"/>
      <w:bookmarkStart w:id="251" w:name="_Toc274754044"/>
      <w:bookmarkStart w:id="252" w:name="_Toc274344109"/>
      <w:bookmarkStart w:id="253" w:name="_Toc296955869"/>
      <w:bookmarkStart w:id="254" w:name="_Toc300670815"/>
      <w:bookmarkStart w:id="255" w:name="_Toc300670419"/>
      <w:bookmarkStart w:id="256" w:name="_Toc273458608"/>
      <w:bookmarkStart w:id="257" w:name="_Toc291435925"/>
      <w:bookmarkStart w:id="258" w:name="_Toc274669175"/>
      <w:bookmarkStart w:id="259" w:name="_Toc300670347"/>
      <w:bookmarkStart w:id="260" w:name="_Toc273388608"/>
      <w:bookmarkStart w:id="261" w:name="_Toc291435858"/>
      <w:r>
        <w:rPr>
          <w:rFonts w:ascii="Times New Roman" w:hAnsi="Times New Roman"/>
          <w:i w:val="0"/>
          <w:sz w:val="24"/>
          <w:szCs w:val="24"/>
          <w:highlight w:val="none"/>
        </w:rPr>
        <w:t>技术资料</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numPr>
          <w:ilvl w:val="0"/>
          <w:numId w:val="4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卖方应根据本合同的要求和进度交付技术资料。如技术资料不满足合同的要求或交付不符合合同规定的交付进度，卖方应承担违约责任。</w:t>
      </w:r>
    </w:p>
    <w:p>
      <w:pPr>
        <w:numPr>
          <w:ilvl w:val="0"/>
          <w:numId w:val="4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如技术资料缺少、丢失或损坏，卖方应在收到买方通知后【</w:t>
      </w:r>
      <w:r>
        <w:rPr>
          <w:rFonts w:ascii="Times New Roman" w:hAnsi="Times New Roman" w:cs="Times New Roman"/>
          <w:color w:val="000000"/>
          <w:kern w:val="2"/>
          <w:highlight w:val="none"/>
        </w:rPr>
        <w:t>●</w:t>
      </w:r>
      <w:r>
        <w:rPr>
          <w:rFonts w:ascii="Times New Roman" w:hAnsi="Times New Roman" w:cs="Times New Roman"/>
          <w:highlight w:val="none"/>
        </w:rPr>
        <w:t>】日内补发，因此产生的全部费用由卖方承担。</w:t>
      </w:r>
    </w:p>
    <w:p>
      <w:pPr>
        <w:numPr>
          <w:ilvl w:val="0"/>
          <w:numId w:val="4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对技术资料的充分性、完整性和准确性负责，并保证技术资料符合本合同规定。如果技术资料包含有非中文内容，买方有权要求卖方提供中文译本。如果卖方提供技术资料中文译本的，卖方应对翻译文本的准确性负责。</w:t>
      </w:r>
    </w:p>
    <w:p>
      <w:pPr>
        <w:pStyle w:val="3"/>
        <w:keepLines/>
        <w:widowControl w:val="0"/>
        <w:numPr>
          <w:ilvl w:val="0"/>
          <w:numId w:val="31"/>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62" w:name="_Toc274075978"/>
      <w:bookmarkStart w:id="263" w:name="_Toc274344111"/>
      <w:bookmarkStart w:id="264" w:name="_Toc300670816"/>
      <w:bookmarkStart w:id="265" w:name="_Toc274668236"/>
      <w:bookmarkStart w:id="266" w:name="_Toc300670420"/>
      <w:bookmarkStart w:id="267" w:name="_Toc300670348"/>
      <w:bookmarkStart w:id="268" w:name="_Toc273388611"/>
      <w:bookmarkStart w:id="269" w:name="_Toc273458611"/>
      <w:bookmarkStart w:id="270" w:name="_Toc296955870"/>
      <w:bookmarkStart w:id="271" w:name="_Toc273451797"/>
      <w:bookmarkStart w:id="272" w:name="_Toc291435926"/>
      <w:bookmarkStart w:id="273" w:name="_Toc278889798"/>
      <w:bookmarkStart w:id="274" w:name="_Toc291435859"/>
      <w:bookmarkStart w:id="275" w:name="_Toc152081964"/>
      <w:bookmarkStart w:id="276" w:name="_Toc273388512"/>
      <w:bookmarkStart w:id="277" w:name="_Toc274754046"/>
      <w:bookmarkStart w:id="278" w:name="_Toc274669177"/>
      <w:bookmarkStart w:id="279" w:name="_Toc274343579"/>
      <w:bookmarkStart w:id="280" w:name="_Toc274403510"/>
      <w:r>
        <w:rPr>
          <w:rFonts w:ascii="Times New Roman" w:hAnsi="Times New Roman"/>
          <w:i w:val="0"/>
          <w:sz w:val="24"/>
          <w:szCs w:val="24"/>
          <w:highlight w:val="none"/>
        </w:rPr>
        <w:t>包装和标识</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应提供货物运至交货地点所需要的包装，防止货物在运输过程中损坏。货物的包装应采用防潮、防晒、防锈、防腐蚀、防震动、防野蛮装卸及防止其它损坏的必要保护措施，保护货物能够经受多次搬运、装卸和远距离运输</w:t>
      </w:r>
      <w:bookmarkStart w:id="281" w:name="_DV_M380"/>
      <w:bookmarkEnd w:id="281"/>
      <w:r>
        <w:rPr>
          <w:rFonts w:ascii="Times New Roman" w:hAnsi="Times New Roman" w:cs="Times New Roman"/>
          <w:highlight w:val="none"/>
        </w:rPr>
        <w:t>。</w:t>
      </w:r>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各种货物的备品备件和散装零部件应采用与其形状和性质相适应的包装方式，装入尺寸适当的包装箱。发送货物时，应将该等备品备件和散装零部件一并发送。</w:t>
      </w:r>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卖方对包装箱内或包装捆内的各散装部件应在装配图中将部件号、零件号相应标记清楚。</w:t>
      </w:r>
      <w:bookmarkStart w:id="282" w:name="_DV_C668"/>
      <w:r>
        <w:rPr>
          <w:rFonts w:ascii="Times New Roman" w:hAnsi="Times New Roman" w:cs="Times New Roman"/>
          <w:highlight w:val="none"/>
        </w:rPr>
        <w:t>备件和工具除注明上述内容外，应注明“备件”和“工具”字样。</w:t>
      </w:r>
      <w:bookmarkEnd w:id="282"/>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除铁路专用包装箱外，其它包装物不再返还卖方。如果卖方要求返还铁路专用包装箱，相关费用由卖方承担。</w:t>
      </w:r>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对于无包装的裸装货物，卖方应配备充足的货物支架或垫木，并应采取必要的防潮、防晒、防锈、防腐蚀、防震动、防野蛮装卸及其它损坏的必要保护措施，确保货物能够经受多次搬运、装卸及远洋和内陆长途运输。</w:t>
      </w:r>
    </w:p>
    <w:p>
      <w:pPr>
        <w:numPr>
          <w:ilvl w:val="0"/>
          <w:numId w:val="49"/>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货物包装还应符合适用的国家标准或行业标准。</w:t>
      </w:r>
    </w:p>
    <w:p>
      <w:pPr>
        <w:pStyle w:val="3"/>
        <w:keepLines/>
        <w:widowControl w:val="0"/>
        <w:numPr>
          <w:ilvl w:val="0"/>
          <w:numId w:val="31"/>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83" w:name="_Toc291435860"/>
      <w:bookmarkEnd w:id="283"/>
      <w:bookmarkStart w:id="284" w:name="_Toc291436344"/>
      <w:bookmarkEnd w:id="284"/>
      <w:bookmarkStart w:id="285" w:name="_Toc291435927"/>
      <w:bookmarkEnd w:id="285"/>
      <w:bookmarkStart w:id="286" w:name="_Toc291436283"/>
      <w:bookmarkEnd w:id="286"/>
      <w:bookmarkStart w:id="287" w:name="_Toc274344112"/>
      <w:bookmarkStart w:id="288" w:name="_Toc274343580"/>
      <w:bookmarkStart w:id="289" w:name="_Toc300670421"/>
      <w:bookmarkStart w:id="290" w:name="_Toc274668237"/>
      <w:bookmarkStart w:id="291" w:name="_Toc300670349"/>
      <w:bookmarkStart w:id="292" w:name="_Toc274403511"/>
      <w:bookmarkStart w:id="293" w:name="_Toc152081965"/>
      <w:bookmarkStart w:id="294" w:name="_Toc274669178"/>
      <w:bookmarkStart w:id="295" w:name="_Toc278889799"/>
      <w:bookmarkStart w:id="296" w:name="_Toc296955871"/>
      <w:bookmarkStart w:id="297" w:name="_Toc291435861"/>
      <w:bookmarkStart w:id="298" w:name="_Toc291435928"/>
      <w:bookmarkStart w:id="299" w:name="_Toc274754047"/>
      <w:bookmarkStart w:id="300" w:name="_Toc300670817"/>
      <w:r>
        <w:rPr>
          <w:rFonts w:ascii="Times New Roman" w:hAnsi="Times New Roman"/>
          <w:i w:val="0"/>
          <w:sz w:val="24"/>
          <w:szCs w:val="24"/>
          <w:highlight w:val="none"/>
        </w:rPr>
        <w:t>技术服务</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卖方应及时、有效、准确提供技术服务，及时回复、解决买方提出的与货物有关的技术问题。卖方应承担因提供技术服务发生的全部费用。</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应根据买方要求，指派服务人员到现场或买方指定的其它地点提供技术服务，包括货物的安装、试运行、调试和启动，解决货物在安装、调试、试运行中发现的质量、性能等问题。卖方指派服务人员的差旅费、食宿费、通信费、报酬等由卖方自行承担。</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卖方应对与本合同有关的供货、设备及技术接口、技术资料、技术服务等全部问题负责。</w:t>
      </w:r>
    </w:p>
    <w:p>
      <w:pPr>
        <w:widowControl w:val="0"/>
        <w:numPr>
          <w:ilvl w:val="0"/>
          <w:numId w:val="50"/>
        </w:numPr>
        <w:tabs>
          <w:tab w:val="left" w:pos="709"/>
        </w:tabs>
        <w:autoSpaceDE w:val="0"/>
        <w:autoSpaceDN w:val="0"/>
        <w:adjustRightInd w:val="0"/>
        <w:spacing w:line="360" w:lineRule="auto"/>
        <w:ind w:left="709" w:hanging="709"/>
        <w:jc w:val="both"/>
        <w:rPr>
          <w:rFonts w:ascii="Times New Roman" w:hAnsi="Times New Roman" w:cs="Times New Roman"/>
          <w:highlight w:val="none"/>
        </w:rPr>
      </w:pPr>
      <w:bookmarkStart w:id="301" w:name="_DV_C687"/>
      <w:r>
        <w:rPr>
          <w:rFonts w:ascii="Times New Roman" w:hAnsi="Times New Roman" w:cs="Times New Roman"/>
          <w:highlight w:val="none"/>
        </w:rPr>
        <w:t>如果买方认为卖方指派的服务人员提供的技术服务无法满足本合同的要求，卖方应无条件立即更换服务人员，由此产生的额外费用由卖方承担。</w:t>
      </w:r>
      <w:bookmarkEnd w:id="301"/>
      <w:r>
        <w:rPr>
          <w:rFonts w:ascii="Times New Roman" w:hAnsi="Times New Roman" w:cs="Times New Roman"/>
          <w:highlight w:val="none"/>
        </w:rPr>
        <w:t>如果卖方未在买方要求的期限内更换服务人员，买方有权立即解除本合同并无须承担任何责任。</w:t>
      </w:r>
    </w:p>
    <w:p>
      <w:pPr>
        <w:pStyle w:val="3"/>
        <w:keepLines/>
        <w:widowControl w:val="0"/>
        <w:numPr>
          <w:ilvl w:val="0"/>
          <w:numId w:val="31"/>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302" w:name="_Toc296804725"/>
      <w:bookmarkEnd w:id="302"/>
      <w:bookmarkStart w:id="303" w:name="_Toc152081966"/>
      <w:bookmarkStart w:id="304" w:name="_Toc288567151"/>
      <w:bookmarkStart w:id="305" w:name="_Toc300671210"/>
      <w:r>
        <w:rPr>
          <w:rFonts w:ascii="Times New Roman" w:hAnsi="Times New Roman"/>
          <w:i w:val="0"/>
          <w:iCs w:val="0"/>
          <w:sz w:val="24"/>
          <w:szCs w:val="24"/>
          <w:highlight w:val="none"/>
        </w:rPr>
        <w:t>调试和测试</w:t>
      </w:r>
      <w:bookmarkEnd w:id="303"/>
      <w:bookmarkEnd w:id="304"/>
      <w:bookmarkEnd w:id="305"/>
    </w:p>
    <w:p>
      <w:pPr>
        <w:widowControl w:val="0"/>
        <w:numPr>
          <w:ilvl w:val="0"/>
          <w:numId w:val="51"/>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买方有权根据具体情况要求卖方为本合同项下货物提供一定期限的调试和测试期。调试和测试期自买方对货物进行验收后开始，具体的调试和测试期由双方根据货物情况协商确定。</w:t>
      </w:r>
    </w:p>
    <w:p>
      <w:pPr>
        <w:widowControl w:val="0"/>
        <w:numPr>
          <w:ilvl w:val="0"/>
          <w:numId w:val="51"/>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根据买方要求，卖方应当自行承担费用派出合格的专业技术人员到买方指定的设备调试和测试现场，配合买方人员对货物进行调试和测试。卖方专业技术人员在调试和测试过程中所发生的一切费用和风险由卖方承担，但是，买方书面表示同意分担费用的除外。</w:t>
      </w:r>
    </w:p>
    <w:p>
      <w:pPr>
        <w:widowControl w:val="0"/>
        <w:numPr>
          <w:ilvl w:val="0"/>
          <w:numId w:val="51"/>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调试和测试过程中，如发现卖方提供的货物有质量问题或不符合买方对该货物的特殊要求的，买方有权要求卖方负责更换、修理不合格的货物或其部件，直至退还全部合同价款。</w:t>
      </w:r>
    </w:p>
    <w:bookmarkEnd w:id="225"/>
    <w:bookmarkEnd w:id="226"/>
    <w:bookmarkEnd w:id="227"/>
    <w:bookmarkEnd w:id="228"/>
    <w:bookmarkEnd w:id="229"/>
    <w:bookmarkEnd w:id="230"/>
    <w:bookmarkEnd w:id="231"/>
    <w:bookmarkEnd w:id="232"/>
    <w:bookmarkEnd w:id="233"/>
    <w:bookmarkEnd w:id="234"/>
    <w:bookmarkEnd w:id="235"/>
    <w:bookmarkEnd w:id="236"/>
    <w:bookmarkEnd w:id="237"/>
    <w:p>
      <w:pPr>
        <w:pStyle w:val="3"/>
        <w:keepLines/>
        <w:widowControl w:val="0"/>
        <w:numPr>
          <w:ilvl w:val="0"/>
          <w:numId w:val="31"/>
        </w:numPr>
        <w:tabs>
          <w:tab w:val="left" w:pos="0"/>
          <w:tab w:val="clear" w:pos="3688"/>
        </w:tabs>
        <w:spacing w:before="0" w:after="0" w:line="360" w:lineRule="auto"/>
        <w:ind w:left="957" w:leftChars="-1" w:hanging="959" w:hangingChars="398"/>
        <w:jc w:val="center"/>
        <w:rPr>
          <w:rFonts w:ascii="Times New Roman" w:hAnsi="Times New Roman"/>
          <w:i w:val="0"/>
          <w:iCs w:val="0"/>
          <w:sz w:val="24"/>
          <w:szCs w:val="24"/>
          <w:highlight w:val="none"/>
        </w:rPr>
      </w:pPr>
      <w:bookmarkStart w:id="306" w:name="_Toc273451799"/>
      <w:bookmarkStart w:id="307" w:name="_Toc273388514"/>
      <w:bookmarkStart w:id="308" w:name="_Toc276160326"/>
      <w:bookmarkStart w:id="309" w:name="_Toc152081967"/>
      <w:bookmarkStart w:id="310" w:name="_Toc288567157"/>
      <w:bookmarkStart w:id="311" w:name="_Toc274343583"/>
      <w:bookmarkStart w:id="312" w:name="_Toc273458613"/>
      <w:bookmarkStart w:id="313" w:name="_Toc273388613"/>
      <w:bookmarkStart w:id="314" w:name="_Toc274403515"/>
      <w:bookmarkStart w:id="315" w:name="_Toc300671216"/>
      <w:bookmarkStart w:id="316" w:name="_Toc274344115"/>
      <w:bookmarkStart w:id="317" w:name="_Toc274075980"/>
      <w:r>
        <w:rPr>
          <w:rFonts w:ascii="Times New Roman" w:hAnsi="Times New Roman"/>
          <w:i w:val="0"/>
          <w:iCs w:val="0"/>
          <w:sz w:val="24"/>
          <w:szCs w:val="24"/>
          <w:highlight w:val="none"/>
        </w:rPr>
        <w:t>风险和所有权的转移</w:t>
      </w:r>
      <w:bookmarkEnd w:id="306"/>
      <w:bookmarkEnd w:id="307"/>
      <w:bookmarkEnd w:id="308"/>
      <w:bookmarkEnd w:id="309"/>
      <w:bookmarkEnd w:id="310"/>
      <w:bookmarkEnd w:id="311"/>
      <w:bookmarkEnd w:id="312"/>
      <w:bookmarkEnd w:id="313"/>
      <w:bookmarkEnd w:id="314"/>
      <w:bookmarkEnd w:id="315"/>
      <w:bookmarkEnd w:id="316"/>
      <w:bookmarkEnd w:id="317"/>
    </w:p>
    <w:p>
      <w:pPr>
        <w:numPr>
          <w:ilvl w:val="0"/>
          <w:numId w:val="5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除非本合同另有明确规定，卖方在指定交货地点将货物交付给买方前，货物的一切风险（包括但不限于货物在制造、储存和自发货地点至指定交货地点运输及装卸货过程中毁损、灭失的风险）由卖方承担。卖方在指定交货地点将货物交付买方后，货物的毁损及灭失的风险由买方承担。未经买方同意，卖方将货物留置或自行处置，不得视为货物合法、有效地交付买方。未经合法、有效交付，货物的一切风险仍由卖方承担。</w:t>
      </w:r>
    </w:p>
    <w:p>
      <w:pPr>
        <w:numPr>
          <w:ilvl w:val="0"/>
          <w:numId w:val="5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卖方在约定交货地点交货后，货物的所有权转移至买方。如果货物的风险系因卖方违反合同规定、卖方的过错或者其它可归咎于卖方的原因造成的，货物的风险由卖方承担。</w:t>
      </w:r>
    </w:p>
    <w:p>
      <w:pPr>
        <w:pStyle w:val="3"/>
        <w:keepLines/>
        <w:widowControl w:val="0"/>
        <w:numPr>
          <w:ilvl w:val="0"/>
          <w:numId w:val="31"/>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18" w:name="_Toc288567158"/>
      <w:bookmarkStart w:id="319" w:name="_Toc300671217"/>
      <w:bookmarkStart w:id="320" w:name="_Toc152081968"/>
      <w:bookmarkStart w:id="321" w:name="_Toc276160327"/>
      <w:r>
        <w:rPr>
          <w:rFonts w:ascii="Times New Roman" w:hAnsi="Times New Roman"/>
          <w:i w:val="0"/>
          <w:iCs w:val="0"/>
          <w:sz w:val="24"/>
          <w:szCs w:val="24"/>
          <w:highlight w:val="none"/>
        </w:rPr>
        <w:t>质量保证</w:t>
      </w:r>
      <w:bookmarkEnd w:id="318"/>
      <w:bookmarkEnd w:id="319"/>
      <w:bookmarkEnd w:id="320"/>
      <w:bookmarkEnd w:id="321"/>
    </w:p>
    <w:p>
      <w:pPr>
        <w:widowControl w:val="0"/>
        <w:numPr>
          <w:ilvl w:val="0"/>
          <w:numId w:val="53"/>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卖方特此保证：</w:t>
      </w:r>
    </w:p>
    <w:p>
      <w:pPr>
        <w:numPr>
          <w:ilvl w:val="1"/>
          <w:numId w:val="53"/>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货物符合本合同规定的技术、规范、质量、设计、标准、规格、材料、计算、参数、性能值、数据等要求，性能稳定、可靠，达到承诺的性能保证值，适用于本合同规定的用途，不存在任何缺陷；</w:t>
      </w:r>
    </w:p>
    <w:p>
      <w:pPr>
        <w:numPr>
          <w:ilvl w:val="1"/>
          <w:numId w:val="53"/>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货物采用先进技术制造，具备优良的制造工艺和水平，其设计、制造不存在任何缺陷；</w:t>
      </w:r>
    </w:p>
    <w:p>
      <w:pPr>
        <w:numPr>
          <w:ilvl w:val="1"/>
          <w:numId w:val="53"/>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货物是崭新、从未使用过的货物，其材质不存在任何缺陷。</w:t>
      </w:r>
    </w:p>
    <w:p>
      <w:pPr>
        <w:widowControl w:val="0"/>
        <w:numPr>
          <w:ilvl w:val="0"/>
          <w:numId w:val="53"/>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卖方对货物的质保责任</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质保期内，如发现货物违反本条项下任何保证或存在任何缺陷，买方应及时书面通知卖方，卖方应：</w:t>
      </w:r>
    </w:p>
    <w:p>
      <w:pPr>
        <w:numPr>
          <w:ilvl w:val="0"/>
          <w:numId w:val="55"/>
        </w:numPr>
        <w:tabs>
          <w:tab w:val="clear" w:pos="780"/>
        </w:tabs>
        <w:autoSpaceDE w:val="0"/>
        <w:autoSpaceDN w:val="0"/>
        <w:adjustRightInd w:val="0"/>
        <w:spacing w:line="360" w:lineRule="auto"/>
        <w:ind w:left="1701" w:hanging="501"/>
        <w:textAlignment w:val="bottom"/>
        <w:rPr>
          <w:rFonts w:ascii="Times New Roman" w:hAnsi="Times New Roman" w:cs="Times New Roman"/>
          <w:highlight w:val="none"/>
        </w:rPr>
      </w:pPr>
      <w:r>
        <w:rPr>
          <w:rFonts w:ascii="Times New Roman" w:hAnsi="Times New Roman" w:cs="Times New Roman"/>
          <w:highlight w:val="none"/>
        </w:rPr>
        <w:t>在【</w:t>
      </w:r>
      <w:r>
        <w:rPr>
          <w:rFonts w:ascii="Times New Roman" w:hAnsi="Times New Roman" w:cs="Times New Roman"/>
          <w:color w:val="000000"/>
          <w:kern w:val="2"/>
          <w:highlight w:val="none"/>
        </w:rPr>
        <w:t>●</w:t>
      </w:r>
      <w:r>
        <w:rPr>
          <w:rFonts w:ascii="Times New Roman" w:hAnsi="Times New Roman" w:cs="Times New Roman"/>
          <w:highlight w:val="none"/>
        </w:rPr>
        <w:t>】日内提出合理的紧急处理建议；</w:t>
      </w:r>
    </w:p>
    <w:p>
      <w:pPr>
        <w:numPr>
          <w:ilvl w:val="0"/>
          <w:numId w:val="55"/>
        </w:numPr>
        <w:tabs>
          <w:tab w:val="clear" w:pos="780"/>
        </w:tabs>
        <w:autoSpaceDE w:val="0"/>
        <w:autoSpaceDN w:val="0"/>
        <w:adjustRightInd w:val="0"/>
        <w:spacing w:line="360" w:lineRule="auto"/>
        <w:ind w:left="1701" w:hanging="501"/>
        <w:textAlignment w:val="bottom"/>
        <w:rPr>
          <w:rFonts w:ascii="Times New Roman" w:hAnsi="Times New Roman" w:cs="Times New Roman"/>
          <w:highlight w:val="none"/>
        </w:rPr>
      </w:pPr>
      <w:r>
        <w:rPr>
          <w:rFonts w:ascii="Times New Roman" w:hAnsi="Times New Roman" w:cs="Times New Roman"/>
          <w:highlight w:val="none"/>
        </w:rPr>
        <w:t>在【</w:t>
      </w:r>
      <w:r>
        <w:rPr>
          <w:rFonts w:ascii="Times New Roman" w:hAnsi="Times New Roman" w:cs="Times New Roman"/>
          <w:color w:val="000000"/>
          <w:kern w:val="2"/>
          <w:highlight w:val="none"/>
        </w:rPr>
        <w:t>●</w:t>
      </w:r>
      <w:r>
        <w:rPr>
          <w:rFonts w:ascii="Times New Roman" w:hAnsi="Times New Roman" w:cs="Times New Roman"/>
          <w:highlight w:val="none"/>
        </w:rPr>
        <w:t>】日内派遣合格的技术人员到现场进行免费检查；</w:t>
      </w:r>
    </w:p>
    <w:p>
      <w:pPr>
        <w:numPr>
          <w:ilvl w:val="0"/>
          <w:numId w:val="55"/>
        </w:numPr>
        <w:tabs>
          <w:tab w:val="clear" w:pos="780"/>
        </w:tabs>
        <w:autoSpaceDE w:val="0"/>
        <w:autoSpaceDN w:val="0"/>
        <w:adjustRightInd w:val="0"/>
        <w:spacing w:line="360" w:lineRule="auto"/>
        <w:ind w:left="1701" w:hanging="501"/>
        <w:textAlignment w:val="bottom"/>
        <w:rPr>
          <w:rFonts w:ascii="Times New Roman" w:hAnsi="Times New Roman" w:cs="Times New Roman"/>
          <w:highlight w:val="none"/>
        </w:rPr>
      </w:pPr>
      <w:r>
        <w:rPr>
          <w:rFonts w:ascii="Times New Roman" w:hAnsi="Times New Roman" w:cs="Times New Roman"/>
          <w:highlight w:val="none"/>
        </w:rPr>
        <w:t>在【</w:t>
      </w:r>
      <w:r>
        <w:rPr>
          <w:rFonts w:ascii="Times New Roman" w:hAnsi="Times New Roman" w:cs="Times New Roman"/>
          <w:color w:val="000000"/>
          <w:kern w:val="2"/>
          <w:highlight w:val="none"/>
        </w:rPr>
        <w:t>●</w:t>
      </w:r>
      <w:r>
        <w:rPr>
          <w:rFonts w:ascii="Times New Roman" w:hAnsi="Times New Roman" w:cs="Times New Roman"/>
          <w:highlight w:val="none"/>
        </w:rPr>
        <w:t>】日内采取合理的临时紧急措施防止缺陷或损害扩大；</w:t>
      </w:r>
    </w:p>
    <w:p>
      <w:pPr>
        <w:numPr>
          <w:ilvl w:val="0"/>
          <w:numId w:val="55"/>
        </w:numPr>
        <w:tabs>
          <w:tab w:val="clear" w:pos="780"/>
        </w:tabs>
        <w:autoSpaceDE w:val="0"/>
        <w:autoSpaceDN w:val="0"/>
        <w:adjustRightInd w:val="0"/>
        <w:spacing w:line="360" w:lineRule="auto"/>
        <w:ind w:left="1701" w:hanging="501"/>
        <w:textAlignment w:val="bottom"/>
        <w:rPr>
          <w:rFonts w:ascii="Times New Roman" w:hAnsi="Times New Roman" w:cs="Times New Roman"/>
          <w:highlight w:val="none"/>
        </w:rPr>
      </w:pPr>
      <w:r>
        <w:rPr>
          <w:rFonts w:ascii="Times New Roman" w:hAnsi="Times New Roman" w:cs="Times New Roman"/>
          <w:highlight w:val="none"/>
        </w:rPr>
        <w:t>对有缺陷的部分或全部货物，根据买方要求，采用符合本合同规定的规格、质量、性能要求的新设备、材料、零部件等无偿进行修复、更换。</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对于任何在现场进行的修复或更换，卖方应在收到货物缺陷通知后【</w:t>
      </w:r>
      <w:r>
        <w:rPr>
          <w:rFonts w:ascii="Times New Roman" w:hAnsi="Times New Roman" w:cs="Times New Roman"/>
          <w:color w:val="000000"/>
          <w:kern w:val="2"/>
          <w:highlight w:val="none"/>
        </w:rPr>
        <w:t>●</w:t>
      </w:r>
      <w:r>
        <w:rPr>
          <w:rFonts w:ascii="Times New Roman" w:hAnsi="Times New Roman" w:cs="Times New Roman"/>
          <w:highlight w:val="none"/>
        </w:rPr>
        <w:t>】日内完成。如货物缺陷无法在现场修复，经买方同意后，卖方应自行承担费用将相关货物或者货物部件运输到现场以外的地点修复，卖方应承担该等货物或者货物部件在运输和修理过程中的风险</w:t>
      </w:r>
      <w:bookmarkStart w:id="322" w:name="_DV_M436"/>
      <w:bookmarkEnd w:id="322"/>
      <w:r>
        <w:rPr>
          <w:rFonts w:ascii="Times New Roman" w:hAnsi="Times New Roman" w:cs="Times New Roman"/>
          <w:highlight w:val="none"/>
        </w:rPr>
        <w:t>。如相关货物或者货物部件的制造或修复周期较长，买卖双方应协商确定修复或更换期限；如双方无法就期限达成一致，买方有权自行决定合理的修复或更换期限。</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如 (i) 卖方收到货物缺陷通知后【</w:t>
      </w:r>
      <w:r>
        <w:rPr>
          <w:rFonts w:ascii="Times New Roman" w:hAnsi="Times New Roman" w:cs="Times New Roman"/>
          <w:color w:val="000000"/>
          <w:kern w:val="2"/>
          <w:highlight w:val="none"/>
        </w:rPr>
        <w:t>●</w:t>
      </w:r>
      <w:r>
        <w:rPr>
          <w:rFonts w:ascii="Times New Roman" w:hAnsi="Times New Roman" w:cs="Times New Roman"/>
          <w:highlight w:val="none"/>
        </w:rPr>
        <w:t>】日内未进行任何回复；(ii) 卖方未在上述规定的时间内完成修复或更换；或(iii) 经修复或更换的货物仍存在缺陷或不符合合同规定，买方有权自行决定采取以下措施：</w:t>
      </w:r>
    </w:p>
    <w:p>
      <w:pPr>
        <w:numPr>
          <w:ilvl w:val="0"/>
          <w:numId w:val="56"/>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r>
        <w:rPr>
          <w:rFonts w:ascii="Times New Roman" w:hAnsi="Times New Roman" w:cs="Times New Roman"/>
          <w:highlight w:val="none"/>
        </w:rPr>
        <w:t>自行（包括聘请第三方）消除货物缺陷，但买方对此不承担任何责任。卖方应承担因此发生的全部费用，包括但不限于向任何第三方支付的费用、设备费用、材料费用、零部件费用等。</w:t>
      </w:r>
    </w:p>
    <w:p>
      <w:pPr>
        <w:numPr>
          <w:ilvl w:val="0"/>
          <w:numId w:val="56"/>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bookmarkStart w:id="323" w:name="_DV_C746"/>
      <w:r>
        <w:rPr>
          <w:rFonts w:ascii="Times New Roman" w:hAnsi="Times New Roman" w:cs="Times New Roman"/>
          <w:highlight w:val="none"/>
        </w:rPr>
        <w:t>直接扣减合同价款或要求卖方退还部分合同价款。</w:t>
      </w:r>
      <w:bookmarkEnd w:id="323"/>
    </w:p>
    <w:p>
      <w:pPr>
        <w:numPr>
          <w:ilvl w:val="0"/>
          <w:numId w:val="56"/>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r>
        <w:rPr>
          <w:rFonts w:ascii="Times New Roman" w:hAnsi="Times New Roman" w:cs="Times New Roman"/>
          <w:highlight w:val="none"/>
        </w:rPr>
        <w:t>要求退货，卖方应退还买方已经支付的全部合同价款，并赔偿买方因此遭受的全部损失。</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修复、更换后的货物应根据本合同的标准进行检测，并符合本合同规定的规范、技术、质量和性能等要求。</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经修复或更换的货物的质保期应从修复或更换完成之日起重新计算。质保期内，如因货物缺陷造成任何设备停机、生产暂停等，该等</w:t>
      </w:r>
      <w:r>
        <w:rPr>
          <w:rFonts w:hint="eastAsia" w:ascii="Times New Roman" w:hAnsi="Times New Roman" w:cs="Times New Roman"/>
          <w:highlight w:val="none"/>
        </w:rPr>
        <w:t>货物</w:t>
      </w:r>
      <w:r>
        <w:rPr>
          <w:rFonts w:ascii="Times New Roman" w:hAnsi="Times New Roman" w:cs="Times New Roman"/>
          <w:highlight w:val="none"/>
        </w:rPr>
        <w:t xml:space="preserve">的质保期应相应延长。 </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如买方在质保期届满后【</w:t>
      </w:r>
      <w:r>
        <w:rPr>
          <w:rFonts w:ascii="Times New Roman" w:hAnsi="Times New Roman" w:cs="Times New Roman"/>
          <w:color w:val="000000"/>
          <w:kern w:val="2"/>
          <w:highlight w:val="none"/>
        </w:rPr>
        <w:t>●</w:t>
      </w:r>
      <w:r>
        <w:rPr>
          <w:rFonts w:ascii="Times New Roman" w:hAnsi="Times New Roman" w:cs="Times New Roman"/>
          <w:highlight w:val="none"/>
        </w:rPr>
        <w:t>】日内发出货物缺陷通知，应视为在质保期内发出的有效通知。</w:t>
      </w:r>
    </w:p>
    <w:p>
      <w:pPr>
        <w:numPr>
          <w:ilvl w:val="1"/>
          <w:numId w:val="54"/>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卖方应承担买方因货物缺陷进行修复、更换发生的一切费用和损失，包括但不限于人员、设备、材料、零部件费用、运输费、保险费、检测费、仓储费、装卸费、修理费、税费等。</w:t>
      </w:r>
    </w:p>
    <w:p>
      <w:pPr>
        <w:widowControl w:val="0"/>
        <w:numPr>
          <w:ilvl w:val="0"/>
          <w:numId w:val="53"/>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保证，全部货物资料和技术资料清晰、完整、准确，能够满足货物的设计、检验、安装、现场调试、性能测试、运行和维修的要求，符合本合同的规定。如货物资料和技术资料欠完整、正确、清晰，或不能满足货物的设计、安装、现场调试、性能测试、运行和维修的要求，或不符合本合同规定，或存在其它缺陷，卖方应当立即纠正该等缺陷，提供符合要求的货物资料和技术资料，并赔偿买方因此遭受的任何损失。</w:t>
      </w:r>
    </w:p>
    <w:p>
      <w:pPr>
        <w:widowControl w:val="0"/>
        <w:numPr>
          <w:ilvl w:val="0"/>
          <w:numId w:val="53"/>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质保期结束后【</w:t>
      </w:r>
      <w:r>
        <w:rPr>
          <w:rFonts w:ascii="Times New Roman" w:hAnsi="Times New Roman" w:cs="Times New Roman"/>
          <w:color w:val="000000"/>
          <w:kern w:val="2"/>
          <w:highlight w:val="none"/>
        </w:rPr>
        <w:t>●</w:t>
      </w:r>
      <w:r>
        <w:rPr>
          <w:rFonts w:ascii="Times New Roman" w:hAnsi="Times New Roman" w:cs="Times New Roman"/>
          <w:highlight w:val="none"/>
        </w:rPr>
        <w:t>】日内，买方应向卖方签发该批货物的最终接受证书。</w:t>
      </w:r>
    </w:p>
    <w:p>
      <w:pPr>
        <w:pStyle w:val="3"/>
        <w:keepLines/>
        <w:widowControl w:val="0"/>
        <w:numPr>
          <w:ilvl w:val="0"/>
          <w:numId w:val="31"/>
        </w:numPr>
        <w:tabs>
          <w:tab w:val="left" w:pos="0"/>
          <w:tab w:val="clear" w:pos="3688"/>
        </w:tabs>
        <w:spacing w:before="0" w:after="0" w:line="360" w:lineRule="auto"/>
        <w:ind w:left="960"/>
        <w:jc w:val="center"/>
        <w:rPr>
          <w:rFonts w:ascii="Times New Roman" w:hAnsi="Times New Roman"/>
          <w:i w:val="0"/>
          <w:iCs w:val="0"/>
          <w:sz w:val="24"/>
          <w:szCs w:val="24"/>
          <w:highlight w:val="none"/>
        </w:rPr>
      </w:pPr>
      <w:bookmarkStart w:id="324" w:name="_Toc291435868"/>
      <w:bookmarkStart w:id="325" w:name="_Toc278889804"/>
      <w:bookmarkStart w:id="326" w:name="_Toc296955876"/>
      <w:bookmarkStart w:id="327" w:name="_Toc300671219"/>
      <w:bookmarkStart w:id="328" w:name="_Toc291435935"/>
      <w:bookmarkStart w:id="329" w:name="_Toc296959338"/>
      <w:bookmarkStart w:id="330" w:name="_Toc152081969"/>
      <w:bookmarkStart w:id="331" w:name="_Toc288567161"/>
      <w:r>
        <w:rPr>
          <w:rFonts w:ascii="Times New Roman" w:hAnsi="Times New Roman"/>
          <w:i w:val="0"/>
          <w:iCs w:val="0"/>
          <w:sz w:val="24"/>
          <w:szCs w:val="24"/>
          <w:highlight w:val="none"/>
        </w:rPr>
        <w:t>违约责任</w:t>
      </w:r>
      <w:bookmarkEnd w:id="324"/>
      <w:bookmarkEnd w:id="325"/>
      <w:bookmarkEnd w:id="326"/>
      <w:bookmarkEnd w:id="327"/>
      <w:bookmarkEnd w:id="328"/>
      <w:bookmarkEnd w:id="329"/>
      <w:bookmarkEnd w:id="330"/>
    </w:p>
    <w:p>
      <w:pPr>
        <w:numPr>
          <w:ilvl w:val="0"/>
          <w:numId w:val="57"/>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因卖方违约而解除本合同时，如卖方支付的违约金无法补偿买方因此遭受的全部损失，卖方应向买方另行支付赔偿金。本合同项下的损失包括生产延期的损失、生产暂停的损失、工期延误的损失、买方可获得的商业利润、因为卖方违约导致买方向第三方支付的违约金和赔偿金、买方因第三方索赔而发生的全部费用（包括但不限于律师费用、诉讼费用、鉴定费用和赔偿金等）。</w:t>
      </w:r>
    </w:p>
    <w:p>
      <w:pPr>
        <w:numPr>
          <w:ilvl w:val="0"/>
          <w:numId w:val="57"/>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卖方根据本合同规定应承担违约金或赔偿责任的，买方有权从合同价款余额中直接扣除或凭履约保函要求银行支付该等违约金或赔偿款项。</w:t>
      </w:r>
    </w:p>
    <w:p>
      <w:pPr>
        <w:numPr>
          <w:ilvl w:val="0"/>
          <w:numId w:val="57"/>
        </w:numPr>
        <w:tabs>
          <w:tab w:val="left" w:pos="709"/>
        </w:tabs>
        <w:spacing w:line="360" w:lineRule="auto"/>
        <w:ind w:left="708" w:hanging="708" w:hangingChars="295"/>
        <w:rPr>
          <w:rFonts w:ascii="Times New Roman" w:hAnsi="Times New Roman" w:cs="Times New Roman"/>
          <w:highlight w:val="none"/>
        </w:rPr>
      </w:pPr>
      <w:r>
        <w:rPr>
          <w:rFonts w:hint="eastAsia" w:eastAsiaTheme="minorEastAsia"/>
          <w:highlight w:val="none"/>
        </w:rPr>
        <w:t>如卖方同一行为符合多个违约事由、适用多个违约金条款的，买方有权择一主张或同时主张。</w:t>
      </w:r>
    </w:p>
    <w:p>
      <w:pPr>
        <w:pStyle w:val="3"/>
        <w:keepLines/>
        <w:widowControl w:val="0"/>
        <w:numPr>
          <w:ilvl w:val="0"/>
          <w:numId w:val="31"/>
        </w:numPr>
        <w:tabs>
          <w:tab w:val="left" w:pos="-142"/>
          <w:tab w:val="left" w:pos="0"/>
          <w:tab w:val="clear" w:pos="3688"/>
        </w:tabs>
        <w:spacing w:before="0" w:after="0" w:line="360" w:lineRule="auto"/>
        <w:ind w:left="1275" w:hanging="1275" w:hangingChars="529"/>
        <w:jc w:val="center"/>
        <w:rPr>
          <w:rFonts w:ascii="Times New Roman" w:hAnsi="Times New Roman"/>
          <w:i w:val="0"/>
          <w:iCs w:val="0"/>
          <w:sz w:val="24"/>
          <w:szCs w:val="24"/>
          <w:highlight w:val="none"/>
        </w:rPr>
      </w:pPr>
      <w:bookmarkStart w:id="332" w:name="_Toc291435869"/>
      <w:bookmarkStart w:id="333" w:name="_Toc300671220"/>
      <w:bookmarkStart w:id="334" w:name="_Toc296955877"/>
      <w:bookmarkStart w:id="335" w:name="_Toc291435936"/>
      <w:bookmarkStart w:id="336" w:name="_Toc152081970"/>
      <w:bookmarkStart w:id="337" w:name="_Toc296959339"/>
      <w:bookmarkStart w:id="338" w:name="_Toc278889805"/>
      <w:r>
        <w:rPr>
          <w:rFonts w:ascii="Times New Roman" w:hAnsi="Times New Roman"/>
          <w:i w:val="0"/>
          <w:iCs w:val="0"/>
          <w:sz w:val="24"/>
          <w:szCs w:val="24"/>
          <w:highlight w:val="none"/>
        </w:rPr>
        <w:t>质量、健康、安全和环保</w:t>
      </w:r>
      <w:bookmarkEnd w:id="332"/>
      <w:bookmarkEnd w:id="333"/>
      <w:bookmarkEnd w:id="334"/>
      <w:bookmarkEnd w:id="335"/>
      <w:bookmarkEnd w:id="336"/>
      <w:bookmarkEnd w:id="337"/>
      <w:bookmarkEnd w:id="338"/>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卖方应确保货物制造使用的材料和制作工艺符合国家标准，保证货物制造现场符合法律法规的要求。</w:t>
      </w:r>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color w:val="000000"/>
          <w:highlight w:val="none"/>
        </w:rPr>
        <w:t>卖方向</w:t>
      </w:r>
      <w:r>
        <w:rPr>
          <w:rFonts w:ascii="Times New Roman" w:hAnsi="Times New Roman" w:cs="Times New Roman"/>
          <w:highlight w:val="none"/>
        </w:rPr>
        <w:t>买方提供的货物必须符合中国有关质量、健康、安全和环保法律法规的规定。对于根据有关法律法规必须持证生产或经营的物资，卖方在生产或经营时应持有全套有效的生产许可证或经营许可证。</w:t>
      </w:r>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w:t>
      </w:r>
      <w:bookmarkStart w:id="339" w:name="_DV_C793"/>
      <w:r>
        <w:rPr>
          <w:rFonts w:ascii="Times New Roman" w:hAnsi="Times New Roman" w:cs="Times New Roman"/>
          <w:highlight w:val="none"/>
        </w:rPr>
        <w:t>指派的服务人员不得以现场环境为由拒绝到现场提供技术服务，卖方指派的服务</w:t>
      </w:r>
      <w:bookmarkEnd w:id="339"/>
      <w:r>
        <w:rPr>
          <w:rFonts w:ascii="Times New Roman" w:hAnsi="Times New Roman" w:cs="Times New Roman"/>
          <w:highlight w:val="none"/>
        </w:rPr>
        <w:t>人员在买方现场提供技术服务时，应遵守买方现场的健康、安全、环境管理规定，服从买方现场管理人员的指挥。</w:t>
      </w:r>
    </w:p>
    <w:p>
      <w:pPr>
        <w:numPr>
          <w:ilvl w:val="0"/>
          <w:numId w:val="58"/>
        </w:numPr>
        <w:tabs>
          <w:tab w:val="left" w:pos="709"/>
          <w:tab w:val="left" w:pos="900"/>
          <w:tab w:val="left" w:pos="1080"/>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卖方用于货物的包装材料应是符合环保要求的包装材料。</w:t>
      </w:r>
    </w:p>
    <w:p>
      <w:pPr>
        <w:numPr>
          <w:ilvl w:val="0"/>
          <w:numId w:val="58"/>
        </w:numPr>
        <w:tabs>
          <w:tab w:val="left" w:pos="360"/>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负责货物运输时应采取有效措施，确保不对沿途环境和买方的厂区、现场或其它场所造成不良影响。因货物运输对沿途环境和买方厂区、现场或其它场所造成不良影响而导致的经济损失和法律责任，由卖方承担。</w:t>
      </w:r>
    </w:p>
    <w:p>
      <w:pPr>
        <w:pStyle w:val="3"/>
        <w:keepLines/>
        <w:widowControl w:val="0"/>
        <w:numPr>
          <w:ilvl w:val="0"/>
          <w:numId w:val="31"/>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40" w:name="_DV_M472"/>
      <w:bookmarkEnd w:id="340"/>
      <w:bookmarkStart w:id="341" w:name="_Toc296804734"/>
      <w:bookmarkEnd w:id="341"/>
      <w:bookmarkStart w:id="342" w:name="_Toc273458624"/>
      <w:bookmarkStart w:id="343" w:name="_Toc152081971"/>
      <w:bookmarkStart w:id="344" w:name="_Toc274075991"/>
      <w:bookmarkStart w:id="345" w:name="_Toc274669185"/>
      <w:bookmarkStart w:id="346" w:name="_Toc296959341"/>
      <w:bookmarkStart w:id="347" w:name="_Toc291435870"/>
      <w:bookmarkStart w:id="348" w:name="_Toc273451810"/>
      <w:bookmarkStart w:id="349" w:name="_Toc274403519"/>
      <w:bookmarkStart w:id="350" w:name="_Toc274343588"/>
      <w:bookmarkStart w:id="351" w:name="_Toc274754054"/>
      <w:bookmarkStart w:id="352" w:name="_Toc296955879"/>
      <w:bookmarkStart w:id="353" w:name="_Toc274668244"/>
      <w:bookmarkStart w:id="354" w:name="_Toc291435937"/>
      <w:bookmarkStart w:id="355" w:name="_Toc300671221"/>
      <w:bookmarkStart w:id="356" w:name="_Toc273388625"/>
      <w:bookmarkStart w:id="357" w:name="_Toc278889807"/>
      <w:bookmarkStart w:id="358" w:name="_Toc274344120"/>
      <w:bookmarkStart w:id="359" w:name="_Toc273388526"/>
      <w:r>
        <w:rPr>
          <w:rFonts w:ascii="Times New Roman" w:hAnsi="Times New Roman"/>
          <w:i w:val="0"/>
          <w:iCs w:val="0"/>
          <w:sz w:val="24"/>
          <w:szCs w:val="24"/>
          <w:highlight w:val="none"/>
        </w:rPr>
        <w:t>转让</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numPr>
          <w:ilvl w:val="0"/>
          <w:numId w:val="5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未经买方事先书面同意，卖方不得将其在本合同项下的任何权利和义务全部或部分转让给任何第三方，包括卖方的关联企业。</w:t>
      </w:r>
      <w:r>
        <w:rPr>
          <w:rFonts w:hint="eastAsia" w:eastAsiaTheme="minorEastAsia"/>
          <w:highlight w:val="none"/>
        </w:rPr>
        <w:t>如经买方事先书面同意，卖方将本合同项下的权利义务转让，应保证受让人知晓并完全接受和执行本合同的所有条款。</w:t>
      </w:r>
    </w:p>
    <w:p>
      <w:pPr>
        <w:numPr>
          <w:ilvl w:val="0"/>
          <w:numId w:val="5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买方可以将其在本合同项下的权利和义务全部或部分转让给其关联企业，且无需事先征得卖方的同意，但应书面通知卖方。</w:t>
      </w:r>
    </w:p>
    <w:p>
      <w:pPr>
        <w:pStyle w:val="3"/>
        <w:keepLines/>
        <w:widowControl w:val="0"/>
        <w:numPr>
          <w:ilvl w:val="0"/>
          <w:numId w:val="31"/>
        </w:numPr>
        <w:tabs>
          <w:tab w:val="left" w:pos="0"/>
          <w:tab w:val="left" w:pos="720"/>
          <w:tab w:val="left" w:pos="1440"/>
          <w:tab w:val="left" w:pos="1560"/>
          <w:tab w:val="left" w:pos="1620"/>
          <w:tab w:val="left" w:pos="1800"/>
          <w:tab w:val="left" w:pos="1980"/>
          <w:tab w:val="left" w:pos="2160"/>
          <w:tab w:val="left" w:pos="2520"/>
          <w:tab w:val="left" w:pos="2880"/>
          <w:tab w:val="left" w:pos="3420"/>
          <w:tab w:val="left" w:pos="4140"/>
          <w:tab w:val="left" w:pos="4680"/>
          <w:tab w:val="left" w:pos="4860"/>
          <w:tab w:val="left" w:pos="5220"/>
          <w:tab w:val="clear" w:pos="3688"/>
        </w:tabs>
        <w:spacing w:before="0" w:after="0" w:line="360" w:lineRule="auto"/>
        <w:ind w:left="0" w:firstLine="0"/>
        <w:jc w:val="center"/>
        <w:rPr>
          <w:rFonts w:ascii="Times New Roman" w:hAnsi="Times New Roman"/>
          <w:i w:val="0"/>
          <w:iCs w:val="0"/>
          <w:sz w:val="24"/>
          <w:szCs w:val="24"/>
          <w:highlight w:val="none"/>
        </w:rPr>
      </w:pPr>
      <w:bookmarkStart w:id="360" w:name="_Toc278889808"/>
      <w:bookmarkStart w:id="361" w:name="_Toc274343589"/>
      <w:bookmarkStart w:id="362" w:name="_Toc274669186"/>
      <w:bookmarkStart w:id="363" w:name="_Toc274754055"/>
      <w:bookmarkStart w:id="364" w:name="_Toc274344121"/>
      <w:bookmarkStart w:id="365" w:name="_Toc152081972"/>
      <w:bookmarkStart w:id="366" w:name="_Toc291435938"/>
      <w:bookmarkStart w:id="367" w:name="_Toc296955880"/>
      <w:bookmarkStart w:id="368" w:name="_Toc296959342"/>
      <w:bookmarkStart w:id="369" w:name="_Toc274668245"/>
      <w:bookmarkStart w:id="370" w:name="_Toc273388626"/>
      <w:bookmarkStart w:id="371" w:name="_Toc300671222"/>
      <w:bookmarkStart w:id="372" w:name="_Toc291435871"/>
      <w:bookmarkStart w:id="373" w:name="_Toc274075992"/>
      <w:bookmarkStart w:id="374" w:name="_Toc273458625"/>
      <w:bookmarkStart w:id="375" w:name="_Toc273388527"/>
      <w:bookmarkStart w:id="376" w:name="_Toc274403520"/>
      <w:bookmarkStart w:id="377" w:name="_Toc273451811"/>
      <w:r>
        <w:rPr>
          <w:rFonts w:ascii="Times New Roman" w:hAnsi="Times New Roman"/>
          <w:i w:val="0"/>
          <w:iCs w:val="0"/>
          <w:sz w:val="24"/>
          <w:szCs w:val="24"/>
          <w:highlight w:val="none"/>
        </w:rPr>
        <w:t>分包</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卖方应利用自身的人力资源、设备、技术履行本合同，未经买方事先书面同意，卖方不得将其在本合同项下的任何义务分包给任何第三方，包括卖方的关联企业。</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即使买方批准卖方将其在本合同项下的任何部分义务分包给第三方，卖方应对分包商工作负责，并承担本合同项下的全部责任和义务，其合同项下责任和义务不因分包而减轻或免除。</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买方有权对分包商进行资格审查，审查内容包括但不限于资质、能力、经验、设备、设施、业绩、管理、人力等。买方有权拒绝其认为不合格的分包商。</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卖方分包部分工作时，应向买方提供分包商清单以及资质等相关证明文件；买方有权随时查阅卖方与分包商签订的合同文件（不包括价格部分）。买方有权推荐分包商。如果卖方不能继续履行本合同或本合同终止时，经买方要求，卖方应向买方转让所有分包合同，保证工作的继续执行。</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bookmarkStart w:id="378" w:name="_DV_C858"/>
      <w:r>
        <w:rPr>
          <w:rFonts w:ascii="Times New Roman" w:hAnsi="Times New Roman" w:cs="Times New Roman"/>
          <w:highlight w:val="none"/>
        </w:rPr>
        <w:t>如果分包商的工作不符合本合同的规定，买方有权要求卖方终止分包合同，因分包合同终止产生的纠纷或责任，卖方承担全部责任，买方不承担任何责任。</w:t>
      </w:r>
      <w:bookmarkEnd w:id="378"/>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买方有权选择直接向分包方付款，并</w:t>
      </w:r>
      <w:r>
        <w:rPr>
          <w:rFonts w:hint="eastAsia" w:ascii="Times New Roman" w:hAnsi="Times New Roman" w:cs="Times New Roman"/>
          <w:highlight w:val="none"/>
        </w:rPr>
        <w:t>将相应付款金额</w:t>
      </w:r>
      <w:r>
        <w:rPr>
          <w:rFonts w:ascii="Times New Roman" w:hAnsi="Times New Roman" w:cs="Times New Roman"/>
          <w:highlight w:val="none"/>
        </w:rPr>
        <w:t>从</w:t>
      </w:r>
      <w:r>
        <w:rPr>
          <w:rFonts w:hint="eastAsia" w:ascii="Times New Roman" w:hAnsi="Times New Roman" w:cs="Times New Roman"/>
          <w:highlight w:val="none"/>
        </w:rPr>
        <w:t>买方与卖方的</w:t>
      </w:r>
      <w:r>
        <w:rPr>
          <w:rFonts w:ascii="Times New Roman" w:hAnsi="Times New Roman" w:cs="Times New Roman"/>
          <w:highlight w:val="none"/>
        </w:rPr>
        <w:t>合同价款余额中直接扣除</w:t>
      </w:r>
      <w:r>
        <w:rPr>
          <w:rFonts w:hint="eastAsia" w:ascii="Times New Roman" w:hAnsi="Times New Roman" w:cs="Times New Roman"/>
          <w:highlight w:val="none"/>
        </w:rPr>
        <w:t>，</w:t>
      </w:r>
      <w:r>
        <w:rPr>
          <w:rFonts w:ascii="Times New Roman" w:hAnsi="Times New Roman" w:cs="Times New Roman"/>
          <w:highlight w:val="none"/>
        </w:rPr>
        <w:t>或凭履约保函要求银行支付该等款项。但是，买方的上述行为不得视为买方取代卖方成为分包合同的当事人，分包合同的权利与义务仍由卖方和</w:t>
      </w:r>
      <w:r>
        <w:rPr>
          <w:rFonts w:hint="eastAsia" w:ascii="Times New Roman" w:hAnsi="Times New Roman" w:cs="Times New Roman"/>
          <w:highlight w:val="none"/>
        </w:rPr>
        <w:t>分包商或</w:t>
      </w:r>
      <w:r>
        <w:rPr>
          <w:rFonts w:ascii="Times New Roman" w:hAnsi="Times New Roman" w:cs="Times New Roman"/>
          <w:highlight w:val="none"/>
        </w:rPr>
        <w:t>相应的第三方承担。</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r>
        <w:rPr>
          <w:rFonts w:hint="eastAsia" w:eastAsiaTheme="minorEastAsia"/>
          <w:highlight w:val="none"/>
        </w:rPr>
        <w:t>如经买方事先书面同意，卖方将本合同项下的义务分包的，应保证分包方知晓并完全接受和执行本合同的所有条款。</w:t>
      </w:r>
    </w:p>
    <w:p>
      <w:pPr>
        <w:numPr>
          <w:ilvl w:val="0"/>
          <w:numId w:val="60"/>
        </w:numPr>
        <w:tabs>
          <w:tab w:val="left" w:pos="709"/>
          <w:tab w:val="left" w:pos="3060"/>
          <w:tab w:val="clear" w:pos="420"/>
        </w:tabs>
        <w:spacing w:line="360" w:lineRule="auto"/>
        <w:ind w:left="720" w:hanging="720"/>
        <w:rPr>
          <w:rFonts w:ascii="Times New Roman" w:hAnsi="Times New Roman" w:cs="Times New Roman"/>
          <w:highlight w:val="none"/>
        </w:rPr>
      </w:pPr>
      <w:bookmarkStart w:id="379" w:name="_DV_C867"/>
      <w:r>
        <w:rPr>
          <w:rFonts w:ascii="Times New Roman" w:hAnsi="Times New Roman" w:cs="Times New Roman"/>
          <w:highlight w:val="none"/>
        </w:rPr>
        <w:t>卖方不得将本合同转包给任何第三方，包括其关联企业。</w:t>
      </w:r>
      <w:bookmarkEnd w:id="379"/>
    </w:p>
    <w:p>
      <w:pPr>
        <w:pStyle w:val="3"/>
        <w:keepLines/>
        <w:widowControl w:val="0"/>
        <w:numPr>
          <w:ilvl w:val="0"/>
          <w:numId w:val="31"/>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80" w:name="_Toc296804737"/>
      <w:bookmarkEnd w:id="380"/>
      <w:bookmarkStart w:id="381" w:name="_Toc274669187"/>
      <w:bookmarkStart w:id="382" w:name="_Toc278889809"/>
      <w:bookmarkStart w:id="383" w:name="_Toc274668246"/>
      <w:bookmarkStart w:id="384" w:name="_Toc291435939"/>
      <w:bookmarkStart w:id="385" w:name="_Toc274344122"/>
      <w:bookmarkStart w:id="386" w:name="_Toc274343590"/>
      <w:bookmarkStart w:id="387" w:name="_Toc296955882"/>
      <w:bookmarkStart w:id="388" w:name="_Toc291435872"/>
      <w:bookmarkStart w:id="389" w:name="_Toc274754056"/>
      <w:bookmarkStart w:id="390" w:name="_Toc274403521"/>
      <w:bookmarkStart w:id="391" w:name="_Toc152081973"/>
      <w:bookmarkStart w:id="392" w:name="_Toc300671223"/>
      <w:bookmarkStart w:id="393" w:name="_Toc296959344"/>
      <w:r>
        <w:rPr>
          <w:rFonts w:ascii="Times New Roman" w:hAnsi="Times New Roman"/>
          <w:i w:val="0"/>
          <w:iCs w:val="0"/>
          <w:sz w:val="24"/>
          <w:szCs w:val="24"/>
          <w:highlight w:val="none"/>
        </w:rPr>
        <w:t>合同的解除</w:t>
      </w:r>
      <w:bookmarkEnd w:id="381"/>
      <w:bookmarkEnd w:id="382"/>
      <w:bookmarkEnd w:id="383"/>
      <w:bookmarkEnd w:id="384"/>
      <w:bookmarkEnd w:id="385"/>
      <w:bookmarkEnd w:id="386"/>
      <w:bookmarkEnd w:id="387"/>
      <w:bookmarkEnd w:id="388"/>
      <w:bookmarkEnd w:id="389"/>
      <w:bookmarkEnd w:id="390"/>
      <w:r>
        <w:rPr>
          <w:rFonts w:ascii="Times New Roman" w:hAnsi="Times New Roman"/>
          <w:i w:val="0"/>
          <w:iCs w:val="0"/>
          <w:sz w:val="24"/>
          <w:szCs w:val="24"/>
          <w:highlight w:val="none"/>
        </w:rPr>
        <w:t>和终止</w:t>
      </w:r>
      <w:bookmarkEnd w:id="391"/>
      <w:bookmarkEnd w:id="392"/>
      <w:bookmarkEnd w:id="393"/>
    </w:p>
    <w:p>
      <w:pPr>
        <w:numPr>
          <w:ilvl w:val="0"/>
          <w:numId w:val="61"/>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 xml:space="preserve">如发生以下任一情形，经书面通知卖方，买方有权解除本合同： </w:t>
      </w:r>
    </w:p>
    <w:p>
      <w:pPr>
        <w:numPr>
          <w:ilvl w:val="0"/>
          <w:numId w:val="62"/>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本合同明确规定买方有权解除合同的情形；</w:t>
      </w:r>
    </w:p>
    <w:p>
      <w:pPr>
        <w:numPr>
          <w:ilvl w:val="0"/>
          <w:numId w:val="62"/>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卖方未按合同规定提供预付款保函或履约保函；</w:t>
      </w:r>
    </w:p>
    <w:p>
      <w:pPr>
        <w:numPr>
          <w:ilvl w:val="0"/>
          <w:numId w:val="62"/>
        </w:numPr>
        <w:tabs>
          <w:tab w:val="left" w:pos="1276"/>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卖方破产、资不抵债、停业、清算、解散、被兼并、被查封；</w:t>
      </w:r>
    </w:p>
    <w:p>
      <w:pPr>
        <w:numPr>
          <w:ilvl w:val="0"/>
          <w:numId w:val="62"/>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卖方发生其它严重违约，且未在买方要求的合同期限内纠正；</w:t>
      </w:r>
    </w:p>
    <w:p>
      <w:pPr>
        <w:numPr>
          <w:ilvl w:val="0"/>
          <w:numId w:val="62"/>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不可抗力持续超过【</w:t>
      </w:r>
      <w:r>
        <w:rPr>
          <w:rFonts w:ascii="Times New Roman" w:hAnsi="Times New Roman" w:cs="Times New Roman"/>
          <w:color w:val="000000"/>
          <w:kern w:val="2"/>
          <w:highlight w:val="none"/>
        </w:rPr>
        <w:t>●</w:t>
      </w:r>
      <w:r>
        <w:rPr>
          <w:rFonts w:ascii="Times New Roman" w:hAnsi="Times New Roman" w:cs="Times New Roman"/>
          <w:highlight w:val="none"/>
        </w:rPr>
        <w:t>】日。</w:t>
      </w:r>
    </w:p>
    <w:p>
      <w:pPr>
        <w:numPr>
          <w:ilvl w:val="0"/>
          <w:numId w:val="61"/>
        </w:numPr>
        <w:tabs>
          <w:tab w:val="left" w:pos="709"/>
          <w:tab w:val="clear" w:pos="0"/>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如因卖方违约买方解除本合同，卖方应退回买方已经支付的全部款项</w:t>
      </w:r>
      <w:r>
        <w:rPr>
          <w:rFonts w:hint="eastAsia"/>
          <w:highlight w:val="none"/>
        </w:rPr>
        <w:t>（且未支付的款项不再支付）</w:t>
      </w:r>
      <w:r>
        <w:rPr>
          <w:rFonts w:ascii="Times New Roman" w:hAnsi="Times New Roman" w:cs="Times New Roman"/>
          <w:highlight w:val="none"/>
        </w:rPr>
        <w:t>，根据本合同规定支付违约金，并赔偿</w:t>
      </w:r>
      <w:r>
        <w:rPr>
          <w:rFonts w:hint="eastAsia" w:ascii="Times New Roman" w:hAnsi="Times New Roman" w:cs="Times New Roman"/>
          <w:highlight w:val="none"/>
        </w:rPr>
        <w:t>买方</w:t>
      </w:r>
      <w:r>
        <w:rPr>
          <w:rFonts w:ascii="Times New Roman" w:hAnsi="Times New Roman" w:cs="Times New Roman"/>
          <w:highlight w:val="none"/>
        </w:rPr>
        <w:t>其因此遭受的全部损失。买方有权以适当的条件和方式购买同等货物，卖方应承担买方购买同等货物的差额费用。</w:t>
      </w:r>
    </w:p>
    <w:p>
      <w:pPr>
        <w:numPr>
          <w:ilvl w:val="0"/>
          <w:numId w:val="61"/>
        </w:numPr>
        <w:tabs>
          <w:tab w:val="left" w:pos="709"/>
          <w:tab w:val="clear" w:pos="0"/>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无论基于何种原因，经提前【</w:t>
      </w:r>
      <w:r>
        <w:rPr>
          <w:rFonts w:ascii="Times New Roman" w:hAnsi="Times New Roman" w:cs="Times New Roman"/>
          <w:color w:val="000000"/>
          <w:kern w:val="2"/>
          <w:highlight w:val="none"/>
        </w:rPr>
        <w:t>●</w:t>
      </w:r>
      <w:r>
        <w:rPr>
          <w:rFonts w:ascii="Times New Roman" w:hAnsi="Times New Roman" w:cs="Times New Roman"/>
          <w:highlight w:val="none"/>
        </w:rPr>
        <w:t>】日书面通知卖方，买方有权随时终止合同。卖方收到买方终止合同的书面通知后，应立即停止实施与本合同有关的工作，并</w:t>
      </w:r>
      <w:r>
        <w:rPr>
          <w:rFonts w:hint="eastAsia" w:ascii="Times New Roman" w:hAnsi="Times New Roman" w:cs="Times New Roman"/>
          <w:highlight w:val="none"/>
        </w:rPr>
        <w:t>配合买方</w:t>
      </w:r>
      <w:r>
        <w:rPr>
          <w:rFonts w:ascii="Times New Roman" w:hAnsi="Times New Roman" w:cs="Times New Roman"/>
          <w:highlight w:val="none"/>
        </w:rPr>
        <w:t>对已履行的部分进行结算。</w:t>
      </w:r>
      <w:r>
        <w:rPr>
          <w:rFonts w:hint="eastAsia" w:ascii="Times New Roman" w:hAnsi="Times New Roman" w:cs="Times New Roman"/>
          <w:highlight w:val="none"/>
        </w:rPr>
        <w:t>结算金额应</w:t>
      </w:r>
      <w:r>
        <w:rPr>
          <w:rFonts w:ascii="Times New Roman" w:hAnsi="Times New Roman" w:cs="Times New Roman"/>
          <w:highlight w:val="none"/>
        </w:rPr>
        <w:t>以卖方为履行合同已实际发生的直接、合理费用为限</w:t>
      </w:r>
      <w:r>
        <w:rPr>
          <w:rFonts w:hint="eastAsia" w:ascii="Times New Roman" w:hAnsi="Times New Roman" w:cs="Times New Roman"/>
          <w:highlight w:val="none"/>
        </w:rPr>
        <w:t>，卖</w:t>
      </w:r>
      <w:r>
        <w:rPr>
          <w:rFonts w:ascii="Times New Roman" w:hAnsi="Times New Roman" w:cs="Times New Roman"/>
          <w:highlight w:val="none"/>
        </w:rPr>
        <w:t>方应提供书面证明文件。如买方已支付的合同价款不足以</w:t>
      </w:r>
      <w:r>
        <w:rPr>
          <w:rFonts w:hint="eastAsia" w:ascii="Times New Roman" w:hAnsi="Times New Roman" w:cs="Times New Roman"/>
          <w:highlight w:val="none"/>
        </w:rPr>
        <w:t>覆</w:t>
      </w:r>
      <w:r>
        <w:rPr>
          <w:rFonts w:ascii="Times New Roman" w:hAnsi="Times New Roman" w:cs="Times New Roman"/>
          <w:highlight w:val="none"/>
        </w:rPr>
        <w:t>盖该等</w:t>
      </w:r>
      <w:r>
        <w:rPr>
          <w:rFonts w:hint="eastAsia" w:ascii="Times New Roman" w:hAnsi="Times New Roman" w:cs="Times New Roman"/>
          <w:highlight w:val="none"/>
        </w:rPr>
        <w:t>结算金额</w:t>
      </w:r>
      <w:r>
        <w:rPr>
          <w:rFonts w:ascii="Times New Roman" w:hAnsi="Times New Roman" w:cs="Times New Roman"/>
          <w:highlight w:val="none"/>
        </w:rPr>
        <w:t>，经卖方提供证明文件后，买方应向卖方支付差额部分。如买方已支付的合同价款超过该等</w:t>
      </w:r>
      <w:r>
        <w:rPr>
          <w:rFonts w:hint="eastAsia" w:ascii="Times New Roman" w:hAnsi="Times New Roman" w:cs="Times New Roman"/>
          <w:highlight w:val="none"/>
        </w:rPr>
        <w:t>结算金额</w:t>
      </w:r>
      <w:r>
        <w:rPr>
          <w:rFonts w:ascii="Times New Roman" w:hAnsi="Times New Roman" w:cs="Times New Roman"/>
          <w:highlight w:val="none"/>
        </w:rPr>
        <w:t>，卖方应向买方返还超额部分。买方向卖方支付的</w:t>
      </w:r>
      <w:r>
        <w:rPr>
          <w:rFonts w:hint="eastAsia" w:ascii="Times New Roman" w:hAnsi="Times New Roman" w:cs="Times New Roman"/>
          <w:highlight w:val="none"/>
        </w:rPr>
        <w:t>结算金额涵盖</w:t>
      </w:r>
      <w:r>
        <w:rPr>
          <w:rFonts w:ascii="Times New Roman" w:hAnsi="Times New Roman" w:cs="Times New Roman"/>
          <w:highlight w:val="none"/>
        </w:rPr>
        <w:t>买方根据本款规定终止合同时，卖方可获得的全部赔偿</w:t>
      </w:r>
      <w:r>
        <w:rPr>
          <w:rFonts w:hint="eastAsia" w:ascii="Times New Roman" w:hAnsi="Times New Roman" w:cs="Times New Roman"/>
          <w:highlight w:val="none"/>
        </w:rPr>
        <w:t>及补偿</w:t>
      </w:r>
      <w:r>
        <w:rPr>
          <w:rFonts w:ascii="Times New Roman" w:hAnsi="Times New Roman" w:cs="Times New Roman"/>
          <w:highlight w:val="none"/>
        </w:rPr>
        <w:t>。任何时候卖方均无权要求买方赔偿因合同终止而引起的预期利润的损失或损害。</w:t>
      </w:r>
    </w:p>
    <w:p>
      <w:pPr>
        <w:numPr>
          <w:ilvl w:val="0"/>
          <w:numId w:val="61"/>
        </w:numPr>
        <w:tabs>
          <w:tab w:val="left" w:pos="709"/>
          <w:tab w:val="clear" w:pos="0"/>
        </w:tabs>
        <w:spacing w:line="360" w:lineRule="auto"/>
        <w:ind w:left="708" w:hanging="708" w:hangingChars="295"/>
        <w:jc w:val="both"/>
        <w:rPr>
          <w:rStyle w:val="89"/>
          <w:rFonts w:ascii="Times New Roman" w:hAnsi="Times New Roman" w:cs="Times New Roman"/>
          <w:color w:val="auto"/>
          <w:highlight w:val="none"/>
          <w:u w:val="none"/>
        </w:rPr>
      </w:pPr>
      <w:bookmarkStart w:id="394" w:name="_DV_C932"/>
      <w:r>
        <w:rPr>
          <w:rStyle w:val="89"/>
          <w:rFonts w:ascii="Times New Roman" w:hAnsi="Times New Roman" w:cs="Times New Roman"/>
          <w:color w:val="auto"/>
          <w:highlight w:val="none"/>
          <w:u w:val="none"/>
          <w:lang w:val="zh-CN"/>
        </w:rPr>
        <w:t>如果本合同根据本条第20.3款终止，对于合同终止前买方已经支付合同价款或提供补偿费用的货物，卖方应立即移交给买方，买方拥有相关货物的全部权益。</w:t>
      </w:r>
      <w:bookmarkEnd w:id="394"/>
    </w:p>
    <w:p>
      <w:pPr>
        <w:numPr>
          <w:ilvl w:val="0"/>
          <w:numId w:val="61"/>
        </w:numPr>
        <w:tabs>
          <w:tab w:val="left" w:pos="709"/>
          <w:tab w:val="clear" w:pos="0"/>
        </w:tabs>
        <w:spacing w:line="360" w:lineRule="auto"/>
        <w:ind w:left="708" w:hanging="708" w:hangingChars="295"/>
        <w:jc w:val="both"/>
        <w:rPr>
          <w:rFonts w:ascii="Times New Roman" w:hAnsi="Times New Roman" w:cs="Times New Roman"/>
          <w:highlight w:val="none"/>
        </w:rPr>
      </w:pPr>
      <w:r>
        <w:rPr>
          <w:rStyle w:val="89"/>
          <w:rFonts w:ascii="Times New Roman" w:hAnsi="Times New Roman" w:cs="Times New Roman"/>
          <w:color w:val="auto"/>
          <w:highlight w:val="none"/>
          <w:u w:val="none"/>
          <w:lang w:val="zh-CN"/>
        </w:rPr>
        <w:t>卖方应确保分包合同（如有）包含与本条项下规定相对应的终止条款。</w:t>
      </w:r>
    </w:p>
    <w:p>
      <w:pPr>
        <w:pStyle w:val="3"/>
        <w:keepLines/>
        <w:widowControl w:val="0"/>
        <w:numPr>
          <w:ilvl w:val="0"/>
          <w:numId w:val="31"/>
        </w:numPr>
        <w:tabs>
          <w:tab w:val="left" w:pos="284"/>
          <w:tab w:val="left" w:pos="709"/>
          <w:tab w:val="left" w:pos="1260"/>
          <w:tab w:val="left" w:pos="1440"/>
          <w:tab w:val="left" w:pos="1620"/>
          <w:tab w:val="left" w:pos="1800"/>
          <w:tab w:val="left" w:pos="2160"/>
          <w:tab w:val="left" w:pos="3600"/>
          <w:tab w:val="left" w:pos="4860"/>
          <w:tab w:val="clear" w:pos="3688"/>
        </w:tabs>
        <w:spacing w:before="0" w:after="0" w:line="360" w:lineRule="auto"/>
        <w:ind w:left="425" w:leftChars="-76" w:hanging="607" w:hangingChars="252"/>
        <w:jc w:val="center"/>
        <w:rPr>
          <w:rFonts w:ascii="Times New Roman" w:hAnsi="Times New Roman"/>
          <w:i w:val="0"/>
          <w:iCs w:val="0"/>
          <w:sz w:val="24"/>
          <w:szCs w:val="24"/>
          <w:highlight w:val="none"/>
        </w:rPr>
      </w:pPr>
      <w:bookmarkStart w:id="395" w:name="_Toc274343591"/>
      <w:bookmarkStart w:id="396" w:name="_Toc274668247"/>
      <w:bookmarkStart w:id="397" w:name="_Toc273388529"/>
      <w:bookmarkStart w:id="398" w:name="_Toc278889810"/>
      <w:bookmarkStart w:id="399" w:name="_Toc274754057"/>
      <w:bookmarkStart w:id="400" w:name="_Toc291435873"/>
      <w:bookmarkStart w:id="401" w:name="_Toc273451813"/>
      <w:bookmarkStart w:id="402" w:name="_Toc274669188"/>
      <w:bookmarkStart w:id="403" w:name="_Toc273458627"/>
      <w:bookmarkStart w:id="404" w:name="_Toc291435940"/>
      <w:bookmarkStart w:id="405" w:name="_Toc274075994"/>
      <w:bookmarkStart w:id="406" w:name="_Toc296959345"/>
      <w:bookmarkStart w:id="407" w:name="_Toc152081974"/>
      <w:bookmarkStart w:id="408" w:name="_Toc274403522"/>
      <w:bookmarkStart w:id="409" w:name="_Toc273388628"/>
      <w:bookmarkStart w:id="410" w:name="_Toc296955883"/>
      <w:bookmarkStart w:id="411" w:name="_Toc274344123"/>
      <w:bookmarkStart w:id="412" w:name="_Toc300671224"/>
      <w:r>
        <w:rPr>
          <w:rFonts w:ascii="Times New Roman" w:hAnsi="Times New Roman"/>
          <w:i w:val="0"/>
          <w:iCs w:val="0"/>
          <w:sz w:val="24"/>
          <w:szCs w:val="24"/>
          <w:highlight w:val="none"/>
        </w:rPr>
        <w:t>不可抗力</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16"/>
        <w:numPr>
          <w:ilvl w:val="0"/>
          <w:numId w:val="63"/>
        </w:numPr>
        <w:tabs>
          <w:tab w:val="clear" w:pos="420"/>
        </w:tabs>
        <w:spacing w:after="0" w:line="360" w:lineRule="auto"/>
        <w:ind w:left="720" w:hanging="720"/>
        <w:jc w:val="both"/>
        <w:rPr>
          <w:rFonts w:ascii="Times New Roman" w:hAnsi="Times New Roman"/>
          <w:highlight w:val="none"/>
        </w:rPr>
      </w:pPr>
      <w:bookmarkStart w:id="413" w:name="_Toc296955884"/>
      <w:bookmarkStart w:id="414" w:name="_Toc287977557"/>
      <w:bookmarkStart w:id="415" w:name="_Toc288479435"/>
      <w:bookmarkStart w:id="416" w:name="_Toc296959346"/>
      <w:bookmarkStart w:id="417" w:name="_DV_C952"/>
      <w:bookmarkStart w:id="418" w:name="_Toc287945410"/>
      <w:bookmarkStart w:id="419" w:name="_Toc300671225"/>
      <w:bookmarkStart w:id="420" w:name="_Toc287945666"/>
      <w:r>
        <w:rPr>
          <w:rFonts w:ascii="Times New Roman" w:hAnsi="Times New Roman"/>
          <w:highlight w:val="none"/>
        </w:rPr>
        <w:t>不可抗力系指本合同的履行过程中，任何一方经合理努力仍不可预见、不可避免并不能克服的客观情况。</w:t>
      </w:r>
    </w:p>
    <w:p>
      <w:pPr>
        <w:pStyle w:val="16"/>
        <w:numPr>
          <w:ilvl w:val="0"/>
          <w:numId w:val="63"/>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任何一方因不可抗力不能或延迟履行本合同，不承担违约责任。</w:t>
      </w:r>
    </w:p>
    <w:p>
      <w:pPr>
        <w:pStyle w:val="16"/>
        <w:numPr>
          <w:ilvl w:val="0"/>
          <w:numId w:val="63"/>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如果一方遭受不可抗力，应立即（不迟于24小时内）通知另一方，并采取一切合理、必要的措施减少损失及不可抗力的影响，恢复合同的履行。不可抗力结束后48小时内，遭受不可抗力的一方应向另一方通报不可抗力的情况，包括不可抗力造成的损害、延续时间、货物受影响的范围、补救措施等，如不可抗力持续发生，遭受不可抗力的一方应及时更新该等信息。</w:t>
      </w:r>
    </w:p>
    <w:p>
      <w:pPr>
        <w:pStyle w:val="16"/>
        <w:numPr>
          <w:ilvl w:val="0"/>
          <w:numId w:val="63"/>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lang w:val="en-AU"/>
        </w:rPr>
        <w:t>如发生不可抗力，双方各自承担其人员和财产损失。一旦不可抗力停止或者影响消除，双方应立即履行其义务，合同的期限应该相应顺延。如果不可抗力的影响持续超过【●】日，双方应该共同商议应对措施。</w:t>
      </w:r>
    </w:p>
    <w:p>
      <w:pPr>
        <w:pStyle w:val="16"/>
        <w:numPr>
          <w:ilvl w:val="0"/>
          <w:numId w:val="63"/>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任何一方迟延履行合同、或其履行行为不符合本合同约定后遭受不可抗力的，不得减少、免除该方在本合同项下的任何义务和责任。</w:t>
      </w:r>
    </w:p>
    <w:p>
      <w:pPr>
        <w:pStyle w:val="16"/>
        <w:numPr>
          <w:ilvl w:val="0"/>
          <w:numId w:val="63"/>
        </w:numPr>
        <w:tabs>
          <w:tab w:val="clear" w:pos="420"/>
        </w:tabs>
        <w:spacing w:after="0" w:line="360" w:lineRule="auto"/>
        <w:ind w:left="720" w:hanging="720"/>
        <w:jc w:val="both"/>
        <w:rPr>
          <w:rFonts w:ascii="Times New Roman" w:hAnsi="Times New Roman"/>
          <w:i/>
          <w:iCs/>
          <w:highlight w:val="none"/>
        </w:rPr>
      </w:pPr>
      <w:r>
        <w:rPr>
          <w:rFonts w:ascii="Times New Roman" w:hAnsi="Times New Roman"/>
          <w:highlight w:val="none"/>
        </w:rPr>
        <w:t>不可抗力的发生不</w:t>
      </w:r>
      <w:r>
        <w:rPr>
          <w:rFonts w:hint="eastAsia" w:ascii="Times New Roman" w:hAnsi="Times New Roman"/>
          <w:highlight w:val="none"/>
        </w:rPr>
        <w:t>使得</w:t>
      </w:r>
      <w:r>
        <w:rPr>
          <w:rFonts w:ascii="Times New Roman" w:hAnsi="Times New Roman"/>
          <w:highlight w:val="none"/>
        </w:rPr>
        <w:t>任何一方支付额外款项、赔偿或</w:t>
      </w:r>
      <w:r>
        <w:rPr>
          <w:rFonts w:hint="eastAsia" w:ascii="Times New Roman" w:hAnsi="Times New Roman"/>
          <w:highlight w:val="none"/>
        </w:rPr>
        <w:t>享受任何额外</w:t>
      </w:r>
      <w:r>
        <w:rPr>
          <w:rFonts w:ascii="Times New Roman" w:hAnsi="Times New Roman"/>
          <w:highlight w:val="none"/>
        </w:rPr>
        <w:t>救济，双方放弃对任何此类事项进行索赔的权利。</w:t>
      </w:r>
    </w:p>
    <w:p>
      <w:pPr>
        <w:pStyle w:val="3"/>
        <w:keepLines/>
        <w:widowControl w:val="0"/>
        <w:numPr>
          <w:ilvl w:val="0"/>
          <w:numId w:val="31"/>
        </w:numPr>
        <w:tabs>
          <w:tab w:val="left" w:pos="284"/>
          <w:tab w:val="left" w:pos="709"/>
          <w:tab w:val="left" w:pos="1260"/>
          <w:tab w:val="left" w:pos="1440"/>
          <w:tab w:val="left" w:pos="1620"/>
          <w:tab w:val="left" w:pos="1800"/>
          <w:tab w:val="left" w:pos="2160"/>
          <w:tab w:val="left" w:pos="3600"/>
          <w:tab w:val="left" w:pos="4860"/>
          <w:tab w:val="clear" w:pos="3688"/>
        </w:tabs>
        <w:spacing w:before="0" w:after="0" w:line="360" w:lineRule="auto"/>
        <w:ind w:left="425" w:leftChars="-76" w:hanging="607" w:hangingChars="252"/>
        <w:jc w:val="center"/>
        <w:rPr>
          <w:rFonts w:ascii="Times New Roman" w:hAnsi="Times New Roman"/>
          <w:i w:val="0"/>
          <w:iCs w:val="0"/>
          <w:sz w:val="24"/>
          <w:szCs w:val="24"/>
          <w:highlight w:val="none"/>
        </w:rPr>
      </w:pPr>
      <w:bookmarkStart w:id="421" w:name="_Toc152081975"/>
      <w:r>
        <w:rPr>
          <w:rFonts w:ascii="Times New Roman" w:hAnsi="Times New Roman"/>
          <w:i w:val="0"/>
          <w:iCs w:val="0"/>
          <w:sz w:val="24"/>
          <w:szCs w:val="24"/>
          <w:highlight w:val="none"/>
        </w:rPr>
        <w:t>责任</w:t>
      </w:r>
      <w:bookmarkEnd w:id="413"/>
      <w:bookmarkEnd w:id="414"/>
      <w:bookmarkEnd w:id="415"/>
      <w:bookmarkEnd w:id="416"/>
      <w:bookmarkEnd w:id="417"/>
      <w:bookmarkEnd w:id="418"/>
      <w:bookmarkEnd w:id="419"/>
      <w:bookmarkEnd w:id="420"/>
      <w:bookmarkEnd w:id="421"/>
    </w:p>
    <w:p>
      <w:pPr>
        <w:numPr>
          <w:ilvl w:val="0"/>
          <w:numId w:val="64"/>
        </w:numPr>
        <w:tabs>
          <w:tab w:val="left" w:pos="720"/>
          <w:tab w:val="clear" w:pos="420"/>
        </w:tabs>
        <w:spacing w:line="360" w:lineRule="auto"/>
        <w:ind w:left="720" w:hanging="720"/>
        <w:rPr>
          <w:rStyle w:val="89"/>
          <w:rFonts w:ascii="Times New Roman" w:hAnsi="Times New Roman" w:cs="Times New Roman"/>
          <w:b/>
          <w:bCs/>
          <w:i/>
          <w:iCs/>
          <w:color w:val="auto"/>
          <w:sz w:val="28"/>
          <w:szCs w:val="28"/>
          <w:highlight w:val="none"/>
          <w:u w:val="none"/>
          <w:lang w:val="zh-CN"/>
        </w:rPr>
      </w:pPr>
      <w:bookmarkStart w:id="422" w:name="_DV_C956"/>
      <w:r>
        <w:rPr>
          <w:rStyle w:val="89"/>
          <w:rFonts w:ascii="Times New Roman" w:hAnsi="Times New Roman" w:cs="Times New Roman"/>
          <w:color w:val="auto"/>
          <w:highlight w:val="none"/>
          <w:u w:val="none"/>
          <w:lang w:val="zh-CN"/>
        </w:rPr>
        <w:t>无论时间、地点、方式和原因，卖方、卖方代理或分包商（如有）因履行本合同或因货物存在缺陷造成任何第三方财产损失、损坏、人身伤亡或疾病，卖方应承担全部责任，并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买方因此需向第三方支付任何赔偿时，卖方均应全额予以补偿。</w:t>
      </w:r>
      <w:bookmarkEnd w:id="422"/>
      <w:bookmarkStart w:id="423" w:name="_DV_C957"/>
    </w:p>
    <w:bookmarkEnd w:id="423"/>
    <w:p>
      <w:pPr>
        <w:numPr>
          <w:ilvl w:val="0"/>
          <w:numId w:val="64"/>
        </w:numPr>
        <w:tabs>
          <w:tab w:val="left" w:pos="720"/>
          <w:tab w:val="clear" w:pos="420"/>
        </w:tabs>
        <w:spacing w:line="360" w:lineRule="auto"/>
        <w:ind w:left="720" w:hanging="720"/>
        <w:rPr>
          <w:rStyle w:val="89"/>
          <w:rFonts w:ascii="Times New Roman" w:hAnsi="Times New Roman" w:cs="Times New Roman"/>
          <w:color w:val="auto"/>
          <w:highlight w:val="none"/>
          <w:u w:val="none"/>
          <w:lang w:val="zh-CN"/>
        </w:rPr>
      </w:pPr>
      <w:bookmarkStart w:id="424" w:name="_DV_C958"/>
      <w:r>
        <w:rPr>
          <w:rStyle w:val="89"/>
          <w:rFonts w:ascii="Times New Roman" w:hAnsi="Times New Roman" w:cs="Times New Roman"/>
          <w:color w:val="auto"/>
          <w:highlight w:val="none"/>
          <w:u w:val="none"/>
          <w:lang w:val="zh-CN"/>
        </w:rPr>
        <w:t>无论时间、地点、方式和原因，如因履行本合同，卖方及其人员、卖方代理、分包商及其人员（如有）的任何财产（包括但不限于设备、装置、器材等，且无论</w:t>
      </w:r>
      <w:r>
        <w:rPr>
          <w:rFonts w:ascii="Times New Roman" w:hAnsi="Times New Roman" w:cs="Times New Roman"/>
          <w:highlight w:val="none"/>
        </w:rPr>
        <w:t>该等财产属于自有、租用、租赁或以其它方式提供</w:t>
      </w:r>
      <w:r>
        <w:rPr>
          <w:rStyle w:val="89"/>
          <w:rFonts w:ascii="Times New Roman" w:hAnsi="Times New Roman" w:cs="Times New Roman"/>
          <w:color w:val="auto"/>
          <w:highlight w:val="none"/>
          <w:u w:val="none"/>
          <w:lang w:val="zh-CN"/>
        </w:rPr>
        <w:t>）发生毁损、灭失或其它损失，除非该等损失系因买方故意或重大过失所致，卖方应自行承担全部损失，并</w:t>
      </w:r>
      <w:r>
        <w:rPr>
          <w:rFonts w:ascii="Times New Roman" w:hAnsi="Times New Roman" w:cs="Times New Roman"/>
          <w:highlight w:val="none"/>
        </w:rPr>
        <w:t>应确保买方免于所有相关的索赔、损失、损害、费用和责任</w:t>
      </w:r>
      <w:bookmarkEnd w:id="424"/>
      <w:bookmarkStart w:id="425" w:name="_DV_C959"/>
      <w:r>
        <w:rPr>
          <w:rFonts w:ascii="Times New Roman" w:hAnsi="Times New Roman" w:cs="Times New Roman"/>
          <w:highlight w:val="none"/>
        </w:rPr>
        <w:t>，包括但不限于在</w:t>
      </w:r>
      <w:r>
        <w:rPr>
          <w:rStyle w:val="89"/>
          <w:rFonts w:ascii="Times New Roman" w:hAnsi="Times New Roman" w:cs="Times New Roman"/>
          <w:color w:val="auto"/>
          <w:highlight w:val="none"/>
          <w:u w:val="none"/>
          <w:lang w:val="zh-CN"/>
        </w:rPr>
        <w:t>买方因此需要支付任何赔偿时，卖方均应全额予以补偿。</w:t>
      </w:r>
    </w:p>
    <w:bookmarkEnd w:id="425"/>
    <w:p>
      <w:pPr>
        <w:numPr>
          <w:ilvl w:val="0"/>
          <w:numId w:val="64"/>
        </w:numPr>
        <w:tabs>
          <w:tab w:val="left" w:pos="720"/>
          <w:tab w:val="clear" w:pos="420"/>
        </w:tabs>
        <w:spacing w:line="360" w:lineRule="auto"/>
        <w:ind w:left="720" w:hanging="720"/>
        <w:rPr>
          <w:rStyle w:val="89"/>
          <w:rFonts w:ascii="Times New Roman" w:hAnsi="Times New Roman" w:cs="Times New Roman"/>
          <w:color w:val="auto"/>
          <w:highlight w:val="none"/>
          <w:u w:val="none"/>
          <w:lang w:val="zh-CN"/>
        </w:rPr>
      </w:pPr>
      <w:bookmarkStart w:id="426" w:name="_DV_C960"/>
      <w:r>
        <w:rPr>
          <w:rStyle w:val="89"/>
          <w:rFonts w:ascii="Times New Roman" w:hAnsi="Times New Roman" w:cs="Times New Roman"/>
          <w:color w:val="auto"/>
          <w:highlight w:val="none"/>
          <w:u w:val="none"/>
          <w:lang w:val="zh-CN"/>
        </w:rPr>
        <w:t>无论时间、地点、方式和原因，如因履行本合同</w:t>
      </w:r>
      <w:r>
        <w:rPr>
          <w:rFonts w:ascii="Times New Roman" w:hAnsi="Times New Roman" w:cs="Times New Roman"/>
          <w:highlight w:val="none"/>
        </w:rPr>
        <w:t>而发生的或与履行本合同有关的</w:t>
      </w:r>
      <w:r>
        <w:rPr>
          <w:rStyle w:val="89"/>
          <w:rFonts w:ascii="Times New Roman" w:hAnsi="Times New Roman" w:cs="Times New Roman"/>
          <w:color w:val="auto"/>
          <w:highlight w:val="none"/>
          <w:u w:val="none"/>
          <w:lang w:val="zh-CN"/>
        </w:rPr>
        <w:t>卖方、卖方代理及分包商（如有）的人员发生人身伤亡或疾病，除非该等人身伤亡或疾病系因买方故意或重大过失所致，卖方应对上述人员的人身伤亡或疾病负责，并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买方因此需要支付任何赔偿时，卖方均应全额予以补偿</w:t>
      </w:r>
      <w:r>
        <w:rPr>
          <w:rFonts w:ascii="Times New Roman" w:hAnsi="Times New Roman" w:cs="Times New Roman"/>
          <w:highlight w:val="none"/>
        </w:rPr>
        <w:t>。</w:t>
      </w:r>
      <w:bookmarkEnd w:id="426"/>
      <w:bookmarkStart w:id="427" w:name="_DV_C961"/>
    </w:p>
    <w:bookmarkEnd w:id="427"/>
    <w:p>
      <w:pPr>
        <w:numPr>
          <w:ilvl w:val="0"/>
          <w:numId w:val="64"/>
        </w:numPr>
        <w:tabs>
          <w:tab w:val="left" w:pos="720"/>
          <w:tab w:val="clear" w:pos="420"/>
        </w:tabs>
        <w:spacing w:line="360" w:lineRule="auto"/>
        <w:ind w:left="720" w:hanging="720"/>
        <w:rPr>
          <w:rFonts w:ascii="Times New Roman" w:hAnsi="Times New Roman" w:cs="Times New Roman"/>
          <w:highlight w:val="none"/>
        </w:rPr>
      </w:pPr>
      <w:bookmarkStart w:id="428" w:name="_DV_C962"/>
      <w:r>
        <w:rPr>
          <w:rStyle w:val="89"/>
          <w:rFonts w:ascii="Times New Roman" w:hAnsi="Times New Roman" w:cs="Times New Roman"/>
          <w:color w:val="auto"/>
          <w:highlight w:val="none"/>
          <w:u w:val="none"/>
          <w:lang w:val="zh-CN"/>
        </w:rPr>
        <w:t>无论时间、地点、方式和原因，如因</w:t>
      </w:r>
      <w:r>
        <w:rPr>
          <w:rStyle w:val="89"/>
          <w:rFonts w:hint="eastAsia" w:ascii="Times New Roman" w:hAnsi="Times New Roman" w:cs="Times New Roman"/>
          <w:color w:val="auto"/>
          <w:highlight w:val="none"/>
          <w:u w:val="none"/>
          <w:lang w:val="zh-CN"/>
        </w:rPr>
        <w:t>卖方</w:t>
      </w:r>
      <w:r>
        <w:rPr>
          <w:rStyle w:val="89"/>
          <w:rFonts w:ascii="Times New Roman" w:hAnsi="Times New Roman" w:cs="Times New Roman"/>
          <w:color w:val="auto"/>
          <w:highlight w:val="none"/>
          <w:u w:val="none"/>
          <w:lang w:val="zh-CN"/>
        </w:rPr>
        <w:t>履行本合同或</w:t>
      </w:r>
      <w:r>
        <w:rPr>
          <w:rStyle w:val="89"/>
          <w:rFonts w:hint="eastAsia" w:ascii="Times New Roman" w:hAnsi="Times New Roman" w:cs="Times New Roman"/>
          <w:color w:val="auto"/>
          <w:highlight w:val="none"/>
          <w:u w:val="none"/>
          <w:lang w:val="zh-CN"/>
        </w:rPr>
        <w:t>因</w:t>
      </w:r>
      <w:r>
        <w:rPr>
          <w:rStyle w:val="89"/>
          <w:rFonts w:ascii="Times New Roman" w:hAnsi="Times New Roman" w:cs="Times New Roman"/>
          <w:color w:val="auto"/>
          <w:highlight w:val="none"/>
          <w:u w:val="none"/>
          <w:lang w:val="zh-CN"/>
        </w:rPr>
        <w:t>货物存在缺陷，造成任何江、河、湖、海、陆地、大气及其它环境污染，卖方应单独承担全部责任，包括消除污染源、赔偿污染造成的损失、承担污染产生的法律责任和污染造成的停工损失等，并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买方因此需要支付任何赔偿时，卖方均应全额予以补偿。</w:t>
      </w:r>
      <w:bookmarkEnd w:id="428"/>
    </w:p>
    <w:p>
      <w:pPr>
        <w:pStyle w:val="3"/>
        <w:keepLines/>
        <w:widowControl w:val="0"/>
        <w:numPr>
          <w:ilvl w:val="0"/>
          <w:numId w:val="31"/>
        </w:numPr>
        <w:tabs>
          <w:tab w:val="left" w:pos="0"/>
          <w:tab w:val="left" w:pos="1440"/>
          <w:tab w:val="left" w:pos="1620"/>
          <w:tab w:val="left" w:pos="1800"/>
          <w:tab w:val="left" w:pos="1980"/>
          <w:tab w:val="left" w:pos="2160"/>
          <w:tab w:val="left" w:pos="2340"/>
          <w:tab w:val="left" w:pos="2700"/>
          <w:tab w:val="left" w:pos="3060"/>
          <w:tab w:val="left" w:pos="3240"/>
          <w:tab w:val="left" w:pos="3420"/>
          <w:tab w:val="left" w:pos="4140"/>
          <w:tab w:val="left" w:pos="4680"/>
          <w:tab w:val="left" w:pos="4860"/>
          <w:tab w:val="left" w:pos="5760"/>
          <w:tab w:val="clear" w:pos="3688"/>
        </w:tabs>
        <w:spacing w:before="0" w:after="0" w:line="360" w:lineRule="auto"/>
        <w:ind w:left="0" w:firstLine="0"/>
        <w:jc w:val="center"/>
        <w:rPr>
          <w:rFonts w:ascii="Times New Roman" w:hAnsi="Times New Roman"/>
          <w:i w:val="0"/>
          <w:iCs w:val="0"/>
          <w:sz w:val="24"/>
          <w:szCs w:val="24"/>
          <w:highlight w:val="none"/>
        </w:rPr>
      </w:pPr>
      <w:bookmarkStart w:id="429" w:name="_Toc296804743"/>
      <w:bookmarkEnd w:id="429"/>
      <w:bookmarkStart w:id="430" w:name="_Toc273388631"/>
      <w:bookmarkStart w:id="431" w:name="_Toc291435941"/>
      <w:bookmarkStart w:id="432" w:name="_Toc300671226"/>
      <w:bookmarkStart w:id="433" w:name="_Toc274343593"/>
      <w:bookmarkStart w:id="434" w:name="_Toc278889811"/>
      <w:bookmarkStart w:id="435" w:name="_Toc274403524"/>
      <w:bookmarkStart w:id="436" w:name="_Toc274669189"/>
      <w:bookmarkStart w:id="437" w:name="_Toc273451816"/>
      <w:bookmarkStart w:id="438" w:name="_Toc296959347"/>
      <w:bookmarkStart w:id="439" w:name="_Toc273388532"/>
      <w:bookmarkStart w:id="440" w:name="_Toc152081976"/>
      <w:bookmarkStart w:id="441" w:name="_Toc296955885"/>
      <w:bookmarkStart w:id="442" w:name="_Toc273458630"/>
      <w:bookmarkStart w:id="443" w:name="_Toc291435874"/>
      <w:bookmarkStart w:id="444" w:name="_Toc274754058"/>
      <w:bookmarkStart w:id="445" w:name="_Toc274075997"/>
      <w:bookmarkStart w:id="446" w:name="_Toc274668248"/>
      <w:bookmarkStart w:id="447" w:name="_Toc274344125"/>
      <w:r>
        <w:rPr>
          <w:rFonts w:ascii="Times New Roman" w:hAnsi="Times New Roman"/>
          <w:i w:val="0"/>
          <w:iCs w:val="0"/>
          <w:sz w:val="24"/>
          <w:szCs w:val="24"/>
          <w:highlight w:val="none"/>
        </w:rPr>
        <w:t>税费</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numPr>
          <w:ilvl w:val="0"/>
          <w:numId w:val="65"/>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对于在中华人民共和国境内发生的税费，买卖双方应根据法律法规各自承担。</w:t>
      </w:r>
    </w:p>
    <w:p>
      <w:pPr>
        <w:numPr>
          <w:ilvl w:val="0"/>
          <w:numId w:val="65"/>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对于在中华人民共和国境内发生的税费，买方有权根据法律法规和本合同的相关规定从应支付给卖方的合同价款中扣除</w:t>
      </w:r>
      <w:r>
        <w:rPr>
          <w:rFonts w:hint="eastAsia" w:ascii="Times New Roman" w:hAnsi="Times New Roman" w:cs="Times New Roman"/>
          <w:highlight w:val="none"/>
        </w:rPr>
        <w:t>。</w:t>
      </w:r>
      <w:r>
        <w:rPr>
          <w:rFonts w:ascii="Times New Roman" w:hAnsi="Times New Roman" w:cs="Times New Roman"/>
          <w:highlight w:val="none"/>
        </w:rPr>
        <w:t>由买方代扣、代缴的卖方应付税费，但应当向卖方提交完税证明。</w:t>
      </w:r>
    </w:p>
    <w:p>
      <w:pPr>
        <w:numPr>
          <w:ilvl w:val="0"/>
          <w:numId w:val="65"/>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对于在中华人民共和国境外发生的税费，由卖方承担。</w:t>
      </w:r>
    </w:p>
    <w:p>
      <w:pPr>
        <w:numPr>
          <w:ilvl w:val="0"/>
          <w:numId w:val="65"/>
        </w:numPr>
        <w:tabs>
          <w:tab w:val="left" w:pos="709"/>
        </w:tabs>
        <w:spacing w:line="360" w:lineRule="auto"/>
        <w:ind w:left="720" w:hanging="720"/>
        <w:rPr>
          <w:rFonts w:ascii="Times New Roman" w:hAnsi="Times New Roman" w:cs="Times New Roman"/>
          <w:highlight w:val="none"/>
        </w:rPr>
      </w:pPr>
      <w:bookmarkStart w:id="448" w:name="_DV_C973"/>
      <w:r>
        <w:rPr>
          <w:rFonts w:ascii="Times New Roman" w:hAnsi="Times New Roman" w:cs="Times New Roman"/>
          <w:highlight w:val="none"/>
        </w:rPr>
        <w:t>为本条之目的，</w:t>
      </w:r>
      <w:bookmarkEnd w:id="448"/>
      <w:bookmarkStart w:id="449" w:name="_DV_X970"/>
      <w:bookmarkStart w:id="450" w:name="_DV_C974"/>
      <w:r>
        <w:rPr>
          <w:rFonts w:ascii="Times New Roman" w:hAnsi="Times New Roman" w:cs="Times New Roman"/>
          <w:highlight w:val="none"/>
        </w:rPr>
        <w:t>“中华人民共和国境外”包括香港特别行政区、澳门特别行政区和台湾地区</w:t>
      </w:r>
      <w:bookmarkEnd w:id="449"/>
      <w:bookmarkEnd w:id="450"/>
      <w:r>
        <w:rPr>
          <w:rFonts w:ascii="Times New Roman" w:hAnsi="Times New Roman" w:cs="Times New Roman"/>
          <w:highlight w:val="none"/>
        </w:rPr>
        <w:t>。</w:t>
      </w:r>
    </w:p>
    <w:p>
      <w:pPr>
        <w:pStyle w:val="3"/>
        <w:keepLines/>
        <w:widowControl w:val="0"/>
        <w:numPr>
          <w:ilvl w:val="0"/>
          <w:numId w:val="31"/>
        </w:numPr>
        <w:tabs>
          <w:tab w:val="left" w:pos="0"/>
          <w:tab w:val="left" w:pos="1440"/>
          <w:tab w:val="left" w:pos="1980"/>
          <w:tab w:val="left" w:pos="2880"/>
          <w:tab w:val="clear" w:pos="3688"/>
        </w:tabs>
        <w:spacing w:before="0" w:after="0" w:line="360" w:lineRule="auto"/>
        <w:ind w:left="0" w:firstLine="0"/>
        <w:jc w:val="center"/>
        <w:rPr>
          <w:rFonts w:ascii="Times New Roman" w:hAnsi="Times New Roman"/>
          <w:i w:val="0"/>
          <w:iCs w:val="0"/>
          <w:sz w:val="24"/>
          <w:szCs w:val="24"/>
          <w:highlight w:val="none"/>
        </w:rPr>
      </w:pPr>
      <w:bookmarkStart w:id="451" w:name="_Toc287977559"/>
      <w:bookmarkStart w:id="452" w:name="_Toc296955886"/>
      <w:bookmarkStart w:id="453" w:name="_Toc152081977"/>
      <w:bookmarkStart w:id="454" w:name="_Toc296959348"/>
      <w:bookmarkStart w:id="455" w:name="_Toc300671227"/>
      <w:bookmarkStart w:id="456" w:name="_Toc288479437"/>
      <w:r>
        <w:rPr>
          <w:rFonts w:ascii="Times New Roman" w:hAnsi="Times New Roman"/>
          <w:i w:val="0"/>
          <w:iCs w:val="0"/>
          <w:sz w:val="24"/>
          <w:szCs w:val="24"/>
          <w:highlight w:val="none"/>
        </w:rPr>
        <w:t>审计</w:t>
      </w:r>
      <w:bookmarkEnd w:id="451"/>
      <w:r>
        <w:rPr>
          <w:rFonts w:ascii="Times New Roman" w:hAnsi="Times New Roman"/>
          <w:i w:val="0"/>
          <w:iCs w:val="0"/>
          <w:sz w:val="24"/>
          <w:szCs w:val="24"/>
          <w:highlight w:val="none"/>
        </w:rPr>
        <w:t>和记录</w:t>
      </w:r>
      <w:bookmarkEnd w:id="452"/>
      <w:bookmarkEnd w:id="453"/>
      <w:bookmarkEnd w:id="454"/>
      <w:bookmarkEnd w:id="455"/>
      <w:bookmarkEnd w:id="456"/>
    </w:p>
    <w:p>
      <w:pPr>
        <w:widowControl w:val="0"/>
        <w:numPr>
          <w:ilvl w:val="0"/>
          <w:numId w:val="66"/>
        </w:numPr>
        <w:tabs>
          <w:tab w:val="left" w:pos="720"/>
          <w:tab w:val="left" w:pos="306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卖方应根据买方要求，无条件接受和配合买方或买方委托的会计师事务所进行的与本合同相关的审计，并应在分包合同（如有）中要求其分包商接受相同的审计要求。</w:t>
      </w:r>
    </w:p>
    <w:p>
      <w:pPr>
        <w:widowControl w:val="0"/>
        <w:numPr>
          <w:ilvl w:val="0"/>
          <w:numId w:val="66"/>
        </w:numPr>
        <w:tabs>
          <w:tab w:val="left" w:pos="720"/>
          <w:tab w:val="left" w:pos="306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卖方及其分包商（如有）应保存与本合同相关的记录和账目，保存期限为货物质保期结束后【</w:t>
      </w:r>
      <w:r>
        <w:rPr>
          <w:rFonts w:ascii="Times New Roman" w:hAnsi="Times New Roman" w:cs="Times New Roman"/>
          <w:color w:val="000000"/>
          <w:kern w:val="2"/>
          <w:highlight w:val="none"/>
        </w:rPr>
        <w:t>●</w:t>
      </w:r>
      <w:r>
        <w:rPr>
          <w:rFonts w:ascii="Times New Roman" w:hAnsi="Times New Roman" w:cs="Times New Roman"/>
          <w:highlight w:val="none"/>
        </w:rPr>
        <w:t>】年。该等记录和账目应详细记载因履行本合同发生的任何直接或间接费用（包括分包商发生的费用）。经提前通知，买方或其委托的会计师事务所有权检查并复制该等记录和账目。</w:t>
      </w:r>
    </w:p>
    <w:p>
      <w:pPr>
        <w:pStyle w:val="3"/>
        <w:keepLines/>
        <w:widowControl w:val="0"/>
        <w:numPr>
          <w:ilvl w:val="0"/>
          <w:numId w:val="31"/>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457" w:name="_Toc274344126"/>
      <w:bookmarkStart w:id="458" w:name="_Toc274343594"/>
      <w:bookmarkStart w:id="459" w:name="_Toc300671228"/>
      <w:bookmarkStart w:id="460" w:name="_Toc274668249"/>
      <w:bookmarkStart w:id="461" w:name="_Toc274403525"/>
      <w:bookmarkStart w:id="462" w:name="_Toc274754059"/>
      <w:bookmarkStart w:id="463" w:name="_Toc274669190"/>
      <w:bookmarkStart w:id="464" w:name="_Toc296959349"/>
      <w:bookmarkStart w:id="465" w:name="_Toc278889812"/>
      <w:bookmarkStart w:id="466" w:name="_Toc291435942"/>
      <w:bookmarkStart w:id="467" w:name="_Toc152081978"/>
      <w:bookmarkStart w:id="468" w:name="_Toc291435875"/>
      <w:bookmarkStart w:id="469" w:name="_Toc296955887"/>
      <w:r>
        <w:rPr>
          <w:rFonts w:ascii="Times New Roman" w:hAnsi="Times New Roman"/>
          <w:i w:val="0"/>
          <w:iCs w:val="0"/>
          <w:sz w:val="24"/>
          <w:szCs w:val="24"/>
          <w:highlight w:val="none"/>
        </w:rPr>
        <w:t>通知</w:t>
      </w:r>
      <w:bookmarkEnd w:id="457"/>
      <w:bookmarkEnd w:id="458"/>
      <w:bookmarkEnd w:id="459"/>
      <w:bookmarkEnd w:id="460"/>
      <w:bookmarkEnd w:id="461"/>
      <w:bookmarkEnd w:id="462"/>
      <w:bookmarkEnd w:id="463"/>
      <w:bookmarkEnd w:id="464"/>
      <w:bookmarkEnd w:id="465"/>
      <w:bookmarkEnd w:id="466"/>
      <w:bookmarkEnd w:id="467"/>
      <w:bookmarkEnd w:id="468"/>
      <w:bookmarkEnd w:id="469"/>
    </w:p>
    <w:p>
      <w:pPr>
        <w:numPr>
          <w:ilvl w:val="0"/>
          <w:numId w:val="67"/>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通知应根据本合同规定以亲自递送、特快专递、电子邮件、传真等方式送达。买方、卖方或相关第三方的地址、邮政编码、联系人、联系电话、传真号码、电子邮箱等如有变更，应及时书面通知对方。</w:t>
      </w:r>
    </w:p>
    <w:p>
      <w:pPr>
        <w:numPr>
          <w:ilvl w:val="0"/>
          <w:numId w:val="67"/>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通知在下列情况视为送达：</w:t>
      </w:r>
    </w:p>
    <w:p>
      <w:pPr>
        <w:numPr>
          <w:ilvl w:val="1"/>
          <w:numId w:val="68"/>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如采用亲自递送方式，于签收确认之时；</w:t>
      </w:r>
    </w:p>
    <w:p>
      <w:pPr>
        <w:numPr>
          <w:ilvl w:val="1"/>
          <w:numId w:val="68"/>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如采用特快专递方式，于收件人签收之时；</w:t>
      </w:r>
    </w:p>
    <w:p>
      <w:pPr>
        <w:numPr>
          <w:ilvl w:val="1"/>
          <w:numId w:val="68"/>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如采用传真方式，于确认传输之时；</w:t>
      </w:r>
    </w:p>
    <w:p>
      <w:pPr>
        <w:numPr>
          <w:ilvl w:val="1"/>
          <w:numId w:val="68"/>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如采用电子邮件方式，于邮件进入收件人指定系统之时。</w:t>
      </w:r>
    </w:p>
    <w:p>
      <w:pPr>
        <w:numPr>
          <w:ilvl w:val="0"/>
          <w:numId w:val="67"/>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通知在接收方正常工作期间送达视为生效。如果不在正常的工作期间，则视为于随后的第一个工作日上午【十（10）】点送达。</w:t>
      </w:r>
    </w:p>
    <w:p>
      <w:pPr>
        <w:pStyle w:val="3"/>
        <w:keepLines/>
        <w:widowControl w:val="0"/>
        <w:numPr>
          <w:ilvl w:val="0"/>
          <w:numId w:val="31"/>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470" w:name="_Toc278889813"/>
      <w:bookmarkStart w:id="471" w:name="_Toc152081979"/>
      <w:bookmarkStart w:id="472" w:name="_Toc274343595"/>
      <w:bookmarkStart w:id="473" w:name="_Toc296955888"/>
      <w:bookmarkStart w:id="474" w:name="_Toc274754060"/>
      <w:bookmarkStart w:id="475" w:name="_Toc273458631"/>
      <w:bookmarkStart w:id="476" w:name="_Toc296959350"/>
      <w:bookmarkStart w:id="477" w:name="_Toc274075998"/>
      <w:bookmarkStart w:id="478" w:name="_Toc273388632"/>
      <w:bookmarkStart w:id="479" w:name="_Toc273451817"/>
      <w:bookmarkStart w:id="480" w:name="_Toc274669191"/>
      <w:bookmarkStart w:id="481" w:name="_Toc274403526"/>
      <w:bookmarkStart w:id="482" w:name="_Toc291435876"/>
      <w:bookmarkStart w:id="483" w:name="_Toc274344127"/>
      <w:bookmarkStart w:id="484" w:name="_Toc274668250"/>
      <w:bookmarkStart w:id="485" w:name="_Toc273388533"/>
      <w:bookmarkStart w:id="486" w:name="_Toc300671229"/>
      <w:bookmarkStart w:id="487" w:name="_Toc291435943"/>
      <w:r>
        <w:rPr>
          <w:rFonts w:ascii="Times New Roman" w:hAnsi="Times New Roman"/>
          <w:i w:val="0"/>
          <w:iCs w:val="0"/>
          <w:sz w:val="24"/>
          <w:szCs w:val="24"/>
          <w:highlight w:val="none"/>
        </w:rPr>
        <w:t>适用法律</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numPr>
          <w:ilvl w:val="0"/>
          <w:numId w:val="69"/>
        </w:numPr>
        <w:tabs>
          <w:tab w:val="left" w:pos="720"/>
          <w:tab w:val="clear" w:pos="0"/>
        </w:tabs>
        <w:spacing w:line="360" w:lineRule="auto"/>
        <w:ind w:left="720" w:hanging="720"/>
        <w:rPr>
          <w:rFonts w:ascii="Times New Roman" w:hAnsi="Times New Roman" w:cs="Times New Roman"/>
          <w:highlight w:val="none"/>
        </w:rPr>
      </w:pPr>
      <w:r>
        <w:rPr>
          <w:rFonts w:ascii="Times New Roman" w:hAnsi="Times New Roman" w:cs="Times New Roman"/>
          <w:highlight w:val="none"/>
        </w:rPr>
        <w:t>本合同适用中国法律。</w:t>
      </w:r>
    </w:p>
    <w:p>
      <w:pPr>
        <w:pStyle w:val="3"/>
        <w:keepLines/>
        <w:widowControl w:val="0"/>
        <w:numPr>
          <w:ilvl w:val="0"/>
          <w:numId w:val="31"/>
        </w:numPr>
        <w:tabs>
          <w:tab w:val="left" w:pos="0"/>
          <w:tab w:val="left" w:pos="1440"/>
          <w:tab w:val="left" w:pos="180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488" w:name="_Toc278889814"/>
      <w:bookmarkStart w:id="489" w:name="_Toc274344128"/>
      <w:bookmarkStart w:id="490" w:name="_Toc273388534"/>
      <w:bookmarkStart w:id="491" w:name="_Toc296955889"/>
      <w:bookmarkStart w:id="492" w:name="_Toc273451818"/>
      <w:bookmarkStart w:id="493" w:name="_Toc291435944"/>
      <w:bookmarkStart w:id="494" w:name="_Toc274075999"/>
      <w:bookmarkStart w:id="495" w:name="_Toc274403527"/>
      <w:bookmarkStart w:id="496" w:name="_Toc274669192"/>
      <w:bookmarkStart w:id="497" w:name="_Toc274754061"/>
      <w:bookmarkStart w:id="498" w:name="_Toc291435877"/>
      <w:bookmarkStart w:id="499" w:name="_Toc274343596"/>
      <w:bookmarkStart w:id="500" w:name="_Toc273458632"/>
      <w:bookmarkStart w:id="501" w:name="_Toc152081980"/>
      <w:bookmarkStart w:id="502" w:name="_Toc300671230"/>
      <w:bookmarkStart w:id="503" w:name="_Toc273388633"/>
      <w:bookmarkStart w:id="504" w:name="_Toc296959351"/>
      <w:bookmarkStart w:id="505" w:name="_Toc274668251"/>
      <w:r>
        <w:rPr>
          <w:rFonts w:ascii="Times New Roman" w:hAnsi="Times New Roman"/>
          <w:i w:val="0"/>
          <w:iCs w:val="0"/>
          <w:sz w:val="24"/>
          <w:szCs w:val="24"/>
          <w:highlight w:val="none"/>
        </w:rPr>
        <w:t>合同语言</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numPr>
          <w:ilvl w:val="2"/>
          <w:numId w:val="70"/>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除本合同另有明确规定或双方另行同意外，本合同及本合同项下的任何文件及往来函电均采用中文书写。</w:t>
      </w:r>
    </w:p>
    <w:p>
      <w:pPr>
        <w:pStyle w:val="3"/>
        <w:keepLines/>
        <w:widowControl w:val="0"/>
        <w:numPr>
          <w:ilvl w:val="0"/>
          <w:numId w:val="31"/>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506" w:name="_Toc152081981"/>
      <w:bookmarkStart w:id="507" w:name="_Toc300671231"/>
      <w:r>
        <w:rPr>
          <w:rFonts w:ascii="Times New Roman" w:hAnsi="Times New Roman"/>
          <w:i w:val="0"/>
          <w:iCs w:val="0"/>
          <w:sz w:val="24"/>
          <w:szCs w:val="24"/>
          <w:highlight w:val="none"/>
        </w:rPr>
        <w:t>标题</w:t>
      </w:r>
      <w:bookmarkEnd w:id="506"/>
      <w:bookmarkEnd w:id="507"/>
    </w:p>
    <w:p>
      <w:pPr>
        <w:numPr>
          <w:ilvl w:val="0"/>
          <w:numId w:val="71"/>
        </w:numPr>
        <w:tabs>
          <w:tab w:val="left" w:pos="720"/>
        </w:tabs>
        <w:spacing w:line="360" w:lineRule="auto"/>
        <w:ind w:left="720" w:hanging="720"/>
        <w:rPr>
          <w:rFonts w:ascii="Times New Roman" w:hAnsi="Times New Roman" w:cs="Times New Roman"/>
          <w:color w:val="000000"/>
          <w:highlight w:val="none"/>
        </w:rPr>
      </w:pPr>
      <w:r>
        <w:rPr>
          <w:rFonts w:ascii="Times New Roman" w:hAnsi="Times New Roman" w:cs="Times New Roman"/>
          <w:color w:val="000000"/>
          <w:highlight w:val="none"/>
        </w:rPr>
        <w:t>本合同各部分及各条款的标题仅为方便阅读而设，不影响对条款实质内容的解释。</w:t>
      </w:r>
    </w:p>
    <w:p>
      <w:pPr>
        <w:pStyle w:val="3"/>
        <w:keepLines/>
        <w:widowControl w:val="0"/>
        <w:numPr>
          <w:ilvl w:val="0"/>
          <w:numId w:val="31"/>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508" w:name="_Toc152081982"/>
      <w:r>
        <w:rPr>
          <w:rFonts w:ascii="Times New Roman" w:hAnsi="Times New Roman"/>
          <w:i w:val="0"/>
          <w:iCs w:val="0"/>
          <w:sz w:val="24"/>
          <w:szCs w:val="24"/>
          <w:highlight w:val="none"/>
        </w:rPr>
        <w:t>其它</w:t>
      </w:r>
      <w:bookmarkEnd w:id="508"/>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本合同未尽事宜，应由买卖双方协商确定，并签订补充协议，补充协议与本合同具有同等法律效力</w:t>
      </w:r>
      <w:r>
        <w:rPr>
          <w:rFonts w:hint="eastAsia" w:ascii="Times New Roman" w:hAnsi="Times New Roman" w:cs="Times New Roman"/>
          <w:highlight w:val="none"/>
        </w:rPr>
        <w:t>，</w:t>
      </w:r>
      <w:r>
        <w:rPr>
          <w:rFonts w:hint="eastAsia" w:ascii="宋体" w:hAnsi="宋体" w:cs="宋体"/>
          <w:highlight w:val="none"/>
        </w:rPr>
        <w:t>补充协议的内容与本合同不一致的，以补充协议为准</w:t>
      </w:r>
      <w:r>
        <w:rPr>
          <w:rFonts w:ascii="Times New Roman" w:hAnsi="Times New Roman" w:cs="Times New Roman"/>
          <w:highlight w:val="none"/>
        </w:rPr>
        <w:t>。</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本合同的任何变更、修改或增减，须经双方协商一致、法定代表人或授权代表签署书面文件并盖章后生效。</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本合同系买卖双方反复协商、讨论的结果，合同内容非一方当事人事先拟定。本合同不属于格式合同，条款内容不属于格式条款。</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未经另一方事先书面同意，任何一方不得以任何方式在其机构外使用另一方的名称、商品商标、服务商标、企业标志、商号或品牌。</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如果本合同的任何条款或规定被裁定为无效、不合法或不可执行，该条款或规定应视为被删除，本合同其它条款不受影响，仍继续有效。</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履行过程中，如卖方发生重组、合并、分立、重大股权或资产转让，应及时通知买方。经买方事先书面同意，卖方应安排具有相应资质的主体继续履行本合同，否则卖方不得执行前述重组、合并、分立或转让。卖方应根据买方的要求，为继续履行本合同的主体安排履约担保。</w:t>
      </w:r>
    </w:p>
    <w:p>
      <w:pPr>
        <w:numPr>
          <w:ilvl w:val="0"/>
          <w:numId w:val="7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本合同解除或终止后，本合同项下关于知识产权、保密、保证、责任、适用法律、争议解决和其它具有持续性效力的条款继续有效。</w:t>
      </w:r>
    </w:p>
    <w:bookmarkEnd w:id="331"/>
    <w:p>
      <w:pPr>
        <w:pStyle w:val="2"/>
        <w:keepLines/>
        <w:spacing w:before="0" w:after="0" w:line="360" w:lineRule="auto"/>
        <w:ind w:left="525" w:hanging="525"/>
        <w:jc w:val="center"/>
        <w:rPr>
          <w:rFonts w:ascii="Times New Roman" w:hAnsi="Times New Roman"/>
          <w:b w:val="0"/>
          <w:bCs w:val="0"/>
          <w:sz w:val="24"/>
          <w:szCs w:val="24"/>
          <w:highlight w:val="none"/>
        </w:rPr>
      </w:pPr>
      <w:bookmarkStart w:id="509" w:name="_Toc296804740"/>
      <w:bookmarkEnd w:id="509"/>
      <w:r>
        <w:rPr>
          <w:rFonts w:ascii="Times New Roman" w:hAnsi="Times New Roman"/>
          <w:sz w:val="24"/>
          <w:szCs w:val="24"/>
          <w:highlight w:val="none"/>
          <w:u w:val="single"/>
        </w:rPr>
        <w:br w:type="page"/>
      </w:r>
      <w:bookmarkStart w:id="510" w:name="_Toc300671233"/>
      <w:bookmarkStart w:id="511" w:name="_Toc297106712"/>
      <w:bookmarkStart w:id="512" w:name="_Toc152081983"/>
      <w:r>
        <w:rPr>
          <w:rFonts w:ascii="Times New Roman" w:hAnsi="Times New Roman"/>
          <w:kern w:val="44"/>
          <w:sz w:val="24"/>
          <w:szCs w:val="24"/>
          <w:highlight w:val="none"/>
        </w:rPr>
        <w:t>第四部分  附件</w:t>
      </w:r>
      <w:bookmarkEnd w:id="510"/>
      <w:bookmarkEnd w:id="511"/>
      <w:bookmarkEnd w:id="512"/>
    </w:p>
    <w:p>
      <w:pPr>
        <w:pStyle w:val="3"/>
        <w:spacing w:before="0" w:after="0" w:line="360" w:lineRule="auto"/>
        <w:rPr>
          <w:rFonts w:ascii="Times New Roman" w:hAnsi="Times New Roman"/>
          <w:i w:val="0"/>
          <w:iCs w:val="0"/>
          <w:sz w:val="24"/>
          <w:szCs w:val="24"/>
          <w:highlight w:val="none"/>
        </w:rPr>
      </w:pPr>
      <w:bookmarkStart w:id="513" w:name="_Toc300671234"/>
      <w:bookmarkStart w:id="514" w:name="_Toc152081984"/>
      <w:r>
        <w:rPr>
          <w:rFonts w:ascii="Times New Roman" w:hAnsi="Times New Roman"/>
          <w:i w:val="0"/>
          <w:iCs w:val="0"/>
          <w:sz w:val="24"/>
          <w:szCs w:val="24"/>
          <w:highlight w:val="none"/>
        </w:rPr>
        <w:t>附件一：货物清单及货物规格（格式）</w:t>
      </w:r>
      <w:bookmarkEnd w:id="513"/>
      <w:bookmarkEnd w:id="514"/>
    </w:p>
    <w:p>
      <w:pPr>
        <w:spacing w:line="360" w:lineRule="auto"/>
        <w:rPr>
          <w:rFonts w:ascii="Times New Roman" w:hAnsi="Times New Roman" w:cs="Times New Roman"/>
          <w:highlight w:val="none"/>
        </w:rPr>
      </w:pPr>
    </w:p>
    <w:p>
      <w:pPr>
        <w:spacing w:line="360" w:lineRule="auto"/>
        <w:jc w:val="center"/>
        <w:rPr>
          <w:rFonts w:ascii="Times New Roman" w:hAnsi="Times New Roman" w:cs="Times New Roman"/>
          <w:b/>
          <w:bCs/>
          <w:highlight w:val="none"/>
        </w:rPr>
      </w:pPr>
      <w:r>
        <w:rPr>
          <w:rFonts w:ascii="Times New Roman" w:hAnsi="Times New Roman" w:cs="Times New Roman"/>
          <w:b/>
          <w:bCs/>
          <w:highlight w:val="none"/>
        </w:rPr>
        <w:t>货物清单及货物规格（格式）</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176"/>
        <w:gridCol w:w="1176"/>
        <w:gridCol w:w="2136"/>
        <w:gridCol w:w="696"/>
        <w:gridCol w:w="1755"/>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货物名称</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货物规格</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不含税单价（元）</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税率</w:t>
            </w:r>
          </w:p>
        </w:tc>
        <w:tc>
          <w:tcPr>
            <w:tcW w:w="1755" w:type="dxa"/>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含税单价（元）</w:t>
            </w:r>
          </w:p>
        </w:tc>
        <w:tc>
          <w:tcPr>
            <w:tcW w:w="661" w:type="dxa"/>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none"/>
              </w:rPr>
            </w:pP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hint="eastAsia"/>
          <w:highlight w:val="none"/>
        </w:rPr>
        <w:t>如遇增值税税率依法调整，则增值税以最新税率为准进行计算，税前单价、费率及合同总价保持不变；含税单价、费率及合同总价相应自动调整</w:t>
      </w:r>
      <w:r>
        <w:rPr>
          <w:rFonts w:ascii="Times New Roman" w:hAnsi="Times New Roman" w:cs="Times New Roman"/>
          <w:highlight w:val="none"/>
        </w:rPr>
        <w:t>。</w:t>
      </w:r>
    </w:p>
    <w:p>
      <w:pPr>
        <w:pStyle w:val="3"/>
        <w:spacing w:before="0" w:after="0" w:line="360" w:lineRule="auto"/>
        <w:rPr>
          <w:rFonts w:ascii="Times New Roman" w:hAnsi="Times New Roman"/>
          <w:i w:val="0"/>
          <w:iCs w:val="0"/>
          <w:sz w:val="24"/>
          <w:szCs w:val="24"/>
          <w:highlight w:val="none"/>
        </w:rPr>
      </w:pPr>
      <w:r>
        <w:rPr>
          <w:rFonts w:ascii="Times New Roman" w:hAnsi="Times New Roman"/>
          <w:b w:val="0"/>
          <w:bCs w:val="0"/>
          <w:sz w:val="24"/>
          <w:szCs w:val="24"/>
          <w:highlight w:val="none"/>
        </w:rPr>
        <w:br w:type="page"/>
      </w:r>
      <w:bookmarkStart w:id="515" w:name="_Toc300671235"/>
      <w:bookmarkStart w:id="516" w:name="_Toc152081985"/>
      <w:r>
        <w:rPr>
          <w:rFonts w:ascii="Times New Roman" w:hAnsi="Times New Roman"/>
          <w:i w:val="0"/>
          <w:iCs w:val="0"/>
          <w:sz w:val="24"/>
          <w:szCs w:val="24"/>
          <w:highlight w:val="none"/>
        </w:rPr>
        <w:t>附件二：技术服务、技术资料和培训</w:t>
      </w:r>
      <w:bookmarkEnd w:id="515"/>
      <w:bookmarkEnd w:id="516"/>
    </w:p>
    <w:p>
      <w:pPr>
        <w:spacing w:line="360" w:lineRule="auto"/>
        <w:rPr>
          <w:rFonts w:ascii="Times New Roman" w:hAnsi="Times New Roman" w:cs="Times New Roman"/>
          <w:color w:val="FF0000"/>
          <w:highlight w:val="none"/>
        </w:rPr>
      </w:pPr>
      <w:r>
        <w:rPr>
          <w:rFonts w:ascii="Times New Roman" w:hAnsi="Times New Roman" w:cs="Times New Roman"/>
          <w:color w:val="FF0000"/>
          <w:highlight w:val="none"/>
        </w:rPr>
        <w:t>（如不适用请删除）</w:t>
      </w:r>
    </w:p>
    <w:p>
      <w:pPr>
        <w:spacing w:line="360" w:lineRule="auto"/>
        <w:rPr>
          <w:rFonts w:ascii="Times New Roman" w:hAnsi="Times New Roman" w:cs="Times New Roman"/>
          <w:highlight w:val="none"/>
        </w:rPr>
      </w:pPr>
    </w:p>
    <w:p>
      <w:pPr>
        <w:spacing w:line="360" w:lineRule="auto"/>
        <w:jc w:val="center"/>
        <w:rPr>
          <w:rFonts w:ascii="Times New Roman" w:hAnsi="Times New Roman" w:cs="Times New Roman"/>
          <w:b/>
          <w:bCs/>
          <w:highlight w:val="none"/>
        </w:rPr>
      </w:pPr>
      <w:r>
        <w:rPr>
          <w:rFonts w:ascii="Times New Roman" w:hAnsi="Times New Roman" w:cs="Times New Roman"/>
          <w:b/>
          <w:bCs/>
          <w:highlight w:val="none"/>
        </w:rPr>
        <w:t>技术服务、技术资料和培训</w:t>
      </w:r>
    </w:p>
    <w:p>
      <w:pPr>
        <w:numPr>
          <w:ilvl w:val="0"/>
          <w:numId w:val="73"/>
        </w:numPr>
        <w:spacing w:line="360" w:lineRule="auto"/>
        <w:rPr>
          <w:rFonts w:ascii="Times New Roman" w:hAnsi="Times New Roman" w:cs="Times New Roman"/>
          <w:b/>
          <w:bCs/>
          <w:highlight w:val="none"/>
        </w:rPr>
      </w:pPr>
      <w:r>
        <w:rPr>
          <w:rFonts w:ascii="Times New Roman" w:hAnsi="Times New Roman" w:cs="Times New Roman"/>
          <w:b/>
          <w:bCs/>
          <w:highlight w:val="none"/>
        </w:rPr>
        <w:t>技术服务</w:t>
      </w:r>
    </w:p>
    <w:p>
      <w:pPr>
        <w:spacing w:line="360" w:lineRule="auto"/>
        <w:rPr>
          <w:rFonts w:ascii="Times New Roman" w:hAnsi="Times New Roman" w:cs="Times New Roman"/>
          <w:b/>
          <w:bCs/>
          <w:highlight w:val="none"/>
        </w:rPr>
      </w:pPr>
    </w:p>
    <w:p>
      <w:pPr>
        <w:widowControl w:val="0"/>
        <w:numPr>
          <w:ilvl w:val="0"/>
          <w:numId w:val="74"/>
        </w:numPr>
        <w:tabs>
          <w:tab w:val="left" w:pos="0"/>
          <w:tab w:val="clear" w:pos="3408"/>
        </w:tabs>
        <w:spacing w:line="360" w:lineRule="auto"/>
        <w:ind w:left="0" w:firstLine="0"/>
        <w:jc w:val="both"/>
        <w:rPr>
          <w:rFonts w:ascii="Times New Roman" w:hAnsi="Times New Roman" w:cs="Times New Roman"/>
          <w:b/>
          <w:bCs/>
          <w:highlight w:val="none"/>
        </w:rPr>
      </w:pPr>
      <w:r>
        <w:rPr>
          <w:rFonts w:ascii="Times New Roman" w:hAnsi="Times New Roman" w:cs="Times New Roman"/>
          <w:b/>
          <w:bCs/>
          <w:highlight w:val="none"/>
        </w:rPr>
        <w:t>使用指导</w:t>
      </w:r>
    </w:p>
    <w:p>
      <w:pPr>
        <w:spacing w:line="360" w:lineRule="auto"/>
        <w:ind w:firstLine="540" w:firstLineChars="225"/>
        <w:rPr>
          <w:rFonts w:ascii="Times New Roman" w:hAnsi="Times New Roman" w:cs="Times New Roman"/>
          <w:highlight w:val="none"/>
        </w:rPr>
      </w:pPr>
      <w:r>
        <w:rPr>
          <w:rFonts w:ascii="Times New Roman" w:hAnsi="Times New Roman" w:cs="Times New Roman"/>
          <w:highlight w:val="none"/>
        </w:rPr>
        <w:t>卖方应当免费提供【</w:t>
      </w:r>
      <w:r>
        <w:rPr>
          <w:rFonts w:ascii="Times New Roman" w:hAnsi="Times New Roman" w:cs="Times New Roman"/>
          <w:color w:val="000000"/>
          <w:kern w:val="2"/>
          <w:highlight w:val="none"/>
        </w:rPr>
        <w:t>●</w:t>
      </w:r>
      <w:r>
        <w:rPr>
          <w:rFonts w:ascii="Times New Roman" w:hAnsi="Times New Roman" w:cs="Times New Roman"/>
          <w:highlight w:val="none"/>
        </w:rPr>
        <w:t>】名专业技术人员，为买方提供现场使用指导。现场使用指导的时间为：</w:t>
      </w:r>
      <w:r>
        <w:rPr>
          <w:rFonts w:ascii="Times New Roman" w:hAnsi="Times New Roman" w:cs="Times New Roman"/>
          <w:highlight w:val="none"/>
          <w:u w:val="single"/>
        </w:rPr>
        <w:t xml:space="preserve">                     </w:t>
      </w:r>
      <w:r>
        <w:rPr>
          <w:rFonts w:ascii="Times New Roman" w:hAnsi="Times New Roman" w:cs="Times New Roman"/>
          <w:highlight w:val="none"/>
        </w:rPr>
        <w:t>。</w:t>
      </w:r>
    </w:p>
    <w:p>
      <w:pPr>
        <w:spacing w:line="360" w:lineRule="auto"/>
        <w:ind w:firstLine="540" w:firstLineChars="225"/>
        <w:rPr>
          <w:rFonts w:ascii="Times New Roman" w:hAnsi="Times New Roman" w:cs="Times New Roman"/>
          <w:highlight w:val="none"/>
        </w:rPr>
      </w:pPr>
    </w:p>
    <w:p>
      <w:pPr>
        <w:widowControl w:val="0"/>
        <w:numPr>
          <w:ilvl w:val="0"/>
          <w:numId w:val="74"/>
        </w:numPr>
        <w:tabs>
          <w:tab w:val="left" w:pos="0"/>
          <w:tab w:val="clear" w:pos="3408"/>
        </w:tabs>
        <w:spacing w:line="360" w:lineRule="auto"/>
        <w:ind w:left="0" w:firstLine="0"/>
        <w:jc w:val="both"/>
        <w:rPr>
          <w:rFonts w:ascii="Times New Roman" w:hAnsi="Times New Roman" w:cs="Times New Roman"/>
          <w:b/>
          <w:bCs/>
          <w:highlight w:val="none"/>
        </w:rPr>
      </w:pPr>
      <w:r>
        <w:rPr>
          <w:rFonts w:ascii="Times New Roman" w:hAnsi="Times New Roman" w:cs="Times New Roman"/>
          <w:b/>
          <w:bCs/>
          <w:highlight w:val="none"/>
        </w:rPr>
        <w:t>其它技术服务内容</w:t>
      </w:r>
    </w:p>
    <w:p>
      <w:pPr>
        <w:spacing w:line="360" w:lineRule="auto"/>
        <w:ind w:firstLine="540" w:firstLineChars="225"/>
        <w:rPr>
          <w:rFonts w:ascii="Times New Roman" w:hAnsi="Times New Roman" w:cs="Times New Roman"/>
          <w:highlight w:val="none"/>
        </w:rPr>
      </w:pPr>
      <w:r>
        <w:rPr>
          <w:rFonts w:ascii="Times New Roman" w:hAnsi="Times New Roman" w:cs="Times New Roman"/>
          <w:highlight w:val="none"/>
        </w:rPr>
        <w:t>卖方向买方提供的其它技术服务包括：</w:t>
      </w:r>
      <w:r>
        <w:rPr>
          <w:rFonts w:ascii="Times New Roman" w:hAnsi="Times New Roman" w:cs="Times New Roman"/>
          <w:highlight w:val="none"/>
          <w:u w:val="single"/>
        </w:rPr>
        <w:t xml:space="preserve">                              </w:t>
      </w:r>
      <w:r>
        <w:rPr>
          <w:rFonts w:ascii="Times New Roman" w:hAnsi="Times New Roman" w:cs="Times New Roman"/>
          <w:highlight w:val="none"/>
        </w:rPr>
        <w:t>。</w:t>
      </w:r>
    </w:p>
    <w:p>
      <w:pPr>
        <w:spacing w:line="360" w:lineRule="auto"/>
        <w:ind w:firstLine="540" w:firstLineChars="225"/>
        <w:rPr>
          <w:rFonts w:ascii="Times New Roman" w:hAnsi="Times New Roman" w:cs="Times New Roman"/>
          <w:highlight w:val="none"/>
        </w:rPr>
      </w:pPr>
    </w:p>
    <w:p>
      <w:pPr>
        <w:numPr>
          <w:ilvl w:val="0"/>
          <w:numId w:val="73"/>
        </w:numPr>
        <w:spacing w:line="360" w:lineRule="auto"/>
        <w:rPr>
          <w:rFonts w:ascii="Times New Roman" w:hAnsi="Times New Roman" w:cs="Times New Roman"/>
          <w:b/>
          <w:bCs/>
          <w:highlight w:val="none"/>
        </w:rPr>
      </w:pPr>
      <w:r>
        <w:rPr>
          <w:rFonts w:ascii="Times New Roman" w:hAnsi="Times New Roman" w:cs="Times New Roman"/>
          <w:b/>
          <w:highlight w:val="none"/>
        </w:rPr>
        <w:t>技术资料</w:t>
      </w:r>
    </w:p>
    <w:p>
      <w:pPr>
        <w:spacing w:line="360" w:lineRule="auto"/>
        <w:rPr>
          <w:rFonts w:ascii="Times New Roman" w:hAnsi="Times New Roman" w:cs="Times New Roman"/>
          <w:bCs/>
          <w:highlight w:val="none"/>
        </w:rPr>
      </w:pPr>
      <w:r>
        <w:rPr>
          <w:rFonts w:ascii="Times New Roman" w:hAnsi="Times New Roman" w:cs="Times New Roman"/>
          <w:bCs/>
          <w:highlight w:val="none"/>
        </w:rPr>
        <w:t>（列明对买方提供的技术资料的要求）</w:t>
      </w:r>
    </w:p>
    <w:p>
      <w:pPr>
        <w:spacing w:line="360" w:lineRule="auto"/>
        <w:rPr>
          <w:rFonts w:ascii="Times New Roman" w:hAnsi="Times New Roman" w:cs="Times New Roman"/>
          <w:b/>
          <w:bCs/>
          <w:highlight w:val="none"/>
        </w:rPr>
      </w:pPr>
    </w:p>
    <w:p>
      <w:pPr>
        <w:numPr>
          <w:ilvl w:val="0"/>
          <w:numId w:val="73"/>
        </w:numPr>
        <w:spacing w:line="360" w:lineRule="auto"/>
        <w:rPr>
          <w:rFonts w:ascii="Times New Roman" w:hAnsi="Times New Roman" w:cs="Times New Roman"/>
          <w:b/>
          <w:bCs/>
          <w:highlight w:val="none"/>
        </w:rPr>
      </w:pPr>
      <w:r>
        <w:rPr>
          <w:rFonts w:ascii="Times New Roman" w:hAnsi="Times New Roman" w:cs="Times New Roman"/>
          <w:b/>
          <w:highlight w:val="none"/>
        </w:rPr>
        <w:t>培训</w:t>
      </w:r>
    </w:p>
    <w:p>
      <w:pPr>
        <w:spacing w:line="360" w:lineRule="auto"/>
        <w:rPr>
          <w:rFonts w:ascii="Times New Roman" w:hAnsi="Times New Roman" w:cs="Times New Roman"/>
          <w:b/>
          <w:bCs/>
          <w:highlight w:val="none"/>
        </w:rPr>
      </w:pPr>
    </w:p>
    <w:p>
      <w:pPr>
        <w:widowControl w:val="0"/>
        <w:numPr>
          <w:ilvl w:val="2"/>
          <w:numId w:val="75"/>
        </w:numPr>
        <w:tabs>
          <w:tab w:val="left" w:pos="600"/>
          <w:tab w:val="clear" w:pos="1280"/>
        </w:tabs>
        <w:spacing w:line="360" w:lineRule="auto"/>
        <w:ind w:left="600" w:hanging="600"/>
        <w:jc w:val="both"/>
        <w:rPr>
          <w:rFonts w:ascii="Times New Roman" w:hAnsi="Times New Roman" w:cs="Times New Roman"/>
          <w:highlight w:val="none"/>
        </w:rPr>
      </w:pPr>
      <w:r>
        <w:rPr>
          <w:rFonts w:ascii="Times New Roman" w:hAnsi="Times New Roman" w:cs="Times New Roman"/>
          <w:highlight w:val="none"/>
        </w:rPr>
        <w:t>为确保买方对</w:t>
      </w:r>
      <w:r>
        <w:rPr>
          <w:rFonts w:ascii="Times New Roman" w:hAnsi="Times New Roman" w:cs="Times New Roman"/>
          <w:highlight w:val="none"/>
          <w:u w:val="single"/>
        </w:rPr>
        <w:t xml:space="preserve">                            </w:t>
      </w:r>
      <w:r>
        <w:rPr>
          <w:rFonts w:ascii="Times New Roman" w:hAnsi="Times New Roman" w:cs="Times New Roman"/>
          <w:highlight w:val="none"/>
        </w:rPr>
        <w:t>的正常使用，卖方免费为买方培训熟练的操作人员。</w:t>
      </w:r>
    </w:p>
    <w:p>
      <w:pPr>
        <w:widowControl w:val="0"/>
        <w:numPr>
          <w:ilvl w:val="2"/>
          <w:numId w:val="75"/>
        </w:numPr>
        <w:tabs>
          <w:tab w:val="left" w:pos="600"/>
          <w:tab w:val="left" w:pos="720"/>
          <w:tab w:val="clear" w:pos="1280"/>
        </w:tabs>
        <w:spacing w:line="360" w:lineRule="auto"/>
        <w:ind w:left="600" w:hanging="600"/>
        <w:jc w:val="both"/>
        <w:rPr>
          <w:rFonts w:ascii="Times New Roman" w:hAnsi="Times New Roman" w:cs="Times New Roman"/>
          <w:highlight w:val="none"/>
        </w:rPr>
      </w:pPr>
      <w:r>
        <w:rPr>
          <w:rFonts w:ascii="Times New Roman" w:hAnsi="Times New Roman" w:cs="Times New Roman"/>
          <w:highlight w:val="none"/>
        </w:rPr>
        <w:t>培训内容：</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2"/>
          <w:numId w:val="75"/>
        </w:numPr>
        <w:tabs>
          <w:tab w:val="left" w:pos="600"/>
          <w:tab w:val="left" w:pos="720"/>
          <w:tab w:val="clear" w:pos="1280"/>
        </w:tabs>
        <w:spacing w:line="360" w:lineRule="auto"/>
        <w:ind w:left="600" w:hanging="600"/>
        <w:jc w:val="both"/>
        <w:rPr>
          <w:rFonts w:ascii="Times New Roman" w:hAnsi="Times New Roman" w:cs="Times New Roman"/>
          <w:highlight w:val="none"/>
        </w:rPr>
      </w:pPr>
      <w:r>
        <w:rPr>
          <w:rFonts w:ascii="Times New Roman" w:hAnsi="Times New Roman" w:cs="Times New Roman"/>
          <w:highlight w:val="none"/>
        </w:rPr>
        <w:t>培训期限：</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2"/>
          <w:numId w:val="75"/>
        </w:numPr>
        <w:tabs>
          <w:tab w:val="left" w:pos="600"/>
          <w:tab w:val="left" w:pos="720"/>
          <w:tab w:val="clear" w:pos="1280"/>
        </w:tabs>
        <w:spacing w:line="360" w:lineRule="auto"/>
        <w:ind w:left="600" w:hanging="600"/>
        <w:jc w:val="both"/>
        <w:rPr>
          <w:rFonts w:ascii="Times New Roman" w:hAnsi="Times New Roman" w:cs="Times New Roman"/>
          <w:highlight w:val="none"/>
        </w:rPr>
      </w:pPr>
      <w:r>
        <w:rPr>
          <w:rFonts w:ascii="Times New Roman" w:hAnsi="Times New Roman" w:cs="Times New Roman"/>
          <w:highlight w:val="none"/>
        </w:rPr>
        <w:t>卖方应当向买方参与培训的人员提供以下资料：</w:t>
      </w:r>
      <w:r>
        <w:rPr>
          <w:rFonts w:ascii="Times New Roman" w:hAnsi="Times New Roman" w:cs="Times New Roman"/>
          <w:highlight w:val="none"/>
          <w:u w:val="single"/>
        </w:rPr>
        <w:t xml:space="preserve">         </w:t>
      </w:r>
      <w:r>
        <w:rPr>
          <w:rFonts w:ascii="Times New Roman" w:hAnsi="Times New Roman" w:cs="Times New Roman"/>
          <w:highlight w:val="none"/>
        </w:rPr>
        <w:t>。</w:t>
      </w:r>
    </w:p>
    <w:p>
      <w:pPr>
        <w:widowControl w:val="0"/>
        <w:numPr>
          <w:ilvl w:val="2"/>
          <w:numId w:val="75"/>
        </w:numPr>
        <w:tabs>
          <w:tab w:val="left" w:pos="540"/>
          <w:tab w:val="left" w:pos="600"/>
          <w:tab w:val="clear" w:pos="1280"/>
        </w:tabs>
        <w:spacing w:line="360" w:lineRule="auto"/>
        <w:ind w:left="600" w:hanging="600"/>
        <w:jc w:val="both"/>
        <w:rPr>
          <w:rFonts w:ascii="Times New Roman" w:hAnsi="Times New Roman" w:cs="Times New Roman"/>
          <w:highlight w:val="none"/>
        </w:rPr>
      </w:pPr>
      <w:r>
        <w:rPr>
          <w:rFonts w:ascii="Times New Roman" w:hAnsi="Times New Roman" w:cs="Times New Roman"/>
          <w:highlight w:val="none"/>
        </w:rPr>
        <w:t>培训结束后，买方参加培训的人员应当能够熟练的使用上述货物，并对运行过程中出现的异常现象有比较准确的判断。</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17" w:name="_Toc152081986"/>
      <w:bookmarkStart w:id="518" w:name="_Toc300671236"/>
      <w:r>
        <w:rPr>
          <w:rFonts w:ascii="Times New Roman" w:hAnsi="Times New Roman"/>
          <w:i w:val="0"/>
          <w:iCs w:val="0"/>
          <w:sz w:val="24"/>
          <w:szCs w:val="24"/>
          <w:highlight w:val="none"/>
        </w:rPr>
        <w:t>附件三：年度协议订单及发货清单（格式）</w:t>
      </w:r>
      <w:bookmarkEnd w:id="517"/>
      <w:bookmarkEnd w:id="518"/>
    </w:p>
    <w:tbl>
      <w:tblPr>
        <w:tblStyle w:val="39"/>
        <w:tblW w:w="10265" w:type="dxa"/>
        <w:tblInd w:w="-106" w:type="dxa"/>
        <w:tblLayout w:type="autofit"/>
        <w:tblCellMar>
          <w:top w:w="0" w:type="dxa"/>
          <w:left w:w="108" w:type="dxa"/>
          <w:bottom w:w="0" w:type="dxa"/>
          <w:right w:w="108" w:type="dxa"/>
        </w:tblCellMar>
      </w:tblPr>
      <w:tblGrid>
        <w:gridCol w:w="1065"/>
        <w:gridCol w:w="735"/>
        <w:gridCol w:w="1116"/>
        <w:gridCol w:w="1115"/>
        <w:gridCol w:w="831"/>
        <w:gridCol w:w="726"/>
        <w:gridCol w:w="833"/>
        <w:gridCol w:w="936"/>
        <w:gridCol w:w="955"/>
        <w:gridCol w:w="857"/>
        <w:gridCol w:w="1098"/>
      </w:tblGrid>
      <w:tr>
        <w:tblPrEx>
          <w:tblCellMar>
            <w:top w:w="0" w:type="dxa"/>
            <w:left w:w="108" w:type="dxa"/>
            <w:bottom w:w="0" w:type="dxa"/>
            <w:right w:w="108" w:type="dxa"/>
          </w:tblCellMar>
        </w:tblPrEx>
        <w:trPr>
          <w:trHeight w:val="542"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b/>
                <w:bCs/>
                <w:sz w:val="44"/>
                <w:szCs w:val="44"/>
                <w:highlight w:val="none"/>
              </w:rPr>
            </w:pPr>
            <w:r>
              <w:rPr>
                <w:rFonts w:ascii="Times New Roman" w:hAnsi="Times New Roman" w:cs="Times New Roman"/>
                <w:b/>
                <w:sz w:val="44"/>
                <w:szCs w:val="44"/>
                <w:highlight w:val="none"/>
              </w:rPr>
              <w:drawing>
                <wp:inline distT="0" distB="0" distL="114300" distR="114300">
                  <wp:extent cx="1701165" cy="628650"/>
                  <wp:effectExtent l="0" t="0" r="13335" b="0"/>
                  <wp:docPr id="2" name="图片 2" descr="RN$3TW6@1MNZ)I7C`IV7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N$3TW6@1MNZ)I7C`IV74$K"/>
                          <pic:cNvPicPr>
                            <a:picLocks noChangeAspect="1"/>
                          </pic:cNvPicPr>
                        </pic:nvPicPr>
                        <pic:blipFill>
                          <a:blip r:embed="rId11"/>
                          <a:stretch>
                            <a:fillRect/>
                          </a:stretch>
                        </pic:blipFill>
                        <pic:spPr>
                          <a:xfrm>
                            <a:off x="0" y="0"/>
                            <a:ext cx="1701165" cy="628650"/>
                          </a:xfrm>
                          <a:prstGeom prst="rect">
                            <a:avLst/>
                          </a:prstGeom>
                          <a:noFill/>
                          <a:ln>
                            <a:noFill/>
                          </a:ln>
                        </pic:spPr>
                      </pic:pic>
                    </a:graphicData>
                  </a:graphic>
                </wp:inline>
              </w:drawing>
            </w:r>
            <w:r>
              <w:rPr>
                <w:rFonts w:ascii="Times New Roman" w:hAnsi="Times New Roman" w:cs="Times New Roman"/>
                <w:b/>
                <w:sz w:val="44"/>
                <w:szCs w:val="44"/>
                <w:highlight w:val="none"/>
              </w:rPr>
              <w:t xml:space="preserve"> </w:t>
            </w:r>
            <w:r>
              <w:rPr>
                <w:rFonts w:ascii="Times New Roman" w:hAnsi="Times New Roman" w:cs="Times New Roman"/>
                <w:b/>
                <w:bCs/>
                <w:sz w:val="44"/>
                <w:szCs w:val="44"/>
                <w:highlight w:val="none"/>
              </w:rPr>
              <w:t>年 度 协 议 订 货 单</w:t>
            </w:r>
          </w:p>
        </w:tc>
      </w:tr>
      <w:tr>
        <w:tblPrEx>
          <w:tblCellMar>
            <w:top w:w="0" w:type="dxa"/>
            <w:left w:w="108" w:type="dxa"/>
            <w:bottom w:w="0" w:type="dxa"/>
            <w:right w:w="108" w:type="dxa"/>
          </w:tblCellMar>
        </w:tblPrEx>
        <w:trPr>
          <w:trHeight w:val="390"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供应商名称：</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订单编号：</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业务联系人：</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电话/传真：</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订货单位：</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订货日期：</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ind w:firstLine="1200" w:firstLineChars="500"/>
              <w:rPr>
                <w:rFonts w:ascii="Times New Roman" w:hAnsi="Times New Roman" w:cs="Times New Roman" w:eastAsiaTheme="minorEastAsia"/>
                <w:highlight w:val="none"/>
              </w:rPr>
            </w:pPr>
            <w:r>
              <w:rPr>
                <w:rFonts w:ascii="Times New Roman" w:hAnsi="Times New Roman" w:cs="Times New Roman" w:eastAsiaTheme="minorEastAsia"/>
                <w:highlight w:val="none"/>
              </w:rPr>
              <w:t>年    月   日</w:t>
            </w:r>
          </w:p>
        </w:tc>
      </w:tr>
      <w:tr>
        <w:tblPrEx>
          <w:tblCellMar>
            <w:top w:w="0" w:type="dxa"/>
            <w:left w:w="108" w:type="dxa"/>
            <w:bottom w:w="0" w:type="dxa"/>
            <w:right w:w="108" w:type="dxa"/>
          </w:tblCellMar>
        </w:tblPrEx>
        <w:trPr>
          <w:trHeight w:val="387" w:hRule="atLeast"/>
        </w:trPr>
        <w:tc>
          <w:tcPr>
            <w:tcW w:w="10265" w:type="dxa"/>
            <w:gridSpan w:val="11"/>
            <w:tcBorders>
              <w:top w:val="nil"/>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1、订货明细</w:t>
            </w:r>
          </w:p>
        </w:tc>
      </w:tr>
      <w:tr>
        <w:tblPrEx>
          <w:tblCellMar>
            <w:top w:w="0" w:type="dxa"/>
            <w:left w:w="108" w:type="dxa"/>
            <w:bottom w:w="0" w:type="dxa"/>
            <w:right w:w="108" w:type="dxa"/>
          </w:tblCellMar>
        </w:tblPrEx>
        <w:trPr>
          <w:trHeight w:val="433" w:hRule="atLeast"/>
        </w:trPr>
        <w:tc>
          <w:tcPr>
            <w:tcW w:w="10265"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xml:space="preserve"> Entered Purchasing Product Line</w:t>
            </w:r>
          </w:p>
        </w:tc>
      </w:tr>
      <w:tr>
        <w:tblPrEx>
          <w:tblCellMar>
            <w:top w:w="0" w:type="dxa"/>
            <w:left w:w="108" w:type="dxa"/>
            <w:bottom w:w="0" w:type="dxa"/>
            <w:right w:w="108" w:type="dxa"/>
          </w:tblCellMar>
        </w:tblPrEx>
        <w:trPr>
          <w:trHeight w:val="678" w:hRule="atLeast"/>
        </w:trPr>
        <w:tc>
          <w:tcPr>
            <w:tcW w:w="1065" w:type="dxa"/>
            <w:tcBorders>
              <w:top w:val="nil"/>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Line</w:t>
            </w:r>
          </w:p>
        </w:tc>
        <w:tc>
          <w:tcPr>
            <w:tcW w:w="73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订货编号</w:t>
            </w:r>
          </w:p>
        </w:tc>
        <w:tc>
          <w:tcPr>
            <w:tcW w:w="1204"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物料号</w:t>
            </w:r>
          </w:p>
        </w:tc>
        <w:tc>
          <w:tcPr>
            <w:tcW w:w="1199"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物料描述</w:t>
            </w:r>
          </w:p>
        </w:tc>
        <w:tc>
          <w:tcPr>
            <w:tcW w:w="831"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规格型号</w:t>
            </w:r>
          </w:p>
        </w:tc>
        <w:tc>
          <w:tcPr>
            <w:tcW w:w="726"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计量单位</w:t>
            </w:r>
          </w:p>
        </w:tc>
        <w:tc>
          <w:tcPr>
            <w:tcW w:w="833"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申请数量</w:t>
            </w:r>
          </w:p>
        </w:tc>
        <w:tc>
          <w:tcPr>
            <w:tcW w:w="70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采购单价（元）</w:t>
            </w:r>
          </w:p>
        </w:tc>
        <w:tc>
          <w:tcPr>
            <w:tcW w:w="9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总价（元）</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备注说明</w:t>
            </w:r>
          </w:p>
        </w:tc>
        <w:tc>
          <w:tcPr>
            <w:tcW w:w="11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长期协议编号</w:t>
            </w:r>
          </w:p>
        </w:tc>
      </w:tr>
      <w:tr>
        <w:tblPrEx>
          <w:tblCellMar>
            <w:top w:w="0" w:type="dxa"/>
            <w:left w:w="108" w:type="dxa"/>
            <w:bottom w:w="0" w:type="dxa"/>
            <w:right w:w="108" w:type="dxa"/>
          </w:tblCellMar>
        </w:tblPrEx>
        <w:trPr>
          <w:trHeight w:val="1241" w:hRule="atLeast"/>
        </w:trPr>
        <w:tc>
          <w:tcPr>
            <w:tcW w:w="1065" w:type="dxa"/>
            <w:tcBorders>
              <w:top w:val="nil"/>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3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1204"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1199"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31"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26"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33"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0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9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r>
      <w:tr>
        <w:tblPrEx>
          <w:tblCellMar>
            <w:top w:w="0" w:type="dxa"/>
            <w:left w:w="108" w:type="dxa"/>
            <w:bottom w:w="0" w:type="dxa"/>
            <w:right w:w="108" w:type="dxa"/>
          </w:tblCellMar>
        </w:tblPrEx>
        <w:trPr>
          <w:trHeight w:val="404" w:hRule="atLeast"/>
        </w:trPr>
        <w:tc>
          <w:tcPr>
            <w:tcW w:w="5760"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合计</w:t>
            </w:r>
          </w:p>
        </w:tc>
        <w:tc>
          <w:tcPr>
            <w:tcW w:w="833"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705" w:type="dxa"/>
            <w:tcBorders>
              <w:top w:val="nil"/>
              <w:left w:val="nil"/>
              <w:bottom w:val="single" w:color="auto" w:sz="4" w:space="0"/>
              <w:right w:val="single" w:color="auto" w:sz="4" w:space="0"/>
            </w:tcBorders>
            <w:vAlign w:val="center"/>
          </w:tcPr>
          <w:p>
            <w:pPr>
              <w:spacing w:line="360" w:lineRule="auto"/>
              <w:jc w:val="right"/>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955" w:type="dxa"/>
            <w:tcBorders>
              <w:top w:val="nil"/>
              <w:left w:val="nil"/>
              <w:bottom w:val="single" w:color="auto" w:sz="4" w:space="0"/>
              <w:right w:val="single" w:color="auto" w:sz="4" w:space="0"/>
            </w:tcBorders>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¥0.00</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xml:space="preserve"> </w:t>
            </w:r>
          </w:p>
        </w:tc>
      </w:tr>
      <w:tr>
        <w:tblPrEx>
          <w:tblCellMar>
            <w:top w:w="0" w:type="dxa"/>
            <w:left w:w="108" w:type="dxa"/>
            <w:bottom w:w="0" w:type="dxa"/>
            <w:right w:w="108" w:type="dxa"/>
          </w:tblCellMar>
        </w:tblPrEx>
        <w:trPr>
          <w:trHeight w:val="389" w:hRule="atLeast"/>
        </w:trPr>
        <w:tc>
          <w:tcPr>
            <w:tcW w:w="420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right="240"/>
              <w:rPr>
                <w:rFonts w:ascii="Times New Roman" w:hAnsi="Times New Roman" w:cs="Times New Roman" w:eastAsiaTheme="minorEastAsia"/>
                <w:highlight w:val="none"/>
              </w:rPr>
            </w:pPr>
            <w:r>
              <w:rPr>
                <w:rFonts w:ascii="Times New Roman" w:hAnsi="Times New Roman" w:cs="Times New Roman" w:eastAsiaTheme="minorEastAsia"/>
                <w:highlight w:val="none"/>
              </w:rPr>
              <w:t>合计（人民币大写）</w:t>
            </w:r>
          </w:p>
        </w:tc>
        <w:tc>
          <w:tcPr>
            <w:tcW w:w="4050" w:type="dxa"/>
            <w:gridSpan w:val="5"/>
            <w:tcBorders>
              <w:top w:val="single" w:color="auto" w:sz="4" w:space="0"/>
              <w:left w:val="nil"/>
              <w:bottom w:val="single" w:color="auto" w:sz="4" w:space="0"/>
              <w:right w:val="single" w:color="auto" w:sz="4" w:space="0"/>
            </w:tcBorders>
            <w:vAlign w:val="center"/>
          </w:tcPr>
          <w:p>
            <w:pPr>
              <w:spacing w:line="360" w:lineRule="auto"/>
              <w:jc w:val="right"/>
              <w:rPr>
                <w:rFonts w:ascii="Times New Roman" w:hAnsi="Times New Roman" w:cs="Times New Roman" w:eastAsiaTheme="minorEastAsia"/>
                <w:highlight w:val="none"/>
              </w:rPr>
            </w:pPr>
            <w:r>
              <w:rPr>
                <w:rFonts w:ascii="Times New Roman" w:hAnsi="Times New Roman" w:cs="Times New Roman" w:eastAsiaTheme="minorEastAsia"/>
                <w:highlight w:val="none"/>
              </w:rPr>
              <w:t>零</w:t>
            </w:r>
          </w:p>
        </w:tc>
        <w:tc>
          <w:tcPr>
            <w:tcW w:w="857"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highlight w:val="none"/>
              </w:rPr>
            </w:pPr>
            <w:r>
              <w:rPr>
                <w:rFonts w:ascii="Times New Roman" w:hAnsi="Times New Roman" w:cs="Times New Roman" w:eastAsiaTheme="minorEastAsia"/>
                <w:b/>
                <w:bCs/>
                <w:highlight w:val="none"/>
              </w:rPr>
              <w:t>2、交货地点</w:t>
            </w:r>
            <w:r>
              <w:rPr>
                <w:rFonts w:ascii="Times New Roman" w:hAnsi="Times New Roman" w:cs="Times New Roman" w:eastAsiaTheme="minorEastAsia"/>
                <w:highlight w:val="none"/>
              </w:rPr>
              <w:t>：xxx。收货人及联系方式：姓名xxx，手机xxx，送货请邮件通知，邮箱：xxx@cosl.com.cn。</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3、交货时间：</w:t>
            </w:r>
          </w:p>
        </w:tc>
      </w:tr>
      <w:tr>
        <w:tblPrEx>
          <w:tblCellMar>
            <w:top w:w="0" w:type="dxa"/>
            <w:left w:w="108" w:type="dxa"/>
            <w:bottom w:w="0" w:type="dxa"/>
            <w:right w:w="108" w:type="dxa"/>
          </w:tblCellMar>
        </w:tblPrEx>
        <w:trPr>
          <w:trHeight w:val="508"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4、付款方式：</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填写内容要与年度协议一致</w:t>
            </w:r>
            <w:r>
              <w:rPr>
                <w:rFonts w:ascii="Times New Roman" w:hAnsi="Times New Roman" w:cs="Times New Roman" w:eastAsiaTheme="minorEastAsia"/>
                <w:highlight w:val="none"/>
              </w:rPr>
              <w:t>）</w:t>
            </w:r>
          </w:p>
        </w:tc>
      </w:tr>
      <w:tr>
        <w:tblPrEx>
          <w:tblCellMar>
            <w:top w:w="0" w:type="dxa"/>
            <w:left w:w="108" w:type="dxa"/>
            <w:bottom w:w="0" w:type="dxa"/>
            <w:right w:w="108" w:type="dxa"/>
          </w:tblCellMar>
        </w:tblPrEx>
        <w:trPr>
          <w:trHeight w:val="750"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5、质保期：</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填写内容要与年度协议一致</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无质保期的可以不填</w:t>
            </w:r>
            <w:r>
              <w:rPr>
                <w:rFonts w:ascii="Times New Roman" w:hAnsi="Times New Roman" w:cs="Times New Roman" w:eastAsiaTheme="minorEastAsia"/>
                <w:highlight w:val="none"/>
              </w:rPr>
              <w:t>）</w:t>
            </w:r>
          </w:p>
        </w:tc>
      </w:tr>
      <w:tr>
        <w:tblPrEx>
          <w:tblCellMar>
            <w:top w:w="0" w:type="dxa"/>
            <w:left w:w="108" w:type="dxa"/>
            <w:bottom w:w="0" w:type="dxa"/>
            <w:right w:w="108" w:type="dxa"/>
          </w:tblCellMar>
        </w:tblPrEx>
        <w:trPr>
          <w:trHeight w:val="2021"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6、订货单位开发票信息如下：</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1) 公司名称：</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2) 纳税人识别号：</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3) 经营地址：</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4) 联系电话：</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 xml:space="preserve">5) 开户行名称： </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6) 银行账号：</w:t>
            </w:r>
          </w:p>
        </w:tc>
      </w:tr>
      <w:tr>
        <w:tblPrEx>
          <w:tblCellMar>
            <w:top w:w="0" w:type="dxa"/>
            <w:left w:w="108" w:type="dxa"/>
            <w:bottom w:w="0" w:type="dxa"/>
            <w:right w:w="108" w:type="dxa"/>
          </w:tblCellMar>
        </w:tblPrEx>
        <w:trPr>
          <w:trHeight w:val="1513"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 xml:space="preserve">7、订货单位将应付款支付至供应商指定的银行账户如下： </w:t>
            </w:r>
            <w:r>
              <w:rPr>
                <w:rFonts w:ascii="Times New Roman" w:hAnsi="Times New Roman" w:cs="Times New Roman" w:eastAsiaTheme="minorEastAsia"/>
                <w:highlight w:val="none"/>
              </w:rPr>
              <w:t xml:space="preserve">                                                                            1) 名称：                                                                                                                   2）纳税人识别号：                                                                                                                                                           3）地址、电话：                                                                                                                                                             4）开户行及帐号：                                                                       </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8、送货请附带产品检测报告、MSDS，否则不予接收。</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9、其他未明确的条款按年度协议内容执行。</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10、经双方友好协商后自愿订立本订单，此单经双方签发人签字后生效。</w:t>
            </w:r>
          </w:p>
        </w:tc>
      </w:tr>
      <w:tr>
        <w:tblPrEx>
          <w:tblCellMar>
            <w:top w:w="0" w:type="dxa"/>
            <w:left w:w="108" w:type="dxa"/>
            <w:bottom w:w="0" w:type="dxa"/>
            <w:right w:w="108" w:type="dxa"/>
          </w:tblCellMar>
        </w:tblPrEx>
        <w:trPr>
          <w:trHeight w:val="577"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订货经办人：           主管领导：                供应商授权人签字（盖章）：</w:t>
            </w:r>
          </w:p>
        </w:tc>
      </w:tr>
      <w:tr>
        <w:tblPrEx>
          <w:tblCellMar>
            <w:top w:w="0" w:type="dxa"/>
            <w:left w:w="108" w:type="dxa"/>
            <w:bottom w:w="0" w:type="dxa"/>
            <w:right w:w="108" w:type="dxa"/>
          </w:tblCellMar>
        </w:tblPrEx>
        <w:trPr>
          <w:trHeight w:val="531"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 xml:space="preserve">电话/传真：      </w:t>
            </w:r>
          </w:p>
        </w:tc>
      </w:tr>
    </w:tbl>
    <w:p>
      <w:pPr>
        <w:spacing w:line="360" w:lineRule="auto"/>
        <w:rPr>
          <w:rFonts w:ascii="Times New Roman" w:hAnsi="Times New Roman" w:cs="Times New Roman"/>
          <w:highlight w:val="none"/>
        </w:rPr>
      </w:pP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b/>
          <w:bCs/>
          <w:highlight w:val="none"/>
        </w:rPr>
      </w:pPr>
      <w:r>
        <w:rPr>
          <w:rFonts w:ascii="Times New Roman" w:hAnsi="Times New Roman" w:cs="Times New Roman"/>
          <w:b/>
          <w:bCs/>
          <w:highlight w:val="none"/>
        </w:rPr>
        <w:t>发货清单（格式）</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年度协议订单号：</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发货单位：</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ERP采购订单号：</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联系人：</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联系电话：</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预计交货日期：</w:t>
      </w:r>
      <w:r>
        <w:rPr>
          <w:rFonts w:ascii="Times New Roman" w:hAnsi="Times New Roman" w:cs="Times New Roman"/>
          <w:highlight w:val="none"/>
          <w:u w:val="singl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87"/>
        <w:gridCol w:w="3320"/>
        <w:gridCol w:w="1185"/>
        <w:gridCol w:w="904"/>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447"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1038"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物料号</w:t>
            </w:r>
          </w:p>
        </w:tc>
        <w:tc>
          <w:tcPr>
            <w:tcW w:w="1734"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货物名称</w:t>
            </w:r>
          </w:p>
        </w:tc>
        <w:tc>
          <w:tcPr>
            <w:tcW w:w="619"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472"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689"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240" w:hanging="240" w:hangingChars="100"/>
              <w:jc w:val="center"/>
              <w:rPr>
                <w:rFonts w:ascii="Times New Roman" w:hAnsi="Times New Roman" w:cs="Times New Roman"/>
                <w:highlight w:val="none"/>
              </w:rPr>
            </w:pPr>
            <w:r>
              <w:rPr>
                <w:rFonts w:ascii="Times New Roman" w:hAnsi="Times New Roman" w:cs="Times New Roman"/>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总计</w:t>
            </w: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其它说明：</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1、</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2、</w:t>
      </w:r>
      <w:r>
        <w:rPr>
          <w:rFonts w:ascii="Times New Roman" w:hAnsi="Times New Roman" w:cs="Times New Roman"/>
          <w:highlight w:val="none"/>
          <w:u w:val="single"/>
        </w:rPr>
        <w:t xml:space="preserve">                           </w:t>
      </w:r>
    </w:p>
    <w:p>
      <w:pPr>
        <w:tabs>
          <w:tab w:val="left" w:pos="420"/>
          <w:tab w:val="left" w:pos="840"/>
          <w:tab w:val="left" w:pos="1260"/>
          <w:tab w:val="left" w:pos="1680"/>
          <w:tab w:val="left" w:pos="2100"/>
          <w:tab w:val="right" w:pos="9638"/>
        </w:tabs>
        <w:spacing w:line="360" w:lineRule="auto"/>
        <w:ind w:firstLine="2520" w:firstLineChars="1050"/>
        <w:rPr>
          <w:rFonts w:ascii="Times New Roman" w:hAnsi="Times New Roman" w:cs="Times New Roman"/>
          <w:highlight w:val="none"/>
        </w:rPr>
      </w:pPr>
      <w:r>
        <w:rPr>
          <w:rFonts w:ascii="Times New Roman" w:hAnsi="Times New Roman" w:cs="Times New Roman"/>
          <w:highlight w:val="none"/>
        </w:rPr>
        <w:t xml:space="preserve">                     卖方（签章）：_____________</w:t>
      </w:r>
    </w:p>
    <w:p>
      <w:pPr>
        <w:pStyle w:val="3"/>
        <w:spacing w:before="0" w:after="0" w:line="360" w:lineRule="auto"/>
        <w:rPr>
          <w:rFonts w:ascii="Times New Roman" w:hAnsi="Times New Roman"/>
          <w:b w:val="0"/>
          <w:bCs w:val="0"/>
          <w:sz w:val="24"/>
          <w:szCs w:val="24"/>
          <w:highlight w:val="none"/>
        </w:rPr>
      </w:pPr>
      <w:r>
        <w:rPr>
          <w:rFonts w:ascii="Times New Roman" w:hAnsi="Times New Roman"/>
          <w:sz w:val="24"/>
          <w:szCs w:val="24"/>
          <w:highlight w:val="none"/>
        </w:rPr>
        <w:br w:type="page"/>
      </w:r>
      <w:bookmarkStart w:id="519" w:name="_Toc300671237"/>
      <w:bookmarkStart w:id="520" w:name="_Toc152081987"/>
      <w:r>
        <w:rPr>
          <w:rFonts w:ascii="Times New Roman" w:hAnsi="Times New Roman"/>
          <w:i w:val="0"/>
          <w:iCs w:val="0"/>
          <w:sz w:val="24"/>
          <w:szCs w:val="24"/>
          <w:highlight w:val="none"/>
        </w:rPr>
        <w:t>附件四：送货单（格式）</w:t>
      </w:r>
      <w:bookmarkEnd w:id="519"/>
      <w:bookmarkEnd w:id="520"/>
    </w:p>
    <w:p>
      <w:pPr>
        <w:spacing w:line="360" w:lineRule="auto"/>
        <w:ind w:right="-1" w:firstLine="240" w:firstLineChars="100"/>
        <w:jc w:val="right"/>
        <w:rPr>
          <w:rFonts w:ascii="Times New Roman" w:hAnsi="Times New Roman" w:cs="Times New Roman"/>
          <w:highlight w:val="none"/>
        </w:rPr>
      </w:pPr>
      <w:r>
        <w:rPr>
          <w:rFonts w:ascii="Times New Roman" w:hAnsi="Times New Roman" w:cs="Times New Roman"/>
          <w:highlight w:val="none"/>
        </w:rPr>
        <w:t xml:space="preserve">             </w:t>
      </w:r>
      <w:r>
        <w:rPr>
          <w:rFonts w:ascii="Times New Roman" w:hAnsi="Times New Roman" w:cs="Times New Roman"/>
          <w:color w:val="FF0000"/>
          <w:highlight w:val="none"/>
        </w:rPr>
        <w:t xml:space="preserve">             </w:t>
      </w:r>
      <w:r>
        <w:rPr>
          <w:rFonts w:ascii="Times New Roman" w:hAnsi="Times New Roman" w:cs="Times New Roman"/>
          <w:b/>
          <w:bCs/>
          <w:highlight w:val="none"/>
        </w:rPr>
        <w:t xml:space="preserve">                 </w:t>
      </w:r>
      <w:r>
        <w:rPr>
          <w:rFonts w:ascii="Times New Roman" w:hAnsi="Times New Roman" w:cs="Times New Roman"/>
          <w:highlight w:val="none"/>
        </w:rPr>
        <w:t xml:space="preserve">           </w:t>
      </w:r>
      <w:r>
        <w:rPr>
          <w:rFonts w:ascii="Times New Roman" w:hAnsi="Times New Roman" w:cs="Times New Roman"/>
          <w:b/>
          <w:bCs/>
          <w:highlight w:val="none"/>
        </w:rPr>
        <w:t xml:space="preserve"> No.</w:t>
      </w:r>
      <w:r>
        <w:rPr>
          <w:rFonts w:ascii="Times New Roman" w:hAnsi="Times New Roman" w:cs="Times New Roman"/>
          <w:highlight w:val="none"/>
        </w:rPr>
        <w:t xml:space="preserve"> XXX</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合同号:</w:t>
      </w:r>
      <w:r>
        <w:rPr>
          <w:rFonts w:ascii="Times New Roman" w:hAnsi="Times New Roman" w:cs="Times New Roman"/>
          <w:highlight w:val="none"/>
          <w:u w:val="single"/>
        </w:rPr>
        <w:t xml:space="preserve">                               </w:t>
      </w:r>
      <w:r>
        <w:rPr>
          <w:rFonts w:ascii="Times New Roman" w:hAnsi="Times New Roman" w:cs="Times New Roman"/>
          <w:highlight w:val="none"/>
        </w:rPr>
        <w:t xml:space="preserve">  ERP采购订单号：</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748"/>
        <w:gridCol w:w="3182"/>
        <w:gridCol w:w="821"/>
        <w:gridCol w:w="1026"/>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913"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SAP物料号</w:t>
            </w:r>
          </w:p>
        </w:tc>
        <w:tc>
          <w:tcPr>
            <w:tcW w:w="1662"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货物品牌、名称、规格</w:t>
            </w:r>
          </w:p>
        </w:tc>
        <w:tc>
          <w:tcPr>
            <w:tcW w:w="429"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536"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1073"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合同清单序号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bl>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日期：</w:t>
      </w:r>
      <w:r>
        <w:rPr>
          <w:rFonts w:ascii="Times New Roman" w:hAnsi="Times New Roman" w:cs="Times New Roman"/>
          <w:highlight w:val="none"/>
          <w:u w:val="single"/>
        </w:rPr>
        <w:t xml:space="preserve">                           </w:t>
      </w:r>
      <w:r>
        <w:rPr>
          <w:rFonts w:ascii="Times New Roman" w:hAnsi="Times New Roman" w:cs="Times New Roman"/>
          <w:highlight w:val="none"/>
        </w:rPr>
        <w:t xml:space="preserve">        日期：</w:t>
      </w:r>
      <w:r>
        <w:rPr>
          <w:rFonts w:ascii="Times New Roman" w:hAnsi="Times New Roman" w:cs="Times New Roman"/>
          <w:highlight w:val="none"/>
          <w:u w:val="single"/>
        </w:rPr>
        <w:t xml:space="preserve">                          </w:t>
      </w:r>
    </w:p>
    <w:p>
      <w:pPr>
        <w:spacing w:line="360" w:lineRule="auto"/>
        <w:ind w:left="-240" w:leftChars="-100" w:right="-593" w:rightChars="-247"/>
        <w:rPr>
          <w:rFonts w:ascii="Times New Roman" w:hAnsi="Times New Roman" w:cs="Times New Roman"/>
          <w:highlight w:val="none"/>
        </w:rPr>
      </w:pP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买方验收审核人：</w:t>
      </w:r>
      <w:r>
        <w:rPr>
          <w:rFonts w:ascii="Times New Roman" w:hAnsi="Times New Roman" w:cs="Times New Roman"/>
          <w:highlight w:val="none"/>
          <w:u w:val="single"/>
        </w:rPr>
        <w:t xml:space="preserve">                </w:t>
      </w:r>
    </w:p>
    <w:p>
      <w:pPr>
        <w:pStyle w:val="3"/>
        <w:spacing w:line="360" w:lineRule="auto"/>
        <w:rPr>
          <w:rFonts w:ascii="Times New Roman" w:hAnsi="Times New Roman"/>
          <w:b w:val="0"/>
          <w:bCs w:val="0"/>
          <w:sz w:val="24"/>
          <w:szCs w:val="24"/>
          <w:highlight w:val="none"/>
        </w:rPr>
      </w:pPr>
      <w:r>
        <w:rPr>
          <w:rFonts w:ascii="Times New Roman" w:hAnsi="Times New Roman"/>
          <w:b w:val="0"/>
          <w:bCs w:val="0"/>
          <w:sz w:val="24"/>
          <w:szCs w:val="24"/>
          <w:highlight w:val="none"/>
        </w:rPr>
        <w:br w:type="page"/>
      </w:r>
      <w:bookmarkStart w:id="521" w:name="_Toc300671238"/>
      <w:bookmarkStart w:id="522" w:name="_Toc152081988"/>
    </w:p>
    <w:p>
      <w:pPr>
        <w:pStyle w:val="3"/>
        <w:spacing w:before="0" w:after="0" w:line="360" w:lineRule="auto"/>
        <w:rPr>
          <w:rFonts w:ascii="Times New Roman" w:hAnsi="Times New Roman"/>
          <w:b w:val="0"/>
          <w:bCs w:val="0"/>
          <w:sz w:val="24"/>
          <w:szCs w:val="24"/>
          <w:highlight w:val="none"/>
        </w:rPr>
      </w:pPr>
      <w:r>
        <w:rPr>
          <w:rFonts w:ascii="Times New Roman" w:hAnsi="Times New Roman"/>
          <w:i w:val="0"/>
          <w:iCs w:val="0"/>
          <w:sz w:val="24"/>
          <w:szCs w:val="24"/>
          <w:highlight w:val="none"/>
        </w:rPr>
        <w:t>附件</w:t>
      </w:r>
      <w:r>
        <w:rPr>
          <w:rFonts w:hint="eastAsia" w:ascii="Times New Roman" w:hAnsi="Times New Roman"/>
          <w:i w:val="0"/>
          <w:iCs w:val="0"/>
          <w:sz w:val="24"/>
          <w:szCs w:val="24"/>
          <w:highlight w:val="none"/>
        </w:rPr>
        <w:t>五</w:t>
      </w:r>
      <w:r>
        <w:rPr>
          <w:rFonts w:ascii="Times New Roman" w:hAnsi="Times New Roman"/>
          <w:i w:val="0"/>
          <w:iCs w:val="0"/>
          <w:sz w:val="24"/>
          <w:szCs w:val="24"/>
          <w:highlight w:val="none"/>
        </w:rPr>
        <w:t>：</w:t>
      </w:r>
      <w:r>
        <w:rPr>
          <w:rFonts w:hint="eastAsia" w:ascii="Times New Roman" w:hAnsi="Times New Roman"/>
          <w:i w:val="0"/>
          <w:iCs w:val="0"/>
          <w:sz w:val="24"/>
          <w:szCs w:val="24"/>
          <w:highlight w:val="none"/>
        </w:rPr>
        <w:t>验收标准及验收记录（格式）</w:t>
      </w:r>
    </w:p>
    <w:p>
      <w:pPr>
        <w:spacing w:line="360" w:lineRule="auto"/>
        <w:rPr>
          <w:rFonts w:ascii="Times New Roman" w:hAnsi="Times New Roman"/>
          <w:highlight w:val="none"/>
        </w:rPr>
      </w:pPr>
    </w:p>
    <w:p>
      <w:pPr>
        <w:spacing w:line="360" w:lineRule="auto"/>
        <w:ind w:left="-283" w:leftChars="-118"/>
        <w:rPr>
          <w:highlight w:val="none"/>
        </w:rPr>
      </w:pPr>
      <w:r>
        <w:rPr>
          <w:rFonts w:hint="eastAsia" w:ascii="Times New Roman" w:hAnsi="Times New Roman"/>
          <w:b/>
          <w:iCs/>
          <w:highlight w:val="none"/>
        </w:rPr>
        <w:t>（一）验收标准</w:t>
      </w:r>
      <w:bookmarkEnd w:id="521"/>
      <w:bookmarkEnd w:id="522"/>
    </w:p>
    <w:p>
      <w:pPr>
        <w:spacing w:line="360" w:lineRule="auto"/>
        <w:rPr>
          <w:highlight w:val="none"/>
        </w:rPr>
      </w:pPr>
    </w:p>
    <w:p>
      <w:pPr>
        <w:spacing w:line="360" w:lineRule="auto"/>
        <w:rPr>
          <w:highlight w:val="none"/>
        </w:rPr>
      </w:pPr>
    </w:p>
    <w:p>
      <w:pPr>
        <w:spacing w:line="360" w:lineRule="auto"/>
        <w:ind w:left="-283" w:leftChars="-118"/>
        <w:rPr>
          <w:rFonts w:ascii="Times New Roman" w:hAnsi="Times New Roman"/>
          <w:iCs/>
          <w:highlight w:val="none"/>
        </w:rPr>
      </w:pPr>
      <w:r>
        <w:rPr>
          <w:rFonts w:hint="eastAsia"/>
          <w:b/>
          <w:highlight w:val="none"/>
        </w:rPr>
        <w:t>（二）</w:t>
      </w:r>
      <w:r>
        <w:rPr>
          <w:rFonts w:hint="eastAsia" w:ascii="Times New Roman" w:hAnsi="Times New Roman"/>
          <w:b/>
          <w:iCs/>
          <w:highlight w:val="none"/>
        </w:rPr>
        <w:t>验收记录</w:t>
      </w:r>
    </w:p>
    <w:p>
      <w:pPr>
        <w:spacing w:line="360" w:lineRule="auto"/>
        <w:rPr>
          <w:rFonts w:ascii="Times New Roman" w:hAnsi="Times New Roman"/>
          <w:highlight w:val="none"/>
        </w:rPr>
      </w:pPr>
    </w:p>
    <w:p>
      <w:pPr>
        <w:tabs>
          <w:tab w:val="left" w:pos="8505"/>
        </w:tabs>
        <w:spacing w:line="360" w:lineRule="auto"/>
        <w:ind w:right="-142" w:rightChars="-59" w:firstLine="241" w:firstLineChars="100"/>
        <w:jc w:val="right"/>
        <w:rPr>
          <w:rFonts w:ascii="Times New Roman" w:hAnsi="Times New Roman" w:cs="Times New Roman"/>
          <w:highlight w:val="none"/>
        </w:rPr>
      </w:pPr>
      <w:r>
        <w:rPr>
          <w:rFonts w:ascii="Times New Roman" w:hAnsi="Times New Roman" w:cs="Times New Roman"/>
          <w:b/>
          <w:bCs/>
          <w:highlight w:val="none"/>
        </w:rPr>
        <w:t>No.</w:t>
      </w:r>
      <w:r>
        <w:rPr>
          <w:rFonts w:ascii="Times New Roman" w:hAnsi="Times New Roman" w:cs="Times New Roman"/>
          <w:highlight w:val="none"/>
        </w:rPr>
        <w:t xml:space="preserve"> XXX</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合同号:</w:t>
      </w:r>
      <w:r>
        <w:rPr>
          <w:rFonts w:ascii="Times New Roman" w:hAnsi="Times New Roman" w:cs="Times New Roman"/>
          <w:highlight w:val="none"/>
          <w:u w:val="single"/>
        </w:rPr>
        <w:t xml:space="preserve">                               </w:t>
      </w:r>
      <w:r>
        <w:rPr>
          <w:rFonts w:ascii="Times New Roman" w:hAnsi="Times New Roman" w:cs="Times New Roman"/>
          <w:highlight w:val="none"/>
        </w:rPr>
        <w:t xml:space="preserve">  ERP采购订单号：</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424"/>
        <w:gridCol w:w="2544"/>
        <w:gridCol w:w="844"/>
        <w:gridCol w:w="844"/>
        <w:gridCol w:w="1690"/>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744"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SAP物料号</w:t>
            </w:r>
          </w:p>
        </w:tc>
        <w:tc>
          <w:tcPr>
            <w:tcW w:w="1329"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货物品牌、名称、规格</w:t>
            </w:r>
          </w:p>
        </w:tc>
        <w:tc>
          <w:tcPr>
            <w:tcW w:w="441"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441"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883"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合同清单序号</w:t>
            </w:r>
          </w:p>
        </w:tc>
        <w:tc>
          <w:tcPr>
            <w:tcW w:w="883" w:type="pct"/>
            <w:vAlign w:val="center"/>
          </w:tcPr>
          <w:p>
            <w:pPr>
              <w:spacing w:line="360" w:lineRule="auto"/>
              <w:jc w:val="center"/>
              <w:rPr>
                <w:rFonts w:ascii="Times New Roman" w:hAnsi="Times New Roman" w:cs="Times New Roman"/>
                <w:highlight w:val="none"/>
              </w:rPr>
            </w:pPr>
            <w:r>
              <w:rPr>
                <w:rFonts w:hint="eastAsia" w:ascii="Times New Roman" w:hAnsi="Times New Roman" w:cs="Times New Roman"/>
                <w:highlight w:val="none"/>
              </w:rPr>
              <w:t>验收结论</w:t>
            </w:r>
          </w:p>
          <w:p>
            <w:pPr>
              <w:spacing w:line="360" w:lineRule="auto"/>
              <w:jc w:val="center"/>
              <w:rPr>
                <w:rFonts w:ascii="Times New Roman" w:hAnsi="Times New Roman" w:cs="Times New Roman"/>
                <w:highlight w:val="none"/>
              </w:rPr>
            </w:pPr>
            <w:r>
              <w:rPr>
                <w:rFonts w:hint="eastAsia" w:ascii="Times New Roman" w:hAnsi="Times New Roman" w:cs="Times New Roman"/>
                <w:highlight w:val="none"/>
              </w:rPr>
              <w:t>/不符项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bl>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日期：</w:t>
      </w:r>
      <w:r>
        <w:rPr>
          <w:rFonts w:ascii="Times New Roman" w:hAnsi="Times New Roman" w:cs="Times New Roman"/>
          <w:highlight w:val="none"/>
          <w:u w:val="single"/>
        </w:rPr>
        <w:t xml:space="preserve">                           </w:t>
      </w:r>
      <w:r>
        <w:rPr>
          <w:rFonts w:ascii="Times New Roman" w:hAnsi="Times New Roman" w:cs="Times New Roman"/>
          <w:highlight w:val="none"/>
        </w:rPr>
        <w:t xml:space="preserve">        日期：</w:t>
      </w:r>
      <w:r>
        <w:rPr>
          <w:rFonts w:ascii="Times New Roman" w:hAnsi="Times New Roman" w:cs="Times New Roman"/>
          <w:highlight w:val="none"/>
          <w:u w:val="single"/>
        </w:rPr>
        <w:t xml:space="preserve">                          </w:t>
      </w:r>
    </w:p>
    <w:p>
      <w:pPr>
        <w:spacing w:line="360" w:lineRule="auto"/>
        <w:ind w:left="-240" w:leftChars="-100" w:right="-593" w:rightChars="-247"/>
        <w:rPr>
          <w:rFonts w:ascii="Times New Roman" w:hAnsi="Times New Roman" w:cs="Times New Roman"/>
          <w:highlight w:val="none"/>
        </w:rPr>
      </w:pPr>
    </w:p>
    <w:p>
      <w:pPr>
        <w:spacing w:line="360" w:lineRule="auto"/>
        <w:ind w:left="-240" w:leftChars="-100" w:right="-593" w:rightChars="-247"/>
        <w:rPr>
          <w:rFonts w:ascii="Times New Roman" w:hAnsi="Times New Roman" w:cs="Times New Roman"/>
          <w:highlight w:val="none"/>
        </w:rPr>
      </w:pPr>
      <w:r>
        <w:rPr>
          <w:rFonts w:ascii="Times New Roman" w:hAnsi="Times New Roman" w:cs="Times New Roman"/>
          <w:highlight w:val="none"/>
        </w:rPr>
        <w:t>买方验收审核人：</w:t>
      </w:r>
      <w:r>
        <w:rPr>
          <w:rFonts w:ascii="Times New Roman" w:hAnsi="Times New Roman" w:cs="Times New Roman"/>
          <w:highlight w:val="none"/>
          <w:u w:val="single"/>
        </w:rPr>
        <w:t xml:space="preserve">                </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3" w:name="_Toc300671239"/>
      <w:bookmarkStart w:id="524" w:name="_Toc152081989"/>
      <w:r>
        <w:rPr>
          <w:rFonts w:ascii="Times New Roman" w:hAnsi="Times New Roman"/>
          <w:i w:val="0"/>
          <w:iCs w:val="0"/>
          <w:sz w:val="24"/>
          <w:szCs w:val="24"/>
          <w:highlight w:val="none"/>
        </w:rPr>
        <w:t>附件六：履约保函（格式）</w:t>
      </w:r>
      <w:bookmarkEnd w:id="523"/>
      <w:bookmarkEnd w:id="524"/>
    </w:p>
    <w:p>
      <w:pPr>
        <w:spacing w:line="360" w:lineRule="auto"/>
        <w:ind w:firstLine="502"/>
        <w:rPr>
          <w:rFonts w:ascii="Times New Roman" w:hAnsi="Times New Roman" w:cs="Times New Roman"/>
          <w:highlight w:val="none"/>
        </w:rPr>
      </w:pPr>
      <w:r>
        <w:rPr>
          <w:rFonts w:ascii="Times New Roman" w:hAnsi="Times New Roman" w:cs="Times New Roman"/>
          <w:highlight w:val="none"/>
        </w:rPr>
        <w:t xml:space="preserve"> </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5" w:name="_Toc152081990"/>
      <w:bookmarkStart w:id="526" w:name="_Toc300671240"/>
      <w:r>
        <w:rPr>
          <w:rFonts w:ascii="Times New Roman" w:hAnsi="Times New Roman"/>
          <w:i w:val="0"/>
          <w:iCs w:val="0"/>
          <w:sz w:val="24"/>
          <w:szCs w:val="24"/>
          <w:highlight w:val="none"/>
        </w:rPr>
        <w:t>附件七：预付款保函（格式）</w:t>
      </w:r>
      <w:bookmarkEnd w:id="525"/>
      <w:bookmarkEnd w:id="526"/>
    </w:p>
    <w:p>
      <w:pPr>
        <w:spacing w:line="360" w:lineRule="auto"/>
        <w:rPr>
          <w:rFonts w:ascii="Times New Roman" w:hAnsi="Times New Roman" w:cs="Times New Roman"/>
          <w:highlight w:val="none"/>
        </w:rPr>
      </w:pP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7" w:name="_Toc300671241"/>
      <w:bookmarkStart w:id="528" w:name="_Toc152081991"/>
      <w:r>
        <w:rPr>
          <w:rFonts w:ascii="Times New Roman" w:hAnsi="Times New Roman"/>
          <w:i w:val="0"/>
          <w:iCs w:val="0"/>
          <w:sz w:val="24"/>
          <w:szCs w:val="24"/>
          <w:highlight w:val="none"/>
        </w:rPr>
        <w:t>附件八：质量、健康、安全和环保要求</w:t>
      </w:r>
      <w:bookmarkEnd w:id="527"/>
      <w:bookmarkEnd w:id="528"/>
    </w:p>
    <w:p>
      <w:pPr>
        <w:pStyle w:val="3"/>
        <w:spacing w:before="0" w:after="0" w:line="360" w:lineRule="auto"/>
        <w:rPr>
          <w:rFonts w:ascii="Times New Roman" w:hAnsi="Times New Roman"/>
          <w:i w:val="0"/>
          <w:iCs w:val="0"/>
          <w:sz w:val="24"/>
          <w:szCs w:val="24"/>
          <w:highlight w:val="none"/>
        </w:rPr>
      </w:pPr>
      <w:r>
        <w:rPr>
          <w:rFonts w:ascii="Times New Roman" w:hAnsi="Times New Roman"/>
          <w:i w:val="0"/>
          <w:iCs w:val="0"/>
          <w:sz w:val="24"/>
          <w:szCs w:val="24"/>
          <w:highlight w:val="none"/>
        </w:rPr>
        <w:br w:type="page"/>
      </w:r>
      <w:bookmarkStart w:id="529" w:name="_Toc306354391"/>
      <w:bookmarkStart w:id="530" w:name="_Toc300671243"/>
      <w:bookmarkStart w:id="531" w:name="_Toc152081992"/>
      <w:r>
        <w:rPr>
          <w:rFonts w:ascii="Times New Roman" w:hAnsi="Times New Roman"/>
          <w:i w:val="0"/>
          <w:iCs w:val="0"/>
          <w:sz w:val="24"/>
          <w:szCs w:val="24"/>
          <w:highlight w:val="none"/>
        </w:rPr>
        <w:t>附件九：廉洁备忘录</w:t>
      </w:r>
      <w:bookmarkEnd w:id="529"/>
      <w:bookmarkEnd w:id="530"/>
      <w:bookmarkEnd w:id="531"/>
    </w:p>
    <w:p>
      <w:pPr>
        <w:spacing w:line="360" w:lineRule="auto"/>
        <w:rPr>
          <w:rFonts w:ascii="Times New Roman" w:hAnsi="Times New Roman" w:cs="Times New Roman"/>
          <w:highlight w:val="none"/>
        </w:rPr>
      </w:pPr>
      <w:r>
        <w:rPr>
          <w:rFonts w:ascii="Times New Roman" w:hAnsi="Times New Roman" w:cs="Times New Roman"/>
          <w:highlight w:val="none"/>
        </w:rPr>
        <w:t>鉴于，</w:t>
      </w:r>
      <w:r>
        <w:rPr>
          <w:rFonts w:hint="eastAsia" w:ascii="Times New Roman" w:hAnsi="Times New Roman" w:cs="Times New Roman"/>
          <w:highlight w:val="none"/>
        </w:rPr>
        <w:t>【</w:t>
      </w:r>
      <w:r>
        <w:rPr>
          <w:rFonts w:ascii="Times New Roman" w:hAnsi="Times New Roman" w:cs="Times New Roman"/>
          <w:color w:val="000000"/>
          <w:kern w:val="2"/>
          <w:highlight w:val="none"/>
        </w:rPr>
        <w:t>●</w:t>
      </w:r>
      <w:r>
        <w:rPr>
          <w:rFonts w:hint="eastAsia" w:ascii="Times New Roman" w:hAnsi="Times New Roman" w:cs="Times New Roman"/>
          <w:highlight w:val="none"/>
        </w:rPr>
        <w:t>】</w:t>
      </w:r>
      <w:r>
        <w:rPr>
          <w:rFonts w:ascii="Times New Roman" w:hAnsi="Times New Roman" w:cs="Times New Roman"/>
          <w:highlight w:val="none"/>
        </w:rPr>
        <w:t>（买方）以严格遵守法律、法规为企业基本政策；</w:t>
      </w:r>
    </w:p>
    <w:p>
      <w:pPr>
        <w:spacing w:line="360" w:lineRule="auto"/>
        <w:rPr>
          <w:rFonts w:ascii="Times New Roman" w:hAnsi="Times New Roman" w:cs="Times New Roman"/>
          <w:highlight w:val="none"/>
        </w:rPr>
      </w:pPr>
      <w:r>
        <w:rPr>
          <w:rFonts w:ascii="Times New Roman" w:hAnsi="Times New Roman" w:cs="Times New Roman"/>
          <w:highlight w:val="none"/>
        </w:rPr>
        <w:t>鉴于，买方要求其工作人员严格遵守有关廉洁规定并信守职业道德；</w:t>
      </w:r>
    </w:p>
    <w:p>
      <w:pPr>
        <w:spacing w:line="360" w:lineRule="auto"/>
        <w:rPr>
          <w:rFonts w:ascii="Times New Roman" w:hAnsi="Times New Roman" w:cs="Times New Roman"/>
          <w:highlight w:val="none"/>
        </w:rPr>
      </w:pPr>
      <w:r>
        <w:rPr>
          <w:rFonts w:ascii="Times New Roman" w:hAnsi="Times New Roman" w:cs="Times New Roman"/>
          <w:highlight w:val="none"/>
        </w:rPr>
        <w:t>鉴于，【</w:t>
      </w:r>
      <w:r>
        <w:rPr>
          <w:rFonts w:ascii="Times New Roman" w:hAnsi="Times New Roman" w:cs="Times New Roman"/>
          <w:color w:val="000000"/>
          <w:kern w:val="2"/>
          <w:highlight w:val="none"/>
        </w:rPr>
        <w:t>●</w:t>
      </w:r>
      <w:r>
        <w:rPr>
          <w:rFonts w:ascii="Times New Roman" w:hAnsi="Times New Roman" w:cs="Times New Roman"/>
          <w:highlight w:val="none"/>
        </w:rPr>
        <w:t>】（卖方）将与买方或其关联公司进行业务往来；</w:t>
      </w:r>
    </w:p>
    <w:p>
      <w:pPr>
        <w:spacing w:line="360" w:lineRule="auto"/>
        <w:rPr>
          <w:rFonts w:ascii="Times New Roman" w:hAnsi="Times New Roman" w:cs="Times New Roman"/>
          <w:highlight w:val="none"/>
        </w:rPr>
      </w:pPr>
      <w:r>
        <w:rPr>
          <w:rFonts w:ascii="Times New Roman" w:hAnsi="Times New Roman" w:cs="Times New Roman"/>
          <w:highlight w:val="none"/>
        </w:rPr>
        <w:t>鉴于，卖方完全赞同买方并同意共同遵守有关廉洁规定和信守职业道德。</w:t>
      </w:r>
    </w:p>
    <w:p>
      <w:pPr>
        <w:spacing w:line="360" w:lineRule="auto"/>
        <w:rPr>
          <w:rFonts w:ascii="Times New Roman" w:hAnsi="Times New Roman" w:cs="Times New Roman"/>
          <w:highlight w:val="none"/>
        </w:rPr>
      </w:pPr>
      <w:r>
        <w:rPr>
          <w:rFonts w:ascii="Times New Roman" w:hAnsi="Times New Roman" w:cs="Times New Roman"/>
          <w:highlight w:val="none"/>
        </w:rPr>
        <w:t>据此，双方达成如下协议：</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1.买方工作人员不得要求或接受卖方或通过第三方提供的任何个人利益，包括各类礼金、礼品、有价证券和支付凭证。</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2.卖方不得向买方工作人员主动或被动提供上款述及的任何利益。</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3.卖方不得向买方工作人员（包括其直系亲属）主动或被动提供：（1）可能对进行正常业务有影响的宴请和礼品馈赠（礼品、礼金、有价证券、支付凭证以及象征性低价物品）；（2）任何营业性歌舞厅、夜总会等娱乐活动；（3）免费旅游、度假等；</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4.卖方应加强对本单位员工在双方业务交往中相关行为的检查与监督，对发现违反本协议规定的行为及时予以制止和纠正。</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5.卖方应加强对买方工作人员在彼此业务交往活动中相关行为的监督，对买方工作人员违反本协议规定的行为应及时给予制止，并向买方相关部门反映。</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6.卖方如向买方告知买方工作人员违反本协议规定，买方将保证其正常的业务往来不因此受到负面影响。</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7.卖方如向买方告知竞争第三方的行为确实违反其与买方签订的类似廉洁协议，买方将把第三方支付的违约金全部款项支付给卖方。</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8.卖方或其工作人员违反本协议规定，应向买方支付采办项目报价或合同总额5%的违约金，买方有权不予对其投标或报价评价，或者终止有关合同，断绝与其一切业务往来。</w:t>
      </w:r>
    </w:p>
    <w:sectPr>
      <w:headerReference r:id="rId7" w:type="first"/>
      <w:footerReference r:id="rId9" w:type="first"/>
      <w:headerReference r:id="rId6" w:type="default"/>
      <w:footerReference r:id="rId8" w:type="default"/>
      <w:pgSz w:w="11906" w:h="16838"/>
      <w:pgMar w:top="1134" w:right="1134" w:bottom="851" w:left="1417" w:header="567" w:footer="510" w:gutter="0"/>
      <w:pgNumType w:start="1"/>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w:instrText>
    </w:r>
    <w:r>
      <w:fldChar w:fldCharType="separate"/>
    </w:r>
    <w:r>
      <w:rPr>
        <w:lang w:val="zh-CN"/>
      </w:rPr>
      <w:t>1</w:t>
    </w:r>
    <w: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8</w:t>
    </w:r>
    <w:r>
      <w:rPr>
        <w:rFonts w:ascii="Times New Roman" w:hAnsi="Times New Roman"/>
        <w:sz w:val="21"/>
        <w:szCs w:val="21"/>
      </w:rPr>
      <w:fldChar w:fldCharType="end"/>
    </w:r>
    <w:r>
      <w:rPr>
        <w:rFonts w:ascii="Times New Roman" w:hAnsi="Times New Roman"/>
        <w:sz w:val="21"/>
        <w:szCs w:val="21"/>
      </w:rPr>
      <w:t>/40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6511"/>
        <w:tab w:val="clear" w:pos="8306"/>
      </w:tabs>
    </w:pPr>
    <w:r>
      <w:rPr>
        <w:rFonts w:hint="eastAsia"/>
      </w:rPr>
      <w:t xml:space="preserve">             </w:t>
    </w:r>
  </w:p>
  <w:p>
    <w:pPr>
      <w:pStyle w:val="27"/>
      <w:pBdr>
        <w:bottom w:val="none" w:color="auto" w:sz="0" w:space="1"/>
      </w:pBdr>
      <w:tabs>
        <w:tab w:val="left" w:pos="6511"/>
        <w:tab w:val="clear" w:pos="8306"/>
      </w:tabs>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6511"/>
        <w:tab w:val="clear" w:pos="8306"/>
      </w:tabs>
    </w:pPr>
    <w:r>
      <w:rPr>
        <w:rFonts w:hint="eastAsia"/>
      </w:rPr>
      <w:t xml:space="preserve">             </w:t>
    </w:r>
  </w:p>
  <w:p>
    <w:pPr>
      <w:pStyle w:val="27"/>
      <w:pBdr>
        <w:bottom w:val="single" w:color="auto" w:sz="4" w:space="1"/>
      </w:pBdr>
      <w:tabs>
        <w:tab w:val="left" w:pos="6511"/>
        <w:tab w:val="clear" w:pos="8306"/>
      </w:tabs>
      <w:rPr>
        <w:sz w:val="21"/>
        <w:szCs w:val="21"/>
      </w:rPr>
    </w:pPr>
    <w:r>
      <w:rPr>
        <w:rFonts w:hint="eastAsia"/>
      </w:rPr>
      <w:t xml:space="preserve">                                                            </w:t>
    </w:r>
    <w:r>
      <w:rPr>
        <w:rFonts w:hint="eastAsia"/>
        <w:sz w:val="21"/>
        <w:szCs w:val="21"/>
      </w:rPr>
      <w:t>合同编号：</w:t>
    </w:r>
    <w:r>
      <w:rPr>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r>
      <w:rPr>
        <w:rFonts w:hint="eastAsia"/>
      </w:rPr>
      <w:t xml:space="preserve">                                    </w:t>
    </w:r>
  </w:p>
  <w:p>
    <w:pPr>
      <w:pStyle w:val="27"/>
      <w:pBdr>
        <w:bottom w:val="single" w:color="auto" w:sz="4" w:space="1"/>
      </w:pBdr>
    </w:pPr>
    <w:r>
      <w:rPr>
        <w:rFonts w:hint="eastAsia"/>
      </w:rPr>
      <w:t xml:space="preserve">                                                                      合同编号：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decimal"/>
      <w:lvlText w:val="21.%1"/>
      <w:lvlJc w:val="left"/>
      <w:pPr>
        <w:tabs>
          <w:tab w:val="left" w:pos="420"/>
        </w:tabs>
        <w:ind w:left="420" w:hanging="420"/>
      </w:pPr>
      <w:rPr>
        <w:rFonts w:ascii="Times New Roman" w:hAnsi="Times New Roman" w:cs="Times New Roman"/>
        <w:b w:val="0"/>
        <w:bCs w:val="0"/>
        <w:i w:val="0"/>
        <w:iCs w:val="0"/>
        <w:color w:val="000000"/>
        <w:spacing w:val="0"/>
        <w:kern w:val="2"/>
        <w:sz w:val="24"/>
        <w:szCs w:val="24"/>
      </w:rPr>
    </w:lvl>
    <w:lvl w:ilvl="1" w:tentative="0">
      <w:start w:val="1"/>
      <w:numFmt w:val="lowerLetter"/>
      <w:lvlText w:val="%2)"/>
      <w:lvlJc w:val="left"/>
      <w:pPr>
        <w:tabs>
          <w:tab w:val="left" w:pos="840"/>
        </w:tabs>
        <w:ind w:left="840" w:hanging="420"/>
      </w:pPr>
      <w:rPr>
        <w:rFonts w:ascii="Times New Roman" w:hAnsi="Times New Roman" w:cs="Times New Roman"/>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
    <w:nsid w:val="004D49EC"/>
    <w:multiLevelType w:val="multilevel"/>
    <w:tmpl w:val="004D49EC"/>
    <w:lvl w:ilvl="0" w:tentative="0">
      <w:start w:val="1"/>
      <w:numFmt w:val="decimal"/>
      <w:lvlText w:val="5.%1"/>
      <w:lvlJc w:val="left"/>
      <w:pPr>
        <w:tabs>
          <w:tab w:val="left" w:pos="1468"/>
        </w:tabs>
        <w:ind w:left="1468" w:firstLine="1260"/>
      </w:pPr>
      <w:rPr>
        <w:rFonts w:hint="default" w:ascii="Times New Roman" w:hAnsi="Times New Roman" w:cs="Times New Roman"/>
        <w:b w:val="0"/>
        <w:bCs/>
        <w:i w:val="0"/>
        <w:iCs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1A952B9"/>
    <w:multiLevelType w:val="multilevel"/>
    <w:tmpl w:val="01A952B9"/>
    <w:lvl w:ilvl="0" w:tentative="0">
      <w:start w:val="1"/>
      <w:numFmt w:val="decimal"/>
      <w:lvlText w:val="1.%1"/>
      <w:lvlJc w:val="left"/>
      <w:pPr>
        <w:tabs>
          <w:tab w:val="left" w:pos="-1140"/>
        </w:tabs>
        <w:ind w:left="-1140" w:firstLine="1260"/>
      </w:pPr>
      <w:rPr>
        <w:rFonts w:hint="default" w:ascii="Times New Roman" w:hAnsi="Times New Roman" w:eastAsia="宋体"/>
      </w:rPr>
    </w:lvl>
    <w:lvl w:ilvl="1" w:tentative="0">
      <w:start w:val="1"/>
      <w:numFmt w:val="decimal"/>
      <w:lvlText w:val="(%2)"/>
      <w:lvlJc w:val="left"/>
      <w:pPr>
        <w:ind w:left="-1798" w:hanging="390"/>
      </w:pPr>
      <w:rPr>
        <w:rFonts w:hint="default"/>
      </w:rPr>
    </w:lvl>
    <w:lvl w:ilvl="2" w:tentative="0">
      <w:start w:val="1"/>
      <w:numFmt w:val="lowerRoman"/>
      <w:lvlText w:val="%3."/>
      <w:lvlJc w:val="right"/>
      <w:pPr>
        <w:tabs>
          <w:tab w:val="left" w:pos="-1348"/>
        </w:tabs>
        <w:ind w:left="-1348" w:hanging="420"/>
      </w:pPr>
    </w:lvl>
    <w:lvl w:ilvl="3" w:tentative="0">
      <w:start w:val="1"/>
      <w:numFmt w:val="decimal"/>
      <w:lvlText w:val="%4."/>
      <w:lvlJc w:val="left"/>
      <w:pPr>
        <w:tabs>
          <w:tab w:val="left" w:pos="-928"/>
        </w:tabs>
        <w:ind w:left="-928" w:hanging="420"/>
      </w:pPr>
    </w:lvl>
    <w:lvl w:ilvl="4" w:tentative="0">
      <w:start w:val="1"/>
      <w:numFmt w:val="lowerLetter"/>
      <w:lvlText w:val="%5)"/>
      <w:lvlJc w:val="left"/>
      <w:pPr>
        <w:tabs>
          <w:tab w:val="left" w:pos="-508"/>
        </w:tabs>
        <w:ind w:left="-508" w:hanging="420"/>
      </w:pPr>
    </w:lvl>
    <w:lvl w:ilvl="5" w:tentative="0">
      <w:start w:val="1"/>
      <w:numFmt w:val="lowerRoman"/>
      <w:lvlText w:val="%6."/>
      <w:lvlJc w:val="right"/>
      <w:pPr>
        <w:tabs>
          <w:tab w:val="left" w:pos="-88"/>
        </w:tabs>
        <w:ind w:left="-88" w:hanging="420"/>
      </w:pPr>
    </w:lvl>
    <w:lvl w:ilvl="6" w:tentative="0">
      <w:start w:val="1"/>
      <w:numFmt w:val="decimal"/>
      <w:lvlText w:val="%7."/>
      <w:lvlJc w:val="left"/>
      <w:pPr>
        <w:tabs>
          <w:tab w:val="left" w:pos="332"/>
        </w:tabs>
        <w:ind w:left="332" w:hanging="420"/>
      </w:pPr>
    </w:lvl>
    <w:lvl w:ilvl="7" w:tentative="0">
      <w:start w:val="1"/>
      <w:numFmt w:val="lowerLetter"/>
      <w:lvlText w:val="%8)"/>
      <w:lvlJc w:val="left"/>
      <w:pPr>
        <w:tabs>
          <w:tab w:val="left" w:pos="752"/>
        </w:tabs>
        <w:ind w:left="752" w:hanging="420"/>
      </w:pPr>
    </w:lvl>
    <w:lvl w:ilvl="8" w:tentative="0">
      <w:start w:val="1"/>
      <w:numFmt w:val="lowerRoman"/>
      <w:lvlText w:val="%9."/>
      <w:lvlJc w:val="right"/>
      <w:pPr>
        <w:tabs>
          <w:tab w:val="left" w:pos="1172"/>
        </w:tabs>
        <w:ind w:left="1172" w:hanging="420"/>
      </w:pPr>
    </w:lvl>
  </w:abstractNum>
  <w:abstractNum w:abstractNumId="3">
    <w:nsid w:val="048C2553"/>
    <w:multiLevelType w:val="multilevel"/>
    <w:tmpl w:val="048C2553"/>
    <w:lvl w:ilvl="0" w:tentative="0">
      <w:start w:val="1"/>
      <w:numFmt w:val="decimal"/>
      <w:lvlText w:val="12.%1"/>
      <w:lvlJc w:val="left"/>
      <w:pPr>
        <w:tabs>
          <w:tab w:val="left" w:pos="2248"/>
        </w:tabs>
        <w:ind w:left="3148"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6CF52F1"/>
    <w:multiLevelType w:val="multilevel"/>
    <w:tmpl w:val="06CF52F1"/>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75744EF"/>
    <w:multiLevelType w:val="multilevel"/>
    <w:tmpl w:val="075744EF"/>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75909A8"/>
    <w:multiLevelType w:val="multilevel"/>
    <w:tmpl w:val="075909A8"/>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8F2E65"/>
    <w:multiLevelType w:val="multilevel"/>
    <w:tmpl w:val="078F2E65"/>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8">
    <w:nsid w:val="09D14F57"/>
    <w:multiLevelType w:val="multilevel"/>
    <w:tmpl w:val="09D14F57"/>
    <w:lvl w:ilvl="0" w:tentative="0">
      <w:start w:val="1"/>
      <w:numFmt w:val="decimal"/>
      <w:lvlText w:val="15.%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BBA0094"/>
    <w:multiLevelType w:val="multilevel"/>
    <w:tmpl w:val="0BBA0094"/>
    <w:lvl w:ilvl="0" w:tentative="0">
      <w:start w:val="1"/>
      <w:numFmt w:val="ideographDigital"/>
      <w:lvlText w:val="第%1条"/>
      <w:lvlJc w:val="left"/>
      <w:pPr>
        <w:tabs>
          <w:tab w:val="left" w:pos="3688"/>
        </w:tabs>
        <w:ind w:left="3688" w:hanging="960"/>
      </w:pPr>
      <w:rPr>
        <w:rFonts w:hint="eastAsia"/>
      </w:rPr>
    </w:lvl>
    <w:lvl w:ilvl="1" w:tentative="0">
      <w:start w:val="1"/>
      <w:numFmt w:val="ideographDigital"/>
      <w:lvlText w:val="第%2条"/>
      <w:lvlJc w:val="left"/>
      <w:pPr>
        <w:tabs>
          <w:tab w:val="left" w:pos="1380"/>
        </w:tabs>
        <w:ind w:left="1380" w:hanging="960"/>
      </w:pPr>
      <w:rPr>
        <w:rFonts w:hint="eastAsia"/>
      </w:rPr>
    </w:lvl>
    <w:lvl w:ilvl="2" w:tentative="0">
      <w:start w:val="1"/>
      <w:numFmt w:val="decimal"/>
      <w:lvlText w:val="1.%3"/>
      <w:lvlJc w:val="left"/>
      <w:pPr>
        <w:tabs>
          <w:tab w:val="left" w:pos="1468"/>
        </w:tabs>
        <w:ind w:left="1468" w:firstLine="1260"/>
      </w:pPr>
      <w:rPr>
        <w:rFonts w:hint="default" w:ascii="Times New Roman" w:hAnsi="Times New Roman" w:eastAsia="宋体"/>
      </w:rPr>
    </w:lvl>
    <w:lvl w:ilvl="3" w:tentative="0">
      <w:start w:val="1"/>
      <w:numFmt w:val="decimal"/>
      <w:lvlText w:val="3.%4"/>
      <w:lvlJc w:val="left"/>
      <w:pPr>
        <w:tabs>
          <w:tab w:val="left" w:pos="1468"/>
        </w:tabs>
        <w:ind w:left="1468" w:firstLine="1260"/>
      </w:pPr>
      <w:rPr>
        <w:rFonts w:hint="default" w:ascii="Times New Roman" w:hAnsi="Times New Roman" w:eastAsia="宋体"/>
      </w:rPr>
    </w:lvl>
    <w:lvl w:ilvl="4" w:tentative="0">
      <w:start w:val="1"/>
      <w:numFmt w:val="lowerLetter"/>
      <w:lvlText w:val="%5)"/>
      <w:lvlJc w:val="left"/>
      <w:pPr>
        <w:tabs>
          <w:tab w:val="left" w:pos="2100"/>
        </w:tabs>
        <w:ind w:left="2100" w:hanging="420"/>
      </w:pPr>
    </w:lvl>
    <w:lvl w:ilvl="5" w:tentative="0">
      <w:start w:val="1"/>
      <w:numFmt w:val="decimal"/>
      <w:lvlText w:val="(%6)"/>
      <w:lvlJc w:val="left"/>
      <w:pPr>
        <w:ind w:left="2490" w:hanging="390"/>
      </w:pPr>
      <w:rPr>
        <w:rFonts w:hint="default" w:ascii="Times New Roman" w:hAnsi="Times New Roman" w:cs="Times New Roman"/>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BF2738F"/>
    <w:multiLevelType w:val="multilevel"/>
    <w:tmpl w:val="0BF2738F"/>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BFE5371"/>
    <w:multiLevelType w:val="multilevel"/>
    <w:tmpl w:val="0BFE5371"/>
    <w:lvl w:ilvl="0" w:tentative="0">
      <w:start w:val="1"/>
      <w:numFmt w:val="decimal"/>
      <w:lvlText w:val="25.%1"/>
      <w:lvlJc w:val="left"/>
      <w:pPr>
        <w:tabs>
          <w:tab w:val="left" w:pos="420"/>
        </w:tabs>
        <w:ind w:left="420" w:hanging="420"/>
      </w:pPr>
      <w:rPr>
        <w:rFonts w:ascii="Times New Roman" w:hAnsi="Times New Roman" w:cs="Times New Roman"/>
        <w:b w:val="0"/>
        <w:bCs w:val="0"/>
        <w:i w:val="0"/>
        <w:iCs w:val="0"/>
        <w:color w:val="000000"/>
        <w:spacing w:val="0"/>
        <w:kern w:val="2"/>
        <w:sz w:val="21"/>
        <w:szCs w:val="21"/>
      </w:rPr>
    </w:lvl>
    <w:lvl w:ilvl="1" w:tentative="0">
      <w:start w:val="1"/>
      <w:numFmt w:val="decimal"/>
      <w:lvlText w:val="21.%2"/>
      <w:lvlJc w:val="left"/>
      <w:pPr>
        <w:tabs>
          <w:tab w:val="left" w:pos="840"/>
        </w:tabs>
        <w:ind w:left="840" w:hanging="420"/>
      </w:pPr>
      <w:rPr>
        <w:rFonts w:ascii="Times New Roman" w:hAnsi="Times New Roman" w:cs="Times New Roman"/>
        <w:color w:val="000000"/>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2">
    <w:nsid w:val="10EC70B3"/>
    <w:multiLevelType w:val="multilevel"/>
    <w:tmpl w:val="10EC70B3"/>
    <w:lvl w:ilvl="0" w:tentative="0">
      <w:start w:val="1"/>
      <w:numFmt w:val="decimal"/>
      <w:lvlText w:val="11.%1"/>
      <w:lvlJc w:val="left"/>
      <w:pPr>
        <w:ind w:left="900" w:hanging="420"/>
      </w:pPr>
      <w:rPr>
        <w:rFonts w:hint="eastAsia" w:cs="Times New Roman"/>
        <w:b w:val="0"/>
        <w:i w:val="0"/>
        <w:color w:val="000000"/>
        <w:sz w:val="24"/>
        <w:szCs w:val="24"/>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13">
    <w:nsid w:val="1265667D"/>
    <w:multiLevelType w:val="multilevel"/>
    <w:tmpl w:val="1265667D"/>
    <w:lvl w:ilvl="0" w:tentative="0">
      <w:start w:val="1"/>
      <w:numFmt w:val="decimal"/>
      <w:lvlText w:val="2.%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3777C73"/>
    <w:multiLevelType w:val="multilevel"/>
    <w:tmpl w:val="13777C73"/>
    <w:lvl w:ilvl="0" w:tentative="0">
      <w:start w:val="1"/>
      <w:numFmt w:val="decimal"/>
      <w:lvlText w:val="%1"/>
      <w:lvlJc w:val="left"/>
      <w:pPr>
        <w:ind w:left="540" w:hanging="540"/>
      </w:pPr>
      <w:rPr>
        <w:rFonts w:hint="default"/>
      </w:rPr>
    </w:lvl>
    <w:lvl w:ilvl="1" w:tentative="0">
      <w:start w:val="1"/>
      <w:numFmt w:val="decimal"/>
      <w:lvlText w:val="%1.%2"/>
      <w:lvlJc w:val="left"/>
      <w:pPr>
        <w:ind w:left="542" w:hanging="540"/>
      </w:pPr>
      <w:rPr>
        <w:rFonts w:hint="default" w:ascii="Times New Roman" w:hAnsi="Times New Roman" w:cs="Times New Roman"/>
        <w:b w:val="0"/>
        <w:bCs w:val="0"/>
      </w:rPr>
    </w:lvl>
    <w:lvl w:ilvl="2" w:tentative="0">
      <w:start w:val="1"/>
      <w:numFmt w:val="decimal"/>
      <w:lvlText w:val="%1.%2.%3"/>
      <w:lvlJc w:val="left"/>
      <w:pPr>
        <w:ind w:left="724" w:hanging="720"/>
      </w:pPr>
      <w:rPr>
        <w:rFonts w:hint="default"/>
      </w:rPr>
    </w:lvl>
    <w:lvl w:ilvl="3" w:tentative="0">
      <w:start w:val="1"/>
      <w:numFmt w:val="decimal"/>
      <w:lvlText w:val="%1.%2.%3.%4"/>
      <w:lvlJc w:val="left"/>
      <w:pPr>
        <w:ind w:left="726" w:hanging="720"/>
      </w:pPr>
      <w:rPr>
        <w:rFonts w:hint="default"/>
      </w:rPr>
    </w:lvl>
    <w:lvl w:ilvl="4" w:tentative="0">
      <w:start w:val="1"/>
      <w:numFmt w:val="decimal"/>
      <w:lvlText w:val="%1.%2.%3.%4.%5"/>
      <w:lvlJc w:val="left"/>
      <w:pPr>
        <w:ind w:left="1088" w:hanging="1080"/>
      </w:pPr>
      <w:rPr>
        <w:rFonts w:hint="default"/>
      </w:rPr>
    </w:lvl>
    <w:lvl w:ilvl="5" w:tentative="0">
      <w:start w:val="1"/>
      <w:numFmt w:val="decimal"/>
      <w:lvlText w:val="%1.%2.%3.%4.%5.%6"/>
      <w:lvlJc w:val="left"/>
      <w:pPr>
        <w:ind w:left="1090" w:hanging="1080"/>
      </w:pPr>
      <w:rPr>
        <w:rFonts w:hint="default"/>
      </w:rPr>
    </w:lvl>
    <w:lvl w:ilvl="6" w:tentative="0">
      <w:start w:val="1"/>
      <w:numFmt w:val="decimal"/>
      <w:lvlText w:val="%1.%2.%3.%4.%5.%6.%7"/>
      <w:lvlJc w:val="left"/>
      <w:pPr>
        <w:ind w:left="1452" w:hanging="1440"/>
      </w:pPr>
      <w:rPr>
        <w:rFonts w:hint="default"/>
      </w:rPr>
    </w:lvl>
    <w:lvl w:ilvl="7" w:tentative="0">
      <w:start w:val="1"/>
      <w:numFmt w:val="decimal"/>
      <w:lvlText w:val="%1.%2.%3.%4.%5.%6.%7.%8"/>
      <w:lvlJc w:val="left"/>
      <w:pPr>
        <w:ind w:left="1454" w:hanging="1440"/>
      </w:pPr>
      <w:rPr>
        <w:rFonts w:hint="default"/>
      </w:rPr>
    </w:lvl>
    <w:lvl w:ilvl="8" w:tentative="0">
      <w:start w:val="1"/>
      <w:numFmt w:val="decimal"/>
      <w:lvlText w:val="%1.%2.%3.%4.%5.%6.%7.%8.%9"/>
      <w:lvlJc w:val="left"/>
      <w:pPr>
        <w:ind w:left="1816" w:hanging="1800"/>
      </w:pPr>
      <w:rPr>
        <w:rFonts w:hint="default"/>
      </w:rPr>
    </w:lvl>
  </w:abstractNum>
  <w:abstractNum w:abstractNumId="15">
    <w:nsid w:val="14890B8C"/>
    <w:multiLevelType w:val="multilevel"/>
    <w:tmpl w:val="14890B8C"/>
    <w:lvl w:ilvl="0" w:tentative="0">
      <w:start w:val="1"/>
      <w:numFmt w:val="decimal"/>
      <w:lvlText w:val="4.%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55F0A0A"/>
    <w:multiLevelType w:val="multilevel"/>
    <w:tmpl w:val="155F0A0A"/>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82338AD"/>
    <w:multiLevelType w:val="multilevel"/>
    <w:tmpl w:val="182338AD"/>
    <w:lvl w:ilvl="0" w:tentative="0">
      <w:start w:val="1"/>
      <w:numFmt w:val="decimal"/>
      <w:lvlText w:val="6.%1"/>
      <w:lvlJc w:val="left"/>
      <w:pPr>
        <w:tabs>
          <w:tab w:val="left" w:pos="1468"/>
        </w:tabs>
        <w:ind w:left="1468" w:firstLine="1260"/>
      </w:pPr>
      <w:rPr>
        <w:rFonts w:hint="default" w:ascii="Times New Roman" w:hAnsi="Times New Roman" w:eastAsia="宋体"/>
        <w:b w:val="0"/>
        <w:i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1B792E03"/>
    <w:multiLevelType w:val="multilevel"/>
    <w:tmpl w:val="1B792E03"/>
    <w:lvl w:ilvl="0" w:tentative="0">
      <w:start w:val="1"/>
      <w:numFmt w:val="decimal"/>
      <w:lvlText w:val="1.%1"/>
      <w:lvlJc w:val="left"/>
      <w:pPr>
        <w:tabs>
          <w:tab w:val="left" w:pos="3408"/>
        </w:tabs>
        <w:ind w:left="3408" w:hanging="680"/>
      </w:pPr>
      <w:rPr>
        <w:rFonts w:hint="default" w:ascii="Times New Roman" w:hAnsi="Times New Roman" w:eastAsia="宋体"/>
        <w:b/>
        <w:bCs/>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1BC03D45"/>
    <w:multiLevelType w:val="multilevel"/>
    <w:tmpl w:val="1BC03D45"/>
    <w:lvl w:ilvl="0" w:tentative="0">
      <w:start w:val="1"/>
      <w:numFmt w:val="decimal"/>
      <w:lvlText w:val="(%1)"/>
      <w:lvlJc w:val="left"/>
      <w:pPr>
        <w:ind w:left="1128" w:hanging="420"/>
      </w:pPr>
      <w:rPr>
        <w:rFonts w:hint="eastAsia"/>
      </w:rPr>
    </w:lvl>
    <w:lvl w:ilvl="1" w:tentative="0">
      <w:start w:val="1"/>
      <w:numFmt w:val="decimal"/>
      <w:lvlText w:val="(%2)"/>
      <w:lvlJc w:val="left"/>
      <w:pPr>
        <w:ind w:left="1548" w:hanging="420"/>
      </w:pPr>
      <w:rPr>
        <w:rFonts w:hint="eastAsia"/>
      </w:r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0">
    <w:nsid w:val="1D074CBB"/>
    <w:multiLevelType w:val="multilevel"/>
    <w:tmpl w:val="1D074CBB"/>
    <w:lvl w:ilvl="0" w:tentative="0">
      <w:start w:val="1"/>
      <w:numFmt w:val="decimal"/>
      <w:lvlText w:val="(%1)"/>
      <w:lvlJc w:val="left"/>
      <w:pPr>
        <w:ind w:left="1140" w:hanging="420"/>
      </w:pPr>
      <w:rPr>
        <w:rFonts w:ascii="Times New Roman" w:hAnsi="Times New Roman" w:eastAsia="宋体" w:cs="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1">
    <w:nsid w:val="1EDE51DE"/>
    <w:multiLevelType w:val="multilevel"/>
    <w:tmpl w:val="1EDE51DE"/>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20714EDA"/>
    <w:multiLevelType w:val="multilevel"/>
    <w:tmpl w:val="20714EDA"/>
    <w:lvl w:ilvl="0" w:tentative="0">
      <w:start w:val="1"/>
      <w:numFmt w:val="decimal"/>
      <w:lvlText w:val="(%1)"/>
      <w:lvlJc w:val="left"/>
      <w:pPr>
        <w:ind w:left="1128" w:hanging="42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30D4FA5"/>
    <w:multiLevelType w:val="multilevel"/>
    <w:tmpl w:val="230D4FA5"/>
    <w:lvl w:ilvl="0" w:tentative="0">
      <w:start w:val="1"/>
      <w:numFmt w:val="decimal"/>
      <w:lvlText w:val="14.%1"/>
      <w:lvlJc w:val="left"/>
      <w:pPr>
        <w:ind w:left="562" w:hanging="420"/>
      </w:pPr>
      <w:rPr>
        <w:rFonts w:hint="default" w:ascii="Times New Roman" w:hAnsi="Times New Roman" w:cs="Times New Roman"/>
        <w:b w:val="0"/>
        <w:i w:val="0"/>
        <w:color w:val="auto"/>
        <w:sz w:val="24"/>
        <w:szCs w:val="24"/>
      </w:rPr>
    </w:lvl>
    <w:lvl w:ilvl="1" w:tentative="0">
      <w:start w:val="1"/>
      <w:numFmt w:val="lowerLetter"/>
      <w:lvlText w:val="%2)"/>
      <w:lvlJc w:val="left"/>
      <w:pPr>
        <w:ind w:left="982" w:hanging="420"/>
      </w:pPr>
      <w:rPr>
        <w:rFonts w:cs="Times New Roman"/>
      </w:rPr>
    </w:lvl>
    <w:lvl w:ilvl="2" w:tentative="0">
      <w:start w:val="1"/>
      <w:numFmt w:val="lowerRoman"/>
      <w:lvlText w:val="%3."/>
      <w:lvlJc w:val="right"/>
      <w:pPr>
        <w:ind w:left="1402" w:hanging="420"/>
      </w:pPr>
      <w:rPr>
        <w:rFonts w:cs="Times New Roman"/>
      </w:rPr>
    </w:lvl>
    <w:lvl w:ilvl="3" w:tentative="0">
      <w:start w:val="1"/>
      <w:numFmt w:val="decimal"/>
      <w:lvlText w:val="%4."/>
      <w:lvlJc w:val="left"/>
      <w:pPr>
        <w:ind w:left="1822" w:hanging="420"/>
      </w:pPr>
      <w:rPr>
        <w:rFonts w:cs="Times New Roman"/>
      </w:rPr>
    </w:lvl>
    <w:lvl w:ilvl="4" w:tentative="0">
      <w:start w:val="1"/>
      <w:numFmt w:val="lowerLetter"/>
      <w:lvlText w:val="%5)"/>
      <w:lvlJc w:val="left"/>
      <w:pPr>
        <w:ind w:left="2242" w:hanging="420"/>
      </w:pPr>
      <w:rPr>
        <w:rFonts w:cs="Times New Roman"/>
      </w:rPr>
    </w:lvl>
    <w:lvl w:ilvl="5" w:tentative="0">
      <w:start w:val="1"/>
      <w:numFmt w:val="lowerRoman"/>
      <w:lvlText w:val="%6."/>
      <w:lvlJc w:val="right"/>
      <w:pPr>
        <w:ind w:left="2662" w:hanging="420"/>
      </w:pPr>
      <w:rPr>
        <w:rFonts w:cs="Times New Roman"/>
      </w:rPr>
    </w:lvl>
    <w:lvl w:ilvl="6" w:tentative="0">
      <w:start w:val="1"/>
      <w:numFmt w:val="decimal"/>
      <w:lvlText w:val="%7."/>
      <w:lvlJc w:val="left"/>
      <w:pPr>
        <w:ind w:left="3082" w:hanging="420"/>
      </w:pPr>
      <w:rPr>
        <w:rFonts w:cs="Times New Roman"/>
      </w:rPr>
    </w:lvl>
    <w:lvl w:ilvl="7" w:tentative="0">
      <w:start w:val="1"/>
      <w:numFmt w:val="lowerLetter"/>
      <w:lvlText w:val="%8)"/>
      <w:lvlJc w:val="left"/>
      <w:pPr>
        <w:ind w:left="3502" w:hanging="420"/>
      </w:pPr>
      <w:rPr>
        <w:rFonts w:cs="Times New Roman"/>
      </w:rPr>
    </w:lvl>
    <w:lvl w:ilvl="8" w:tentative="0">
      <w:start w:val="1"/>
      <w:numFmt w:val="lowerRoman"/>
      <w:lvlText w:val="%9."/>
      <w:lvlJc w:val="right"/>
      <w:pPr>
        <w:ind w:left="3922" w:hanging="420"/>
      </w:pPr>
      <w:rPr>
        <w:rFonts w:cs="Times New Roman"/>
      </w:rPr>
    </w:lvl>
  </w:abstractNum>
  <w:abstractNum w:abstractNumId="24">
    <w:nsid w:val="2549136A"/>
    <w:multiLevelType w:val="multilevel"/>
    <w:tmpl w:val="2549136A"/>
    <w:lvl w:ilvl="0" w:tentative="0">
      <w:start w:val="1"/>
      <w:numFmt w:val="decimal"/>
      <w:lvlText w:val="26.%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54B6397"/>
    <w:multiLevelType w:val="multilevel"/>
    <w:tmpl w:val="254B6397"/>
    <w:lvl w:ilvl="0" w:tentative="0">
      <w:start w:val="1"/>
      <w:numFmt w:val="decimal"/>
      <w:lvlText w:val="4.%1"/>
      <w:lvlJc w:val="left"/>
      <w:pPr>
        <w:ind w:left="420" w:hanging="420"/>
      </w:pPr>
      <w:rPr>
        <w:rFonts w:hint="default" w:ascii="Times New Roman" w:hAnsi="Times New Roman" w:cs="Times New Roman"/>
        <w:b w:val="0"/>
        <w:bCs w:val="0"/>
        <w:i w:val="0"/>
        <w:iCs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5E87648"/>
    <w:multiLevelType w:val="multilevel"/>
    <w:tmpl w:val="25E87648"/>
    <w:lvl w:ilvl="0" w:tentative="0">
      <w:start w:val="1"/>
      <w:numFmt w:val="decimal"/>
      <w:lvlText w:val="9.%1"/>
      <w:lvlJc w:val="left"/>
      <w:pPr>
        <w:tabs>
          <w:tab w:val="left" w:pos="1468"/>
        </w:tabs>
        <w:ind w:left="1468" w:firstLine="12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28DE7901"/>
    <w:multiLevelType w:val="multilevel"/>
    <w:tmpl w:val="28DE7901"/>
    <w:lvl w:ilvl="0" w:tentative="0">
      <w:start w:val="1"/>
      <w:numFmt w:val="decimal"/>
      <w:lvlText w:val="16.%1"/>
      <w:lvlJc w:val="left"/>
      <w:pPr>
        <w:ind w:left="562"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8">
    <w:nsid w:val="2ACF0067"/>
    <w:multiLevelType w:val="multilevel"/>
    <w:tmpl w:val="2ACF0067"/>
    <w:lvl w:ilvl="0" w:tentative="0">
      <w:start w:val="1"/>
      <w:numFmt w:val="decimal"/>
      <w:lvlText w:val="8.%1"/>
      <w:lvlJc w:val="left"/>
      <w:pPr>
        <w:ind w:left="420" w:hanging="420"/>
      </w:pPr>
      <w:rPr>
        <w:rFonts w:hint="eastAsia"/>
        <w:color w:val="auto"/>
        <w:sz w:val="24"/>
        <w:szCs w:val="24"/>
      </w:rPr>
    </w:lvl>
    <w:lvl w:ilvl="1" w:tentative="0">
      <w:start w:val="1"/>
      <w:numFmt w:val="lowerLetter"/>
      <w:lvlText w:val="%2)"/>
      <w:lvlJc w:val="left"/>
      <w:pPr>
        <w:ind w:left="840" w:hanging="420"/>
      </w:pPr>
    </w:lvl>
    <w:lvl w:ilvl="2" w:tentative="0">
      <w:start w:val="1"/>
      <w:numFmt w:val="decimal"/>
      <w:lvlText w:val="(%3)"/>
      <w:lvlJc w:val="left"/>
      <w:pPr>
        <w:ind w:left="1365" w:hanging="525"/>
      </w:pPr>
      <w:rPr>
        <w:rFonts w:hint="default" w:ascii="Times New Roman" w:hAnsi="Times New Roman" w:cs="Times New Roman"/>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CA14BFA"/>
    <w:multiLevelType w:val="multilevel"/>
    <w:tmpl w:val="2CA14BFA"/>
    <w:lvl w:ilvl="0" w:tentative="0">
      <w:start w:val="1"/>
      <w:numFmt w:val="chineseCountingThousand"/>
      <w:lvlText w:val="第%1条"/>
      <w:lvlJc w:val="left"/>
      <w:pPr>
        <w:tabs>
          <w:tab w:val="left" w:pos="3688"/>
        </w:tabs>
        <w:ind w:left="3688" w:hanging="96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2CD81BE9"/>
    <w:multiLevelType w:val="multilevel"/>
    <w:tmpl w:val="2CD81BE9"/>
    <w:lvl w:ilvl="0" w:tentative="0">
      <w:start w:val="1"/>
      <w:numFmt w:val="decimal"/>
      <w:lvlText w:val="8.%1"/>
      <w:lvlJc w:val="left"/>
      <w:pPr>
        <w:ind w:left="1140" w:hanging="420"/>
      </w:pPr>
      <w:rPr>
        <w:rFonts w:hint="default" w:ascii="Times New Roman" w:hAnsi="Times New Roman" w:cs="Times New Roman"/>
        <w:color w:val="auto"/>
        <w:sz w:val="24"/>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1">
    <w:nsid w:val="2DD57E63"/>
    <w:multiLevelType w:val="multilevel"/>
    <w:tmpl w:val="2DD57E63"/>
    <w:lvl w:ilvl="0" w:tentative="0">
      <w:start w:val="1"/>
      <w:numFmt w:val="decimal"/>
      <w:lvlText w:val="(%1)"/>
      <w:lvlJc w:val="left"/>
      <w:pPr>
        <w:tabs>
          <w:tab w:val="left" w:pos="-560"/>
        </w:tabs>
        <w:ind w:left="1125" w:hanging="1125"/>
      </w:pPr>
      <w:rPr>
        <w:rFonts w:hint="default" w:ascii="Times New Roman" w:hAnsi="Times New Roman"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32">
    <w:nsid w:val="30B14288"/>
    <w:multiLevelType w:val="multilevel"/>
    <w:tmpl w:val="30B14288"/>
    <w:lvl w:ilvl="0" w:tentative="0">
      <w:start w:val="1"/>
      <w:numFmt w:val="decimal"/>
      <w:lvlText w:val="10.%1"/>
      <w:lvlJc w:val="left"/>
      <w:pPr>
        <w:ind w:left="420" w:hanging="420"/>
      </w:pPr>
      <w:rPr>
        <w:rFonts w:hint="eastAsia" w:cs="Times New Roman"/>
        <w:b w:val="0"/>
        <w:color w:val="auto"/>
        <w:sz w:val="24"/>
        <w:szCs w:val="24"/>
      </w:rPr>
    </w:lvl>
    <w:lvl w:ilvl="1" w:tentative="0">
      <w:start w:val="1"/>
      <w:numFmt w:val="lowerLetter"/>
      <w:lvlText w:val="%2)"/>
      <w:lvlJc w:val="left"/>
      <w:pPr>
        <w:ind w:left="840" w:hanging="420"/>
      </w:pPr>
      <w:rPr>
        <w:rFonts w:cs="Times New Roman"/>
      </w:rPr>
    </w:lvl>
    <w:lvl w:ilvl="2" w:tentative="0">
      <w:start w:val="1"/>
      <w:numFmt w:val="decimal"/>
      <w:lvlText w:val="(%3)"/>
      <w:lvlJc w:val="left"/>
      <w:pPr>
        <w:ind w:left="1365" w:hanging="525"/>
      </w:pPr>
      <w:rPr>
        <w:rFonts w:hint="default" w:cs="Times New Roman"/>
      </w:rPr>
    </w:lvl>
    <w:lvl w:ilvl="3" w:tentative="0">
      <w:start w:val="11"/>
      <w:numFmt w:val="bullet"/>
      <w:lvlText w:val="□"/>
      <w:lvlJc w:val="left"/>
      <w:pPr>
        <w:tabs>
          <w:tab w:val="left" w:pos="1620"/>
        </w:tabs>
        <w:ind w:left="1620" w:hanging="360"/>
      </w:pPr>
      <w:rPr>
        <w:rFonts w:hint="eastAsia" w:ascii="宋体" w:hAnsi="宋体" w:eastAsia="宋体"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3">
    <w:nsid w:val="34833FB0"/>
    <w:multiLevelType w:val="multilevel"/>
    <w:tmpl w:val="34833FB0"/>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354F523D"/>
    <w:multiLevelType w:val="multilevel"/>
    <w:tmpl w:val="354F523D"/>
    <w:lvl w:ilvl="0" w:tentative="0">
      <w:start w:val="1"/>
      <w:numFmt w:val="decimal"/>
      <w:lvlText w:val="(%1)"/>
      <w:lvlJc w:val="left"/>
      <w:pPr>
        <w:tabs>
          <w:tab w:val="left" w:pos="1140"/>
        </w:tabs>
        <w:ind w:left="1140" w:hanging="720"/>
      </w:pPr>
      <w:rPr>
        <w:rFonts w:hint="eastAsia" w:ascii="Times New Roman" w:hAnsi="Times New Roman" w:eastAsia="宋体"/>
      </w:r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abstractNum w:abstractNumId="35">
    <w:nsid w:val="368C560B"/>
    <w:multiLevelType w:val="multilevel"/>
    <w:tmpl w:val="368C560B"/>
    <w:lvl w:ilvl="0" w:tentative="0">
      <w:start w:val="1"/>
      <w:numFmt w:val="decimal"/>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37B67DAE"/>
    <w:multiLevelType w:val="multilevel"/>
    <w:tmpl w:val="37B67DAE"/>
    <w:lvl w:ilvl="0" w:tentative="0">
      <w:start w:val="1"/>
      <w:numFmt w:val="chineseCountingThousand"/>
      <w:lvlText w:val="第%1条"/>
      <w:lvlJc w:val="left"/>
      <w:pPr>
        <w:tabs>
          <w:tab w:val="left" w:pos="3688"/>
        </w:tabs>
        <w:ind w:left="3688" w:hanging="960"/>
      </w:pPr>
      <w:rPr>
        <w:rFonts w:hint="eastAsia"/>
        <w:lang w:val="en-US"/>
      </w:rPr>
    </w:lvl>
    <w:lvl w:ilvl="1" w:tentative="0">
      <w:start w:val="1"/>
      <w:numFmt w:val="decimal"/>
      <w:lvlText w:val="2.%2"/>
      <w:lvlJc w:val="left"/>
      <w:pPr>
        <w:tabs>
          <w:tab w:val="left" w:pos="1468"/>
        </w:tabs>
        <w:ind w:left="1468" w:firstLine="1260"/>
      </w:pPr>
      <w:rPr>
        <w:rFonts w:hint="default" w:ascii="Times New Roman" w:hAnsi="Times New Roman"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37BB4534"/>
    <w:multiLevelType w:val="multilevel"/>
    <w:tmpl w:val="37BB4534"/>
    <w:lvl w:ilvl="0" w:tentative="0">
      <w:start w:val="1"/>
      <w:numFmt w:val="decimal"/>
      <w:lvlText w:val="(%1)"/>
      <w:lvlJc w:val="left"/>
      <w:pPr>
        <w:ind w:left="1068" w:hanging="420"/>
      </w:pPr>
      <w:rPr>
        <w:rFonts w:hint="eastAsia" w:ascii="Times New Roman" w:hAnsi="Times New Roman" w:eastAsia="宋体"/>
      </w:rPr>
    </w:lvl>
    <w:lvl w:ilvl="1" w:tentative="0">
      <w:start w:val="1"/>
      <w:numFmt w:val="decimal"/>
      <w:lvlText w:val="(%2)"/>
      <w:lvlJc w:val="left"/>
      <w:pPr>
        <w:ind w:left="1488" w:hanging="420"/>
      </w:pPr>
      <w:rPr>
        <w:rFonts w:hint="eastAsia" w:ascii="Times New Roman" w:hAnsi="Times New Roman" w:eastAsia="宋体"/>
      </w:r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abstractNum w:abstractNumId="38">
    <w:nsid w:val="37C42086"/>
    <w:multiLevelType w:val="multilevel"/>
    <w:tmpl w:val="37C42086"/>
    <w:lvl w:ilvl="0" w:tentative="0">
      <w:start w:val="1"/>
      <w:numFmt w:val="decimal"/>
      <w:lvlText w:val="7.%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9">
    <w:nsid w:val="37C839F4"/>
    <w:multiLevelType w:val="multilevel"/>
    <w:tmpl w:val="37C839F4"/>
    <w:lvl w:ilvl="0" w:tentative="0">
      <w:start w:val="1"/>
      <w:numFmt w:val="decimal"/>
      <w:lvlText w:val="5.%1"/>
      <w:lvlJc w:val="left"/>
      <w:pPr>
        <w:tabs>
          <w:tab w:val="left" w:pos="1890"/>
        </w:tabs>
        <w:ind w:left="1890" w:hanging="420"/>
      </w:pPr>
      <w:rPr>
        <w:rFonts w:hint="eastAsia"/>
        <w:b/>
        <w:bCs/>
        <w:i w:val="0"/>
        <w:iCs w:val="0"/>
      </w:rPr>
    </w:lvl>
    <w:lvl w:ilvl="1" w:tentative="0">
      <w:start w:val="1"/>
      <w:numFmt w:val="decimal"/>
      <w:lvlText w:val="5.1.%2"/>
      <w:lvlJc w:val="left"/>
      <w:pPr>
        <w:tabs>
          <w:tab w:val="left" w:pos="840"/>
        </w:tabs>
        <w:ind w:left="840" w:hanging="420"/>
      </w:pPr>
      <w:rPr>
        <w:rFonts w:hint="eastAsia"/>
        <w:b/>
        <w:bCs/>
        <w:i w:val="0"/>
        <w:iCs w:val="0"/>
      </w:rPr>
    </w:lvl>
    <w:lvl w:ilvl="2" w:tentative="0">
      <w:start w:val="1"/>
      <w:numFmt w:val="decimal"/>
      <w:lvlText w:val="3.%3"/>
      <w:lvlJc w:val="left"/>
      <w:pPr>
        <w:tabs>
          <w:tab w:val="left" w:pos="1280"/>
        </w:tabs>
        <w:ind w:left="1280" w:hanging="680"/>
      </w:pPr>
      <w:rPr>
        <w:rFonts w:hint="default" w:ascii="Times New Roman" w:hAnsi="Times New Roman" w:eastAsia="宋体"/>
        <w:b/>
        <w:bCs w:val="0"/>
        <w:i w:val="0"/>
        <w:iCs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38FF515A"/>
    <w:multiLevelType w:val="multilevel"/>
    <w:tmpl w:val="38FF515A"/>
    <w:lvl w:ilvl="0" w:tentative="0">
      <w:start w:val="1"/>
      <w:numFmt w:val="decimal"/>
      <w:lvlText w:val="%1"/>
      <w:lvlJc w:val="left"/>
      <w:pPr>
        <w:tabs>
          <w:tab w:val="left" w:pos="540"/>
        </w:tabs>
        <w:ind w:left="540" w:hanging="540"/>
      </w:pPr>
      <w:rPr>
        <w:rFonts w:hint="default" w:hAnsi="Times New Roman"/>
      </w:rPr>
    </w:lvl>
    <w:lvl w:ilvl="1" w:tentative="0">
      <w:start w:val="1"/>
      <w:numFmt w:val="decimal"/>
      <w:lvlText w:val="1.%2"/>
      <w:lvlJc w:val="left"/>
      <w:pPr>
        <w:tabs>
          <w:tab w:val="left" w:pos="1440"/>
        </w:tabs>
        <w:ind w:left="542" w:hanging="542"/>
      </w:pPr>
      <w:rPr>
        <w:rFonts w:hint="default" w:ascii="Times New Roman" w:hAnsi="Times New Roman" w:cs="Times New Roman"/>
      </w:rPr>
    </w:lvl>
    <w:lvl w:ilvl="2" w:tentative="0">
      <w:start w:val="1"/>
      <w:numFmt w:val="decimal"/>
      <w:lvlText w:val="%1.%2.%3"/>
      <w:lvlJc w:val="left"/>
      <w:pPr>
        <w:tabs>
          <w:tab w:val="left" w:pos="724"/>
        </w:tabs>
        <w:ind w:left="724" w:hanging="720"/>
      </w:pPr>
      <w:rPr>
        <w:rFonts w:hint="default" w:hAnsi="Times New Roman"/>
      </w:rPr>
    </w:lvl>
    <w:lvl w:ilvl="3" w:tentative="0">
      <w:start w:val="1"/>
      <w:numFmt w:val="decimal"/>
      <w:lvlText w:val="%1.%2.%3.%4"/>
      <w:lvlJc w:val="left"/>
      <w:pPr>
        <w:tabs>
          <w:tab w:val="left" w:pos="726"/>
        </w:tabs>
        <w:ind w:left="726" w:hanging="720"/>
      </w:pPr>
      <w:rPr>
        <w:rFonts w:hint="default" w:hAnsi="Times New Roman"/>
      </w:rPr>
    </w:lvl>
    <w:lvl w:ilvl="4" w:tentative="0">
      <w:start w:val="1"/>
      <w:numFmt w:val="decimal"/>
      <w:lvlText w:val="%1.%2.%3.%4.%5"/>
      <w:lvlJc w:val="left"/>
      <w:pPr>
        <w:tabs>
          <w:tab w:val="left" w:pos="1088"/>
        </w:tabs>
        <w:ind w:left="1088" w:hanging="1080"/>
      </w:pPr>
      <w:rPr>
        <w:rFonts w:hint="default" w:hAnsi="Times New Roman"/>
      </w:rPr>
    </w:lvl>
    <w:lvl w:ilvl="5" w:tentative="0">
      <w:start w:val="1"/>
      <w:numFmt w:val="decimal"/>
      <w:lvlText w:val="%1.%2.%3.%4.%5.%6"/>
      <w:lvlJc w:val="left"/>
      <w:pPr>
        <w:tabs>
          <w:tab w:val="left" w:pos="1090"/>
        </w:tabs>
        <w:ind w:left="1090" w:hanging="1080"/>
      </w:pPr>
      <w:rPr>
        <w:rFonts w:hint="default" w:hAnsi="Times New Roman"/>
      </w:rPr>
    </w:lvl>
    <w:lvl w:ilvl="6" w:tentative="0">
      <w:start w:val="1"/>
      <w:numFmt w:val="decimal"/>
      <w:lvlText w:val="%1.%2.%3.%4.%5.%6.%7"/>
      <w:lvlJc w:val="left"/>
      <w:pPr>
        <w:tabs>
          <w:tab w:val="left" w:pos="1452"/>
        </w:tabs>
        <w:ind w:left="1452" w:hanging="1440"/>
      </w:pPr>
      <w:rPr>
        <w:rFonts w:hint="default" w:hAnsi="Times New Roman"/>
      </w:rPr>
    </w:lvl>
    <w:lvl w:ilvl="7" w:tentative="0">
      <w:start w:val="1"/>
      <w:numFmt w:val="decimal"/>
      <w:lvlText w:val="%1.%2.%3.%4.%5.%6.%7.%8"/>
      <w:lvlJc w:val="left"/>
      <w:pPr>
        <w:tabs>
          <w:tab w:val="left" w:pos="1454"/>
        </w:tabs>
        <w:ind w:left="1454" w:hanging="1440"/>
      </w:pPr>
      <w:rPr>
        <w:rFonts w:hint="default" w:hAnsi="Times New Roman"/>
      </w:rPr>
    </w:lvl>
    <w:lvl w:ilvl="8" w:tentative="0">
      <w:start w:val="1"/>
      <w:numFmt w:val="decimal"/>
      <w:lvlText w:val="%1.%2.%3.%4.%5.%6.%7.%8.%9"/>
      <w:lvlJc w:val="left"/>
      <w:pPr>
        <w:tabs>
          <w:tab w:val="left" w:pos="1816"/>
        </w:tabs>
        <w:ind w:left="1816" w:hanging="1800"/>
      </w:pPr>
      <w:rPr>
        <w:rFonts w:hint="default" w:hAnsi="Times New Roman"/>
      </w:rPr>
    </w:lvl>
  </w:abstractNum>
  <w:abstractNum w:abstractNumId="41">
    <w:nsid w:val="3A576153"/>
    <w:multiLevelType w:val="multilevel"/>
    <w:tmpl w:val="3A576153"/>
    <w:lvl w:ilvl="0" w:tentative="0">
      <w:start w:val="1"/>
      <w:numFmt w:val="decimal"/>
      <w:lvlText w:val="7.%1"/>
      <w:lvlJc w:val="left"/>
      <w:pPr>
        <w:tabs>
          <w:tab w:val="left" w:pos="1468"/>
        </w:tabs>
        <w:ind w:left="1468" w:firstLine="1260"/>
      </w:pPr>
      <w:rPr>
        <w:rFonts w:hint="default" w:ascii="Times New Roman" w:hAnsi="Times New Roman"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3ABB4496"/>
    <w:multiLevelType w:val="multilevel"/>
    <w:tmpl w:val="3ABB4496"/>
    <w:lvl w:ilvl="0" w:tentative="0">
      <w:start w:val="1"/>
      <w:numFmt w:val="decimal"/>
      <w:lvlText w:val="9.%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3AF631A7"/>
    <w:multiLevelType w:val="multilevel"/>
    <w:tmpl w:val="3AF631A7"/>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44">
    <w:nsid w:val="3DF82515"/>
    <w:multiLevelType w:val="multilevel"/>
    <w:tmpl w:val="3DF82515"/>
    <w:lvl w:ilvl="0" w:tentative="0">
      <w:start w:val="1"/>
      <w:numFmt w:val="decimal"/>
      <w:lvlText w:val="18.%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453E20A9"/>
    <w:multiLevelType w:val="multilevel"/>
    <w:tmpl w:val="453E20A9"/>
    <w:lvl w:ilvl="0" w:tentative="0">
      <w:start w:val="11"/>
      <w:numFmt w:val="bullet"/>
      <w:lvlText w:val="□"/>
      <w:lvlJc w:val="left"/>
      <w:pPr>
        <w:ind w:left="840" w:hanging="420"/>
      </w:pPr>
      <w:rPr>
        <w:rFonts w:hint="eastAsia" w:ascii="宋体" w:hAnsi="宋体" w:eastAsia="宋体" w:cs="Times New Roman"/>
      </w:rPr>
    </w:lvl>
    <w:lvl w:ilvl="1" w:tentative="0">
      <w:start w:val="1"/>
      <w:numFmt w:val="bullet"/>
      <w:lvlText w:val=""/>
      <w:lvlJc w:val="left"/>
      <w:pPr>
        <w:ind w:left="1260" w:hanging="420"/>
      </w:pPr>
      <w:rPr>
        <w:rFonts w:hint="default" w:ascii="Wingdings" w:hAnsi="Wingdings"/>
      </w:rPr>
    </w:lvl>
    <w:lvl w:ilvl="2" w:tentative="0">
      <w:start w:val="11"/>
      <w:numFmt w:val="bullet"/>
      <w:lvlText w:val="□"/>
      <w:lvlJc w:val="left"/>
      <w:pPr>
        <w:ind w:left="420" w:hanging="420"/>
      </w:pPr>
      <w:rPr>
        <w:rFonts w:hint="eastAsia" w:ascii="宋体" w:hAnsi="宋体" w:eastAsia="宋体" w:cs="Times New Roman"/>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6">
    <w:nsid w:val="4C6F71BF"/>
    <w:multiLevelType w:val="multilevel"/>
    <w:tmpl w:val="4C6F71BF"/>
    <w:lvl w:ilvl="0" w:tentative="0">
      <w:start w:val="1"/>
      <w:numFmt w:val="decimal"/>
      <w:lvlText w:val="29.%1"/>
      <w:lvlJc w:val="left"/>
      <w:pPr>
        <w:tabs>
          <w:tab w:val="left" w:pos="0"/>
        </w:tabs>
        <w:ind w:left="1260" w:hanging="420"/>
      </w:pPr>
      <w:rPr>
        <w:rFonts w:hint="default" w:ascii="Times New Roman" w:hAnsi="Times New Roman" w:cs="Times New Roman"/>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4F5111A7"/>
    <w:multiLevelType w:val="multilevel"/>
    <w:tmpl w:val="4F5111A7"/>
    <w:lvl w:ilvl="0" w:tentative="0">
      <w:start w:val="1"/>
      <w:numFmt w:val="decimal"/>
      <w:lvlText w:val="(%1)"/>
      <w:lvlJc w:val="left"/>
      <w:pPr>
        <w:ind w:left="1128" w:hanging="420"/>
      </w:pPr>
      <w:rPr>
        <w:rFonts w:hint="eastAsia"/>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48">
    <w:nsid w:val="5138266F"/>
    <w:multiLevelType w:val="multilevel"/>
    <w:tmpl w:val="5138266F"/>
    <w:lvl w:ilvl="0" w:tentative="0">
      <w:start w:val="1"/>
      <w:numFmt w:val="decimal"/>
      <w:lvlText w:val="7.%1"/>
      <w:lvlJc w:val="left"/>
      <w:pPr>
        <w:tabs>
          <w:tab w:val="left" w:pos="2728"/>
        </w:tabs>
        <w:ind w:left="3148" w:hanging="420"/>
      </w:pPr>
      <w:rPr>
        <w:rFonts w:hint="default" w:ascii="Times New Roman" w:hAnsi="Times New Roman"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51A03621"/>
    <w:multiLevelType w:val="multilevel"/>
    <w:tmpl w:val="51A03621"/>
    <w:lvl w:ilvl="0" w:tentative="0">
      <w:start w:val="1"/>
      <w:numFmt w:val="decimal"/>
      <w:pStyle w:val="96"/>
      <w:lvlText w:val="6.%1"/>
      <w:lvlJc w:val="left"/>
      <w:pPr>
        <w:tabs>
          <w:tab w:val="left" w:pos="1757"/>
        </w:tabs>
        <w:ind w:left="1757" w:hanging="720"/>
      </w:pPr>
      <w:rPr>
        <w:rFonts w:hint="eastAsia"/>
        <w:b/>
        <w:bCs/>
        <w:i w:val="0"/>
        <w:i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5252687B"/>
    <w:multiLevelType w:val="multilevel"/>
    <w:tmpl w:val="5252687B"/>
    <w:lvl w:ilvl="0" w:tentative="0">
      <w:start w:val="1"/>
      <w:numFmt w:val="decimal"/>
      <w:lvlText w:val="26.%1"/>
      <w:lvlJc w:val="left"/>
      <w:pPr>
        <w:ind w:left="420" w:hanging="420"/>
      </w:pPr>
      <w:rPr>
        <w:rFonts w:hint="default" w:ascii="Times New Roman" w:hAnsi="Times New Roman" w:cs="Times New Roman"/>
        <w:b w:val="0"/>
        <w:bCs w:val="0"/>
        <w:i w:val="0"/>
        <w:iCs w:val="0"/>
      </w:rPr>
    </w:lvl>
    <w:lvl w:ilvl="1" w:tentative="0">
      <w:start w:val="1"/>
      <w:numFmt w:val="lowerLetter"/>
      <w:lvlText w:val="%2)"/>
      <w:lvlJc w:val="left"/>
      <w:pPr>
        <w:ind w:left="840" w:hanging="420"/>
      </w:pPr>
    </w:lvl>
    <w:lvl w:ilvl="2" w:tentative="0">
      <w:start w:val="1"/>
      <w:numFmt w:val="decimal"/>
      <w:lvlText w:val="27.%3"/>
      <w:lvlJc w:val="left"/>
      <w:pPr>
        <w:tabs>
          <w:tab w:val="left" w:pos="0"/>
        </w:tabs>
        <w:ind w:left="1260" w:hanging="420"/>
      </w:pPr>
      <w:rPr>
        <w:rFonts w:hint="default" w:ascii="Times New Roman" w:hAnsi="Times New Roman" w:cs="Times New Roman"/>
        <w:b w:val="0"/>
        <w:bCs w:val="0"/>
        <w:i w:val="0"/>
        <w:iCs w:val="0"/>
        <w:color w:val="auto"/>
        <w:sz w:val="24"/>
        <w:szCs w:val="24"/>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3EF47A1"/>
    <w:multiLevelType w:val="multilevel"/>
    <w:tmpl w:val="53EF47A1"/>
    <w:lvl w:ilvl="0" w:tentative="0">
      <w:start w:val="1"/>
      <w:numFmt w:val="decimal"/>
      <w:lvlText w:val="28.%1"/>
      <w:lvlJc w:val="left"/>
      <w:pPr>
        <w:tabs>
          <w:tab w:val="left" w:pos="0"/>
        </w:tabs>
        <w:ind w:left="1260" w:hanging="420"/>
      </w:pPr>
      <w:rPr>
        <w:rFonts w:hint="default" w:ascii="Times New Roman" w:hAnsi="Times New Roman" w:eastAsia="宋体"/>
        <w:b w:val="0"/>
        <w:bCs w:val="0"/>
        <w:i w:val="0"/>
        <w:iCs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56791D3E"/>
    <w:multiLevelType w:val="multilevel"/>
    <w:tmpl w:val="56791D3E"/>
    <w:lvl w:ilvl="0" w:tentative="0">
      <w:start w:val="1"/>
      <w:numFmt w:val="decimal"/>
      <w:lvlText w:val="(%1)"/>
      <w:lvlJc w:val="left"/>
      <w:pPr>
        <w:tabs>
          <w:tab w:val="left" w:pos="840"/>
        </w:tabs>
        <w:ind w:left="840" w:hanging="420"/>
      </w:pPr>
      <w:rPr>
        <w:rFonts w:ascii="Times New Roman" w:hAnsi="宋体" w:eastAsia="宋体"/>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53">
    <w:nsid w:val="56BD5868"/>
    <w:multiLevelType w:val="multilevel"/>
    <w:tmpl w:val="56BD5868"/>
    <w:lvl w:ilvl="0" w:tentative="0">
      <w:start w:val="1"/>
      <w:numFmt w:val="decimal"/>
      <w:lvlText w:val="21.%1"/>
      <w:lvlJc w:val="left"/>
      <w:pPr>
        <w:tabs>
          <w:tab w:val="left" w:pos="42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58BC59F2"/>
    <w:multiLevelType w:val="multilevel"/>
    <w:tmpl w:val="58BC59F2"/>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25" w:hanging="405"/>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5A5D5973"/>
    <w:multiLevelType w:val="multilevel"/>
    <w:tmpl w:val="5A5D5973"/>
    <w:lvl w:ilvl="0" w:tentative="0">
      <w:start w:val="1"/>
      <w:numFmt w:val="decimal"/>
      <w:lvlText w:val="(%1)"/>
      <w:lvlJc w:val="left"/>
      <w:pPr>
        <w:ind w:left="420" w:hanging="420"/>
      </w:pPr>
      <w:rPr>
        <w:rFonts w:hint="eastAsia"/>
      </w:rPr>
    </w:lvl>
    <w:lvl w:ilvl="1" w:tentative="0">
      <w:start w:val="1"/>
      <w:numFmt w:val="decimal"/>
      <w:lvlText w:val="(%2)"/>
      <w:lvlJc w:val="left"/>
      <w:pPr>
        <w:ind w:left="42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CD51FE0"/>
    <w:multiLevelType w:val="multilevel"/>
    <w:tmpl w:val="5CD51FE0"/>
    <w:lvl w:ilvl="0" w:tentative="0">
      <w:start w:val="1"/>
      <w:numFmt w:val="decimal"/>
      <w:lvlText w:val="10.%1"/>
      <w:lvlJc w:val="left"/>
      <w:pPr>
        <w:ind w:left="420" w:hanging="420"/>
      </w:pPr>
      <w:rPr>
        <w:rFonts w:hint="eastAsia" w:cs="Times New Roman"/>
        <w:b w:val="0"/>
        <w:i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7">
    <w:nsid w:val="5FF748D3"/>
    <w:multiLevelType w:val="multilevel"/>
    <w:tmpl w:val="5FF748D3"/>
    <w:lvl w:ilvl="0" w:tentative="0">
      <w:start w:val="1"/>
      <w:numFmt w:val="decimal"/>
      <w:lvlText w:val="25.%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62257693"/>
    <w:multiLevelType w:val="multilevel"/>
    <w:tmpl w:val="62257693"/>
    <w:lvl w:ilvl="0" w:tentative="0">
      <w:start w:val="1"/>
      <w:numFmt w:val="decimal"/>
      <w:lvlText w:val="17.%1"/>
      <w:lvlJc w:val="left"/>
      <w:pPr>
        <w:ind w:left="420" w:hanging="420"/>
      </w:pPr>
      <w:rPr>
        <w:rFonts w:hint="default" w:ascii="Times New Roman" w:hAnsi="Times New Roman"/>
        <w:b w:val="0"/>
        <w:bCs w:val="0"/>
        <w:i w:val="0"/>
        <w:iCs w:val="0"/>
        <w:color w:val="auto"/>
        <w:spacing w:val="0"/>
        <w:kern w:val="2"/>
        <w:sz w:val="24"/>
        <w:szCs w:val="24"/>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38C4BB5"/>
    <w:multiLevelType w:val="multilevel"/>
    <w:tmpl w:val="638C4BB5"/>
    <w:lvl w:ilvl="0" w:tentative="0">
      <w:start w:val="1"/>
      <w:numFmt w:val="decimal"/>
      <w:lvlText w:val="13.%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0">
    <w:nsid w:val="65CE644A"/>
    <w:multiLevelType w:val="multilevel"/>
    <w:tmpl w:val="65CE644A"/>
    <w:lvl w:ilvl="0" w:tentative="0">
      <w:start w:val="1"/>
      <w:numFmt w:val="decimal"/>
      <w:lvlText w:val="24.%1"/>
      <w:lvlJc w:val="left"/>
      <w:pPr>
        <w:tabs>
          <w:tab w:val="left" w:pos="120"/>
        </w:tabs>
        <w:ind w:left="54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61">
    <w:nsid w:val="671B442A"/>
    <w:multiLevelType w:val="multilevel"/>
    <w:tmpl w:val="671B442A"/>
    <w:lvl w:ilvl="0" w:tentative="0">
      <w:start w:val="1"/>
      <w:numFmt w:val="decimal"/>
      <w:lvlText w:val="9.%1"/>
      <w:lvlJc w:val="left"/>
      <w:pPr>
        <w:tabs>
          <w:tab w:val="left" w:pos="840"/>
        </w:tabs>
        <w:ind w:left="840" w:hanging="420"/>
      </w:pPr>
      <w:rPr>
        <w:rFonts w:hint="eastAsia"/>
      </w:rPr>
    </w:lvl>
    <w:lvl w:ilvl="1" w:tentative="0">
      <w:start w:val="1"/>
      <w:numFmt w:val="decimal"/>
      <w:lvlText w:val="(%2)"/>
      <w:lvlJc w:val="left"/>
      <w:pPr>
        <w:tabs>
          <w:tab w:val="left" w:pos="-140"/>
        </w:tabs>
        <w:ind w:left="1545" w:hanging="1125"/>
      </w:pPr>
      <w:rPr>
        <w:rFonts w:hint="default"/>
      </w:rPr>
    </w:lvl>
    <w:lvl w:ilvl="2" w:tentative="0">
      <w:start w:val="1"/>
      <w:numFmt w:val="lowerRoman"/>
      <w:lvlText w:val="(%3)"/>
      <w:lvlJc w:val="left"/>
      <w:pPr>
        <w:tabs>
          <w:tab w:val="left" w:pos="420"/>
        </w:tabs>
        <w:ind w:left="420" w:hanging="420"/>
      </w:pPr>
      <w:rPr>
        <w:rFonts w:hint="default" w:ascii="Times New Roman" w:hAnsi="Times New Roman" w:cs="Times New Roman"/>
        <w:b w:val="0"/>
        <w:bCs w:val="0"/>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67A163D5"/>
    <w:multiLevelType w:val="multilevel"/>
    <w:tmpl w:val="67A163D5"/>
    <w:lvl w:ilvl="0" w:tentative="0">
      <w:start w:val="1"/>
      <w:numFmt w:val="decimal"/>
      <w:lvlText w:val="6.%1"/>
      <w:lvlJc w:val="left"/>
      <w:pPr>
        <w:tabs>
          <w:tab w:val="left" w:pos="2728"/>
        </w:tabs>
        <w:ind w:left="3148" w:hanging="420"/>
      </w:pPr>
      <w:rPr>
        <w:rFonts w:hint="default" w:ascii="Times New Roman" w:hAnsi="Times New Roman" w:cs="Times New Roman"/>
        <w:b w:val="0"/>
        <w:bCs w:val="0"/>
        <w:i w:val="0"/>
        <w:iCs w:val="0"/>
        <w:color w:val="00000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3">
    <w:nsid w:val="67A55F7A"/>
    <w:multiLevelType w:val="multilevel"/>
    <w:tmpl w:val="67A55F7A"/>
    <w:lvl w:ilvl="0" w:tentative="0">
      <w:start w:val="1"/>
      <w:numFmt w:val="decimal"/>
      <w:lvlText w:val="8.%1"/>
      <w:lvlJc w:val="left"/>
      <w:pPr>
        <w:ind w:left="418" w:hanging="420"/>
      </w:pPr>
      <w:rPr>
        <w:rFonts w:hint="default" w:ascii="Times New Roman" w:hAnsi="Times New Roman" w:cs="Times New Roman"/>
        <w:b w:val="0"/>
        <w:i w:val="0"/>
        <w:color w:val="auto"/>
        <w:sz w:val="24"/>
      </w:rPr>
    </w:lvl>
    <w:lvl w:ilvl="1" w:tentative="0">
      <w:start w:val="1"/>
      <w:numFmt w:val="decimal"/>
      <w:lvlText w:val="(%2)"/>
      <w:lvlJc w:val="left"/>
      <w:pPr>
        <w:ind w:left="808" w:hanging="390"/>
      </w:pPr>
      <w:rPr>
        <w:rFonts w:hint="default" w:cs="Times New Roman"/>
      </w:rPr>
    </w:lvl>
    <w:lvl w:ilvl="2" w:tentative="0">
      <w:start w:val="1"/>
      <w:numFmt w:val="lowerRoman"/>
      <w:lvlText w:val="%3."/>
      <w:lvlJc w:val="right"/>
      <w:pPr>
        <w:ind w:left="1258" w:hanging="420"/>
      </w:pPr>
      <w:rPr>
        <w:rFonts w:cs="Times New Roman"/>
      </w:rPr>
    </w:lvl>
    <w:lvl w:ilvl="3" w:tentative="0">
      <w:start w:val="1"/>
      <w:numFmt w:val="decimal"/>
      <w:lvlText w:val="%4."/>
      <w:lvlJc w:val="left"/>
      <w:pPr>
        <w:ind w:left="1678" w:hanging="420"/>
      </w:pPr>
      <w:rPr>
        <w:rFonts w:cs="Times New Roman"/>
      </w:rPr>
    </w:lvl>
    <w:lvl w:ilvl="4" w:tentative="0">
      <w:start w:val="1"/>
      <w:numFmt w:val="lowerLetter"/>
      <w:lvlText w:val="%5)"/>
      <w:lvlJc w:val="left"/>
      <w:pPr>
        <w:ind w:left="2098" w:hanging="420"/>
      </w:pPr>
      <w:rPr>
        <w:rFonts w:cs="Times New Roman"/>
      </w:rPr>
    </w:lvl>
    <w:lvl w:ilvl="5" w:tentative="0">
      <w:start w:val="1"/>
      <w:numFmt w:val="lowerRoman"/>
      <w:lvlText w:val="%6."/>
      <w:lvlJc w:val="right"/>
      <w:pPr>
        <w:ind w:left="2518" w:hanging="420"/>
      </w:pPr>
      <w:rPr>
        <w:rFonts w:cs="Times New Roman"/>
      </w:rPr>
    </w:lvl>
    <w:lvl w:ilvl="6" w:tentative="0">
      <w:start w:val="1"/>
      <w:numFmt w:val="decimal"/>
      <w:lvlText w:val="%7."/>
      <w:lvlJc w:val="left"/>
      <w:pPr>
        <w:ind w:left="2938" w:hanging="420"/>
      </w:pPr>
      <w:rPr>
        <w:rFonts w:cs="Times New Roman"/>
      </w:rPr>
    </w:lvl>
    <w:lvl w:ilvl="7" w:tentative="0">
      <w:start w:val="1"/>
      <w:numFmt w:val="lowerLetter"/>
      <w:lvlText w:val="%8)"/>
      <w:lvlJc w:val="left"/>
      <w:pPr>
        <w:ind w:left="3358" w:hanging="420"/>
      </w:pPr>
      <w:rPr>
        <w:rFonts w:cs="Times New Roman"/>
      </w:rPr>
    </w:lvl>
    <w:lvl w:ilvl="8" w:tentative="0">
      <w:start w:val="1"/>
      <w:numFmt w:val="lowerRoman"/>
      <w:lvlText w:val="%9."/>
      <w:lvlJc w:val="right"/>
      <w:pPr>
        <w:ind w:left="3778" w:hanging="420"/>
      </w:pPr>
      <w:rPr>
        <w:rFonts w:cs="Times New Roman"/>
      </w:rPr>
    </w:lvl>
  </w:abstractNum>
  <w:abstractNum w:abstractNumId="64">
    <w:nsid w:val="69094136"/>
    <w:multiLevelType w:val="multilevel"/>
    <w:tmpl w:val="69094136"/>
    <w:lvl w:ilvl="0" w:tentative="0">
      <w:start w:val="1"/>
      <w:numFmt w:val="decimal"/>
      <w:lvlText w:val="2.%1"/>
      <w:lvlJc w:val="left"/>
      <w:pPr>
        <w:ind w:left="422" w:hanging="420"/>
      </w:pPr>
      <w:rPr>
        <w:rFonts w:hint="default" w:ascii="Times New Roman" w:hAnsi="Times New Roman" w:cs="Times New Roman"/>
        <w:sz w:val="24"/>
        <w:szCs w:val="24"/>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65">
    <w:nsid w:val="693A1FA8"/>
    <w:multiLevelType w:val="multilevel"/>
    <w:tmpl w:val="693A1FA8"/>
    <w:lvl w:ilvl="0" w:tentative="0">
      <w:start w:val="1"/>
      <w:numFmt w:val="decimal"/>
      <w:lvlText w:val="23.%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A896198"/>
    <w:multiLevelType w:val="multilevel"/>
    <w:tmpl w:val="6A896198"/>
    <w:lvl w:ilvl="0" w:tentative="0">
      <w:start w:val="1"/>
      <w:numFmt w:val="decimal"/>
      <w:lvlText w:val="4.%1"/>
      <w:lvlJc w:val="left"/>
      <w:pPr>
        <w:tabs>
          <w:tab w:val="left" w:pos="1468"/>
        </w:tabs>
        <w:ind w:left="1468" w:firstLine="1260"/>
      </w:pPr>
      <w:rPr>
        <w:rFonts w:hint="default" w:ascii="Times New Roman" w:hAnsi="Times New Roman" w:cs="Times New Roman"/>
        <w:b w:val="0"/>
      </w:rPr>
    </w:lvl>
    <w:lvl w:ilvl="1" w:tentative="0">
      <w:start w:val="1"/>
      <w:numFmt w:val="decimal"/>
      <w:lvlText w:val="(%2)"/>
      <w:lvlJc w:val="left"/>
      <w:pPr>
        <w:ind w:left="780" w:hanging="36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6CF95C41"/>
    <w:multiLevelType w:val="multilevel"/>
    <w:tmpl w:val="6CF95C41"/>
    <w:lvl w:ilvl="0" w:tentative="0">
      <w:start w:val="1"/>
      <w:numFmt w:val="decimal"/>
      <w:lvlText w:val="6.%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8">
    <w:nsid w:val="75686983"/>
    <w:multiLevelType w:val="multilevel"/>
    <w:tmpl w:val="75686983"/>
    <w:lvl w:ilvl="0" w:tentative="0">
      <w:start w:val="1"/>
      <w:numFmt w:val="chineseCountingThousand"/>
      <w:lvlText w:val="第%1条"/>
      <w:lvlJc w:val="left"/>
      <w:pPr>
        <w:tabs>
          <w:tab w:val="left" w:pos="2727"/>
        </w:tabs>
        <w:ind w:left="2835" w:hanging="107"/>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9">
    <w:nsid w:val="75F9288F"/>
    <w:multiLevelType w:val="multilevel"/>
    <w:tmpl w:val="75F9288F"/>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70">
    <w:nsid w:val="76FC7CCA"/>
    <w:multiLevelType w:val="multilevel"/>
    <w:tmpl w:val="76FC7CCA"/>
    <w:lvl w:ilvl="0" w:tentative="0">
      <w:start w:val="1"/>
      <w:numFmt w:val="decimal"/>
      <w:lvlText w:val="12.%1"/>
      <w:lvlJc w:val="left"/>
      <w:pPr>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1">
    <w:nsid w:val="79494086"/>
    <w:multiLevelType w:val="multilevel"/>
    <w:tmpl w:val="79494086"/>
    <w:lvl w:ilvl="0" w:tentative="0">
      <w:start w:val="1"/>
      <w:numFmt w:val="decimal"/>
      <w:lvlText w:val="20.%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7A57321B"/>
    <w:multiLevelType w:val="multilevel"/>
    <w:tmpl w:val="7A57321B"/>
    <w:lvl w:ilvl="0" w:tentative="0">
      <w:start w:val="10"/>
      <w:numFmt w:val="decimal"/>
      <w:lvlText w:val="%1"/>
      <w:lvlJc w:val="left"/>
      <w:pPr>
        <w:tabs>
          <w:tab w:val="left" w:pos="420"/>
        </w:tabs>
        <w:ind w:left="420" w:hanging="420"/>
      </w:pPr>
      <w:rPr>
        <w:rFonts w:hint="default"/>
      </w:rPr>
    </w:lvl>
    <w:lvl w:ilvl="1" w:tentative="0">
      <w:start w:val="1"/>
      <w:numFmt w:val="decimal"/>
      <w:lvlText w:val="11.%2"/>
      <w:lvlJc w:val="left"/>
      <w:pPr>
        <w:tabs>
          <w:tab w:val="left" w:pos="420"/>
        </w:tabs>
        <w:ind w:left="420" w:hanging="420"/>
      </w:pPr>
      <w:rPr>
        <w:rFonts w:hint="default" w:ascii="Times New Roman" w:hAnsi="Times New Roman" w:eastAsia="宋体"/>
        <w:b w:val="0"/>
        <w:i w:val="0"/>
        <w:color w:val="auto"/>
        <w:sz w:val="24"/>
        <w:szCs w:val="24"/>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3">
    <w:nsid w:val="7BFA0A54"/>
    <w:multiLevelType w:val="multilevel"/>
    <w:tmpl w:val="7BFA0A54"/>
    <w:lvl w:ilvl="0" w:tentative="0">
      <w:start w:val="1"/>
      <w:numFmt w:val="decimal"/>
      <w:lvlText w:val="8.%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4">
    <w:nsid w:val="7D96330E"/>
    <w:multiLevelType w:val="multilevel"/>
    <w:tmpl w:val="7D96330E"/>
    <w:lvl w:ilvl="0" w:tentative="0">
      <w:start w:val="11"/>
      <w:numFmt w:val="bullet"/>
      <w:lvlText w:val="□"/>
      <w:lvlJc w:val="left"/>
      <w:pPr>
        <w:ind w:left="1129" w:hanging="420"/>
      </w:pPr>
      <w:rPr>
        <w:rFonts w:hint="eastAsia" w:ascii="宋体" w:hAnsi="宋体" w:eastAsia="宋体" w:cs="Times New Roman"/>
      </w:rPr>
    </w:lvl>
    <w:lvl w:ilvl="1" w:tentative="0">
      <w:start w:val="1"/>
      <w:numFmt w:val="bullet"/>
      <w:lvlText w:val=""/>
      <w:lvlJc w:val="left"/>
      <w:pPr>
        <w:ind w:left="1549" w:hanging="420"/>
      </w:pPr>
      <w:rPr>
        <w:rFonts w:hint="default" w:ascii="Wingdings" w:hAnsi="Wingdings"/>
      </w:rPr>
    </w:lvl>
    <w:lvl w:ilvl="2" w:tentative="0">
      <w:start w:val="1"/>
      <w:numFmt w:val="bullet"/>
      <w:lvlText w:val=""/>
      <w:lvlJc w:val="left"/>
      <w:pPr>
        <w:ind w:left="1969" w:hanging="420"/>
      </w:pPr>
      <w:rPr>
        <w:rFonts w:hint="default" w:ascii="Wingdings" w:hAnsi="Wingdings"/>
      </w:rPr>
    </w:lvl>
    <w:lvl w:ilvl="3" w:tentative="0">
      <w:start w:val="1"/>
      <w:numFmt w:val="bullet"/>
      <w:lvlText w:val=""/>
      <w:lvlJc w:val="left"/>
      <w:pPr>
        <w:ind w:left="2389" w:hanging="420"/>
      </w:pPr>
      <w:rPr>
        <w:rFonts w:hint="default" w:ascii="Wingdings" w:hAnsi="Wingdings"/>
      </w:rPr>
    </w:lvl>
    <w:lvl w:ilvl="4" w:tentative="0">
      <w:start w:val="1"/>
      <w:numFmt w:val="bullet"/>
      <w:lvlText w:val=""/>
      <w:lvlJc w:val="left"/>
      <w:pPr>
        <w:ind w:left="2809" w:hanging="420"/>
      </w:pPr>
      <w:rPr>
        <w:rFonts w:hint="default" w:ascii="Wingdings" w:hAnsi="Wingdings"/>
      </w:rPr>
    </w:lvl>
    <w:lvl w:ilvl="5" w:tentative="0">
      <w:start w:val="1"/>
      <w:numFmt w:val="bullet"/>
      <w:lvlText w:val=""/>
      <w:lvlJc w:val="left"/>
      <w:pPr>
        <w:ind w:left="3229" w:hanging="420"/>
      </w:pPr>
      <w:rPr>
        <w:rFonts w:hint="default" w:ascii="Wingdings" w:hAnsi="Wingdings"/>
      </w:rPr>
    </w:lvl>
    <w:lvl w:ilvl="6" w:tentative="0">
      <w:start w:val="1"/>
      <w:numFmt w:val="bullet"/>
      <w:lvlText w:val=""/>
      <w:lvlJc w:val="left"/>
      <w:pPr>
        <w:ind w:left="3649" w:hanging="420"/>
      </w:pPr>
      <w:rPr>
        <w:rFonts w:hint="default" w:ascii="Wingdings" w:hAnsi="Wingdings"/>
      </w:rPr>
    </w:lvl>
    <w:lvl w:ilvl="7" w:tentative="0">
      <w:start w:val="1"/>
      <w:numFmt w:val="bullet"/>
      <w:lvlText w:val=""/>
      <w:lvlJc w:val="left"/>
      <w:pPr>
        <w:ind w:left="4069" w:hanging="420"/>
      </w:pPr>
      <w:rPr>
        <w:rFonts w:hint="default" w:ascii="Wingdings" w:hAnsi="Wingdings"/>
      </w:rPr>
    </w:lvl>
    <w:lvl w:ilvl="8" w:tentative="0">
      <w:start w:val="1"/>
      <w:numFmt w:val="bullet"/>
      <w:lvlText w:val=""/>
      <w:lvlJc w:val="left"/>
      <w:pPr>
        <w:ind w:left="4489" w:hanging="420"/>
      </w:pPr>
      <w:rPr>
        <w:rFonts w:hint="default" w:ascii="Wingdings" w:hAnsi="Wingdings"/>
      </w:rPr>
    </w:lvl>
  </w:abstractNum>
  <w:num w:numId="1">
    <w:abstractNumId w:val="49"/>
  </w:num>
  <w:num w:numId="2">
    <w:abstractNumId w:val="29"/>
  </w:num>
  <w:num w:numId="3">
    <w:abstractNumId w:val="40"/>
  </w:num>
  <w:num w:numId="4">
    <w:abstractNumId w:val="64"/>
  </w:num>
  <w:num w:numId="5">
    <w:abstractNumId w:val="9"/>
  </w:num>
  <w:num w:numId="6">
    <w:abstractNumId w:val="15"/>
  </w:num>
  <w:num w:numId="7">
    <w:abstractNumId w:val="6"/>
  </w:num>
  <w:num w:numId="8">
    <w:abstractNumId w:val="67"/>
  </w:num>
  <w:num w:numId="9">
    <w:abstractNumId w:val="38"/>
  </w:num>
  <w:num w:numId="10">
    <w:abstractNumId w:val="45"/>
  </w:num>
  <w:num w:numId="11">
    <w:abstractNumId w:val="68"/>
  </w:num>
  <w:num w:numId="12">
    <w:abstractNumId w:val="2"/>
  </w:num>
  <w:num w:numId="13">
    <w:abstractNumId w:val="74"/>
  </w:num>
  <w:num w:numId="14">
    <w:abstractNumId w:val="21"/>
  </w:num>
  <w:num w:numId="15">
    <w:abstractNumId w:val="13"/>
  </w:num>
  <w:num w:numId="16">
    <w:abstractNumId w:val="54"/>
  </w:num>
  <w:num w:numId="17">
    <w:abstractNumId w:val="25"/>
  </w:num>
  <w:num w:numId="18">
    <w:abstractNumId w:val="34"/>
  </w:num>
  <w:num w:numId="19">
    <w:abstractNumId w:val="31"/>
  </w:num>
  <w:num w:numId="20">
    <w:abstractNumId w:val="5"/>
  </w:num>
  <w:num w:numId="21">
    <w:abstractNumId w:val="62"/>
  </w:num>
  <w:num w:numId="22">
    <w:abstractNumId w:val="48"/>
  </w:num>
  <w:num w:numId="23">
    <w:abstractNumId w:val="30"/>
  </w:num>
  <w:num w:numId="24">
    <w:abstractNumId w:val="26"/>
  </w:num>
  <w:num w:numId="25">
    <w:abstractNumId w:val="10"/>
  </w:num>
  <w:num w:numId="26">
    <w:abstractNumId w:val="32"/>
  </w:num>
  <w:num w:numId="27">
    <w:abstractNumId w:val="20"/>
  </w:num>
  <w:num w:numId="28">
    <w:abstractNumId w:val="72"/>
  </w:num>
  <w:num w:numId="29">
    <w:abstractNumId w:val="3"/>
  </w:num>
  <w:num w:numId="30">
    <w:abstractNumId w:val="28"/>
  </w:num>
  <w:num w:numId="31">
    <w:abstractNumId w:val="36"/>
  </w:num>
  <w:num w:numId="32">
    <w:abstractNumId w:val="14"/>
  </w:num>
  <w:num w:numId="33">
    <w:abstractNumId w:val="47"/>
  </w:num>
  <w:num w:numId="34">
    <w:abstractNumId w:val="4"/>
  </w:num>
  <w:num w:numId="35">
    <w:abstractNumId w:val="22"/>
  </w:num>
  <w:num w:numId="36">
    <w:abstractNumId w:val="66"/>
  </w:num>
  <w:num w:numId="37">
    <w:abstractNumId w:val="1"/>
  </w:num>
  <w:num w:numId="38">
    <w:abstractNumId w:val="73"/>
  </w:num>
  <w:num w:numId="39">
    <w:abstractNumId w:val="17"/>
  </w:num>
  <w:num w:numId="40">
    <w:abstractNumId w:val="41"/>
  </w:num>
  <w:num w:numId="41">
    <w:abstractNumId w:val="63"/>
  </w:num>
  <w:num w:numId="42">
    <w:abstractNumId w:val="69"/>
  </w:num>
  <w:num w:numId="43">
    <w:abstractNumId w:val="42"/>
  </w:num>
  <w:num w:numId="44">
    <w:abstractNumId w:val="7"/>
  </w:num>
  <w:num w:numId="45">
    <w:abstractNumId w:val="43"/>
  </w:num>
  <w:num w:numId="46">
    <w:abstractNumId w:val="19"/>
  </w:num>
  <w:num w:numId="47">
    <w:abstractNumId w:val="55"/>
  </w:num>
  <w:num w:numId="48">
    <w:abstractNumId w:val="56"/>
  </w:num>
  <w:num w:numId="49">
    <w:abstractNumId w:val="12"/>
  </w:num>
  <w:num w:numId="50">
    <w:abstractNumId w:val="70"/>
  </w:num>
  <w:num w:numId="51">
    <w:abstractNumId w:val="59"/>
  </w:num>
  <w:num w:numId="52">
    <w:abstractNumId w:val="23"/>
  </w:num>
  <w:num w:numId="53">
    <w:abstractNumId w:val="8"/>
  </w:num>
  <w:num w:numId="54">
    <w:abstractNumId w:val="61"/>
  </w:num>
  <w:num w:numId="55">
    <w:abstractNumId w:val="16"/>
  </w:num>
  <w:num w:numId="56">
    <w:abstractNumId w:val="33"/>
  </w:num>
  <w:num w:numId="57">
    <w:abstractNumId w:val="27"/>
  </w:num>
  <w:num w:numId="58">
    <w:abstractNumId w:val="58"/>
  </w:num>
  <w:num w:numId="59">
    <w:abstractNumId w:val="44"/>
  </w:num>
  <w:num w:numId="60">
    <w:abstractNumId w:val="0"/>
    <w:lvlOverride w:ilvl="0">
      <w:lvl w:ilvl="0" w:tentative="1">
        <w:start w:val="1"/>
        <w:numFmt w:val="decimal"/>
        <w:lvlText w:val="19.%1"/>
        <w:lvlJc w:val="left"/>
        <w:pPr>
          <w:ind w:left="420" w:hanging="420"/>
        </w:pPr>
        <w:rPr>
          <w:rFonts w:hint="default" w:ascii="Times New Roman" w:hAnsi="Times New Roman" w:cs="Times New Roman"/>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1">
    <w:abstractNumId w:val="71"/>
  </w:num>
  <w:num w:numId="62">
    <w:abstractNumId w:val="52"/>
  </w:num>
  <w:num w:numId="63">
    <w:abstractNumId w:val="53"/>
  </w:num>
  <w:num w:numId="64">
    <w:abstractNumId w:val="11"/>
    <w:lvlOverride w:ilvl="0">
      <w:lvl w:ilvl="0" w:tentative="1">
        <w:start w:val="1"/>
        <w:numFmt w:val="decimal"/>
        <w:lvlText w:val="22.%1"/>
        <w:lvlJc w:val="left"/>
        <w:pPr>
          <w:ind w:left="420" w:hanging="420"/>
        </w:pPr>
        <w:rPr>
          <w:rFonts w:hint="default" w:ascii="Times New Roman" w:hAnsi="Times New Roman" w:cs="Times New Roman"/>
          <w:b w:val="0"/>
          <w:i w:val="0"/>
          <w:color w:val="auto"/>
          <w:sz w:val="24"/>
          <w:szCs w:val="24"/>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5">
    <w:abstractNumId w:val="65"/>
  </w:num>
  <w:num w:numId="66">
    <w:abstractNumId w:val="60"/>
  </w:num>
  <w:num w:numId="67">
    <w:abstractNumId w:val="57"/>
  </w:num>
  <w:num w:numId="68">
    <w:abstractNumId w:val="37"/>
  </w:num>
  <w:num w:numId="69">
    <w:abstractNumId w:val="24"/>
  </w:num>
  <w:num w:numId="70">
    <w:abstractNumId w:val="50"/>
  </w:num>
  <w:num w:numId="71">
    <w:abstractNumId w:val="51"/>
  </w:num>
  <w:num w:numId="72">
    <w:abstractNumId w:val="46"/>
  </w:num>
  <w:num w:numId="73">
    <w:abstractNumId w:val="35"/>
  </w:num>
  <w:num w:numId="74">
    <w:abstractNumId w:val="18"/>
  </w:num>
  <w:num w:numId="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708"/>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22B"/>
    <w:rsid w:val="000019D5"/>
    <w:rsid w:val="00001C07"/>
    <w:rsid w:val="0000249D"/>
    <w:rsid w:val="0000302D"/>
    <w:rsid w:val="00003089"/>
    <w:rsid w:val="0000446B"/>
    <w:rsid w:val="0000488A"/>
    <w:rsid w:val="00005099"/>
    <w:rsid w:val="00005AB6"/>
    <w:rsid w:val="00005AFC"/>
    <w:rsid w:val="00006380"/>
    <w:rsid w:val="000067E6"/>
    <w:rsid w:val="000102AE"/>
    <w:rsid w:val="00010662"/>
    <w:rsid w:val="00011F15"/>
    <w:rsid w:val="000122DE"/>
    <w:rsid w:val="000128EA"/>
    <w:rsid w:val="00013084"/>
    <w:rsid w:val="00014109"/>
    <w:rsid w:val="00014C98"/>
    <w:rsid w:val="00014E1C"/>
    <w:rsid w:val="0001592C"/>
    <w:rsid w:val="00015C2C"/>
    <w:rsid w:val="00016A0C"/>
    <w:rsid w:val="00017820"/>
    <w:rsid w:val="00020B8A"/>
    <w:rsid w:val="00020D15"/>
    <w:rsid w:val="000218BB"/>
    <w:rsid w:val="000219F2"/>
    <w:rsid w:val="0002318E"/>
    <w:rsid w:val="00024443"/>
    <w:rsid w:val="00025404"/>
    <w:rsid w:val="000258D9"/>
    <w:rsid w:val="000269C1"/>
    <w:rsid w:val="000271AB"/>
    <w:rsid w:val="00027845"/>
    <w:rsid w:val="00027B19"/>
    <w:rsid w:val="00030726"/>
    <w:rsid w:val="00031008"/>
    <w:rsid w:val="0003146F"/>
    <w:rsid w:val="000327E6"/>
    <w:rsid w:val="00032AC4"/>
    <w:rsid w:val="000339F7"/>
    <w:rsid w:val="00033B8A"/>
    <w:rsid w:val="00033C05"/>
    <w:rsid w:val="0003502F"/>
    <w:rsid w:val="00036010"/>
    <w:rsid w:val="00036F36"/>
    <w:rsid w:val="0003717D"/>
    <w:rsid w:val="00040DA1"/>
    <w:rsid w:val="00041241"/>
    <w:rsid w:val="00042053"/>
    <w:rsid w:val="00043E08"/>
    <w:rsid w:val="00043E76"/>
    <w:rsid w:val="00043EAB"/>
    <w:rsid w:val="00044A49"/>
    <w:rsid w:val="00045AE8"/>
    <w:rsid w:val="000465F7"/>
    <w:rsid w:val="000504A7"/>
    <w:rsid w:val="000508C2"/>
    <w:rsid w:val="000509AE"/>
    <w:rsid w:val="00051126"/>
    <w:rsid w:val="00052A43"/>
    <w:rsid w:val="00053032"/>
    <w:rsid w:val="000539E7"/>
    <w:rsid w:val="00054365"/>
    <w:rsid w:val="00054B3D"/>
    <w:rsid w:val="000558CF"/>
    <w:rsid w:val="00057E9D"/>
    <w:rsid w:val="00060B4E"/>
    <w:rsid w:val="00061348"/>
    <w:rsid w:val="0006149B"/>
    <w:rsid w:val="00061AD8"/>
    <w:rsid w:val="0006243C"/>
    <w:rsid w:val="000635D2"/>
    <w:rsid w:val="00063FFE"/>
    <w:rsid w:val="000642F0"/>
    <w:rsid w:val="0006763B"/>
    <w:rsid w:val="00067ACB"/>
    <w:rsid w:val="00070369"/>
    <w:rsid w:val="000706F0"/>
    <w:rsid w:val="000711BC"/>
    <w:rsid w:val="0007121B"/>
    <w:rsid w:val="00071EFD"/>
    <w:rsid w:val="00071FBB"/>
    <w:rsid w:val="00072EA2"/>
    <w:rsid w:val="00073DDB"/>
    <w:rsid w:val="00075023"/>
    <w:rsid w:val="000751AA"/>
    <w:rsid w:val="00076B63"/>
    <w:rsid w:val="00076D60"/>
    <w:rsid w:val="0007766A"/>
    <w:rsid w:val="0008115A"/>
    <w:rsid w:val="000823CC"/>
    <w:rsid w:val="00082F99"/>
    <w:rsid w:val="00083C3E"/>
    <w:rsid w:val="000852AE"/>
    <w:rsid w:val="00086411"/>
    <w:rsid w:val="00086FB9"/>
    <w:rsid w:val="00090081"/>
    <w:rsid w:val="000900CC"/>
    <w:rsid w:val="00090D30"/>
    <w:rsid w:val="000916AD"/>
    <w:rsid w:val="00091F48"/>
    <w:rsid w:val="0009220A"/>
    <w:rsid w:val="0009322A"/>
    <w:rsid w:val="00095932"/>
    <w:rsid w:val="000959EB"/>
    <w:rsid w:val="00095C14"/>
    <w:rsid w:val="00095FCD"/>
    <w:rsid w:val="00096026"/>
    <w:rsid w:val="000A0CF0"/>
    <w:rsid w:val="000A0D31"/>
    <w:rsid w:val="000A12AE"/>
    <w:rsid w:val="000A1AFC"/>
    <w:rsid w:val="000A1FBF"/>
    <w:rsid w:val="000A2DD3"/>
    <w:rsid w:val="000A4171"/>
    <w:rsid w:val="000A57E2"/>
    <w:rsid w:val="000A5FD8"/>
    <w:rsid w:val="000A6392"/>
    <w:rsid w:val="000A675A"/>
    <w:rsid w:val="000A68FB"/>
    <w:rsid w:val="000A6BD0"/>
    <w:rsid w:val="000A78F2"/>
    <w:rsid w:val="000B0E3B"/>
    <w:rsid w:val="000B1C0D"/>
    <w:rsid w:val="000B1DEA"/>
    <w:rsid w:val="000B2007"/>
    <w:rsid w:val="000B3F69"/>
    <w:rsid w:val="000B46F4"/>
    <w:rsid w:val="000B4E73"/>
    <w:rsid w:val="000B5BBA"/>
    <w:rsid w:val="000C0135"/>
    <w:rsid w:val="000C1283"/>
    <w:rsid w:val="000C19A3"/>
    <w:rsid w:val="000C28AE"/>
    <w:rsid w:val="000C2F09"/>
    <w:rsid w:val="000C61CE"/>
    <w:rsid w:val="000C69FE"/>
    <w:rsid w:val="000C6B77"/>
    <w:rsid w:val="000C6EAC"/>
    <w:rsid w:val="000D0596"/>
    <w:rsid w:val="000D0BF7"/>
    <w:rsid w:val="000D1779"/>
    <w:rsid w:val="000D1DE3"/>
    <w:rsid w:val="000D2203"/>
    <w:rsid w:val="000D2EC0"/>
    <w:rsid w:val="000D3A9E"/>
    <w:rsid w:val="000D4FE4"/>
    <w:rsid w:val="000D7649"/>
    <w:rsid w:val="000E2188"/>
    <w:rsid w:val="000E25B4"/>
    <w:rsid w:val="000E2DA7"/>
    <w:rsid w:val="000E2FB0"/>
    <w:rsid w:val="000E3E1D"/>
    <w:rsid w:val="000E41E9"/>
    <w:rsid w:val="000E4DC7"/>
    <w:rsid w:val="000E54CE"/>
    <w:rsid w:val="000E6297"/>
    <w:rsid w:val="000E67FA"/>
    <w:rsid w:val="000E76B5"/>
    <w:rsid w:val="000E7C7E"/>
    <w:rsid w:val="000F005E"/>
    <w:rsid w:val="000F0BCE"/>
    <w:rsid w:val="000F105C"/>
    <w:rsid w:val="000F4758"/>
    <w:rsid w:val="000F4AA5"/>
    <w:rsid w:val="000F6A24"/>
    <w:rsid w:val="000F6B69"/>
    <w:rsid w:val="000F711A"/>
    <w:rsid w:val="0010051F"/>
    <w:rsid w:val="00100801"/>
    <w:rsid w:val="00101021"/>
    <w:rsid w:val="0010138F"/>
    <w:rsid w:val="00102A0A"/>
    <w:rsid w:val="001058CF"/>
    <w:rsid w:val="00105AD7"/>
    <w:rsid w:val="0010632E"/>
    <w:rsid w:val="0010750D"/>
    <w:rsid w:val="00110C5E"/>
    <w:rsid w:val="0011132E"/>
    <w:rsid w:val="001139DE"/>
    <w:rsid w:val="00113E22"/>
    <w:rsid w:val="001143C8"/>
    <w:rsid w:val="00114F70"/>
    <w:rsid w:val="00115C9A"/>
    <w:rsid w:val="001160F4"/>
    <w:rsid w:val="0011708D"/>
    <w:rsid w:val="0011781B"/>
    <w:rsid w:val="001201C0"/>
    <w:rsid w:val="001203D8"/>
    <w:rsid w:val="0012073A"/>
    <w:rsid w:val="001216A3"/>
    <w:rsid w:val="0012235B"/>
    <w:rsid w:val="001226A2"/>
    <w:rsid w:val="0012432E"/>
    <w:rsid w:val="00124E7E"/>
    <w:rsid w:val="001254B8"/>
    <w:rsid w:val="001278DC"/>
    <w:rsid w:val="00127CB4"/>
    <w:rsid w:val="0013012D"/>
    <w:rsid w:val="0013041D"/>
    <w:rsid w:val="00130749"/>
    <w:rsid w:val="00130AD1"/>
    <w:rsid w:val="00130B91"/>
    <w:rsid w:val="00131299"/>
    <w:rsid w:val="001313CC"/>
    <w:rsid w:val="00131D7D"/>
    <w:rsid w:val="00132163"/>
    <w:rsid w:val="0013391B"/>
    <w:rsid w:val="001346E7"/>
    <w:rsid w:val="00135A0E"/>
    <w:rsid w:val="00135FBD"/>
    <w:rsid w:val="00137461"/>
    <w:rsid w:val="001407DE"/>
    <w:rsid w:val="00140924"/>
    <w:rsid w:val="001409E4"/>
    <w:rsid w:val="00141A6E"/>
    <w:rsid w:val="001436CA"/>
    <w:rsid w:val="00143AFF"/>
    <w:rsid w:val="001457A2"/>
    <w:rsid w:val="001459AF"/>
    <w:rsid w:val="00145E91"/>
    <w:rsid w:val="001464DA"/>
    <w:rsid w:val="001467D4"/>
    <w:rsid w:val="00146DA9"/>
    <w:rsid w:val="00147120"/>
    <w:rsid w:val="00147EC2"/>
    <w:rsid w:val="0015177E"/>
    <w:rsid w:val="00151898"/>
    <w:rsid w:val="00152331"/>
    <w:rsid w:val="001523A7"/>
    <w:rsid w:val="00152B7C"/>
    <w:rsid w:val="00153367"/>
    <w:rsid w:val="00153777"/>
    <w:rsid w:val="00154A75"/>
    <w:rsid w:val="001552DE"/>
    <w:rsid w:val="001568D6"/>
    <w:rsid w:val="00156E30"/>
    <w:rsid w:val="001570F6"/>
    <w:rsid w:val="00157346"/>
    <w:rsid w:val="00157BFF"/>
    <w:rsid w:val="00160A7F"/>
    <w:rsid w:val="00160E46"/>
    <w:rsid w:val="00162310"/>
    <w:rsid w:val="00162342"/>
    <w:rsid w:val="0016261F"/>
    <w:rsid w:val="00162A77"/>
    <w:rsid w:val="00163A13"/>
    <w:rsid w:val="00163D17"/>
    <w:rsid w:val="00163D1F"/>
    <w:rsid w:val="00164DA0"/>
    <w:rsid w:val="00165904"/>
    <w:rsid w:val="00165AB9"/>
    <w:rsid w:val="00165DBE"/>
    <w:rsid w:val="00165F00"/>
    <w:rsid w:val="001665D5"/>
    <w:rsid w:val="0016769C"/>
    <w:rsid w:val="0017057D"/>
    <w:rsid w:val="00173BBE"/>
    <w:rsid w:val="00173E2C"/>
    <w:rsid w:val="001742CD"/>
    <w:rsid w:val="00175DCE"/>
    <w:rsid w:val="00176FD7"/>
    <w:rsid w:val="00177B70"/>
    <w:rsid w:val="00180E47"/>
    <w:rsid w:val="001818F8"/>
    <w:rsid w:val="00182E73"/>
    <w:rsid w:val="001838AE"/>
    <w:rsid w:val="00183AC8"/>
    <w:rsid w:val="00183DC4"/>
    <w:rsid w:val="00183EC0"/>
    <w:rsid w:val="0018462B"/>
    <w:rsid w:val="001848E6"/>
    <w:rsid w:val="00184A04"/>
    <w:rsid w:val="00184E10"/>
    <w:rsid w:val="00184F35"/>
    <w:rsid w:val="0018566D"/>
    <w:rsid w:val="001858BE"/>
    <w:rsid w:val="001866D3"/>
    <w:rsid w:val="001909E0"/>
    <w:rsid w:val="0019251E"/>
    <w:rsid w:val="00192AAC"/>
    <w:rsid w:val="00193C71"/>
    <w:rsid w:val="00193C7F"/>
    <w:rsid w:val="00194241"/>
    <w:rsid w:val="001A1045"/>
    <w:rsid w:val="001A155F"/>
    <w:rsid w:val="001A1783"/>
    <w:rsid w:val="001A24F6"/>
    <w:rsid w:val="001A2E55"/>
    <w:rsid w:val="001A4EDE"/>
    <w:rsid w:val="001A5855"/>
    <w:rsid w:val="001A6ADF"/>
    <w:rsid w:val="001A7DFA"/>
    <w:rsid w:val="001B1716"/>
    <w:rsid w:val="001B180F"/>
    <w:rsid w:val="001B2D82"/>
    <w:rsid w:val="001B33A3"/>
    <w:rsid w:val="001B371E"/>
    <w:rsid w:val="001B3F34"/>
    <w:rsid w:val="001B4445"/>
    <w:rsid w:val="001B48D5"/>
    <w:rsid w:val="001B4F34"/>
    <w:rsid w:val="001B5F55"/>
    <w:rsid w:val="001B6D52"/>
    <w:rsid w:val="001B7758"/>
    <w:rsid w:val="001C02C0"/>
    <w:rsid w:val="001C0B34"/>
    <w:rsid w:val="001C0E0C"/>
    <w:rsid w:val="001C1C06"/>
    <w:rsid w:val="001C26EF"/>
    <w:rsid w:val="001C2EDF"/>
    <w:rsid w:val="001C3C90"/>
    <w:rsid w:val="001C48DA"/>
    <w:rsid w:val="001C581F"/>
    <w:rsid w:val="001C67A4"/>
    <w:rsid w:val="001C68C7"/>
    <w:rsid w:val="001C6D2C"/>
    <w:rsid w:val="001C6FE0"/>
    <w:rsid w:val="001C75E3"/>
    <w:rsid w:val="001C7D33"/>
    <w:rsid w:val="001D0AF6"/>
    <w:rsid w:val="001D15C6"/>
    <w:rsid w:val="001D235E"/>
    <w:rsid w:val="001D2A80"/>
    <w:rsid w:val="001D2E04"/>
    <w:rsid w:val="001D2EA4"/>
    <w:rsid w:val="001D47BA"/>
    <w:rsid w:val="001D52CA"/>
    <w:rsid w:val="001D5743"/>
    <w:rsid w:val="001D68F8"/>
    <w:rsid w:val="001D7D93"/>
    <w:rsid w:val="001E0516"/>
    <w:rsid w:val="001E2461"/>
    <w:rsid w:val="001E2C46"/>
    <w:rsid w:val="001E40DE"/>
    <w:rsid w:val="001E4206"/>
    <w:rsid w:val="001E53C1"/>
    <w:rsid w:val="001E71AF"/>
    <w:rsid w:val="001F14C8"/>
    <w:rsid w:val="001F4D8B"/>
    <w:rsid w:val="001F5E37"/>
    <w:rsid w:val="001F65BF"/>
    <w:rsid w:val="001F6DC1"/>
    <w:rsid w:val="001F7668"/>
    <w:rsid w:val="0020038D"/>
    <w:rsid w:val="00200572"/>
    <w:rsid w:val="002006CB"/>
    <w:rsid w:val="002007F8"/>
    <w:rsid w:val="00200B03"/>
    <w:rsid w:val="002025D5"/>
    <w:rsid w:val="00204682"/>
    <w:rsid w:val="00204C2F"/>
    <w:rsid w:val="00207A92"/>
    <w:rsid w:val="00210F58"/>
    <w:rsid w:val="00211089"/>
    <w:rsid w:val="00211192"/>
    <w:rsid w:val="002111B7"/>
    <w:rsid w:val="0021231B"/>
    <w:rsid w:val="002123CD"/>
    <w:rsid w:val="002129F3"/>
    <w:rsid w:val="00212A05"/>
    <w:rsid w:val="00212E02"/>
    <w:rsid w:val="00213601"/>
    <w:rsid w:val="002145FE"/>
    <w:rsid w:val="00215A53"/>
    <w:rsid w:val="00217153"/>
    <w:rsid w:val="002177A0"/>
    <w:rsid w:val="002177B2"/>
    <w:rsid w:val="00217861"/>
    <w:rsid w:val="00217962"/>
    <w:rsid w:val="002179FB"/>
    <w:rsid w:val="00222E5E"/>
    <w:rsid w:val="0022369C"/>
    <w:rsid w:val="00224A84"/>
    <w:rsid w:val="00225B3B"/>
    <w:rsid w:val="0022710C"/>
    <w:rsid w:val="0022746E"/>
    <w:rsid w:val="00227F50"/>
    <w:rsid w:val="002308A1"/>
    <w:rsid w:val="00230FFB"/>
    <w:rsid w:val="00231574"/>
    <w:rsid w:val="002324F1"/>
    <w:rsid w:val="00232FAF"/>
    <w:rsid w:val="00232FED"/>
    <w:rsid w:val="0023392F"/>
    <w:rsid w:val="0023413B"/>
    <w:rsid w:val="002345D6"/>
    <w:rsid w:val="00234A72"/>
    <w:rsid w:val="002350DB"/>
    <w:rsid w:val="0023548B"/>
    <w:rsid w:val="00235D59"/>
    <w:rsid w:val="002369D2"/>
    <w:rsid w:val="002370C9"/>
    <w:rsid w:val="00242A2E"/>
    <w:rsid w:val="00244BF1"/>
    <w:rsid w:val="002458C4"/>
    <w:rsid w:val="002463F2"/>
    <w:rsid w:val="00247B35"/>
    <w:rsid w:val="00250F28"/>
    <w:rsid w:val="002511E7"/>
    <w:rsid w:val="002512E7"/>
    <w:rsid w:val="00251401"/>
    <w:rsid w:val="00252B44"/>
    <w:rsid w:val="0025332C"/>
    <w:rsid w:val="002533E2"/>
    <w:rsid w:val="00253ED5"/>
    <w:rsid w:val="00255C8D"/>
    <w:rsid w:val="0025639C"/>
    <w:rsid w:val="00256C5F"/>
    <w:rsid w:val="00256C89"/>
    <w:rsid w:val="00257516"/>
    <w:rsid w:val="00257C49"/>
    <w:rsid w:val="00257F82"/>
    <w:rsid w:val="002600D1"/>
    <w:rsid w:val="00260927"/>
    <w:rsid w:val="002614D7"/>
    <w:rsid w:val="002618D0"/>
    <w:rsid w:val="0026196D"/>
    <w:rsid w:val="00264F9E"/>
    <w:rsid w:val="002653F4"/>
    <w:rsid w:val="00265C90"/>
    <w:rsid w:val="00265DA4"/>
    <w:rsid w:val="00266411"/>
    <w:rsid w:val="00267273"/>
    <w:rsid w:val="00267F79"/>
    <w:rsid w:val="002709DA"/>
    <w:rsid w:val="00270CD8"/>
    <w:rsid w:val="002710BC"/>
    <w:rsid w:val="00272F46"/>
    <w:rsid w:val="002733FB"/>
    <w:rsid w:val="0027373B"/>
    <w:rsid w:val="00273785"/>
    <w:rsid w:val="00273796"/>
    <w:rsid w:val="002742D5"/>
    <w:rsid w:val="002745DC"/>
    <w:rsid w:val="00274A51"/>
    <w:rsid w:val="00274BDC"/>
    <w:rsid w:val="00275664"/>
    <w:rsid w:val="00275702"/>
    <w:rsid w:val="002778B5"/>
    <w:rsid w:val="00280116"/>
    <w:rsid w:val="0028032F"/>
    <w:rsid w:val="00281493"/>
    <w:rsid w:val="0028176B"/>
    <w:rsid w:val="00282310"/>
    <w:rsid w:val="00282996"/>
    <w:rsid w:val="002831EF"/>
    <w:rsid w:val="00290904"/>
    <w:rsid w:val="00290CC8"/>
    <w:rsid w:val="00290E49"/>
    <w:rsid w:val="002914FB"/>
    <w:rsid w:val="0029188D"/>
    <w:rsid w:val="0029199F"/>
    <w:rsid w:val="00292750"/>
    <w:rsid w:val="002930B9"/>
    <w:rsid w:val="00294182"/>
    <w:rsid w:val="00296626"/>
    <w:rsid w:val="002971FA"/>
    <w:rsid w:val="0029777C"/>
    <w:rsid w:val="00297AFB"/>
    <w:rsid w:val="002A084B"/>
    <w:rsid w:val="002A08B9"/>
    <w:rsid w:val="002A14D6"/>
    <w:rsid w:val="002A1D88"/>
    <w:rsid w:val="002A2147"/>
    <w:rsid w:val="002A2E76"/>
    <w:rsid w:val="002A3250"/>
    <w:rsid w:val="002A3533"/>
    <w:rsid w:val="002A39DE"/>
    <w:rsid w:val="002A3F02"/>
    <w:rsid w:val="002A568F"/>
    <w:rsid w:val="002A5AC9"/>
    <w:rsid w:val="002A614D"/>
    <w:rsid w:val="002A7DCB"/>
    <w:rsid w:val="002B0F26"/>
    <w:rsid w:val="002B18C1"/>
    <w:rsid w:val="002B2B71"/>
    <w:rsid w:val="002B3EA4"/>
    <w:rsid w:val="002B4B66"/>
    <w:rsid w:val="002B5E81"/>
    <w:rsid w:val="002B6658"/>
    <w:rsid w:val="002B6C08"/>
    <w:rsid w:val="002B6E2F"/>
    <w:rsid w:val="002B7DF6"/>
    <w:rsid w:val="002C1569"/>
    <w:rsid w:val="002C1C2A"/>
    <w:rsid w:val="002C2477"/>
    <w:rsid w:val="002C3E35"/>
    <w:rsid w:val="002C4281"/>
    <w:rsid w:val="002C5786"/>
    <w:rsid w:val="002C57B1"/>
    <w:rsid w:val="002C6176"/>
    <w:rsid w:val="002C73AA"/>
    <w:rsid w:val="002C7791"/>
    <w:rsid w:val="002C7A27"/>
    <w:rsid w:val="002C7BBB"/>
    <w:rsid w:val="002D1A5A"/>
    <w:rsid w:val="002D212B"/>
    <w:rsid w:val="002D24A3"/>
    <w:rsid w:val="002D3B8C"/>
    <w:rsid w:val="002D4331"/>
    <w:rsid w:val="002D4F85"/>
    <w:rsid w:val="002D5563"/>
    <w:rsid w:val="002D5915"/>
    <w:rsid w:val="002D5981"/>
    <w:rsid w:val="002D5ADA"/>
    <w:rsid w:val="002D60B5"/>
    <w:rsid w:val="002D69DA"/>
    <w:rsid w:val="002D71F2"/>
    <w:rsid w:val="002D7619"/>
    <w:rsid w:val="002E05DC"/>
    <w:rsid w:val="002E0D71"/>
    <w:rsid w:val="002E0F4E"/>
    <w:rsid w:val="002E12A3"/>
    <w:rsid w:val="002E12A5"/>
    <w:rsid w:val="002E1440"/>
    <w:rsid w:val="002E18F9"/>
    <w:rsid w:val="002E2B82"/>
    <w:rsid w:val="002E3C70"/>
    <w:rsid w:val="002E576A"/>
    <w:rsid w:val="002E5A13"/>
    <w:rsid w:val="002E5E91"/>
    <w:rsid w:val="002E7783"/>
    <w:rsid w:val="002E7B6A"/>
    <w:rsid w:val="002F2DE7"/>
    <w:rsid w:val="002F3416"/>
    <w:rsid w:val="002F4893"/>
    <w:rsid w:val="002F4B24"/>
    <w:rsid w:val="002F5ACD"/>
    <w:rsid w:val="002F6263"/>
    <w:rsid w:val="002F6899"/>
    <w:rsid w:val="002F753E"/>
    <w:rsid w:val="0030053D"/>
    <w:rsid w:val="003015BE"/>
    <w:rsid w:val="00301BE2"/>
    <w:rsid w:val="00303376"/>
    <w:rsid w:val="00303946"/>
    <w:rsid w:val="003039DC"/>
    <w:rsid w:val="00303B30"/>
    <w:rsid w:val="00303C79"/>
    <w:rsid w:val="003042DA"/>
    <w:rsid w:val="0030449D"/>
    <w:rsid w:val="00304D10"/>
    <w:rsid w:val="00304D72"/>
    <w:rsid w:val="00306173"/>
    <w:rsid w:val="0030660C"/>
    <w:rsid w:val="00306EED"/>
    <w:rsid w:val="00310182"/>
    <w:rsid w:val="0031024E"/>
    <w:rsid w:val="00310912"/>
    <w:rsid w:val="00311AD7"/>
    <w:rsid w:val="003124A7"/>
    <w:rsid w:val="0031256C"/>
    <w:rsid w:val="00312DF6"/>
    <w:rsid w:val="00313F1F"/>
    <w:rsid w:val="00314FE5"/>
    <w:rsid w:val="00315043"/>
    <w:rsid w:val="0031516E"/>
    <w:rsid w:val="00315176"/>
    <w:rsid w:val="00317657"/>
    <w:rsid w:val="003208EF"/>
    <w:rsid w:val="00320E04"/>
    <w:rsid w:val="00321259"/>
    <w:rsid w:val="003221D3"/>
    <w:rsid w:val="00322CEE"/>
    <w:rsid w:val="00323546"/>
    <w:rsid w:val="0032404D"/>
    <w:rsid w:val="003244C4"/>
    <w:rsid w:val="00324695"/>
    <w:rsid w:val="003246F5"/>
    <w:rsid w:val="003258B5"/>
    <w:rsid w:val="00325D59"/>
    <w:rsid w:val="00332205"/>
    <w:rsid w:val="00333040"/>
    <w:rsid w:val="00333416"/>
    <w:rsid w:val="003341FA"/>
    <w:rsid w:val="003350CF"/>
    <w:rsid w:val="00335114"/>
    <w:rsid w:val="003351FD"/>
    <w:rsid w:val="00335CCF"/>
    <w:rsid w:val="00336190"/>
    <w:rsid w:val="00337252"/>
    <w:rsid w:val="00340230"/>
    <w:rsid w:val="0034054B"/>
    <w:rsid w:val="003410EF"/>
    <w:rsid w:val="003415FA"/>
    <w:rsid w:val="00341AF1"/>
    <w:rsid w:val="00341C16"/>
    <w:rsid w:val="00342513"/>
    <w:rsid w:val="00345509"/>
    <w:rsid w:val="00345948"/>
    <w:rsid w:val="0035058E"/>
    <w:rsid w:val="00350825"/>
    <w:rsid w:val="00350BDD"/>
    <w:rsid w:val="00352599"/>
    <w:rsid w:val="00352F66"/>
    <w:rsid w:val="00353322"/>
    <w:rsid w:val="00354809"/>
    <w:rsid w:val="00354A01"/>
    <w:rsid w:val="00355A09"/>
    <w:rsid w:val="00356F7F"/>
    <w:rsid w:val="0035721B"/>
    <w:rsid w:val="00357FC7"/>
    <w:rsid w:val="003606DD"/>
    <w:rsid w:val="00361977"/>
    <w:rsid w:val="003619E5"/>
    <w:rsid w:val="00362AEF"/>
    <w:rsid w:val="003637A7"/>
    <w:rsid w:val="00363CB8"/>
    <w:rsid w:val="00364001"/>
    <w:rsid w:val="003642B9"/>
    <w:rsid w:val="00364C9D"/>
    <w:rsid w:val="00365939"/>
    <w:rsid w:val="00365BB9"/>
    <w:rsid w:val="00366078"/>
    <w:rsid w:val="003703A4"/>
    <w:rsid w:val="00371474"/>
    <w:rsid w:val="0037155E"/>
    <w:rsid w:val="003718FA"/>
    <w:rsid w:val="00371C22"/>
    <w:rsid w:val="00371E78"/>
    <w:rsid w:val="0037279B"/>
    <w:rsid w:val="00372AAC"/>
    <w:rsid w:val="003757D3"/>
    <w:rsid w:val="0037630B"/>
    <w:rsid w:val="00376A34"/>
    <w:rsid w:val="003779F0"/>
    <w:rsid w:val="003802AF"/>
    <w:rsid w:val="00380964"/>
    <w:rsid w:val="00381559"/>
    <w:rsid w:val="003818D9"/>
    <w:rsid w:val="00382147"/>
    <w:rsid w:val="00382D79"/>
    <w:rsid w:val="003836D0"/>
    <w:rsid w:val="00383926"/>
    <w:rsid w:val="00383C67"/>
    <w:rsid w:val="0038430D"/>
    <w:rsid w:val="00384B5C"/>
    <w:rsid w:val="00384C6F"/>
    <w:rsid w:val="0038557A"/>
    <w:rsid w:val="003877E5"/>
    <w:rsid w:val="003878F0"/>
    <w:rsid w:val="00387A3C"/>
    <w:rsid w:val="00387A5D"/>
    <w:rsid w:val="003905FF"/>
    <w:rsid w:val="00390BFB"/>
    <w:rsid w:val="0039165F"/>
    <w:rsid w:val="00392C13"/>
    <w:rsid w:val="003937D6"/>
    <w:rsid w:val="00393823"/>
    <w:rsid w:val="00393B53"/>
    <w:rsid w:val="003944E7"/>
    <w:rsid w:val="003958A1"/>
    <w:rsid w:val="00395B16"/>
    <w:rsid w:val="0039602E"/>
    <w:rsid w:val="003961E5"/>
    <w:rsid w:val="003970E8"/>
    <w:rsid w:val="00397736"/>
    <w:rsid w:val="00397CBA"/>
    <w:rsid w:val="003A0EF3"/>
    <w:rsid w:val="003A100F"/>
    <w:rsid w:val="003A250D"/>
    <w:rsid w:val="003A2AF5"/>
    <w:rsid w:val="003A338D"/>
    <w:rsid w:val="003A3AE7"/>
    <w:rsid w:val="003A41B2"/>
    <w:rsid w:val="003A4885"/>
    <w:rsid w:val="003A4D02"/>
    <w:rsid w:val="003A517D"/>
    <w:rsid w:val="003A577C"/>
    <w:rsid w:val="003A5BB7"/>
    <w:rsid w:val="003A6045"/>
    <w:rsid w:val="003A69CC"/>
    <w:rsid w:val="003A7902"/>
    <w:rsid w:val="003A7DFB"/>
    <w:rsid w:val="003B0354"/>
    <w:rsid w:val="003B0A60"/>
    <w:rsid w:val="003B0B04"/>
    <w:rsid w:val="003B0DE8"/>
    <w:rsid w:val="003B148A"/>
    <w:rsid w:val="003B16FC"/>
    <w:rsid w:val="003B1DFC"/>
    <w:rsid w:val="003B1ED8"/>
    <w:rsid w:val="003B1F0F"/>
    <w:rsid w:val="003B20D9"/>
    <w:rsid w:val="003B2895"/>
    <w:rsid w:val="003B2B0C"/>
    <w:rsid w:val="003B2CF9"/>
    <w:rsid w:val="003B3036"/>
    <w:rsid w:val="003B46FF"/>
    <w:rsid w:val="003B4AE2"/>
    <w:rsid w:val="003B4CE6"/>
    <w:rsid w:val="003B5EA2"/>
    <w:rsid w:val="003B6121"/>
    <w:rsid w:val="003B684D"/>
    <w:rsid w:val="003B6B17"/>
    <w:rsid w:val="003B7638"/>
    <w:rsid w:val="003B7F63"/>
    <w:rsid w:val="003C104E"/>
    <w:rsid w:val="003C111C"/>
    <w:rsid w:val="003C20EF"/>
    <w:rsid w:val="003C3518"/>
    <w:rsid w:val="003C4151"/>
    <w:rsid w:val="003C4F3B"/>
    <w:rsid w:val="003C5909"/>
    <w:rsid w:val="003C67A5"/>
    <w:rsid w:val="003C773E"/>
    <w:rsid w:val="003C79FE"/>
    <w:rsid w:val="003C7AEF"/>
    <w:rsid w:val="003C7F23"/>
    <w:rsid w:val="003D0A6C"/>
    <w:rsid w:val="003D0DFA"/>
    <w:rsid w:val="003D1264"/>
    <w:rsid w:val="003D3CE4"/>
    <w:rsid w:val="003D3EA9"/>
    <w:rsid w:val="003D7C4C"/>
    <w:rsid w:val="003E066D"/>
    <w:rsid w:val="003E090C"/>
    <w:rsid w:val="003E0AEE"/>
    <w:rsid w:val="003E0D59"/>
    <w:rsid w:val="003E1410"/>
    <w:rsid w:val="003E166E"/>
    <w:rsid w:val="003E21DE"/>
    <w:rsid w:val="003E21FB"/>
    <w:rsid w:val="003E253F"/>
    <w:rsid w:val="003E3504"/>
    <w:rsid w:val="003E3C71"/>
    <w:rsid w:val="003E4286"/>
    <w:rsid w:val="003E43A9"/>
    <w:rsid w:val="003E446F"/>
    <w:rsid w:val="003E4BC8"/>
    <w:rsid w:val="003E6479"/>
    <w:rsid w:val="003E67DD"/>
    <w:rsid w:val="003F0CEF"/>
    <w:rsid w:val="003F1E56"/>
    <w:rsid w:val="003F64C8"/>
    <w:rsid w:val="003F6A9E"/>
    <w:rsid w:val="003F7932"/>
    <w:rsid w:val="003F7A7B"/>
    <w:rsid w:val="003F7F14"/>
    <w:rsid w:val="004000E7"/>
    <w:rsid w:val="0040149C"/>
    <w:rsid w:val="00401977"/>
    <w:rsid w:val="00402576"/>
    <w:rsid w:val="004044B2"/>
    <w:rsid w:val="00404D8D"/>
    <w:rsid w:val="0040666B"/>
    <w:rsid w:val="00406D29"/>
    <w:rsid w:val="004129B2"/>
    <w:rsid w:val="00412E92"/>
    <w:rsid w:val="00414ADA"/>
    <w:rsid w:val="004152DC"/>
    <w:rsid w:val="004156D8"/>
    <w:rsid w:val="00415F3C"/>
    <w:rsid w:val="00416981"/>
    <w:rsid w:val="004171D4"/>
    <w:rsid w:val="00420EA3"/>
    <w:rsid w:val="00422F84"/>
    <w:rsid w:val="00423C10"/>
    <w:rsid w:val="00424F1F"/>
    <w:rsid w:val="00425496"/>
    <w:rsid w:val="0042576C"/>
    <w:rsid w:val="00425A44"/>
    <w:rsid w:val="004263B0"/>
    <w:rsid w:val="004264A6"/>
    <w:rsid w:val="00426690"/>
    <w:rsid w:val="00430DD4"/>
    <w:rsid w:val="00431FDE"/>
    <w:rsid w:val="0043296C"/>
    <w:rsid w:val="00433AC3"/>
    <w:rsid w:val="00434BD1"/>
    <w:rsid w:val="00435EBD"/>
    <w:rsid w:val="00436239"/>
    <w:rsid w:val="00436BE3"/>
    <w:rsid w:val="004371D4"/>
    <w:rsid w:val="004372AD"/>
    <w:rsid w:val="00437522"/>
    <w:rsid w:val="00440B44"/>
    <w:rsid w:val="00440D9F"/>
    <w:rsid w:val="00441CA3"/>
    <w:rsid w:val="00442082"/>
    <w:rsid w:val="004424D0"/>
    <w:rsid w:val="0044283F"/>
    <w:rsid w:val="004432C7"/>
    <w:rsid w:val="0044377A"/>
    <w:rsid w:val="00443A34"/>
    <w:rsid w:val="004447A1"/>
    <w:rsid w:val="00445A9E"/>
    <w:rsid w:val="0044616C"/>
    <w:rsid w:val="004464FE"/>
    <w:rsid w:val="00446793"/>
    <w:rsid w:val="00447296"/>
    <w:rsid w:val="00447CD7"/>
    <w:rsid w:val="00450322"/>
    <w:rsid w:val="0045041C"/>
    <w:rsid w:val="00450587"/>
    <w:rsid w:val="00450783"/>
    <w:rsid w:val="00450A7E"/>
    <w:rsid w:val="00450CEB"/>
    <w:rsid w:val="00450FB4"/>
    <w:rsid w:val="0045100F"/>
    <w:rsid w:val="00454255"/>
    <w:rsid w:val="00454354"/>
    <w:rsid w:val="00454F31"/>
    <w:rsid w:val="00454FE0"/>
    <w:rsid w:val="004552AF"/>
    <w:rsid w:val="00455901"/>
    <w:rsid w:val="00455DB8"/>
    <w:rsid w:val="00455E57"/>
    <w:rsid w:val="00456BEF"/>
    <w:rsid w:val="00456F4E"/>
    <w:rsid w:val="0046007C"/>
    <w:rsid w:val="00460222"/>
    <w:rsid w:val="00460EFC"/>
    <w:rsid w:val="00461D2D"/>
    <w:rsid w:val="00462437"/>
    <w:rsid w:val="0046346F"/>
    <w:rsid w:val="00464912"/>
    <w:rsid w:val="00465801"/>
    <w:rsid w:val="00466789"/>
    <w:rsid w:val="00466881"/>
    <w:rsid w:val="004670D8"/>
    <w:rsid w:val="00467141"/>
    <w:rsid w:val="00470EE4"/>
    <w:rsid w:val="004715EC"/>
    <w:rsid w:val="004718B5"/>
    <w:rsid w:val="00471CB6"/>
    <w:rsid w:val="00472345"/>
    <w:rsid w:val="0047296C"/>
    <w:rsid w:val="00472C6D"/>
    <w:rsid w:val="0047314E"/>
    <w:rsid w:val="00473422"/>
    <w:rsid w:val="00474045"/>
    <w:rsid w:val="00474646"/>
    <w:rsid w:val="00474936"/>
    <w:rsid w:val="00474F9D"/>
    <w:rsid w:val="004753D7"/>
    <w:rsid w:val="00475F8A"/>
    <w:rsid w:val="0047746A"/>
    <w:rsid w:val="004808ED"/>
    <w:rsid w:val="00480B21"/>
    <w:rsid w:val="00480D35"/>
    <w:rsid w:val="00481112"/>
    <w:rsid w:val="00482968"/>
    <w:rsid w:val="00484485"/>
    <w:rsid w:val="004851F6"/>
    <w:rsid w:val="004853E1"/>
    <w:rsid w:val="0048571C"/>
    <w:rsid w:val="00485CFC"/>
    <w:rsid w:val="00486236"/>
    <w:rsid w:val="00486641"/>
    <w:rsid w:val="00486A49"/>
    <w:rsid w:val="0048733D"/>
    <w:rsid w:val="00490E7E"/>
    <w:rsid w:val="0049110E"/>
    <w:rsid w:val="00491F3A"/>
    <w:rsid w:val="004929C5"/>
    <w:rsid w:val="004940E9"/>
    <w:rsid w:val="004949A7"/>
    <w:rsid w:val="004A2752"/>
    <w:rsid w:val="004A2894"/>
    <w:rsid w:val="004A2D20"/>
    <w:rsid w:val="004A2DC6"/>
    <w:rsid w:val="004A4015"/>
    <w:rsid w:val="004A48C2"/>
    <w:rsid w:val="004A4F45"/>
    <w:rsid w:val="004A5DB9"/>
    <w:rsid w:val="004A5E4B"/>
    <w:rsid w:val="004A67E0"/>
    <w:rsid w:val="004B21CA"/>
    <w:rsid w:val="004B2917"/>
    <w:rsid w:val="004B2EEF"/>
    <w:rsid w:val="004B421D"/>
    <w:rsid w:val="004B43B4"/>
    <w:rsid w:val="004B4C2D"/>
    <w:rsid w:val="004B5835"/>
    <w:rsid w:val="004B76A0"/>
    <w:rsid w:val="004B7AB5"/>
    <w:rsid w:val="004B7E55"/>
    <w:rsid w:val="004C005F"/>
    <w:rsid w:val="004C027F"/>
    <w:rsid w:val="004C0EA1"/>
    <w:rsid w:val="004C341E"/>
    <w:rsid w:val="004C58A1"/>
    <w:rsid w:val="004C58E7"/>
    <w:rsid w:val="004C5B09"/>
    <w:rsid w:val="004D0F48"/>
    <w:rsid w:val="004D114C"/>
    <w:rsid w:val="004D1E79"/>
    <w:rsid w:val="004D1FFE"/>
    <w:rsid w:val="004D21B3"/>
    <w:rsid w:val="004D320A"/>
    <w:rsid w:val="004D369F"/>
    <w:rsid w:val="004D3F4C"/>
    <w:rsid w:val="004D45A9"/>
    <w:rsid w:val="004D4A9B"/>
    <w:rsid w:val="004D5102"/>
    <w:rsid w:val="004D6059"/>
    <w:rsid w:val="004D68BD"/>
    <w:rsid w:val="004D71E7"/>
    <w:rsid w:val="004D7424"/>
    <w:rsid w:val="004E1E01"/>
    <w:rsid w:val="004E1E4E"/>
    <w:rsid w:val="004E36CB"/>
    <w:rsid w:val="004E54F5"/>
    <w:rsid w:val="004E6358"/>
    <w:rsid w:val="004E7DCF"/>
    <w:rsid w:val="004F031A"/>
    <w:rsid w:val="004F04A7"/>
    <w:rsid w:val="004F09F5"/>
    <w:rsid w:val="004F0E26"/>
    <w:rsid w:val="004F2082"/>
    <w:rsid w:val="004F243B"/>
    <w:rsid w:val="004F2528"/>
    <w:rsid w:val="004F435A"/>
    <w:rsid w:val="004F4B0D"/>
    <w:rsid w:val="004F4B27"/>
    <w:rsid w:val="004F660F"/>
    <w:rsid w:val="004F67F2"/>
    <w:rsid w:val="004F6B8B"/>
    <w:rsid w:val="004F7675"/>
    <w:rsid w:val="004F7D85"/>
    <w:rsid w:val="00500200"/>
    <w:rsid w:val="00501AE8"/>
    <w:rsid w:val="005037E5"/>
    <w:rsid w:val="00503BCD"/>
    <w:rsid w:val="00503FF3"/>
    <w:rsid w:val="00504780"/>
    <w:rsid w:val="00504BDD"/>
    <w:rsid w:val="00504E77"/>
    <w:rsid w:val="00505634"/>
    <w:rsid w:val="0050575F"/>
    <w:rsid w:val="00505FED"/>
    <w:rsid w:val="0050606B"/>
    <w:rsid w:val="0050650A"/>
    <w:rsid w:val="00507042"/>
    <w:rsid w:val="005077DF"/>
    <w:rsid w:val="00507D34"/>
    <w:rsid w:val="00510323"/>
    <w:rsid w:val="0051055C"/>
    <w:rsid w:val="005111CF"/>
    <w:rsid w:val="00512926"/>
    <w:rsid w:val="00513370"/>
    <w:rsid w:val="005134E4"/>
    <w:rsid w:val="00514A63"/>
    <w:rsid w:val="005155EA"/>
    <w:rsid w:val="00515AB4"/>
    <w:rsid w:val="00516061"/>
    <w:rsid w:val="00516E24"/>
    <w:rsid w:val="00520490"/>
    <w:rsid w:val="00521417"/>
    <w:rsid w:val="0052192F"/>
    <w:rsid w:val="005231C7"/>
    <w:rsid w:val="005244A1"/>
    <w:rsid w:val="00524BDD"/>
    <w:rsid w:val="00525937"/>
    <w:rsid w:val="00525E5E"/>
    <w:rsid w:val="00525FE7"/>
    <w:rsid w:val="00530467"/>
    <w:rsid w:val="005305AD"/>
    <w:rsid w:val="00530C6B"/>
    <w:rsid w:val="00530EAB"/>
    <w:rsid w:val="00531349"/>
    <w:rsid w:val="005326C6"/>
    <w:rsid w:val="00532CB1"/>
    <w:rsid w:val="005330A6"/>
    <w:rsid w:val="00533CD1"/>
    <w:rsid w:val="00534A16"/>
    <w:rsid w:val="00535AEA"/>
    <w:rsid w:val="00540650"/>
    <w:rsid w:val="00540AD2"/>
    <w:rsid w:val="00541ED3"/>
    <w:rsid w:val="0054347F"/>
    <w:rsid w:val="005437CC"/>
    <w:rsid w:val="00543924"/>
    <w:rsid w:val="00543CD5"/>
    <w:rsid w:val="00544990"/>
    <w:rsid w:val="00547078"/>
    <w:rsid w:val="005471EC"/>
    <w:rsid w:val="00547398"/>
    <w:rsid w:val="005476F0"/>
    <w:rsid w:val="00547AC7"/>
    <w:rsid w:val="00550489"/>
    <w:rsid w:val="00551035"/>
    <w:rsid w:val="005516C6"/>
    <w:rsid w:val="00551B53"/>
    <w:rsid w:val="0055598C"/>
    <w:rsid w:val="00555D48"/>
    <w:rsid w:val="00556E9D"/>
    <w:rsid w:val="00557545"/>
    <w:rsid w:val="005576BB"/>
    <w:rsid w:val="00557D19"/>
    <w:rsid w:val="00561819"/>
    <w:rsid w:val="005626AA"/>
    <w:rsid w:val="00562BCC"/>
    <w:rsid w:val="005630FA"/>
    <w:rsid w:val="005633E2"/>
    <w:rsid w:val="00563896"/>
    <w:rsid w:val="00564865"/>
    <w:rsid w:val="005657A0"/>
    <w:rsid w:val="00565AF6"/>
    <w:rsid w:val="00565E32"/>
    <w:rsid w:val="005667B5"/>
    <w:rsid w:val="0056752B"/>
    <w:rsid w:val="00567A89"/>
    <w:rsid w:val="00567F20"/>
    <w:rsid w:val="0057021D"/>
    <w:rsid w:val="00570A1D"/>
    <w:rsid w:val="0057116D"/>
    <w:rsid w:val="0057166B"/>
    <w:rsid w:val="005723A8"/>
    <w:rsid w:val="00572BA9"/>
    <w:rsid w:val="00573551"/>
    <w:rsid w:val="00573A1D"/>
    <w:rsid w:val="00573F81"/>
    <w:rsid w:val="00574238"/>
    <w:rsid w:val="00574F47"/>
    <w:rsid w:val="00575736"/>
    <w:rsid w:val="00575F2C"/>
    <w:rsid w:val="00580030"/>
    <w:rsid w:val="0058072C"/>
    <w:rsid w:val="00580CC6"/>
    <w:rsid w:val="00580F4F"/>
    <w:rsid w:val="00581184"/>
    <w:rsid w:val="005811B2"/>
    <w:rsid w:val="00581DFA"/>
    <w:rsid w:val="00582E08"/>
    <w:rsid w:val="00583266"/>
    <w:rsid w:val="005837D9"/>
    <w:rsid w:val="00586A5C"/>
    <w:rsid w:val="0059008A"/>
    <w:rsid w:val="00590A12"/>
    <w:rsid w:val="00590E97"/>
    <w:rsid w:val="00592AE5"/>
    <w:rsid w:val="0059320C"/>
    <w:rsid w:val="00593E57"/>
    <w:rsid w:val="00594413"/>
    <w:rsid w:val="0059522E"/>
    <w:rsid w:val="00595D2E"/>
    <w:rsid w:val="00596600"/>
    <w:rsid w:val="005970EA"/>
    <w:rsid w:val="0059780E"/>
    <w:rsid w:val="005A06A3"/>
    <w:rsid w:val="005A1566"/>
    <w:rsid w:val="005A2AD7"/>
    <w:rsid w:val="005A2E9F"/>
    <w:rsid w:val="005A31AE"/>
    <w:rsid w:val="005A3669"/>
    <w:rsid w:val="005A3B13"/>
    <w:rsid w:val="005A3F25"/>
    <w:rsid w:val="005A4FCF"/>
    <w:rsid w:val="005A56C8"/>
    <w:rsid w:val="005B11B3"/>
    <w:rsid w:val="005B1369"/>
    <w:rsid w:val="005B172F"/>
    <w:rsid w:val="005B19B0"/>
    <w:rsid w:val="005B1FCD"/>
    <w:rsid w:val="005B221F"/>
    <w:rsid w:val="005B2FDA"/>
    <w:rsid w:val="005B303E"/>
    <w:rsid w:val="005B4F06"/>
    <w:rsid w:val="005B4FDA"/>
    <w:rsid w:val="005B5001"/>
    <w:rsid w:val="005B526A"/>
    <w:rsid w:val="005B5533"/>
    <w:rsid w:val="005B5BF2"/>
    <w:rsid w:val="005B6009"/>
    <w:rsid w:val="005B740B"/>
    <w:rsid w:val="005C0DB7"/>
    <w:rsid w:val="005C0DBC"/>
    <w:rsid w:val="005C0F1D"/>
    <w:rsid w:val="005C0F39"/>
    <w:rsid w:val="005C15B5"/>
    <w:rsid w:val="005C1CFD"/>
    <w:rsid w:val="005C2501"/>
    <w:rsid w:val="005C2AB2"/>
    <w:rsid w:val="005C3331"/>
    <w:rsid w:val="005C3652"/>
    <w:rsid w:val="005C459A"/>
    <w:rsid w:val="005C4A52"/>
    <w:rsid w:val="005C51FB"/>
    <w:rsid w:val="005C5AE0"/>
    <w:rsid w:val="005C6AA2"/>
    <w:rsid w:val="005C74F7"/>
    <w:rsid w:val="005C7B18"/>
    <w:rsid w:val="005C7D87"/>
    <w:rsid w:val="005D073E"/>
    <w:rsid w:val="005D2372"/>
    <w:rsid w:val="005D2B0C"/>
    <w:rsid w:val="005D3925"/>
    <w:rsid w:val="005D4068"/>
    <w:rsid w:val="005D50EF"/>
    <w:rsid w:val="005D5952"/>
    <w:rsid w:val="005D6277"/>
    <w:rsid w:val="005D6C52"/>
    <w:rsid w:val="005D772E"/>
    <w:rsid w:val="005E1BAE"/>
    <w:rsid w:val="005E2225"/>
    <w:rsid w:val="005E3377"/>
    <w:rsid w:val="005E487C"/>
    <w:rsid w:val="005E5CD3"/>
    <w:rsid w:val="005E6E95"/>
    <w:rsid w:val="005E7629"/>
    <w:rsid w:val="005F1C89"/>
    <w:rsid w:val="005F3355"/>
    <w:rsid w:val="005F5393"/>
    <w:rsid w:val="005F5DA0"/>
    <w:rsid w:val="005F7161"/>
    <w:rsid w:val="006002AF"/>
    <w:rsid w:val="00601362"/>
    <w:rsid w:val="0060183E"/>
    <w:rsid w:val="00602252"/>
    <w:rsid w:val="00602AC1"/>
    <w:rsid w:val="00602D20"/>
    <w:rsid w:val="0060382B"/>
    <w:rsid w:val="006052E3"/>
    <w:rsid w:val="00606B4D"/>
    <w:rsid w:val="00607600"/>
    <w:rsid w:val="0061068B"/>
    <w:rsid w:val="006108A8"/>
    <w:rsid w:val="006109B1"/>
    <w:rsid w:val="006127B2"/>
    <w:rsid w:val="0061287C"/>
    <w:rsid w:val="00613106"/>
    <w:rsid w:val="00613361"/>
    <w:rsid w:val="00614036"/>
    <w:rsid w:val="00616069"/>
    <w:rsid w:val="00616DCC"/>
    <w:rsid w:val="0061707C"/>
    <w:rsid w:val="006171EA"/>
    <w:rsid w:val="0061737D"/>
    <w:rsid w:val="006179FC"/>
    <w:rsid w:val="00617C00"/>
    <w:rsid w:val="00620672"/>
    <w:rsid w:val="00620B09"/>
    <w:rsid w:val="0062212F"/>
    <w:rsid w:val="00623B00"/>
    <w:rsid w:val="0062462B"/>
    <w:rsid w:val="00627472"/>
    <w:rsid w:val="006274EE"/>
    <w:rsid w:val="00630951"/>
    <w:rsid w:val="00631689"/>
    <w:rsid w:val="00632718"/>
    <w:rsid w:val="0063328F"/>
    <w:rsid w:val="00633A74"/>
    <w:rsid w:val="006340A9"/>
    <w:rsid w:val="00634B1A"/>
    <w:rsid w:val="00635018"/>
    <w:rsid w:val="00635DA8"/>
    <w:rsid w:val="00636935"/>
    <w:rsid w:val="00637054"/>
    <w:rsid w:val="00637788"/>
    <w:rsid w:val="00637961"/>
    <w:rsid w:val="006410DA"/>
    <w:rsid w:val="006425A4"/>
    <w:rsid w:val="006429D2"/>
    <w:rsid w:val="0064388E"/>
    <w:rsid w:val="00643E71"/>
    <w:rsid w:val="00643E96"/>
    <w:rsid w:val="00645DBA"/>
    <w:rsid w:val="0064607D"/>
    <w:rsid w:val="00646A8E"/>
    <w:rsid w:val="00647B86"/>
    <w:rsid w:val="00647F48"/>
    <w:rsid w:val="00651298"/>
    <w:rsid w:val="00651EE0"/>
    <w:rsid w:val="00652B98"/>
    <w:rsid w:val="00653846"/>
    <w:rsid w:val="00653877"/>
    <w:rsid w:val="00653ACD"/>
    <w:rsid w:val="00653EDD"/>
    <w:rsid w:val="00655580"/>
    <w:rsid w:val="006556F3"/>
    <w:rsid w:val="006607C5"/>
    <w:rsid w:val="006619B2"/>
    <w:rsid w:val="0066228C"/>
    <w:rsid w:val="006628D9"/>
    <w:rsid w:val="00664FAC"/>
    <w:rsid w:val="0066578A"/>
    <w:rsid w:val="006661F2"/>
    <w:rsid w:val="006668E7"/>
    <w:rsid w:val="00670583"/>
    <w:rsid w:val="00674592"/>
    <w:rsid w:val="006759A9"/>
    <w:rsid w:val="00675D6E"/>
    <w:rsid w:val="00677D30"/>
    <w:rsid w:val="00677F98"/>
    <w:rsid w:val="00682C51"/>
    <w:rsid w:val="00682E35"/>
    <w:rsid w:val="00683205"/>
    <w:rsid w:val="00684D50"/>
    <w:rsid w:val="00686DA3"/>
    <w:rsid w:val="00687C29"/>
    <w:rsid w:val="00687EC7"/>
    <w:rsid w:val="00691196"/>
    <w:rsid w:val="006911AB"/>
    <w:rsid w:val="0069120F"/>
    <w:rsid w:val="006915AD"/>
    <w:rsid w:val="006915FB"/>
    <w:rsid w:val="00691712"/>
    <w:rsid w:val="00691818"/>
    <w:rsid w:val="0069199D"/>
    <w:rsid w:val="006928DE"/>
    <w:rsid w:val="006929CB"/>
    <w:rsid w:val="00693E8B"/>
    <w:rsid w:val="00694249"/>
    <w:rsid w:val="0069623C"/>
    <w:rsid w:val="00696B48"/>
    <w:rsid w:val="00697CC9"/>
    <w:rsid w:val="006A0489"/>
    <w:rsid w:val="006A08A4"/>
    <w:rsid w:val="006A2301"/>
    <w:rsid w:val="006A3B11"/>
    <w:rsid w:val="006A3DEE"/>
    <w:rsid w:val="006A52DD"/>
    <w:rsid w:val="006A5D8D"/>
    <w:rsid w:val="006A68EE"/>
    <w:rsid w:val="006A6A8F"/>
    <w:rsid w:val="006A7331"/>
    <w:rsid w:val="006A73A3"/>
    <w:rsid w:val="006A79BD"/>
    <w:rsid w:val="006B023B"/>
    <w:rsid w:val="006B07F2"/>
    <w:rsid w:val="006B112F"/>
    <w:rsid w:val="006B1D3A"/>
    <w:rsid w:val="006B21B1"/>
    <w:rsid w:val="006B2907"/>
    <w:rsid w:val="006B357A"/>
    <w:rsid w:val="006B35F1"/>
    <w:rsid w:val="006B3ADB"/>
    <w:rsid w:val="006B3E5A"/>
    <w:rsid w:val="006B4A51"/>
    <w:rsid w:val="006B5E38"/>
    <w:rsid w:val="006B7663"/>
    <w:rsid w:val="006B7FD7"/>
    <w:rsid w:val="006C0F4B"/>
    <w:rsid w:val="006C1511"/>
    <w:rsid w:val="006C16C8"/>
    <w:rsid w:val="006C2069"/>
    <w:rsid w:val="006C2FBC"/>
    <w:rsid w:val="006C338F"/>
    <w:rsid w:val="006C359A"/>
    <w:rsid w:val="006C3B1B"/>
    <w:rsid w:val="006C441D"/>
    <w:rsid w:val="006C4AC1"/>
    <w:rsid w:val="006C5432"/>
    <w:rsid w:val="006C5D21"/>
    <w:rsid w:val="006C724A"/>
    <w:rsid w:val="006C7663"/>
    <w:rsid w:val="006C7738"/>
    <w:rsid w:val="006C7801"/>
    <w:rsid w:val="006C79BC"/>
    <w:rsid w:val="006C7D57"/>
    <w:rsid w:val="006D0198"/>
    <w:rsid w:val="006D0B49"/>
    <w:rsid w:val="006D1AE5"/>
    <w:rsid w:val="006D1DB8"/>
    <w:rsid w:val="006D3C2B"/>
    <w:rsid w:val="006D4167"/>
    <w:rsid w:val="006D4296"/>
    <w:rsid w:val="006D5A82"/>
    <w:rsid w:val="006D757F"/>
    <w:rsid w:val="006D75F7"/>
    <w:rsid w:val="006D76BA"/>
    <w:rsid w:val="006E008A"/>
    <w:rsid w:val="006E15D3"/>
    <w:rsid w:val="006E1C74"/>
    <w:rsid w:val="006E1D8B"/>
    <w:rsid w:val="006E2180"/>
    <w:rsid w:val="006E24FB"/>
    <w:rsid w:val="006E27EE"/>
    <w:rsid w:val="006E2976"/>
    <w:rsid w:val="006E3BD3"/>
    <w:rsid w:val="006E4209"/>
    <w:rsid w:val="006E4433"/>
    <w:rsid w:val="006E5F2E"/>
    <w:rsid w:val="006E6186"/>
    <w:rsid w:val="006E64B3"/>
    <w:rsid w:val="006E67A1"/>
    <w:rsid w:val="006E788C"/>
    <w:rsid w:val="006F26F3"/>
    <w:rsid w:val="006F39A6"/>
    <w:rsid w:val="006F3B6E"/>
    <w:rsid w:val="006F4356"/>
    <w:rsid w:val="006F49C2"/>
    <w:rsid w:val="006F62A5"/>
    <w:rsid w:val="006F6ECF"/>
    <w:rsid w:val="006F729E"/>
    <w:rsid w:val="006F76FA"/>
    <w:rsid w:val="00700517"/>
    <w:rsid w:val="007005C3"/>
    <w:rsid w:val="00700900"/>
    <w:rsid w:val="0070100D"/>
    <w:rsid w:val="00702C47"/>
    <w:rsid w:val="00702D05"/>
    <w:rsid w:val="00703DF5"/>
    <w:rsid w:val="00705273"/>
    <w:rsid w:val="00705E15"/>
    <w:rsid w:val="0070627E"/>
    <w:rsid w:val="0070653B"/>
    <w:rsid w:val="00706FFE"/>
    <w:rsid w:val="0071007E"/>
    <w:rsid w:val="0071041A"/>
    <w:rsid w:val="007109DA"/>
    <w:rsid w:val="007113F6"/>
    <w:rsid w:val="00712499"/>
    <w:rsid w:val="007145CF"/>
    <w:rsid w:val="00715429"/>
    <w:rsid w:val="0071575E"/>
    <w:rsid w:val="00716B77"/>
    <w:rsid w:val="007178D6"/>
    <w:rsid w:val="0072135D"/>
    <w:rsid w:val="007243B6"/>
    <w:rsid w:val="00724412"/>
    <w:rsid w:val="00724A80"/>
    <w:rsid w:val="00724BA9"/>
    <w:rsid w:val="00725FC9"/>
    <w:rsid w:val="0072636E"/>
    <w:rsid w:val="0072726B"/>
    <w:rsid w:val="007277BE"/>
    <w:rsid w:val="0073017E"/>
    <w:rsid w:val="0073042C"/>
    <w:rsid w:val="00731117"/>
    <w:rsid w:val="007315C0"/>
    <w:rsid w:val="00732476"/>
    <w:rsid w:val="00732AB2"/>
    <w:rsid w:val="00732CFA"/>
    <w:rsid w:val="0073624F"/>
    <w:rsid w:val="00736AA9"/>
    <w:rsid w:val="0074071A"/>
    <w:rsid w:val="0074092F"/>
    <w:rsid w:val="00741051"/>
    <w:rsid w:val="00741628"/>
    <w:rsid w:val="00741B89"/>
    <w:rsid w:val="00741CD1"/>
    <w:rsid w:val="00741F31"/>
    <w:rsid w:val="007423E2"/>
    <w:rsid w:val="00742812"/>
    <w:rsid w:val="007436B5"/>
    <w:rsid w:val="00743712"/>
    <w:rsid w:val="00743EEF"/>
    <w:rsid w:val="00744215"/>
    <w:rsid w:val="00752290"/>
    <w:rsid w:val="007525F3"/>
    <w:rsid w:val="00753843"/>
    <w:rsid w:val="00755D1E"/>
    <w:rsid w:val="007562CE"/>
    <w:rsid w:val="0076002C"/>
    <w:rsid w:val="00760106"/>
    <w:rsid w:val="007605A2"/>
    <w:rsid w:val="00760897"/>
    <w:rsid w:val="00760AA4"/>
    <w:rsid w:val="00760E3A"/>
    <w:rsid w:val="007617DA"/>
    <w:rsid w:val="00761AFB"/>
    <w:rsid w:val="00762F09"/>
    <w:rsid w:val="00763805"/>
    <w:rsid w:val="007638BA"/>
    <w:rsid w:val="00764975"/>
    <w:rsid w:val="007661B3"/>
    <w:rsid w:val="00766AC0"/>
    <w:rsid w:val="00767234"/>
    <w:rsid w:val="00767808"/>
    <w:rsid w:val="00767D9B"/>
    <w:rsid w:val="00770622"/>
    <w:rsid w:val="00770C7E"/>
    <w:rsid w:val="007713EE"/>
    <w:rsid w:val="00771E33"/>
    <w:rsid w:val="007721B2"/>
    <w:rsid w:val="007726C5"/>
    <w:rsid w:val="007737E6"/>
    <w:rsid w:val="007748B8"/>
    <w:rsid w:val="00775582"/>
    <w:rsid w:val="00775AB3"/>
    <w:rsid w:val="00775AC1"/>
    <w:rsid w:val="00777D43"/>
    <w:rsid w:val="00781853"/>
    <w:rsid w:val="00781E2B"/>
    <w:rsid w:val="00783F9A"/>
    <w:rsid w:val="00784516"/>
    <w:rsid w:val="00784E9C"/>
    <w:rsid w:val="007868A9"/>
    <w:rsid w:val="0078692F"/>
    <w:rsid w:val="00786D1D"/>
    <w:rsid w:val="007874DF"/>
    <w:rsid w:val="00787CA6"/>
    <w:rsid w:val="00790021"/>
    <w:rsid w:val="00790B34"/>
    <w:rsid w:val="00790CDD"/>
    <w:rsid w:val="00790DDB"/>
    <w:rsid w:val="00791686"/>
    <w:rsid w:val="00792C8B"/>
    <w:rsid w:val="007962B9"/>
    <w:rsid w:val="0079689D"/>
    <w:rsid w:val="007976F5"/>
    <w:rsid w:val="00797F5A"/>
    <w:rsid w:val="007A2669"/>
    <w:rsid w:val="007A284A"/>
    <w:rsid w:val="007A2B0B"/>
    <w:rsid w:val="007A3022"/>
    <w:rsid w:val="007A3459"/>
    <w:rsid w:val="007A3528"/>
    <w:rsid w:val="007A36B4"/>
    <w:rsid w:val="007A3899"/>
    <w:rsid w:val="007A4148"/>
    <w:rsid w:val="007A4BB5"/>
    <w:rsid w:val="007A4DC6"/>
    <w:rsid w:val="007A525E"/>
    <w:rsid w:val="007A5372"/>
    <w:rsid w:val="007A5C42"/>
    <w:rsid w:val="007A76D2"/>
    <w:rsid w:val="007B0652"/>
    <w:rsid w:val="007B0C59"/>
    <w:rsid w:val="007B1289"/>
    <w:rsid w:val="007B13CB"/>
    <w:rsid w:val="007B1604"/>
    <w:rsid w:val="007B1B9B"/>
    <w:rsid w:val="007B3A75"/>
    <w:rsid w:val="007B3C8A"/>
    <w:rsid w:val="007B3F13"/>
    <w:rsid w:val="007B42F3"/>
    <w:rsid w:val="007B485E"/>
    <w:rsid w:val="007B52A8"/>
    <w:rsid w:val="007B5F3F"/>
    <w:rsid w:val="007B601C"/>
    <w:rsid w:val="007B618E"/>
    <w:rsid w:val="007C05A1"/>
    <w:rsid w:val="007C0BAA"/>
    <w:rsid w:val="007C0D6F"/>
    <w:rsid w:val="007C3C5A"/>
    <w:rsid w:val="007C43A1"/>
    <w:rsid w:val="007C4416"/>
    <w:rsid w:val="007C4A7E"/>
    <w:rsid w:val="007C4B89"/>
    <w:rsid w:val="007C4C77"/>
    <w:rsid w:val="007C522C"/>
    <w:rsid w:val="007C73F9"/>
    <w:rsid w:val="007C7A49"/>
    <w:rsid w:val="007D04A8"/>
    <w:rsid w:val="007D1ED7"/>
    <w:rsid w:val="007D389F"/>
    <w:rsid w:val="007D42AF"/>
    <w:rsid w:val="007D44CD"/>
    <w:rsid w:val="007D4E54"/>
    <w:rsid w:val="007D553F"/>
    <w:rsid w:val="007D5BA3"/>
    <w:rsid w:val="007D5D28"/>
    <w:rsid w:val="007D6909"/>
    <w:rsid w:val="007D7A03"/>
    <w:rsid w:val="007E0D77"/>
    <w:rsid w:val="007E10E9"/>
    <w:rsid w:val="007E1C99"/>
    <w:rsid w:val="007E222B"/>
    <w:rsid w:val="007E307A"/>
    <w:rsid w:val="007E308B"/>
    <w:rsid w:val="007E319C"/>
    <w:rsid w:val="007E402C"/>
    <w:rsid w:val="007E4FF6"/>
    <w:rsid w:val="007E6519"/>
    <w:rsid w:val="007E6A58"/>
    <w:rsid w:val="007E6B58"/>
    <w:rsid w:val="007E6B76"/>
    <w:rsid w:val="007E6D86"/>
    <w:rsid w:val="007E73FD"/>
    <w:rsid w:val="007E7F5C"/>
    <w:rsid w:val="007F227E"/>
    <w:rsid w:val="007F2E35"/>
    <w:rsid w:val="007F3B7A"/>
    <w:rsid w:val="007F437A"/>
    <w:rsid w:val="007F4730"/>
    <w:rsid w:val="007F5B3B"/>
    <w:rsid w:val="007F5C6D"/>
    <w:rsid w:val="007F608F"/>
    <w:rsid w:val="007F66A8"/>
    <w:rsid w:val="007F78F6"/>
    <w:rsid w:val="007F7DD4"/>
    <w:rsid w:val="0080163C"/>
    <w:rsid w:val="008028E3"/>
    <w:rsid w:val="00802B06"/>
    <w:rsid w:val="00802B2A"/>
    <w:rsid w:val="00802CE4"/>
    <w:rsid w:val="00803112"/>
    <w:rsid w:val="00803187"/>
    <w:rsid w:val="00804598"/>
    <w:rsid w:val="0080466F"/>
    <w:rsid w:val="00804AE1"/>
    <w:rsid w:val="0080636E"/>
    <w:rsid w:val="00806717"/>
    <w:rsid w:val="0080687E"/>
    <w:rsid w:val="00806C39"/>
    <w:rsid w:val="00811461"/>
    <w:rsid w:val="00811B82"/>
    <w:rsid w:val="00813640"/>
    <w:rsid w:val="0081464B"/>
    <w:rsid w:val="00814A7B"/>
    <w:rsid w:val="0082085C"/>
    <w:rsid w:val="008208D0"/>
    <w:rsid w:val="008218F4"/>
    <w:rsid w:val="00822ABE"/>
    <w:rsid w:val="008237CE"/>
    <w:rsid w:val="008254AA"/>
    <w:rsid w:val="00826C97"/>
    <w:rsid w:val="00827131"/>
    <w:rsid w:val="00827671"/>
    <w:rsid w:val="00832133"/>
    <w:rsid w:val="00832B34"/>
    <w:rsid w:val="00832EC6"/>
    <w:rsid w:val="00832EE3"/>
    <w:rsid w:val="0083303A"/>
    <w:rsid w:val="0083365D"/>
    <w:rsid w:val="00833B9B"/>
    <w:rsid w:val="00834159"/>
    <w:rsid w:val="00834340"/>
    <w:rsid w:val="008343C9"/>
    <w:rsid w:val="00834586"/>
    <w:rsid w:val="00834890"/>
    <w:rsid w:val="008354DC"/>
    <w:rsid w:val="00835C90"/>
    <w:rsid w:val="00835E0C"/>
    <w:rsid w:val="00836026"/>
    <w:rsid w:val="00837636"/>
    <w:rsid w:val="00837A48"/>
    <w:rsid w:val="00837FD3"/>
    <w:rsid w:val="008402AB"/>
    <w:rsid w:val="00840940"/>
    <w:rsid w:val="00840A04"/>
    <w:rsid w:val="00841DF7"/>
    <w:rsid w:val="00842C64"/>
    <w:rsid w:val="00842D44"/>
    <w:rsid w:val="00843296"/>
    <w:rsid w:val="008454FA"/>
    <w:rsid w:val="008458C3"/>
    <w:rsid w:val="008462E4"/>
    <w:rsid w:val="008476FF"/>
    <w:rsid w:val="0085077F"/>
    <w:rsid w:val="0085122B"/>
    <w:rsid w:val="008513E0"/>
    <w:rsid w:val="0085211E"/>
    <w:rsid w:val="008529DB"/>
    <w:rsid w:val="00853A29"/>
    <w:rsid w:val="0085413A"/>
    <w:rsid w:val="0085432A"/>
    <w:rsid w:val="0085454A"/>
    <w:rsid w:val="008552D1"/>
    <w:rsid w:val="008555B5"/>
    <w:rsid w:val="008555C1"/>
    <w:rsid w:val="0085591D"/>
    <w:rsid w:val="00856517"/>
    <w:rsid w:val="00856D07"/>
    <w:rsid w:val="0085793D"/>
    <w:rsid w:val="008601CF"/>
    <w:rsid w:val="00860DA5"/>
    <w:rsid w:val="00860DDC"/>
    <w:rsid w:val="008639C8"/>
    <w:rsid w:val="00863E5C"/>
    <w:rsid w:val="00863F08"/>
    <w:rsid w:val="00866D15"/>
    <w:rsid w:val="0086706B"/>
    <w:rsid w:val="008675CF"/>
    <w:rsid w:val="00867AFC"/>
    <w:rsid w:val="00867FF2"/>
    <w:rsid w:val="00871423"/>
    <w:rsid w:val="008722B7"/>
    <w:rsid w:val="008725AE"/>
    <w:rsid w:val="00872A81"/>
    <w:rsid w:val="00873175"/>
    <w:rsid w:val="008737E3"/>
    <w:rsid w:val="008768D6"/>
    <w:rsid w:val="00876CF3"/>
    <w:rsid w:val="008770CF"/>
    <w:rsid w:val="00877430"/>
    <w:rsid w:val="008823F3"/>
    <w:rsid w:val="00882516"/>
    <w:rsid w:val="00882ACB"/>
    <w:rsid w:val="00883ADB"/>
    <w:rsid w:val="00884C7A"/>
    <w:rsid w:val="00884CFE"/>
    <w:rsid w:val="00885A43"/>
    <w:rsid w:val="00886000"/>
    <w:rsid w:val="008861D7"/>
    <w:rsid w:val="00887A0C"/>
    <w:rsid w:val="0089001A"/>
    <w:rsid w:val="00890D41"/>
    <w:rsid w:val="00891C3C"/>
    <w:rsid w:val="0089215E"/>
    <w:rsid w:val="008933EA"/>
    <w:rsid w:val="008938E3"/>
    <w:rsid w:val="00893BB3"/>
    <w:rsid w:val="008944E8"/>
    <w:rsid w:val="00894836"/>
    <w:rsid w:val="008948B2"/>
    <w:rsid w:val="00894D21"/>
    <w:rsid w:val="00894D7E"/>
    <w:rsid w:val="00895503"/>
    <w:rsid w:val="0089606A"/>
    <w:rsid w:val="00896C9A"/>
    <w:rsid w:val="00897029"/>
    <w:rsid w:val="00897613"/>
    <w:rsid w:val="00897C0B"/>
    <w:rsid w:val="008A036C"/>
    <w:rsid w:val="008A109A"/>
    <w:rsid w:val="008A10FA"/>
    <w:rsid w:val="008A1E38"/>
    <w:rsid w:val="008A2C21"/>
    <w:rsid w:val="008A3134"/>
    <w:rsid w:val="008A37DA"/>
    <w:rsid w:val="008A3F3D"/>
    <w:rsid w:val="008A420D"/>
    <w:rsid w:val="008A43E2"/>
    <w:rsid w:val="008A5348"/>
    <w:rsid w:val="008A6282"/>
    <w:rsid w:val="008A6958"/>
    <w:rsid w:val="008A6F9E"/>
    <w:rsid w:val="008A7376"/>
    <w:rsid w:val="008A7B15"/>
    <w:rsid w:val="008B1520"/>
    <w:rsid w:val="008B23F4"/>
    <w:rsid w:val="008B370E"/>
    <w:rsid w:val="008B4D91"/>
    <w:rsid w:val="008B511C"/>
    <w:rsid w:val="008B5E60"/>
    <w:rsid w:val="008B5EA5"/>
    <w:rsid w:val="008B7152"/>
    <w:rsid w:val="008C203A"/>
    <w:rsid w:val="008C2AEA"/>
    <w:rsid w:val="008C2FAB"/>
    <w:rsid w:val="008C30B5"/>
    <w:rsid w:val="008C3636"/>
    <w:rsid w:val="008C4255"/>
    <w:rsid w:val="008C5072"/>
    <w:rsid w:val="008C5D1C"/>
    <w:rsid w:val="008C604C"/>
    <w:rsid w:val="008D039B"/>
    <w:rsid w:val="008D1AAB"/>
    <w:rsid w:val="008D214C"/>
    <w:rsid w:val="008D2779"/>
    <w:rsid w:val="008D2A27"/>
    <w:rsid w:val="008D2BAB"/>
    <w:rsid w:val="008D37B5"/>
    <w:rsid w:val="008D3FD6"/>
    <w:rsid w:val="008D42A8"/>
    <w:rsid w:val="008D44FB"/>
    <w:rsid w:val="008D67B3"/>
    <w:rsid w:val="008D76BE"/>
    <w:rsid w:val="008D7BEF"/>
    <w:rsid w:val="008E03ED"/>
    <w:rsid w:val="008E0E8C"/>
    <w:rsid w:val="008E2D24"/>
    <w:rsid w:val="008E3729"/>
    <w:rsid w:val="008E3F62"/>
    <w:rsid w:val="008E61DF"/>
    <w:rsid w:val="008E6228"/>
    <w:rsid w:val="008E7B5F"/>
    <w:rsid w:val="008F19FB"/>
    <w:rsid w:val="008F29DD"/>
    <w:rsid w:val="008F33C8"/>
    <w:rsid w:val="008F35EF"/>
    <w:rsid w:val="008F3E09"/>
    <w:rsid w:val="008F41AF"/>
    <w:rsid w:val="008F6FC0"/>
    <w:rsid w:val="008F715E"/>
    <w:rsid w:val="009011FF"/>
    <w:rsid w:val="00901240"/>
    <w:rsid w:val="00901ABB"/>
    <w:rsid w:val="00901B01"/>
    <w:rsid w:val="00902BBA"/>
    <w:rsid w:val="00902FA6"/>
    <w:rsid w:val="00903C4D"/>
    <w:rsid w:val="00903ED5"/>
    <w:rsid w:val="00904EB9"/>
    <w:rsid w:val="0090618D"/>
    <w:rsid w:val="009061D9"/>
    <w:rsid w:val="0090681F"/>
    <w:rsid w:val="00906A85"/>
    <w:rsid w:val="00906C6A"/>
    <w:rsid w:val="00906D43"/>
    <w:rsid w:val="00906D76"/>
    <w:rsid w:val="009077B0"/>
    <w:rsid w:val="00910929"/>
    <w:rsid w:val="00911E60"/>
    <w:rsid w:val="00912D79"/>
    <w:rsid w:val="00912EEF"/>
    <w:rsid w:val="0091324F"/>
    <w:rsid w:val="00913281"/>
    <w:rsid w:val="00913AE1"/>
    <w:rsid w:val="0091488A"/>
    <w:rsid w:val="009148C7"/>
    <w:rsid w:val="00915F6D"/>
    <w:rsid w:val="00916195"/>
    <w:rsid w:val="009165E0"/>
    <w:rsid w:val="009171E4"/>
    <w:rsid w:val="009175D9"/>
    <w:rsid w:val="0091776D"/>
    <w:rsid w:val="009201A8"/>
    <w:rsid w:val="00921953"/>
    <w:rsid w:val="009221AF"/>
    <w:rsid w:val="00922A0F"/>
    <w:rsid w:val="00922A89"/>
    <w:rsid w:val="00923238"/>
    <w:rsid w:val="0092336B"/>
    <w:rsid w:val="00923F16"/>
    <w:rsid w:val="00924303"/>
    <w:rsid w:val="009244D2"/>
    <w:rsid w:val="00924877"/>
    <w:rsid w:val="00924EF7"/>
    <w:rsid w:val="0092586A"/>
    <w:rsid w:val="00925E57"/>
    <w:rsid w:val="00927565"/>
    <w:rsid w:val="00930BD5"/>
    <w:rsid w:val="00930FFF"/>
    <w:rsid w:val="00931844"/>
    <w:rsid w:val="009318EC"/>
    <w:rsid w:val="00932AEB"/>
    <w:rsid w:val="00933847"/>
    <w:rsid w:val="009338EF"/>
    <w:rsid w:val="00933F0A"/>
    <w:rsid w:val="00934D37"/>
    <w:rsid w:val="0093589C"/>
    <w:rsid w:val="009367E6"/>
    <w:rsid w:val="00937453"/>
    <w:rsid w:val="009402F6"/>
    <w:rsid w:val="009413D9"/>
    <w:rsid w:val="00941E5D"/>
    <w:rsid w:val="009424BD"/>
    <w:rsid w:val="009425AB"/>
    <w:rsid w:val="009425F2"/>
    <w:rsid w:val="009427E1"/>
    <w:rsid w:val="00942FA3"/>
    <w:rsid w:val="00943C93"/>
    <w:rsid w:val="009449AF"/>
    <w:rsid w:val="009463AD"/>
    <w:rsid w:val="009469B4"/>
    <w:rsid w:val="009469F7"/>
    <w:rsid w:val="009473FC"/>
    <w:rsid w:val="009507FA"/>
    <w:rsid w:val="00951840"/>
    <w:rsid w:val="00953F2B"/>
    <w:rsid w:val="00954DFC"/>
    <w:rsid w:val="00954F4D"/>
    <w:rsid w:val="00955218"/>
    <w:rsid w:val="009563E6"/>
    <w:rsid w:val="00961F68"/>
    <w:rsid w:val="00964A8B"/>
    <w:rsid w:val="00964B08"/>
    <w:rsid w:val="00965636"/>
    <w:rsid w:val="00965AC8"/>
    <w:rsid w:val="009668D9"/>
    <w:rsid w:val="00967E0A"/>
    <w:rsid w:val="0097017F"/>
    <w:rsid w:val="009705C6"/>
    <w:rsid w:val="00972E99"/>
    <w:rsid w:val="0097407A"/>
    <w:rsid w:val="00974EA6"/>
    <w:rsid w:val="009756CF"/>
    <w:rsid w:val="00976B81"/>
    <w:rsid w:val="009770A8"/>
    <w:rsid w:val="0097792B"/>
    <w:rsid w:val="00977B99"/>
    <w:rsid w:val="0098010B"/>
    <w:rsid w:val="00981604"/>
    <w:rsid w:val="009816A1"/>
    <w:rsid w:val="009818A4"/>
    <w:rsid w:val="009832A3"/>
    <w:rsid w:val="0098331C"/>
    <w:rsid w:val="0098620C"/>
    <w:rsid w:val="0098621C"/>
    <w:rsid w:val="00986263"/>
    <w:rsid w:val="0098662B"/>
    <w:rsid w:val="00990113"/>
    <w:rsid w:val="00990C6F"/>
    <w:rsid w:val="009926E6"/>
    <w:rsid w:val="00992909"/>
    <w:rsid w:val="00995BBD"/>
    <w:rsid w:val="009962F8"/>
    <w:rsid w:val="009965D1"/>
    <w:rsid w:val="009969BD"/>
    <w:rsid w:val="00996B3B"/>
    <w:rsid w:val="00996C93"/>
    <w:rsid w:val="00997064"/>
    <w:rsid w:val="00997E5A"/>
    <w:rsid w:val="009A0184"/>
    <w:rsid w:val="009A0617"/>
    <w:rsid w:val="009A0674"/>
    <w:rsid w:val="009A0C5A"/>
    <w:rsid w:val="009A103F"/>
    <w:rsid w:val="009A1A6D"/>
    <w:rsid w:val="009A1E47"/>
    <w:rsid w:val="009A32A3"/>
    <w:rsid w:val="009A3A06"/>
    <w:rsid w:val="009A4DFC"/>
    <w:rsid w:val="009A5117"/>
    <w:rsid w:val="009A55A6"/>
    <w:rsid w:val="009A66C7"/>
    <w:rsid w:val="009A6991"/>
    <w:rsid w:val="009A77B3"/>
    <w:rsid w:val="009A78B8"/>
    <w:rsid w:val="009B02D1"/>
    <w:rsid w:val="009B08B3"/>
    <w:rsid w:val="009B0D4F"/>
    <w:rsid w:val="009B14F7"/>
    <w:rsid w:val="009B166D"/>
    <w:rsid w:val="009B46B3"/>
    <w:rsid w:val="009B5C44"/>
    <w:rsid w:val="009B72FE"/>
    <w:rsid w:val="009C0F98"/>
    <w:rsid w:val="009C205D"/>
    <w:rsid w:val="009C2AC9"/>
    <w:rsid w:val="009C2CE8"/>
    <w:rsid w:val="009C4170"/>
    <w:rsid w:val="009C4EDA"/>
    <w:rsid w:val="009C561A"/>
    <w:rsid w:val="009C59AC"/>
    <w:rsid w:val="009C6A8A"/>
    <w:rsid w:val="009C7075"/>
    <w:rsid w:val="009D0C63"/>
    <w:rsid w:val="009D106F"/>
    <w:rsid w:val="009D22E9"/>
    <w:rsid w:val="009D2C40"/>
    <w:rsid w:val="009D33F1"/>
    <w:rsid w:val="009D43A8"/>
    <w:rsid w:val="009D5A6D"/>
    <w:rsid w:val="009D6517"/>
    <w:rsid w:val="009D7C11"/>
    <w:rsid w:val="009E0721"/>
    <w:rsid w:val="009E0778"/>
    <w:rsid w:val="009E0AA7"/>
    <w:rsid w:val="009E15EB"/>
    <w:rsid w:val="009E1CAA"/>
    <w:rsid w:val="009E344D"/>
    <w:rsid w:val="009E4648"/>
    <w:rsid w:val="009E4F95"/>
    <w:rsid w:val="009E50D6"/>
    <w:rsid w:val="009E6266"/>
    <w:rsid w:val="009E63AA"/>
    <w:rsid w:val="009F107F"/>
    <w:rsid w:val="009F16E0"/>
    <w:rsid w:val="009F2073"/>
    <w:rsid w:val="009F31CE"/>
    <w:rsid w:val="009F3738"/>
    <w:rsid w:val="009F4666"/>
    <w:rsid w:val="009F5187"/>
    <w:rsid w:val="009F5C0D"/>
    <w:rsid w:val="009F6333"/>
    <w:rsid w:val="009F6C77"/>
    <w:rsid w:val="00A001A9"/>
    <w:rsid w:val="00A00658"/>
    <w:rsid w:val="00A01615"/>
    <w:rsid w:val="00A01A60"/>
    <w:rsid w:val="00A02AD7"/>
    <w:rsid w:val="00A02D06"/>
    <w:rsid w:val="00A05335"/>
    <w:rsid w:val="00A06036"/>
    <w:rsid w:val="00A06E55"/>
    <w:rsid w:val="00A07443"/>
    <w:rsid w:val="00A07568"/>
    <w:rsid w:val="00A114D8"/>
    <w:rsid w:val="00A1252F"/>
    <w:rsid w:val="00A14070"/>
    <w:rsid w:val="00A16422"/>
    <w:rsid w:val="00A16546"/>
    <w:rsid w:val="00A21598"/>
    <w:rsid w:val="00A2186E"/>
    <w:rsid w:val="00A2342B"/>
    <w:rsid w:val="00A2378D"/>
    <w:rsid w:val="00A24801"/>
    <w:rsid w:val="00A25299"/>
    <w:rsid w:val="00A25755"/>
    <w:rsid w:val="00A25BA1"/>
    <w:rsid w:val="00A262A9"/>
    <w:rsid w:val="00A2682A"/>
    <w:rsid w:val="00A26B94"/>
    <w:rsid w:val="00A271B3"/>
    <w:rsid w:val="00A27956"/>
    <w:rsid w:val="00A30194"/>
    <w:rsid w:val="00A30749"/>
    <w:rsid w:val="00A312A2"/>
    <w:rsid w:val="00A32D65"/>
    <w:rsid w:val="00A331DE"/>
    <w:rsid w:val="00A33987"/>
    <w:rsid w:val="00A33FA8"/>
    <w:rsid w:val="00A34D77"/>
    <w:rsid w:val="00A3501D"/>
    <w:rsid w:val="00A36733"/>
    <w:rsid w:val="00A368DD"/>
    <w:rsid w:val="00A37FCF"/>
    <w:rsid w:val="00A4006B"/>
    <w:rsid w:val="00A40D52"/>
    <w:rsid w:val="00A41001"/>
    <w:rsid w:val="00A410B1"/>
    <w:rsid w:val="00A427BB"/>
    <w:rsid w:val="00A433C2"/>
    <w:rsid w:val="00A43754"/>
    <w:rsid w:val="00A437AB"/>
    <w:rsid w:val="00A439D2"/>
    <w:rsid w:val="00A43C33"/>
    <w:rsid w:val="00A43C64"/>
    <w:rsid w:val="00A440C4"/>
    <w:rsid w:val="00A443DD"/>
    <w:rsid w:val="00A4445D"/>
    <w:rsid w:val="00A449D7"/>
    <w:rsid w:val="00A45CF6"/>
    <w:rsid w:val="00A46D4F"/>
    <w:rsid w:val="00A47912"/>
    <w:rsid w:val="00A47A2F"/>
    <w:rsid w:val="00A50C10"/>
    <w:rsid w:val="00A51155"/>
    <w:rsid w:val="00A51C76"/>
    <w:rsid w:val="00A525DC"/>
    <w:rsid w:val="00A52D43"/>
    <w:rsid w:val="00A5377F"/>
    <w:rsid w:val="00A540FB"/>
    <w:rsid w:val="00A54A9D"/>
    <w:rsid w:val="00A54D72"/>
    <w:rsid w:val="00A54DA1"/>
    <w:rsid w:val="00A55E3D"/>
    <w:rsid w:val="00A56D3A"/>
    <w:rsid w:val="00A60845"/>
    <w:rsid w:val="00A60AE5"/>
    <w:rsid w:val="00A622A2"/>
    <w:rsid w:val="00A62607"/>
    <w:rsid w:val="00A62C4C"/>
    <w:rsid w:val="00A62EAC"/>
    <w:rsid w:val="00A62FF3"/>
    <w:rsid w:val="00A63674"/>
    <w:rsid w:val="00A63A2A"/>
    <w:rsid w:val="00A6407D"/>
    <w:rsid w:val="00A64332"/>
    <w:rsid w:val="00A66088"/>
    <w:rsid w:val="00A661E5"/>
    <w:rsid w:val="00A6661B"/>
    <w:rsid w:val="00A66FBB"/>
    <w:rsid w:val="00A67151"/>
    <w:rsid w:val="00A67583"/>
    <w:rsid w:val="00A67643"/>
    <w:rsid w:val="00A67898"/>
    <w:rsid w:val="00A7102E"/>
    <w:rsid w:val="00A72066"/>
    <w:rsid w:val="00A72EA4"/>
    <w:rsid w:val="00A730FB"/>
    <w:rsid w:val="00A7397A"/>
    <w:rsid w:val="00A7448B"/>
    <w:rsid w:val="00A75658"/>
    <w:rsid w:val="00A75954"/>
    <w:rsid w:val="00A75EEC"/>
    <w:rsid w:val="00A760FF"/>
    <w:rsid w:val="00A76565"/>
    <w:rsid w:val="00A76A11"/>
    <w:rsid w:val="00A7739F"/>
    <w:rsid w:val="00A7788C"/>
    <w:rsid w:val="00A77E87"/>
    <w:rsid w:val="00A8065D"/>
    <w:rsid w:val="00A80D30"/>
    <w:rsid w:val="00A811B3"/>
    <w:rsid w:val="00A81EFB"/>
    <w:rsid w:val="00A81FCE"/>
    <w:rsid w:val="00A82A88"/>
    <w:rsid w:val="00A82B21"/>
    <w:rsid w:val="00A82B42"/>
    <w:rsid w:val="00A83864"/>
    <w:rsid w:val="00A83C84"/>
    <w:rsid w:val="00A83E99"/>
    <w:rsid w:val="00A85503"/>
    <w:rsid w:val="00A8572D"/>
    <w:rsid w:val="00A85B3A"/>
    <w:rsid w:val="00A85CC5"/>
    <w:rsid w:val="00A85D0C"/>
    <w:rsid w:val="00A874F8"/>
    <w:rsid w:val="00A877D6"/>
    <w:rsid w:val="00A91B70"/>
    <w:rsid w:val="00A92686"/>
    <w:rsid w:val="00A93919"/>
    <w:rsid w:val="00A9395F"/>
    <w:rsid w:val="00A93ECF"/>
    <w:rsid w:val="00A95045"/>
    <w:rsid w:val="00A950A0"/>
    <w:rsid w:val="00A95BE7"/>
    <w:rsid w:val="00A973C1"/>
    <w:rsid w:val="00AA20F0"/>
    <w:rsid w:val="00AA26A7"/>
    <w:rsid w:val="00AA29FD"/>
    <w:rsid w:val="00AA3078"/>
    <w:rsid w:val="00AA357B"/>
    <w:rsid w:val="00AA35B8"/>
    <w:rsid w:val="00AA40F9"/>
    <w:rsid w:val="00AA4611"/>
    <w:rsid w:val="00AA479B"/>
    <w:rsid w:val="00AA5484"/>
    <w:rsid w:val="00AA68BE"/>
    <w:rsid w:val="00AB0967"/>
    <w:rsid w:val="00AB1875"/>
    <w:rsid w:val="00AB1E12"/>
    <w:rsid w:val="00AB28C7"/>
    <w:rsid w:val="00AB3E07"/>
    <w:rsid w:val="00AB5524"/>
    <w:rsid w:val="00AB7818"/>
    <w:rsid w:val="00AC03AB"/>
    <w:rsid w:val="00AC05AA"/>
    <w:rsid w:val="00AC0A3F"/>
    <w:rsid w:val="00AC115C"/>
    <w:rsid w:val="00AC1E01"/>
    <w:rsid w:val="00AC3699"/>
    <w:rsid w:val="00AC3C5D"/>
    <w:rsid w:val="00AC3C6E"/>
    <w:rsid w:val="00AC3ECC"/>
    <w:rsid w:val="00AC5089"/>
    <w:rsid w:val="00AC5372"/>
    <w:rsid w:val="00AC54E5"/>
    <w:rsid w:val="00AC5BE3"/>
    <w:rsid w:val="00AC5C71"/>
    <w:rsid w:val="00AC5F74"/>
    <w:rsid w:val="00AC675E"/>
    <w:rsid w:val="00AD0240"/>
    <w:rsid w:val="00AD030C"/>
    <w:rsid w:val="00AD0905"/>
    <w:rsid w:val="00AD1362"/>
    <w:rsid w:val="00AD2D86"/>
    <w:rsid w:val="00AD39CF"/>
    <w:rsid w:val="00AD4836"/>
    <w:rsid w:val="00AD57C5"/>
    <w:rsid w:val="00AD58AD"/>
    <w:rsid w:val="00AD6F60"/>
    <w:rsid w:val="00AD7F65"/>
    <w:rsid w:val="00AE061D"/>
    <w:rsid w:val="00AE1559"/>
    <w:rsid w:val="00AE245C"/>
    <w:rsid w:val="00AE3048"/>
    <w:rsid w:val="00AE3ACC"/>
    <w:rsid w:val="00AE41E5"/>
    <w:rsid w:val="00AE4B39"/>
    <w:rsid w:val="00AE4DB5"/>
    <w:rsid w:val="00AE6147"/>
    <w:rsid w:val="00AE64FC"/>
    <w:rsid w:val="00AE68A6"/>
    <w:rsid w:val="00AE6E7F"/>
    <w:rsid w:val="00AE717B"/>
    <w:rsid w:val="00AF0098"/>
    <w:rsid w:val="00AF069C"/>
    <w:rsid w:val="00AF0E5A"/>
    <w:rsid w:val="00AF1A85"/>
    <w:rsid w:val="00AF1E64"/>
    <w:rsid w:val="00AF1EE1"/>
    <w:rsid w:val="00AF212D"/>
    <w:rsid w:val="00AF2CAF"/>
    <w:rsid w:val="00AF3949"/>
    <w:rsid w:val="00AF43F3"/>
    <w:rsid w:val="00AF4BA2"/>
    <w:rsid w:val="00AF6243"/>
    <w:rsid w:val="00AF700B"/>
    <w:rsid w:val="00AF7D27"/>
    <w:rsid w:val="00B03401"/>
    <w:rsid w:val="00B03ABC"/>
    <w:rsid w:val="00B046ED"/>
    <w:rsid w:val="00B0496E"/>
    <w:rsid w:val="00B04B3E"/>
    <w:rsid w:val="00B050C6"/>
    <w:rsid w:val="00B103F6"/>
    <w:rsid w:val="00B11767"/>
    <w:rsid w:val="00B11A66"/>
    <w:rsid w:val="00B11B68"/>
    <w:rsid w:val="00B12514"/>
    <w:rsid w:val="00B141E2"/>
    <w:rsid w:val="00B1474C"/>
    <w:rsid w:val="00B14A46"/>
    <w:rsid w:val="00B14D42"/>
    <w:rsid w:val="00B15333"/>
    <w:rsid w:val="00B16D8B"/>
    <w:rsid w:val="00B16E12"/>
    <w:rsid w:val="00B206AC"/>
    <w:rsid w:val="00B211AB"/>
    <w:rsid w:val="00B211ED"/>
    <w:rsid w:val="00B21EB3"/>
    <w:rsid w:val="00B221D1"/>
    <w:rsid w:val="00B223D0"/>
    <w:rsid w:val="00B22BD0"/>
    <w:rsid w:val="00B2402C"/>
    <w:rsid w:val="00B26318"/>
    <w:rsid w:val="00B27B13"/>
    <w:rsid w:val="00B300D8"/>
    <w:rsid w:val="00B33AA2"/>
    <w:rsid w:val="00B34041"/>
    <w:rsid w:val="00B3446F"/>
    <w:rsid w:val="00B35CF5"/>
    <w:rsid w:val="00B36A8C"/>
    <w:rsid w:val="00B372F5"/>
    <w:rsid w:val="00B4010F"/>
    <w:rsid w:val="00B406B6"/>
    <w:rsid w:val="00B407E5"/>
    <w:rsid w:val="00B410A6"/>
    <w:rsid w:val="00B41341"/>
    <w:rsid w:val="00B41717"/>
    <w:rsid w:val="00B41C02"/>
    <w:rsid w:val="00B4231A"/>
    <w:rsid w:val="00B42C90"/>
    <w:rsid w:val="00B431E3"/>
    <w:rsid w:val="00B431FE"/>
    <w:rsid w:val="00B437A2"/>
    <w:rsid w:val="00B43960"/>
    <w:rsid w:val="00B440AA"/>
    <w:rsid w:val="00B4422C"/>
    <w:rsid w:val="00B44D8A"/>
    <w:rsid w:val="00B4593F"/>
    <w:rsid w:val="00B45A6E"/>
    <w:rsid w:val="00B45CD4"/>
    <w:rsid w:val="00B46B1D"/>
    <w:rsid w:val="00B50FC1"/>
    <w:rsid w:val="00B536E0"/>
    <w:rsid w:val="00B53C1A"/>
    <w:rsid w:val="00B53D9A"/>
    <w:rsid w:val="00B543A7"/>
    <w:rsid w:val="00B55D33"/>
    <w:rsid w:val="00B55D3B"/>
    <w:rsid w:val="00B564A8"/>
    <w:rsid w:val="00B565E6"/>
    <w:rsid w:val="00B57B05"/>
    <w:rsid w:val="00B601E7"/>
    <w:rsid w:val="00B60853"/>
    <w:rsid w:val="00B609D1"/>
    <w:rsid w:val="00B60A4F"/>
    <w:rsid w:val="00B62718"/>
    <w:rsid w:val="00B63809"/>
    <w:rsid w:val="00B6420F"/>
    <w:rsid w:val="00B650E1"/>
    <w:rsid w:val="00B6661E"/>
    <w:rsid w:val="00B67637"/>
    <w:rsid w:val="00B7036F"/>
    <w:rsid w:val="00B70527"/>
    <w:rsid w:val="00B707E8"/>
    <w:rsid w:val="00B71440"/>
    <w:rsid w:val="00B72448"/>
    <w:rsid w:val="00B72B05"/>
    <w:rsid w:val="00B73780"/>
    <w:rsid w:val="00B737B2"/>
    <w:rsid w:val="00B74830"/>
    <w:rsid w:val="00B74FA4"/>
    <w:rsid w:val="00B75092"/>
    <w:rsid w:val="00B77295"/>
    <w:rsid w:val="00B77388"/>
    <w:rsid w:val="00B77560"/>
    <w:rsid w:val="00B80098"/>
    <w:rsid w:val="00B80219"/>
    <w:rsid w:val="00B80654"/>
    <w:rsid w:val="00B813EF"/>
    <w:rsid w:val="00B817CA"/>
    <w:rsid w:val="00B81A7D"/>
    <w:rsid w:val="00B82955"/>
    <w:rsid w:val="00B82DA7"/>
    <w:rsid w:val="00B83B4E"/>
    <w:rsid w:val="00B83FDA"/>
    <w:rsid w:val="00B8439A"/>
    <w:rsid w:val="00B84A62"/>
    <w:rsid w:val="00B863F7"/>
    <w:rsid w:val="00B90959"/>
    <w:rsid w:val="00B921E2"/>
    <w:rsid w:val="00B934CD"/>
    <w:rsid w:val="00B9378E"/>
    <w:rsid w:val="00B93833"/>
    <w:rsid w:val="00B93F5F"/>
    <w:rsid w:val="00B94659"/>
    <w:rsid w:val="00B94667"/>
    <w:rsid w:val="00B948B4"/>
    <w:rsid w:val="00B9568E"/>
    <w:rsid w:val="00B95D5E"/>
    <w:rsid w:val="00B95FD5"/>
    <w:rsid w:val="00B96F32"/>
    <w:rsid w:val="00BA0673"/>
    <w:rsid w:val="00BA1668"/>
    <w:rsid w:val="00BA3567"/>
    <w:rsid w:val="00BA418E"/>
    <w:rsid w:val="00BA72EC"/>
    <w:rsid w:val="00BA7350"/>
    <w:rsid w:val="00BA793C"/>
    <w:rsid w:val="00BB07F5"/>
    <w:rsid w:val="00BB1271"/>
    <w:rsid w:val="00BB239E"/>
    <w:rsid w:val="00BB4EF7"/>
    <w:rsid w:val="00BB510C"/>
    <w:rsid w:val="00BB58AB"/>
    <w:rsid w:val="00BB5E70"/>
    <w:rsid w:val="00BB6837"/>
    <w:rsid w:val="00BC03BE"/>
    <w:rsid w:val="00BC1285"/>
    <w:rsid w:val="00BC1CE5"/>
    <w:rsid w:val="00BC2469"/>
    <w:rsid w:val="00BC42BC"/>
    <w:rsid w:val="00BC4AF3"/>
    <w:rsid w:val="00BC5A0C"/>
    <w:rsid w:val="00BC6C97"/>
    <w:rsid w:val="00BC706F"/>
    <w:rsid w:val="00BC7461"/>
    <w:rsid w:val="00BC749C"/>
    <w:rsid w:val="00BC7E81"/>
    <w:rsid w:val="00BD1D53"/>
    <w:rsid w:val="00BD1E36"/>
    <w:rsid w:val="00BD2451"/>
    <w:rsid w:val="00BD2836"/>
    <w:rsid w:val="00BD3257"/>
    <w:rsid w:val="00BD3BD5"/>
    <w:rsid w:val="00BD58A0"/>
    <w:rsid w:val="00BD5AB3"/>
    <w:rsid w:val="00BD5CBE"/>
    <w:rsid w:val="00BD7653"/>
    <w:rsid w:val="00BE024E"/>
    <w:rsid w:val="00BE12D1"/>
    <w:rsid w:val="00BE2C07"/>
    <w:rsid w:val="00BE2E09"/>
    <w:rsid w:val="00BE408F"/>
    <w:rsid w:val="00BE47B1"/>
    <w:rsid w:val="00BE4811"/>
    <w:rsid w:val="00BE5169"/>
    <w:rsid w:val="00BE5BD0"/>
    <w:rsid w:val="00BE5C36"/>
    <w:rsid w:val="00BE69D5"/>
    <w:rsid w:val="00BE771D"/>
    <w:rsid w:val="00BF0A83"/>
    <w:rsid w:val="00BF128E"/>
    <w:rsid w:val="00BF19C9"/>
    <w:rsid w:val="00BF1A08"/>
    <w:rsid w:val="00BF2806"/>
    <w:rsid w:val="00BF3A1A"/>
    <w:rsid w:val="00BF5061"/>
    <w:rsid w:val="00BF51CF"/>
    <w:rsid w:val="00BF52E1"/>
    <w:rsid w:val="00BF6A7C"/>
    <w:rsid w:val="00BF6FCA"/>
    <w:rsid w:val="00BF721F"/>
    <w:rsid w:val="00BF7529"/>
    <w:rsid w:val="00BF7F00"/>
    <w:rsid w:val="00C00628"/>
    <w:rsid w:val="00C00CC9"/>
    <w:rsid w:val="00C01266"/>
    <w:rsid w:val="00C03924"/>
    <w:rsid w:val="00C03FF0"/>
    <w:rsid w:val="00C042EE"/>
    <w:rsid w:val="00C04E64"/>
    <w:rsid w:val="00C06053"/>
    <w:rsid w:val="00C073F8"/>
    <w:rsid w:val="00C079D4"/>
    <w:rsid w:val="00C12283"/>
    <w:rsid w:val="00C12F65"/>
    <w:rsid w:val="00C150E0"/>
    <w:rsid w:val="00C15EFB"/>
    <w:rsid w:val="00C176F2"/>
    <w:rsid w:val="00C17C46"/>
    <w:rsid w:val="00C20BAB"/>
    <w:rsid w:val="00C226CA"/>
    <w:rsid w:val="00C23412"/>
    <w:rsid w:val="00C235E6"/>
    <w:rsid w:val="00C2417C"/>
    <w:rsid w:val="00C2445E"/>
    <w:rsid w:val="00C2462B"/>
    <w:rsid w:val="00C27A73"/>
    <w:rsid w:val="00C27D8F"/>
    <w:rsid w:val="00C27FD8"/>
    <w:rsid w:val="00C308F9"/>
    <w:rsid w:val="00C31315"/>
    <w:rsid w:val="00C3366E"/>
    <w:rsid w:val="00C35582"/>
    <w:rsid w:val="00C377B5"/>
    <w:rsid w:val="00C37D99"/>
    <w:rsid w:val="00C41383"/>
    <w:rsid w:val="00C41D08"/>
    <w:rsid w:val="00C41FC5"/>
    <w:rsid w:val="00C43F0D"/>
    <w:rsid w:val="00C44DC0"/>
    <w:rsid w:val="00C45045"/>
    <w:rsid w:val="00C46098"/>
    <w:rsid w:val="00C467AB"/>
    <w:rsid w:val="00C46A85"/>
    <w:rsid w:val="00C47663"/>
    <w:rsid w:val="00C51DDC"/>
    <w:rsid w:val="00C5374F"/>
    <w:rsid w:val="00C53890"/>
    <w:rsid w:val="00C53EC9"/>
    <w:rsid w:val="00C54C27"/>
    <w:rsid w:val="00C55BDA"/>
    <w:rsid w:val="00C57BB3"/>
    <w:rsid w:val="00C61C7F"/>
    <w:rsid w:val="00C628F4"/>
    <w:rsid w:val="00C62D77"/>
    <w:rsid w:val="00C63CD4"/>
    <w:rsid w:val="00C63CF7"/>
    <w:rsid w:val="00C6463A"/>
    <w:rsid w:val="00C64AAC"/>
    <w:rsid w:val="00C6593B"/>
    <w:rsid w:val="00C6639E"/>
    <w:rsid w:val="00C664C3"/>
    <w:rsid w:val="00C66F01"/>
    <w:rsid w:val="00C6771C"/>
    <w:rsid w:val="00C67DC9"/>
    <w:rsid w:val="00C7006C"/>
    <w:rsid w:val="00C703E7"/>
    <w:rsid w:val="00C706B3"/>
    <w:rsid w:val="00C70B46"/>
    <w:rsid w:val="00C70C3D"/>
    <w:rsid w:val="00C70C8B"/>
    <w:rsid w:val="00C70F81"/>
    <w:rsid w:val="00C71C7F"/>
    <w:rsid w:val="00C738A3"/>
    <w:rsid w:val="00C739C0"/>
    <w:rsid w:val="00C75440"/>
    <w:rsid w:val="00C7640F"/>
    <w:rsid w:val="00C769F1"/>
    <w:rsid w:val="00C76F03"/>
    <w:rsid w:val="00C77B59"/>
    <w:rsid w:val="00C8016E"/>
    <w:rsid w:val="00C80D07"/>
    <w:rsid w:val="00C80E0E"/>
    <w:rsid w:val="00C81AD9"/>
    <w:rsid w:val="00C83C6C"/>
    <w:rsid w:val="00C841A2"/>
    <w:rsid w:val="00C84CFE"/>
    <w:rsid w:val="00C8553A"/>
    <w:rsid w:val="00C86428"/>
    <w:rsid w:val="00C865DE"/>
    <w:rsid w:val="00C92586"/>
    <w:rsid w:val="00C926E4"/>
    <w:rsid w:val="00C92983"/>
    <w:rsid w:val="00C92A9E"/>
    <w:rsid w:val="00C93067"/>
    <w:rsid w:val="00C936B1"/>
    <w:rsid w:val="00C9492E"/>
    <w:rsid w:val="00C94DBF"/>
    <w:rsid w:val="00C9514B"/>
    <w:rsid w:val="00C95649"/>
    <w:rsid w:val="00C95A65"/>
    <w:rsid w:val="00CA0A59"/>
    <w:rsid w:val="00CA37E4"/>
    <w:rsid w:val="00CA4A9D"/>
    <w:rsid w:val="00CA58EA"/>
    <w:rsid w:val="00CA5FC9"/>
    <w:rsid w:val="00CA5FD2"/>
    <w:rsid w:val="00CA62F8"/>
    <w:rsid w:val="00CA67F5"/>
    <w:rsid w:val="00CA71A4"/>
    <w:rsid w:val="00CA7B3B"/>
    <w:rsid w:val="00CB0996"/>
    <w:rsid w:val="00CB117F"/>
    <w:rsid w:val="00CB19A0"/>
    <w:rsid w:val="00CB40C7"/>
    <w:rsid w:val="00CB4E19"/>
    <w:rsid w:val="00CB51C2"/>
    <w:rsid w:val="00CB6314"/>
    <w:rsid w:val="00CB678D"/>
    <w:rsid w:val="00CB780A"/>
    <w:rsid w:val="00CC0F32"/>
    <w:rsid w:val="00CC157D"/>
    <w:rsid w:val="00CC28E0"/>
    <w:rsid w:val="00CC293E"/>
    <w:rsid w:val="00CC3F06"/>
    <w:rsid w:val="00CC584D"/>
    <w:rsid w:val="00CC6E93"/>
    <w:rsid w:val="00CC7A14"/>
    <w:rsid w:val="00CD0BC9"/>
    <w:rsid w:val="00CD4624"/>
    <w:rsid w:val="00CD533F"/>
    <w:rsid w:val="00CD5EBE"/>
    <w:rsid w:val="00CD7032"/>
    <w:rsid w:val="00CD777E"/>
    <w:rsid w:val="00CD79DE"/>
    <w:rsid w:val="00CD7BE7"/>
    <w:rsid w:val="00CD7E20"/>
    <w:rsid w:val="00CE0311"/>
    <w:rsid w:val="00CE0A2E"/>
    <w:rsid w:val="00CE100E"/>
    <w:rsid w:val="00CE1A08"/>
    <w:rsid w:val="00CE3EFF"/>
    <w:rsid w:val="00CE3FA0"/>
    <w:rsid w:val="00CE42D1"/>
    <w:rsid w:val="00CE4D2B"/>
    <w:rsid w:val="00CE4FFC"/>
    <w:rsid w:val="00CE5068"/>
    <w:rsid w:val="00CE7DCC"/>
    <w:rsid w:val="00CF01B9"/>
    <w:rsid w:val="00CF0A89"/>
    <w:rsid w:val="00CF1DFF"/>
    <w:rsid w:val="00CF2577"/>
    <w:rsid w:val="00CF4895"/>
    <w:rsid w:val="00CF4BC8"/>
    <w:rsid w:val="00CF4E35"/>
    <w:rsid w:val="00CF609D"/>
    <w:rsid w:val="00CF62B5"/>
    <w:rsid w:val="00CF787E"/>
    <w:rsid w:val="00D007F0"/>
    <w:rsid w:val="00D0136F"/>
    <w:rsid w:val="00D01374"/>
    <w:rsid w:val="00D02687"/>
    <w:rsid w:val="00D02BC2"/>
    <w:rsid w:val="00D02E00"/>
    <w:rsid w:val="00D03260"/>
    <w:rsid w:val="00D04016"/>
    <w:rsid w:val="00D0487E"/>
    <w:rsid w:val="00D04C9A"/>
    <w:rsid w:val="00D06C0F"/>
    <w:rsid w:val="00D10860"/>
    <w:rsid w:val="00D11208"/>
    <w:rsid w:val="00D120AD"/>
    <w:rsid w:val="00D1279C"/>
    <w:rsid w:val="00D140AF"/>
    <w:rsid w:val="00D14B8C"/>
    <w:rsid w:val="00D164A0"/>
    <w:rsid w:val="00D1739E"/>
    <w:rsid w:val="00D20576"/>
    <w:rsid w:val="00D222D9"/>
    <w:rsid w:val="00D22E9C"/>
    <w:rsid w:val="00D23509"/>
    <w:rsid w:val="00D24D11"/>
    <w:rsid w:val="00D2560C"/>
    <w:rsid w:val="00D2645C"/>
    <w:rsid w:val="00D272AE"/>
    <w:rsid w:val="00D2755A"/>
    <w:rsid w:val="00D27D61"/>
    <w:rsid w:val="00D30550"/>
    <w:rsid w:val="00D30A4D"/>
    <w:rsid w:val="00D3164A"/>
    <w:rsid w:val="00D31DC5"/>
    <w:rsid w:val="00D336FF"/>
    <w:rsid w:val="00D33792"/>
    <w:rsid w:val="00D34B34"/>
    <w:rsid w:val="00D35216"/>
    <w:rsid w:val="00D364B1"/>
    <w:rsid w:val="00D3755E"/>
    <w:rsid w:val="00D4028B"/>
    <w:rsid w:val="00D40386"/>
    <w:rsid w:val="00D405CB"/>
    <w:rsid w:val="00D405DA"/>
    <w:rsid w:val="00D406D7"/>
    <w:rsid w:val="00D40748"/>
    <w:rsid w:val="00D4130D"/>
    <w:rsid w:val="00D41B4B"/>
    <w:rsid w:val="00D41BA2"/>
    <w:rsid w:val="00D432D9"/>
    <w:rsid w:val="00D4424C"/>
    <w:rsid w:val="00D44849"/>
    <w:rsid w:val="00D45370"/>
    <w:rsid w:val="00D45516"/>
    <w:rsid w:val="00D45A23"/>
    <w:rsid w:val="00D45F5E"/>
    <w:rsid w:val="00D465C7"/>
    <w:rsid w:val="00D46634"/>
    <w:rsid w:val="00D46644"/>
    <w:rsid w:val="00D469D6"/>
    <w:rsid w:val="00D50BC0"/>
    <w:rsid w:val="00D50D27"/>
    <w:rsid w:val="00D513AC"/>
    <w:rsid w:val="00D529E8"/>
    <w:rsid w:val="00D52F4D"/>
    <w:rsid w:val="00D53130"/>
    <w:rsid w:val="00D53205"/>
    <w:rsid w:val="00D532E1"/>
    <w:rsid w:val="00D545CC"/>
    <w:rsid w:val="00D54DCE"/>
    <w:rsid w:val="00D54E77"/>
    <w:rsid w:val="00D5707E"/>
    <w:rsid w:val="00D57538"/>
    <w:rsid w:val="00D60456"/>
    <w:rsid w:val="00D6095A"/>
    <w:rsid w:val="00D61304"/>
    <w:rsid w:val="00D6266E"/>
    <w:rsid w:val="00D63212"/>
    <w:rsid w:val="00D63CC1"/>
    <w:rsid w:val="00D6565D"/>
    <w:rsid w:val="00D66CF9"/>
    <w:rsid w:val="00D707CA"/>
    <w:rsid w:val="00D7091E"/>
    <w:rsid w:val="00D70DEF"/>
    <w:rsid w:val="00D73D85"/>
    <w:rsid w:val="00D74DA8"/>
    <w:rsid w:val="00D74E11"/>
    <w:rsid w:val="00D74E94"/>
    <w:rsid w:val="00D75EE6"/>
    <w:rsid w:val="00D77A3E"/>
    <w:rsid w:val="00D8057E"/>
    <w:rsid w:val="00D80BFA"/>
    <w:rsid w:val="00D8143A"/>
    <w:rsid w:val="00D81A29"/>
    <w:rsid w:val="00D82765"/>
    <w:rsid w:val="00D829A5"/>
    <w:rsid w:val="00D83873"/>
    <w:rsid w:val="00D85925"/>
    <w:rsid w:val="00D85B85"/>
    <w:rsid w:val="00D86FF1"/>
    <w:rsid w:val="00D875DD"/>
    <w:rsid w:val="00D875F4"/>
    <w:rsid w:val="00D87B5C"/>
    <w:rsid w:val="00D909E1"/>
    <w:rsid w:val="00D91E57"/>
    <w:rsid w:val="00D922A9"/>
    <w:rsid w:val="00D92C36"/>
    <w:rsid w:val="00D93C2E"/>
    <w:rsid w:val="00D944F5"/>
    <w:rsid w:val="00D94D8E"/>
    <w:rsid w:val="00D94DEB"/>
    <w:rsid w:val="00D94F8B"/>
    <w:rsid w:val="00D9545A"/>
    <w:rsid w:val="00D95652"/>
    <w:rsid w:val="00D95A9E"/>
    <w:rsid w:val="00D95C7C"/>
    <w:rsid w:val="00D95EA6"/>
    <w:rsid w:val="00D9662D"/>
    <w:rsid w:val="00D96E21"/>
    <w:rsid w:val="00D96FDB"/>
    <w:rsid w:val="00D9746A"/>
    <w:rsid w:val="00DA0091"/>
    <w:rsid w:val="00DA0BF9"/>
    <w:rsid w:val="00DA117C"/>
    <w:rsid w:val="00DA2063"/>
    <w:rsid w:val="00DA2889"/>
    <w:rsid w:val="00DA3B01"/>
    <w:rsid w:val="00DA5E38"/>
    <w:rsid w:val="00DA5EA5"/>
    <w:rsid w:val="00DA6420"/>
    <w:rsid w:val="00DA71CC"/>
    <w:rsid w:val="00DB0AB1"/>
    <w:rsid w:val="00DB115F"/>
    <w:rsid w:val="00DB16A6"/>
    <w:rsid w:val="00DB4265"/>
    <w:rsid w:val="00DB4792"/>
    <w:rsid w:val="00DB5DE3"/>
    <w:rsid w:val="00DB651E"/>
    <w:rsid w:val="00DB6B69"/>
    <w:rsid w:val="00DB705F"/>
    <w:rsid w:val="00DC1654"/>
    <w:rsid w:val="00DC16CD"/>
    <w:rsid w:val="00DC1AF1"/>
    <w:rsid w:val="00DC2AF8"/>
    <w:rsid w:val="00DC2D59"/>
    <w:rsid w:val="00DC2F4E"/>
    <w:rsid w:val="00DC2FD0"/>
    <w:rsid w:val="00DC479C"/>
    <w:rsid w:val="00DC4A7A"/>
    <w:rsid w:val="00DC4D15"/>
    <w:rsid w:val="00DC4F38"/>
    <w:rsid w:val="00DC54EE"/>
    <w:rsid w:val="00DC5FC7"/>
    <w:rsid w:val="00DC6667"/>
    <w:rsid w:val="00DC6941"/>
    <w:rsid w:val="00DC7021"/>
    <w:rsid w:val="00DC70FF"/>
    <w:rsid w:val="00DC7C7B"/>
    <w:rsid w:val="00DD0AC5"/>
    <w:rsid w:val="00DD1E56"/>
    <w:rsid w:val="00DD24B3"/>
    <w:rsid w:val="00DD29F0"/>
    <w:rsid w:val="00DD2C3F"/>
    <w:rsid w:val="00DD2C64"/>
    <w:rsid w:val="00DD2EB5"/>
    <w:rsid w:val="00DD3B4A"/>
    <w:rsid w:val="00DD442A"/>
    <w:rsid w:val="00DD4580"/>
    <w:rsid w:val="00DD487A"/>
    <w:rsid w:val="00DD4CC5"/>
    <w:rsid w:val="00DD4CE3"/>
    <w:rsid w:val="00DD7757"/>
    <w:rsid w:val="00DD7B9D"/>
    <w:rsid w:val="00DE0F0F"/>
    <w:rsid w:val="00DE1159"/>
    <w:rsid w:val="00DE2913"/>
    <w:rsid w:val="00DE29BC"/>
    <w:rsid w:val="00DE3480"/>
    <w:rsid w:val="00DE397D"/>
    <w:rsid w:val="00DE3C31"/>
    <w:rsid w:val="00DE3F28"/>
    <w:rsid w:val="00DE47B9"/>
    <w:rsid w:val="00DE535E"/>
    <w:rsid w:val="00DE5E2D"/>
    <w:rsid w:val="00DE657E"/>
    <w:rsid w:val="00DE6C41"/>
    <w:rsid w:val="00DE7F25"/>
    <w:rsid w:val="00DF2AE7"/>
    <w:rsid w:val="00DF32F0"/>
    <w:rsid w:val="00DF32F3"/>
    <w:rsid w:val="00DF395C"/>
    <w:rsid w:val="00DF40E8"/>
    <w:rsid w:val="00DF499D"/>
    <w:rsid w:val="00DF5862"/>
    <w:rsid w:val="00DF62C6"/>
    <w:rsid w:val="00DF70CD"/>
    <w:rsid w:val="00DF746A"/>
    <w:rsid w:val="00DF78EE"/>
    <w:rsid w:val="00E0052A"/>
    <w:rsid w:val="00E017FC"/>
    <w:rsid w:val="00E01AB5"/>
    <w:rsid w:val="00E01FAA"/>
    <w:rsid w:val="00E0670A"/>
    <w:rsid w:val="00E073C8"/>
    <w:rsid w:val="00E10B43"/>
    <w:rsid w:val="00E12527"/>
    <w:rsid w:val="00E12A1F"/>
    <w:rsid w:val="00E13C50"/>
    <w:rsid w:val="00E13E05"/>
    <w:rsid w:val="00E15E8B"/>
    <w:rsid w:val="00E21899"/>
    <w:rsid w:val="00E23332"/>
    <w:rsid w:val="00E23A4B"/>
    <w:rsid w:val="00E24D6E"/>
    <w:rsid w:val="00E268D7"/>
    <w:rsid w:val="00E26ECB"/>
    <w:rsid w:val="00E277D4"/>
    <w:rsid w:val="00E27C12"/>
    <w:rsid w:val="00E3039F"/>
    <w:rsid w:val="00E303CA"/>
    <w:rsid w:val="00E317D5"/>
    <w:rsid w:val="00E31DC4"/>
    <w:rsid w:val="00E32EDD"/>
    <w:rsid w:val="00E332EC"/>
    <w:rsid w:val="00E33A7A"/>
    <w:rsid w:val="00E35011"/>
    <w:rsid w:val="00E350AC"/>
    <w:rsid w:val="00E3582A"/>
    <w:rsid w:val="00E36137"/>
    <w:rsid w:val="00E36FB2"/>
    <w:rsid w:val="00E37D7B"/>
    <w:rsid w:val="00E40959"/>
    <w:rsid w:val="00E40CA7"/>
    <w:rsid w:val="00E4162E"/>
    <w:rsid w:val="00E4268A"/>
    <w:rsid w:val="00E43403"/>
    <w:rsid w:val="00E43F71"/>
    <w:rsid w:val="00E47045"/>
    <w:rsid w:val="00E472B5"/>
    <w:rsid w:val="00E477E0"/>
    <w:rsid w:val="00E5053F"/>
    <w:rsid w:val="00E51FC3"/>
    <w:rsid w:val="00E52489"/>
    <w:rsid w:val="00E5269D"/>
    <w:rsid w:val="00E52BC9"/>
    <w:rsid w:val="00E540E5"/>
    <w:rsid w:val="00E5491A"/>
    <w:rsid w:val="00E55293"/>
    <w:rsid w:val="00E554E8"/>
    <w:rsid w:val="00E570C3"/>
    <w:rsid w:val="00E573D8"/>
    <w:rsid w:val="00E61AC7"/>
    <w:rsid w:val="00E62AE3"/>
    <w:rsid w:val="00E635F8"/>
    <w:rsid w:val="00E650DE"/>
    <w:rsid w:val="00E655FF"/>
    <w:rsid w:val="00E65EDD"/>
    <w:rsid w:val="00E66ACB"/>
    <w:rsid w:val="00E6745F"/>
    <w:rsid w:val="00E677C8"/>
    <w:rsid w:val="00E70E4B"/>
    <w:rsid w:val="00E711EC"/>
    <w:rsid w:val="00E716CF"/>
    <w:rsid w:val="00E74E20"/>
    <w:rsid w:val="00E753FA"/>
    <w:rsid w:val="00E75995"/>
    <w:rsid w:val="00E778EB"/>
    <w:rsid w:val="00E8077E"/>
    <w:rsid w:val="00E81E63"/>
    <w:rsid w:val="00E81EB9"/>
    <w:rsid w:val="00E82491"/>
    <w:rsid w:val="00E827E6"/>
    <w:rsid w:val="00E83755"/>
    <w:rsid w:val="00E84C04"/>
    <w:rsid w:val="00E856E0"/>
    <w:rsid w:val="00E85F17"/>
    <w:rsid w:val="00E90DCB"/>
    <w:rsid w:val="00E916CE"/>
    <w:rsid w:val="00E91E23"/>
    <w:rsid w:val="00E92245"/>
    <w:rsid w:val="00E9224D"/>
    <w:rsid w:val="00E924C1"/>
    <w:rsid w:val="00E925CE"/>
    <w:rsid w:val="00E9281B"/>
    <w:rsid w:val="00E93186"/>
    <w:rsid w:val="00E949B9"/>
    <w:rsid w:val="00E94F40"/>
    <w:rsid w:val="00E95510"/>
    <w:rsid w:val="00E95E31"/>
    <w:rsid w:val="00E968FD"/>
    <w:rsid w:val="00E96E15"/>
    <w:rsid w:val="00E96EF6"/>
    <w:rsid w:val="00E97081"/>
    <w:rsid w:val="00EA0CA3"/>
    <w:rsid w:val="00EA0D10"/>
    <w:rsid w:val="00EA2CF5"/>
    <w:rsid w:val="00EA2DFB"/>
    <w:rsid w:val="00EA3735"/>
    <w:rsid w:val="00EA3912"/>
    <w:rsid w:val="00EA48A9"/>
    <w:rsid w:val="00EA4B41"/>
    <w:rsid w:val="00EA51B4"/>
    <w:rsid w:val="00EA5B57"/>
    <w:rsid w:val="00EA635B"/>
    <w:rsid w:val="00EA7369"/>
    <w:rsid w:val="00EB0608"/>
    <w:rsid w:val="00EB0BFA"/>
    <w:rsid w:val="00EB11EC"/>
    <w:rsid w:val="00EB1773"/>
    <w:rsid w:val="00EB33F5"/>
    <w:rsid w:val="00EB3A2F"/>
    <w:rsid w:val="00EB47F8"/>
    <w:rsid w:val="00EB4D20"/>
    <w:rsid w:val="00EB5A69"/>
    <w:rsid w:val="00EB5F4C"/>
    <w:rsid w:val="00EB69D1"/>
    <w:rsid w:val="00EB73DC"/>
    <w:rsid w:val="00EB7D63"/>
    <w:rsid w:val="00EB7FEC"/>
    <w:rsid w:val="00EC03DF"/>
    <w:rsid w:val="00EC06B5"/>
    <w:rsid w:val="00EC0986"/>
    <w:rsid w:val="00EC3014"/>
    <w:rsid w:val="00EC34F1"/>
    <w:rsid w:val="00EC415A"/>
    <w:rsid w:val="00EC478F"/>
    <w:rsid w:val="00EC4F97"/>
    <w:rsid w:val="00EC527B"/>
    <w:rsid w:val="00EC5336"/>
    <w:rsid w:val="00EC678B"/>
    <w:rsid w:val="00EC6E27"/>
    <w:rsid w:val="00EC6F84"/>
    <w:rsid w:val="00EC7772"/>
    <w:rsid w:val="00EC7BA6"/>
    <w:rsid w:val="00ED00AF"/>
    <w:rsid w:val="00ED1159"/>
    <w:rsid w:val="00ED281A"/>
    <w:rsid w:val="00ED28EB"/>
    <w:rsid w:val="00ED2A43"/>
    <w:rsid w:val="00ED2D1E"/>
    <w:rsid w:val="00ED30F9"/>
    <w:rsid w:val="00ED42A0"/>
    <w:rsid w:val="00ED536D"/>
    <w:rsid w:val="00ED579D"/>
    <w:rsid w:val="00ED5C4F"/>
    <w:rsid w:val="00ED5F00"/>
    <w:rsid w:val="00ED651A"/>
    <w:rsid w:val="00ED71A4"/>
    <w:rsid w:val="00ED79E2"/>
    <w:rsid w:val="00EE0117"/>
    <w:rsid w:val="00EE085A"/>
    <w:rsid w:val="00EE3278"/>
    <w:rsid w:val="00EE3B80"/>
    <w:rsid w:val="00EE546C"/>
    <w:rsid w:val="00EE5D22"/>
    <w:rsid w:val="00EE60FE"/>
    <w:rsid w:val="00EE6ECD"/>
    <w:rsid w:val="00EF04A4"/>
    <w:rsid w:val="00EF2CE6"/>
    <w:rsid w:val="00EF32ED"/>
    <w:rsid w:val="00EF3C6C"/>
    <w:rsid w:val="00EF3F2B"/>
    <w:rsid w:val="00EF4752"/>
    <w:rsid w:val="00EF5149"/>
    <w:rsid w:val="00EF5854"/>
    <w:rsid w:val="00EF5DEF"/>
    <w:rsid w:val="00EF6308"/>
    <w:rsid w:val="00EF7333"/>
    <w:rsid w:val="00EF78F6"/>
    <w:rsid w:val="00F0024A"/>
    <w:rsid w:val="00F003D0"/>
    <w:rsid w:val="00F00B25"/>
    <w:rsid w:val="00F02B28"/>
    <w:rsid w:val="00F03602"/>
    <w:rsid w:val="00F03D6C"/>
    <w:rsid w:val="00F04107"/>
    <w:rsid w:val="00F044B1"/>
    <w:rsid w:val="00F045D6"/>
    <w:rsid w:val="00F05047"/>
    <w:rsid w:val="00F05CDD"/>
    <w:rsid w:val="00F06150"/>
    <w:rsid w:val="00F065DD"/>
    <w:rsid w:val="00F10BA0"/>
    <w:rsid w:val="00F1131D"/>
    <w:rsid w:val="00F11A65"/>
    <w:rsid w:val="00F12282"/>
    <w:rsid w:val="00F12AEA"/>
    <w:rsid w:val="00F1439B"/>
    <w:rsid w:val="00F16E0B"/>
    <w:rsid w:val="00F17291"/>
    <w:rsid w:val="00F176EC"/>
    <w:rsid w:val="00F1795F"/>
    <w:rsid w:val="00F17BE7"/>
    <w:rsid w:val="00F20118"/>
    <w:rsid w:val="00F20A90"/>
    <w:rsid w:val="00F21CE0"/>
    <w:rsid w:val="00F21FAF"/>
    <w:rsid w:val="00F235C5"/>
    <w:rsid w:val="00F245F1"/>
    <w:rsid w:val="00F26989"/>
    <w:rsid w:val="00F27D5A"/>
    <w:rsid w:val="00F27FA6"/>
    <w:rsid w:val="00F3073E"/>
    <w:rsid w:val="00F31888"/>
    <w:rsid w:val="00F31B77"/>
    <w:rsid w:val="00F32259"/>
    <w:rsid w:val="00F329A6"/>
    <w:rsid w:val="00F34060"/>
    <w:rsid w:val="00F34C76"/>
    <w:rsid w:val="00F35092"/>
    <w:rsid w:val="00F3606A"/>
    <w:rsid w:val="00F362D0"/>
    <w:rsid w:val="00F3676C"/>
    <w:rsid w:val="00F37F8B"/>
    <w:rsid w:val="00F403FA"/>
    <w:rsid w:val="00F4059B"/>
    <w:rsid w:val="00F406D6"/>
    <w:rsid w:val="00F40844"/>
    <w:rsid w:val="00F40960"/>
    <w:rsid w:val="00F414D6"/>
    <w:rsid w:val="00F42614"/>
    <w:rsid w:val="00F42786"/>
    <w:rsid w:val="00F42FED"/>
    <w:rsid w:val="00F44FEB"/>
    <w:rsid w:val="00F46901"/>
    <w:rsid w:val="00F46BCD"/>
    <w:rsid w:val="00F4789A"/>
    <w:rsid w:val="00F47B7B"/>
    <w:rsid w:val="00F523D2"/>
    <w:rsid w:val="00F524B1"/>
    <w:rsid w:val="00F52DFE"/>
    <w:rsid w:val="00F53E3E"/>
    <w:rsid w:val="00F54171"/>
    <w:rsid w:val="00F545D0"/>
    <w:rsid w:val="00F547BA"/>
    <w:rsid w:val="00F549A9"/>
    <w:rsid w:val="00F54EED"/>
    <w:rsid w:val="00F550E3"/>
    <w:rsid w:val="00F5526C"/>
    <w:rsid w:val="00F55A7E"/>
    <w:rsid w:val="00F5725D"/>
    <w:rsid w:val="00F57454"/>
    <w:rsid w:val="00F5764D"/>
    <w:rsid w:val="00F60554"/>
    <w:rsid w:val="00F612AF"/>
    <w:rsid w:val="00F61C5E"/>
    <w:rsid w:val="00F61D35"/>
    <w:rsid w:val="00F62020"/>
    <w:rsid w:val="00F62AB8"/>
    <w:rsid w:val="00F64177"/>
    <w:rsid w:val="00F648B0"/>
    <w:rsid w:val="00F64B60"/>
    <w:rsid w:val="00F6506B"/>
    <w:rsid w:val="00F6577D"/>
    <w:rsid w:val="00F66A91"/>
    <w:rsid w:val="00F679A0"/>
    <w:rsid w:val="00F67BE6"/>
    <w:rsid w:val="00F71119"/>
    <w:rsid w:val="00F712F3"/>
    <w:rsid w:val="00F72472"/>
    <w:rsid w:val="00F727EC"/>
    <w:rsid w:val="00F72CA0"/>
    <w:rsid w:val="00F741E1"/>
    <w:rsid w:val="00F74A1B"/>
    <w:rsid w:val="00F750BC"/>
    <w:rsid w:val="00F758D8"/>
    <w:rsid w:val="00F75AF2"/>
    <w:rsid w:val="00F7640C"/>
    <w:rsid w:val="00F77A78"/>
    <w:rsid w:val="00F77C2B"/>
    <w:rsid w:val="00F77F88"/>
    <w:rsid w:val="00F80140"/>
    <w:rsid w:val="00F8054D"/>
    <w:rsid w:val="00F80812"/>
    <w:rsid w:val="00F8167D"/>
    <w:rsid w:val="00F81FD4"/>
    <w:rsid w:val="00F828CE"/>
    <w:rsid w:val="00F82B19"/>
    <w:rsid w:val="00F82B93"/>
    <w:rsid w:val="00F82E80"/>
    <w:rsid w:val="00F8337C"/>
    <w:rsid w:val="00F84EA0"/>
    <w:rsid w:val="00F8515F"/>
    <w:rsid w:val="00F85FB7"/>
    <w:rsid w:val="00F86176"/>
    <w:rsid w:val="00F87C1E"/>
    <w:rsid w:val="00F900E4"/>
    <w:rsid w:val="00F91C50"/>
    <w:rsid w:val="00F92BD9"/>
    <w:rsid w:val="00F92C0E"/>
    <w:rsid w:val="00F9315E"/>
    <w:rsid w:val="00F94087"/>
    <w:rsid w:val="00F9535B"/>
    <w:rsid w:val="00F960CE"/>
    <w:rsid w:val="00F9636E"/>
    <w:rsid w:val="00F967CC"/>
    <w:rsid w:val="00F975C1"/>
    <w:rsid w:val="00F97734"/>
    <w:rsid w:val="00FA02B2"/>
    <w:rsid w:val="00FA0AE3"/>
    <w:rsid w:val="00FA0B06"/>
    <w:rsid w:val="00FA1828"/>
    <w:rsid w:val="00FA23CD"/>
    <w:rsid w:val="00FA2E84"/>
    <w:rsid w:val="00FA2EB3"/>
    <w:rsid w:val="00FA3242"/>
    <w:rsid w:val="00FA4070"/>
    <w:rsid w:val="00FA51C6"/>
    <w:rsid w:val="00FA66DE"/>
    <w:rsid w:val="00FA68D4"/>
    <w:rsid w:val="00FA77EC"/>
    <w:rsid w:val="00FB1739"/>
    <w:rsid w:val="00FB1DCD"/>
    <w:rsid w:val="00FB1E1E"/>
    <w:rsid w:val="00FB21EB"/>
    <w:rsid w:val="00FB2B14"/>
    <w:rsid w:val="00FB4625"/>
    <w:rsid w:val="00FB5170"/>
    <w:rsid w:val="00FB6D23"/>
    <w:rsid w:val="00FB75C5"/>
    <w:rsid w:val="00FC0636"/>
    <w:rsid w:val="00FC0B30"/>
    <w:rsid w:val="00FC0C6E"/>
    <w:rsid w:val="00FC0E3B"/>
    <w:rsid w:val="00FC0FAD"/>
    <w:rsid w:val="00FC1066"/>
    <w:rsid w:val="00FC1D42"/>
    <w:rsid w:val="00FC2E66"/>
    <w:rsid w:val="00FC3807"/>
    <w:rsid w:val="00FC384D"/>
    <w:rsid w:val="00FC3C84"/>
    <w:rsid w:val="00FC523D"/>
    <w:rsid w:val="00FC5674"/>
    <w:rsid w:val="00FC58A4"/>
    <w:rsid w:val="00FC60E2"/>
    <w:rsid w:val="00FC64D3"/>
    <w:rsid w:val="00FC6594"/>
    <w:rsid w:val="00FD0F18"/>
    <w:rsid w:val="00FD2CF1"/>
    <w:rsid w:val="00FD3032"/>
    <w:rsid w:val="00FD3A9C"/>
    <w:rsid w:val="00FD423B"/>
    <w:rsid w:val="00FD4AEE"/>
    <w:rsid w:val="00FD558E"/>
    <w:rsid w:val="00FD577C"/>
    <w:rsid w:val="00FD6818"/>
    <w:rsid w:val="00FD6AA8"/>
    <w:rsid w:val="00FD7A4D"/>
    <w:rsid w:val="00FE0184"/>
    <w:rsid w:val="00FE0BFF"/>
    <w:rsid w:val="00FE212A"/>
    <w:rsid w:val="00FE2BEC"/>
    <w:rsid w:val="00FE2C31"/>
    <w:rsid w:val="00FE3808"/>
    <w:rsid w:val="00FE3E38"/>
    <w:rsid w:val="00FE3EA8"/>
    <w:rsid w:val="00FE4C3A"/>
    <w:rsid w:val="00FE682B"/>
    <w:rsid w:val="00FE7962"/>
    <w:rsid w:val="00FE79E4"/>
    <w:rsid w:val="00FF07AD"/>
    <w:rsid w:val="00FF09A7"/>
    <w:rsid w:val="00FF2220"/>
    <w:rsid w:val="00FF4A18"/>
    <w:rsid w:val="00FF516D"/>
    <w:rsid w:val="00FF5909"/>
    <w:rsid w:val="00FF6B62"/>
    <w:rsid w:val="00FF706B"/>
    <w:rsid w:val="00FF7830"/>
    <w:rsid w:val="00FF7F0C"/>
    <w:rsid w:val="01EA598D"/>
    <w:rsid w:val="096853F1"/>
    <w:rsid w:val="09FF7705"/>
    <w:rsid w:val="0F315225"/>
    <w:rsid w:val="0F74737D"/>
    <w:rsid w:val="14EC6BF7"/>
    <w:rsid w:val="23860BD0"/>
    <w:rsid w:val="23D009B8"/>
    <w:rsid w:val="27655F10"/>
    <w:rsid w:val="2F0166C8"/>
    <w:rsid w:val="31471DD8"/>
    <w:rsid w:val="323C191D"/>
    <w:rsid w:val="35691BBE"/>
    <w:rsid w:val="377D3B38"/>
    <w:rsid w:val="3AF05941"/>
    <w:rsid w:val="3DF76254"/>
    <w:rsid w:val="3E7A6527"/>
    <w:rsid w:val="3EE052AB"/>
    <w:rsid w:val="44934DAE"/>
    <w:rsid w:val="48121145"/>
    <w:rsid w:val="48B57785"/>
    <w:rsid w:val="49C21C81"/>
    <w:rsid w:val="4B0A71E1"/>
    <w:rsid w:val="4C817C02"/>
    <w:rsid w:val="4E7E1A72"/>
    <w:rsid w:val="501B6F55"/>
    <w:rsid w:val="51EC2DFF"/>
    <w:rsid w:val="5D325C01"/>
    <w:rsid w:val="649F5BA7"/>
    <w:rsid w:val="66E96F94"/>
    <w:rsid w:val="6C7A1275"/>
    <w:rsid w:val="73013DC3"/>
    <w:rsid w:val="7BF15CE4"/>
    <w:rsid w:val="7EE82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name="toc 3" w:locked="1"/>
    <w:lsdException w:qFormat="1" w:unhideWhenUsed="0" w:uiPriority="99" w:name="toc 4" w:locked="1"/>
    <w:lsdException w:qFormat="1" w:unhideWhenUsed="0" w:uiPriority="99" w:name="toc 5" w:locked="1"/>
    <w:lsdException w:qFormat="1" w:unhideWhenUsed="0" w:uiPriority="99" w:name="toc 6" w:locked="1"/>
    <w:lsdException w:unhideWhenUsed="0" w:uiPriority="99" w:name="toc 7" w:locked="1"/>
    <w:lsdException w:qFormat="1" w:unhideWhenUsed="0" w:uiPriority="99" w:name="toc 8" w:locked="1"/>
    <w:lsdException w:qFormat="1" w:unhideWhenUsed="0" w:uiPriority="99" w:name="toc 9" w:locked="1"/>
    <w:lsdException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sz w:val="24"/>
      <w:szCs w:val="24"/>
      <w:lang w:val="en-US" w:eastAsia="zh-CN" w:bidi="ar-SA"/>
    </w:rPr>
  </w:style>
  <w:style w:type="paragraph" w:styleId="2">
    <w:name w:val="heading 1"/>
    <w:basedOn w:val="1"/>
    <w:next w:val="1"/>
    <w:link w:val="48"/>
    <w:qFormat/>
    <w:uiPriority w:val="99"/>
    <w:pPr>
      <w:keepNext/>
      <w:spacing w:before="240" w:after="60"/>
      <w:outlineLvl w:val="0"/>
    </w:pPr>
    <w:rPr>
      <w:rFonts w:ascii="Cambria" w:hAnsi="Cambria" w:cs="Times New Roman"/>
      <w:b/>
      <w:bCs/>
      <w:kern w:val="32"/>
      <w:sz w:val="32"/>
      <w:szCs w:val="32"/>
    </w:rPr>
  </w:style>
  <w:style w:type="paragraph" w:styleId="3">
    <w:name w:val="heading 2"/>
    <w:basedOn w:val="1"/>
    <w:next w:val="1"/>
    <w:link w:val="49"/>
    <w:qFormat/>
    <w:uiPriority w:val="0"/>
    <w:pPr>
      <w:keepNext/>
      <w:spacing w:before="240" w:after="60"/>
      <w:outlineLvl w:val="1"/>
    </w:pPr>
    <w:rPr>
      <w:rFonts w:ascii="Cambria" w:hAnsi="Cambria" w:cs="Times New Roman"/>
      <w:b/>
      <w:bCs/>
      <w:i/>
      <w:iCs/>
      <w:sz w:val="28"/>
      <w:szCs w:val="28"/>
    </w:rPr>
  </w:style>
  <w:style w:type="paragraph" w:styleId="4">
    <w:name w:val="heading 3"/>
    <w:basedOn w:val="1"/>
    <w:next w:val="1"/>
    <w:link w:val="50"/>
    <w:qFormat/>
    <w:uiPriority w:val="99"/>
    <w:pPr>
      <w:keepNext/>
      <w:spacing w:before="240" w:after="60"/>
      <w:outlineLvl w:val="2"/>
    </w:pPr>
    <w:rPr>
      <w:rFonts w:ascii="Cambria" w:hAnsi="Cambria" w:cs="Times New Roman"/>
      <w:b/>
      <w:bCs/>
      <w:sz w:val="26"/>
      <w:szCs w:val="26"/>
    </w:rPr>
  </w:style>
  <w:style w:type="paragraph" w:styleId="5">
    <w:name w:val="heading 4"/>
    <w:basedOn w:val="1"/>
    <w:next w:val="1"/>
    <w:link w:val="51"/>
    <w:qFormat/>
    <w:uiPriority w:val="99"/>
    <w:pPr>
      <w:keepNext/>
      <w:spacing w:before="240" w:after="60"/>
      <w:outlineLvl w:val="3"/>
    </w:pPr>
    <w:rPr>
      <w:rFonts w:cs="Times New Roman"/>
      <w:b/>
      <w:bCs/>
      <w:sz w:val="28"/>
      <w:szCs w:val="28"/>
    </w:rPr>
  </w:style>
  <w:style w:type="paragraph" w:styleId="6">
    <w:name w:val="heading 5"/>
    <w:basedOn w:val="1"/>
    <w:next w:val="1"/>
    <w:link w:val="52"/>
    <w:qFormat/>
    <w:uiPriority w:val="99"/>
    <w:pPr>
      <w:spacing w:before="240" w:after="60"/>
      <w:outlineLvl w:val="4"/>
    </w:pPr>
    <w:rPr>
      <w:rFonts w:cs="Times New Roman"/>
      <w:b/>
      <w:bCs/>
      <w:i/>
      <w:iCs/>
      <w:sz w:val="26"/>
      <w:szCs w:val="26"/>
    </w:rPr>
  </w:style>
  <w:style w:type="paragraph" w:styleId="7">
    <w:name w:val="heading 6"/>
    <w:basedOn w:val="1"/>
    <w:next w:val="1"/>
    <w:link w:val="53"/>
    <w:qFormat/>
    <w:uiPriority w:val="99"/>
    <w:pPr>
      <w:spacing w:before="240" w:after="60"/>
      <w:outlineLvl w:val="5"/>
    </w:pPr>
    <w:rPr>
      <w:rFonts w:cs="Times New Roman"/>
      <w:b/>
      <w:bCs/>
      <w:sz w:val="20"/>
      <w:szCs w:val="20"/>
    </w:rPr>
  </w:style>
  <w:style w:type="paragraph" w:styleId="8">
    <w:name w:val="heading 7"/>
    <w:basedOn w:val="1"/>
    <w:next w:val="1"/>
    <w:link w:val="54"/>
    <w:qFormat/>
    <w:uiPriority w:val="99"/>
    <w:pPr>
      <w:spacing w:before="240" w:after="60"/>
      <w:outlineLvl w:val="6"/>
    </w:pPr>
    <w:rPr>
      <w:rFonts w:cs="Times New Roman"/>
    </w:rPr>
  </w:style>
  <w:style w:type="paragraph" w:styleId="9">
    <w:name w:val="heading 8"/>
    <w:basedOn w:val="1"/>
    <w:next w:val="1"/>
    <w:link w:val="55"/>
    <w:qFormat/>
    <w:uiPriority w:val="99"/>
    <w:pPr>
      <w:spacing w:before="240" w:after="60"/>
      <w:outlineLvl w:val="7"/>
    </w:pPr>
    <w:rPr>
      <w:rFonts w:cs="Times New Roman"/>
      <w:i/>
      <w:iCs/>
    </w:rPr>
  </w:style>
  <w:style w:type="paragraph" w:styleId="10">
    <w:name w:val="heading 9"/>
    <w:basedOn w:val="1"/>
    <w:next w:val="1"/>
    <w:link w:val="56"/>
    <w:qFormat/>
    <w:uiPriority w:val="99"/>
    <w:pPr>
      <w:spacing w:before="240" w:after="60"/>
      <w:outlineLvl w:val="8"/>
    </w:pPr>
    <w:rPr>
      <w:rFonts w:ascii="Cambria" w:hAnsi="Cambria" w:cs="Times New Roman"/>
      <w:sz w:val="2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locked/>
    <w:uiPriority w:val="99"/>
    <w:pPr>
      <w:ind w:left="1440"/>
    </w:pPr>
    <w:rPr>
      <w:sz w:val="18"/>
      <w:szCs w:val="18"/>
    </w:rPr>
  </w:style>
  <w:style w:type="paragraph" w:styleId="12">
    <w:name w:val="Normal Indent"/>
    <w:basedOn w:val="1"/>
    <w:uiPriority w:val="99"/>
    <w:pPr>
      <w:widowControl w:val="0"/>
      <w:ind w:firstLine="420" w:firstLineChars="200"/>
      <w:jc w:val="both"/>
    </w:pPr>
    <w:rPr>
      <w:rFonts w:ascii="Times New Roman" w:hAnsi="Times New Roman" w:cs="Times New Roman"/>
      <w:kern w:val="2"/>
      <w:sz w:val="21"/>
      <w:szCs w:val="21"/>
    </w:rPr>
  </w:style>
  <w:style w:type="paragraph" w:styleId="13">
    <w:name w:val="caption"/>
    <w:basedOn w:val="1"/>
    <w:next w:val="1"/>
    <w:qFormat/>
    <w:uiPriority w:val="99"/>
    <w:rPr>
      <w:b/>
      <w:bCs/>
      <w:color w:val="2DA2BF"/>
      <w:sz w:val="18"/>
      <w:szCs w:val="18"/>
    </w:rPr>
  </w:style>
  <w:style w:type="paragraph" w:styleId="14">
    <w:name w:val="Document Map"/>
    <w:basedOn w:val="1"/>
    <w:link w:val="57"/>
    <w:semiHidden/>
    <w:qFormat/>
    <w:uiPriority w:val="99"/>
    <w:pPr>
      <w:shd w:val="clear" w:color="auto" w:fill="000080"/>
    </w:pPr>
    <w:rPr>
      <w:rFonts w:ascii="Times New Roman" w:hAnsi="Times New Roman" w:cs="Times New Roman"/>
      <w:sz w:val="2"/>
      <w:szCs w:val="2"/>
    </w:rPr>
  </w:style>
  <w:style w:type="paragraph" w:styleId="15">
    <w:name w:val="annotation text"/>
    <w:basedOn w:val="1"/>
    <w:link w:val="58"/>
    <w:semiHidden/>
    <w:qFormat/>
    <w:uiPriority w:val="99"/>
    <w:rPr>
      <w:rFonts w:cs="Times New Roman"/>
    </w:rPr>
  </w:style>
  <w:style w:type="paragraph" w:styleId="16">
    <w:name w:val="Body Text"/>
    <w:basedOn w:val="1"/>
    <w:link w:val="59"/>
    <w:qFormat/>
    <w:uiPriority w:val="0"/>
    <w:pPr>
      <w:spacing w:after="120"/>
    </w:pPr>
    <w:rPr>
      <w:rFonts w:cs="Times New Roman"/>
    </w:rPr>
  </w:style>
  <w:style w:type="paragraph" w:styleId="17">
    <w:name w:val="Body Text Indent"/>
    <w:basedOn w:val="1"/>
    <w:link w:val="60"/>
    <w:qFormat/>
    <w:uiPriority w:val="0"/>
    <w:pPr>
      <w:spacing w:after="120"/>
      <w:ind w:left="420" w:leftChars="200"/>
    </w:pPr>
    <w:rPr>
      <w:rFonts w:cs="Times New Roman"/>
    </w:rPr>
  </w:style>
  <w:style w:type="paragraph" w:styleId="18">
    <w:name w:val="toc 5"/>
    <w:basedOn w:val="1"/>
    <w:next w:val="1"/>
    <w:semiHidden/>
    <w:qFormat/>
    <w:locked/>
    <w:uiPriority w:val="99"/>
    <w:pPr>
      <w:ind w:left="960"/>
    </w:pPr>
    <w:rPr>
      <w:sz w:val="18"/>
      <w:szCs w:val="18"/>
    </w:rPr>
  </w:style>
  <w:style w:type="paragraph" w:styleId="19">
    <w:name w:val="toc 3"/>
    <w:basedOn w:val="1"/>
    <w:next w:val="1"/>
    <w:semiHidden/>
    <w:qFormat/>
    <w:locked/>
    <w:uiPriority w:val="99"/>
    <w:pPr>
      <w:ind w:left="480"/>
    </w:pPr>
    <w:rPr>
      <w:i/>
      <w:iCs/>
      <w:sz w:val="20"/>
      <w:szCs w:val="20"/>
    </w:rPr>
  </w:style>
  <w:style w:type="paragraph" w:styleId="20">
    <w:name w:val="Plain Text"/>
    <w:basedOn w:val="1"/>
    <w:link w:val="61"/>
    <w:qFormat/>
    <w:uiPriority w:val="99"/>
    <w:pPr>
      <w:widowControl w:val="0"/>
    </w:pPr>
    <w:rPr>
      <w:rFonts w:ascii="Times New Roman" w:hAnsi="Times New Roman" w:eastAsia="楷体_GB2312" w:cs="Times New Roman"/>
      <w:color w:val="002060"/>
      <w:kern w:val="2"/>
      <w:sz w:val="21"/>
      <w:szCs w:val="21"/>
    </w:rPr>
  </w:style>
  <w:style w:type="paragraph" w:styleId="21">
    <w:name w:val="toc 8"/>
    <w:basedOn w:val="1"/>
    <w:next w:val="1"/>
    <w:semiHidden/>
    <w:qFormat/>
    <w:locked/>
    <w:uiPriority w:val="99"/>
    <w:pPr>
      <w:ind w:left="1680"/>
    </w:pPr>
    <w:rPr>
      <w:sz w:val="18"/>
      <w:szCs w:val="18"/>
    </w:rPr>
  </w:style>
  <w:style w:type="paragraph" w:styleId="22">
    <w:name w:val="Date"/>
    <w:basedOn w:val="1"/>
    <w:next w:val="1"/>
    <w:link w:val="62"/>
    <w:qFormat/>
    <w:uiPriority w:val="99"/>
    <w:pPr>
      <w:widowControl w:val="0"/>
      <w:ind w:left="100" w:leftChars="2500"/>
      <w:jc w:val="both"/>
    </w:pPr>
    <w:rPr>
      <w:rFonts w:cs="Times New Roman"/>
    </w:rPr>
  </w:style>
  <w:style w:type="paragraph" w:styleId="23">
    <w:name w:val="Body Text Indent 2"/>
    <w:basedOn w:val="1"/>
    <w:link w:val="63"/>
    <w:qFormat/>
    <w:uiPriority w:val="99"/>
    <w:pPr>
      <w:tabs>
        <w:tab w:val="left" w:pos="850"/>
      </w:tabs>
      <w:autoSpaceDE w:val="0"/>
      <w:autoSpaceDN w:val="0"/>
      <w:adjustRightInd w:val="0"/>
      <w:spacing w:line="400" w:lineRule="exact"/>
      <w:ind w:firstLine="567"/>
      <w:textAlignment w:val="bottom"/>
    </w:pPr>
    <w:rPr>
      <w:rFonts w:cs="Times New Roman"/>
    </w:rPr>
  </w:style>
  <w:style w:type="paragraph" w:styleId="24">
    <w:name w:val="Balloon Text"/>
    <w:basedOn w:val="25"/>
    <w:link w:val="64"/>
    <w:semiHidden/>
    <w:qFormat/>
    <w:uiPriority w:val="99"/>
  </w:style>
  <w:style w:type="paragraph" w:customStyle="1" w:styleId="25">
    <w:name w:val="样式2"/>
    <w:basedOn w:val="15"/>
    <w:next w:val="15"/>
    <w:qFormat/>
    <w:uiPriority w:val="0"/>
  </w:style>
  <w:style w:type="paragraph" w:styleId="26">
    <w:name w:val="footer"/>
    <w:basedOn w:val="1"/>
    <w:link w:val="65"/>
    <w:qFormat/>
    <w:uiPriority w:val="99"/>
    <w:pPr>
      <w:tabs>
        <w:tab w:val="center" w:pos="4153"/>
        <w:tab w:val="right" w:pos="8306"/>
      </w:tabs>
      <w:snapToGrid w:val="0"/>
    </w:pPr>
    <w:rPr>
      <w:rFonts w:cs="Times New Roman"/>
      <w:sz w:val="18"/>
      <w:szCs w:val="18"/>
    </w:rPr>
  </w:style>
  <w:style w:type="paragraph" w:styleId="27">
    <w:name w:val="header"/>
    <w:basedOn w:val="1"/>
    <w:link w:val="66"/>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28">
    <w:name w:val="toc 1"/>
    <w:basedOn w:val="1"/>
    <w:next w:val="1"/>
    <w:link w:val="67"/>
    <w:qFormat/>
    <w:uiPriority w:val="39"/>
    <w:pPr>
      <w:spacing w:before="120" w:after="120"/>
    </w:pPr>
    <w:rPr>
      <w:rFonts w:cs="Times New Roman"/>
      <w:b/>
      <w:bCs/>
      <w:caps/>
      <w:sz w:val="20"/>
      <w:szCs w:val="20"/>
    </w:rPr>
  </w:style>
  <w:style w:type="paragraph" w:styleId="29">
    <w:name w:val="toc 4"/>
    <w:basedOn w:val="1"/>
    <w:next w:val="1"/>
    <w:semiHidden/>
    <w:qFormat/>
    <w:locked/>
    <w:uiPriority w:val="99"/>
    <w:pPr>
      <w:ind w:left="720"/>
    </w:pPr>
    <w:rPr>
      <w:sz w:val="18"/>
      <w:szCs w:val="18"/>
    </w:rPr>
  </w:style>
  <w:style w:type="paragraph" w:styleId="30">
    <w:name w:val="Subtitle"/>
    <w:basedOn w:val="1"/>
    <w:next w:val="1"/>
    <w:link w:val="68"/>
    <w:qFormat/>
    <w:uiPriority w:val="99"/>
    <w:pPr>
      <w:spacing w:after="60"/>
      <w:jc w:val="center"/>
      <w:outlineLvl w:val="1"/>
    </w:pPr>
    <w:rPr>
      <w:rFonts w:ascii="Cambria" w:hAnsi="Cambria" w:cs="Times New Roman"/>
    </w:rPr>
  </w:style>
  <w:style w:type="paragraph" w:styleId="31">
    <w:name w:val="toc 6"/>
    <w:basedOn w:val="1"/>
    <w:next w:val="1"/>
    <w:semiHidden/>
    <w:qFormat/>
    <w:locked/>
    <w:uiPriority w:val="99"/>
    <w:pPr>
      <w:ind w:left="1200"/>
    </w:pPr>
    <w:rPr>
      <w:sz w:val="18"/>
      <w:szCs w:val="18"/>
    </w:rPr>
  </w:style>
  <w:style w:type="paragraph" w:styleId="32">
    <w:name w:val="Body Text Indent 3"/>
    <w:basedOn w:val="1"/>
    <w:link w:val="69"/>
    <w:qFormat/>
    <w:uiPriority w:val="99"/>
    <w:pPr>
      <w:spacing w:after="120"/>
      <w:ind w:left="420" w:leftChars="200"/>
    </w:pPr>
    <w:rPr>
      <w:rFonts w:cs="Times New Roman"/>
      <w:sz w:val="16"/>
      <w:szCs w:val="16"/>
    </w:rPr>
  </w:style>
  <w:style w:type="paragraph" w:styleId="33">
    <w:name w:val="toc 2"/>
    <w:basedOn w:val="1"/>
    <w:next w:val="1"/>
    <w:qFormat/>
    <w:uiPriority w:val="39"/>
    <w:pPr>
      <w:ind w:left="240"/>
    </w:pPr>
    <w:rPr>
      <w:smallCaps/>
      <w:sz w:val="20"/>
      <w:szCs w:val="20"/>
    </w:rPr>
  </w:style>
  <w:style w:type="paragraph" w:styleId="34">
    <w:name w:val="toc 9"/>
    <w:basedOn w:val="1"/>
    <w:next w:val="1"/>
    <w:semiHidden/>
    <w:qFormat/>
    <w:locked/>
    <w:uiPriority w:val="99"/>
    <w:pPr>
      <w:ind w:left="1920"/>
    </w:pPr>
    <w:rPr>
      <w:sz w:val="18"/>
      <w:szCs w:val="18"/>
    </w:rPr>
  </w:style>
  <w:style w:type="paragraph" w:styleId="35">
    <w:name w:val="Body Text 2"/>
    <w:basedOn w:val="1"/>
    <w:link w:val="70"/>
    <w:qFormat/>
    <w:uiPriority w:val="99"/>
    <w:pPr>
      <w:widowControl w:val="0"/>
      <w:spacing w:before="60" w:after="60" w:line="360" w:lineRule="auto"/>
      <w:jc w:val="center"/>
    </w:pPr>
    <w:rPr>
      <w:rFonts w:cs="Times New Roman"/>
    </w:rPr>
  </w:style>
  <w:style w:type="paragraph" w:styleId="36">
    <w:name w:val="Normal (Web)"/>
    <w:basedOn w:val="1"/>
    <w:qFormat/>
    <w:uiPriority w:val="99"/>
    <w:pPr>
      <w:spacing w:before="100" w:beforeAutospacing="1" w:after="100" w:afterAutospacing="1"/>
    </w:pPr>
    <w:rPr>
      <w:rFonts w:ascii="Arial Unicode MS" w:hAnsi="Arial Unicode MS" w:eastAsia="Arial Unicode MS" w:cs="Arial Unicode MS"/>
    </w:rPr>
  </w:style>
  <w:style w:type="paragraph" w:styleId="37">
    <w:name w:val="Title"/>
    <w:basedOn w:val="1"/>
    <w:next w:val="1"/>
    <w:link w:val="71"/>
    <w:qFormat/>
    <w:uiPriority w:val="0"/>
    <w:pPr>
      <w:spacing w:before="240" w:after="60"/>
      <w:jc w:val="center"/>
      <w:outlineLvl w:val="0"/>
    </w:pPr>
    <w:rPr>
      <w:rFonts w:ascii="Cambria" w:hAnsi="Cambria" w:cs="Times New Roman"/>
      <w:b/>
      <w:bCs/>
      <w:kern w:val="28"/>
      <w:sz w:val="32"/>
      <w:szCs w:val="32"/>
    </w:rPr>
  </w:style>
  <w:style w:type="paragraph" w:styleId="38">
    <w:name w:val="annotation subject"/>
    <w:basedOn w:val="15"/>
    <w:next w:val="15"/>
    <w:link w:val="72"/>
    <w:semiHidden/>
    <w:qFormat/>
    <w:uiPriority w:val="99"/>
    <w:rPr>
      <w:b/>
      <w:bCs/>
    </w:rPr>
  </w:style>
  <w:style w:type="table" w:styleId="40">
    <w:name w:val="Table Grid"/>
    <w:basedOn w:val="39"/>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99"/>
    <w:rPr>
      <w:b/>
      <w:bCs/>
    </w:rPr>
  </w:style>
  <w:style w:type="character" w:styleId="43">
    <w:name w:val="page number"/>
    <w:basedOn w:val="41"/>
    <w:qFormat/>
    <w:uiPriority w:val="99"/>
  </w:style>
  <w:style w:type="character" w:styleId="44">
    <w:name w:val="FollowedHyperlink"/>
    <w:qFormat/>
    <w:uiPriority w:val="99"/>
    <w:rPr>
      <w:color w:val="800080"/>
      <w:u w:val="single"/>
    </w:rPr>
  </w:style>
  <w:style w:type="character" w:styleId="45">
    <w:name w:val="Emphasis"/>
    <w:qFormat/>
    <w:uiPriority w:val="99"/>
    <w:rPr>
      <w:rFonts w:ascii="Calibri" w:hAnsi="Calibri" w:cs="Calibri"/>
      <w:b/>
      <w:bCs/>
      <w:i/>
      <w:iCs/>
    </w:rPr>
  </w:style>
  <w:style w:type="character" w:styleId="46">
    <w:name w:val="Hyperlink"/>
    <w:uiPriority w:val="99"/>
    <w:rPr>
      <w:color w:val="0000FF"/>
      <w:u w:val="single"/>
    </w:rPr>
  </w:style>
  <w:style w:type="character" w:styleId="47">
    <w:name w:val="annotation reference"/>
    <w:semiHidden/>
    <w:qFormat/>
    <w:uiPriority w:val="99"/>
    <w:rPr>
      <w:sz w:val="21"/>
      <w:szCs w:val="21"/>
    </w:rPr>
  </w:style>
  <w:style w:type="character" w:customStyle="1" w:styleId="48">
    <w:name w:val="标题 1 字符"/>
    <w:link w:val="2"/>
    <w:qFormat/>
    <w:locked/>
    <w:uiPriority w:val="99"/>
    <w:rPr>
      <w:rFonts w:ascii="Cambria" w:hAnsi="Cambria" w:eastAsia="宋体" w:cs="Cambria"/>
      <w:b/>
      <w:bCs/>
      <w:kern w:val="32"/>
      <w:sz w:val="32"/>
      <w:szCs w:val="32"/>
    </w:rPr>
  </w:style>
  <w:style w:type="character" w:customStyle="1" w:styleId="49">
    <w:name w:val="标题 2 字符"/>
    <w:link w:val="3"/>
    <w:qFormat/>
    <w:locked/>
    <w:uiPriority w:val="0"/>
    <w:rPr>
      <w:rFonts w:ascii="Cambria" w:hAnsi="Cambria" w:eastAsia="宋体" w:cs="Cambria"/>
      <w:b/>
      <w:bCs/>
      <w:i/>
      <w:iCs/>
      <w:sz w:val="28"/>
      <w:szCs w:val="28"/>
    </w:rPr>
  </w:style>
  <w:style w:type="character" w:customStyle="1" w:styleId="50">
    <w:name w:val="标题 3 字符"/>
    <w:link w:val="4"/>
    <w:semiHidden/>
    <w:qFormat/>
    <w:locked/>
    <w:uiPriority w:val="99"/>
    <w:rPr>
      <w:rFonts w:ascii="Cambria" w:hAnsi="Cambria" w:eastAsia="宋体" w:cs="Cambria"/>
      <w:b/>
      <w:bCs/>
      <w:sz w:val="26"/>
      <w:szCs w:val="26"/>
    </w:rPr>
  </w:style>
  <w:style w:type="character" w:customStyle="1" w:styleId="51">
    <w:name w:val="标题 4 字符"/>
    <w:link w:val="5"/>
    <w:semiHidden/>
    <w:qFormat/>
    <w:locked/>
    <w:uiPriority w:val="99"/>
    <w:rPr>
      <w:b/>
      <w:bCs/>
      <w:sz w:val="28"/>
      <w:szCs w:val="28"/>
    </w:rPr>
  </w:style>
  <w:style w:type="character" w:customStyle="1" w:styleId="52">
    <w:name w:val="标题 5 字符"/>
    <w:link w:val="6"/>
    <w:semiHidden/>
    <w:qFormat/>
    <w:locked/>
    <w:uiPriority w:val="99"/>
    <w:rPr>
      <w:b/>
      <w:bCs/>
      <w:i/>
      <w:iCs/>
      <w:sz w:val="26"/>
      <w:szCs w:val="26"/>
    </w:rPr>
  </w:style>
  <w:style w:type="character" w:customStyle="1" w:styleId="53">
    <w:name w:val="标题 6 字符"/>
    <w:link w:val="7"/>
    <w:semiHidden/>
    <w:qFormat/>
    <w:locked/>
    <w:uiPriority w:val="99"/>
    <w:rPr>
      <w:b/>
      <w:bCs/>
    </w:rPr>
  </w:style>
  <w:style w:type="character" w:customStyle="1" w:styleId="54">
    <w:name w:val="标题 7 字符"/>
    <w:link w:val="8"/>
    <w:semiHidden/>
    <w:qFormat/>
    <w:locked/>
    <w:uiPriority w:val="99"/>
    <w:rPr>
      <w:sz w:val="24"/>
      <w:szCs w:val="24"/>
    </w:rPr>
  </w:style>
  <w:style w:type="character" w:customStyle="1" w:styleId="55">
    <w:name w:val="标题 8 字符"/>
    <w:link w:val="9"/>
    <w:semiHidden/>
    <w:qFormat/>
    <w:locked/>
    <w:uiPriority w:val="99"/>
    <w:rPr>
      <w:i/>
      <w:iCs/>
      <w:sz w:val="24"/>
      <w:szCs w:val="24"/>
    </w:rPr>
  </w:style>
  <w:style w:type="character" w:customStyle="1" w:styleId="56">
    <w:name w:val="标题 9 字符"/>
    <w:link w:val="10"/>
    <w:semiHidden/>
    <w:qFormat/>
    <w:locked/>
    <w:uiPriority w:val="99"/>
    <w:rPr>
      <w:rFonts w:ascii="Cambria" w:hAnsi="Cambria" w:eastAsia="宋体" w:cs="Cambria"/>
    </w:rPr>
  </w:style>
  <w:style w:type="character" w:customStyle="1" w:styleId="57">
    <w:name w:val="文档结构图 字符"/>
    <w:link w:val="14"/>
    <w:semiHidden/>
    <w:qFormat/>
    <w:locked/>
    <w:uiPriority w:val="99"/>
    <w:rPr>
      <w:rFonts w:ascii="Times New Roman" w:hAnsi="Times New Roman" w:cs="Times New Roman"/>
      <w:kern w:val="0"/>
      <w:sz w:val="2"/>
      <w:szCs w:val="2"/>
    </w:rPr>
  </w:style>
  <w:style w:type="character" w:customStyle="1" w:styleId="58">
    <w:name w:val="批注文字 字符"/>
    <w:link w:val="15"/>
    <w:semiHidden/>
    <w:qFormat/>
    <w:locked/>
    <w:uiPriority w:val="99"/>
    <w:rPr>
      <w:kern w:val="0"/>
      <w:sz w:val="24"/>
      <w:szCs w:val="24"/>
    </w:rPr>
  </w:style>
  <w:style w:type="character" w:customStyle="1" w:styleId="59">
    <w:name w:val="正文文本 字符"/>
    <w:link w:val="16"/>
    <w:qFormat/>
    <w:locked/>
    <w:uiPriority w:val="0"/>
    <w:rPr>
      <w:sz w:val="24"/>
      <w:szCs w:val="24"/>
    </w:rPr>
  </w:style>
  <w:style w:type="character" w:customStyle="1" w:styleId="60">
    <w:name w:val="正文文本缩进 字符"/>
    <w:link w:val="17"/>
    <w:semiHidden/>
    <w:qFormat/>
    <w:locked/>
    <w:uiPriority w:val="0"/>
    <w:rPr>
      <w:kern w:val="0"/>
      <w:sz w:val="24"/>
      <w:szCs w:val="24"/>
    </w:rPr>
  </w:style>
  <w:style w:type="character" w:customStyle="1" w:styleId="61">
    <w:name w:val="纯文本 字符"/>
    <w:link w:val="20"/>
    <w:qFormat/>
    <w:locked/>
    <w:uiPriority w:val="99"/>
    <w:rPr>
      <w:rFonts w:ascii="Times New Roman" w:hAnsi="Times New Roman" w:eastAsia="楷体_GB2312" w:cs="Times New Roman"/>
      <w:color w:val="002060"/>
      <w:kern w:val="2"/>
      <w:sz w:val="21"/>
      <w:szCs w:val="21"/>
    </w:rPr>
  </w:style>
  <w:style w:type="character" w:customStyle="1" w:styleId="62">
    <w:name w:val="日期 字符"/>
    <w:link w:val="22"/>
    <w:semiHidden/>
    <w:qFormat/>
    <w:locked/>
    <w:uiPriority w:val="99"/>
    <w:rPr>
      <w:kern w:val="0"/>
      <w:sz w:val="24"/>
      <w:szCs w:val="24"/>
    </w:rPr>
  </w:style>
  <w:style w:type="character" w:customStyle="1" w:styleId="63">
    <w:name w:val="正文文本缩进 2 字符"/>
    <w:link w:val="23"/>
    <w:semiHidden/>
    <w:qFormat/>
    <w:locked/>
    <w:uiPriority w:val="99"/>
    <w:rPr>
      <w:kern w:val="0"/>
      <w:sz w:val="24"/>
      <w:szCs w:val="24"/>
    </w:rPr>
  </w:style>
  <w:style w:type="character" w:customStyle="1" w:styleId="64">
    <w:name w:val="批注框文本 字符"/>
    <w:link w:val="24"/>
    <w:semiHidden/>
    <w:qFormat/>
    <w:locked/>
    <w:uiPriority w:val="99"/>
    <w:rPr>
      <w:sz w:val="24"/>
      <w:szCs w:val="24"/>
    </w:rPr>
  </w:style>
  <w:style w:type="character" w:customStyle="1" w:styleId="65">
    <w:name w:val="页脚 字符"/>
    <w:link w:val="26"/>
    <w:qFormat/>
    <w:locked/>
    <w:uiPriority w:val="99"/>
    <w:rPr>
      <w:kern w:val="0"/>
      <w:sz w:val="18"/>
      <w:szCs w:val="18"/>
    </w:rPr>
  </w:style>
  <w:style w:type="character" w:customStyle="1" w:styleId="66">
    <w:name w:val="页眉 字符"/>
    <w:link w:val="27"/>
    <w:qFormat/>
    <w:locked/>
    <w:uiPriority w:val="99"/>
    <w:rPr>
      <w:sz w:val="18"/>
      <w:szCs w:val="18"/>
    </w:rPr>
  </w:style>
  <w:style w:type="character" w:customStyle="1" w:styleId="67">
    <w:name w:val="目录 1 字符"/>
    <w:link w:val="28"/>
    <w:semiHidden/>
    <w:qFormat/>
    <w:locked/>
    <w:uiPriority w:val="99"/>
    <w:rPr>
      <w:rFonts w:ascii="Calibri" w:hAnsi="Calibri" w:cs="Calibri"/>
      <w:b/>
      <w:bCs/>
      <w:caps/>
    </w:rPr>
  </w:style>
  <w:style w:type="character" w:customStyle="1" w:styleId="68">
    <w:name w:val="副标题 字符"/>
    <w:link w:val="30"/>
    <w:qFormat/>
    <w:locked/>
    <w:uiPriority w:val="99"/>
    <w:rPr>
      <w:rFonts w:ascii="Cambria" w:hAnsi="Cambria" w:eastAsia="宋体" w:cs="Cambria"/>
      <w:sz w:val="24"/>
      <w:szCs w:val="24"/>
    </w:rPr>
  </w:style>
  <w:style w:type="character" w:customStyle="1" w:styleId="69">
    <w:name w:val="正文文本缩进 3 字符"/>
    <w:link w:val="32"/>
    <w:semiHidden/>
    <w:qFormat/>
    <w:locked/>
    <w:uiPriority w:val="99"/>
    <w:rPr>
      <w:kern w:val="0"/>
      <w:sz w:val="16"/>
      <w:szCs w:val="16"/>
    </w:rPr>
  </w:style>
  <w:style w:type="character" w:customStyle="1" w:styleId="70">
    <w:name w:val="正文文本 2 字符"/>
    <w:link w:val="35"/>
    <w:semiHidden/>
    <w:qFormat/>
    <w:locked/>
    <w:uiPriority w:val="99"/>
    <w:rPr>
      <w:kern w:val="0"/>
      <w:sz w:val="24"/>
      <w:szCs w:val="24"/>
    </w:rPr>
  </w:style>
  <w:style w:type="character" w:customStyle="1" w:styleId="71">
    <w:name w:val="标题 字符"/>
    <w:link w:val="37"/>
    <w:qFormat/>
    <w:locked/>
    <w:uiPriority w:val="0"/>
    <w:rPr>
      <w:rFonts w:ascii="Cambria" w:hAnsi="Cambria" w:eastAsia="宋体" w:cs="Cambria"/>
      <w:b/>
      <w:bCs/>
      <w:kern w:val="28"/>
      <w:sz w:val="32"/>
      <w:szCs w:val="32"/>
    </w:rPr>
  </w:style>
  <w:style w:type="character" w:customStyle="1" w:styleId="72">
    <w:name w:val="批注主题 字符"/>
    <w:link w:val="38"/>
    <w:semiHidden/>
    <w:qFormat/>
    <w:locked/>
    <w:uiPriority w:val="99"/>
    <w:rPr>
      <w:b/>
      <w:bCs/>
      <w:kern w:val="0"/>
      <w:sz w:val="24"/>
      <w:szCs w:val="24"/>
    </w:rPr>
  </w:style>
  <w:style w:type="paragraph" w:customStyle="1" w:styleId="73">
    <w:name w:val="Char"/>
    <w:basedOn w:val="1"/>
    <w:semiHidden/>
    <w:qFormat/>
    <w:uiPriority w:val="99"/>
  </w:style>
  <w:style w:type="paragraph" w:customStyle="1" w:styleId="74">
    <w:name w:val="1.1.1.1A"/>
    <w:basedOn w:val="1"/>
    <w:qFormat/>
    <w:uiPriority w:val="99"/>
    <w:pPr>
      <w:tabs>
        <w:tab w:val="left" w:pos="1843"/>
        <w:tab w:val="left" w:pos="26875"/>
      </w:tabs>
      <w:autoSpaceDE w:val="0"/>
      <w:autoSpaceDN w:val="0"/>
      <w:adjustRightInd w:val="0"/>
      <w:spacing w:before="60" w:after="60" w:line="360" w:lineRule="atLeast"/>
      <w:ind w:left="1560" w:hanging="426"/>
    </w:pPr>
    <w:rPr>
      <w:rFonts w:ascii="宋体" w:cs="宋体"/>
    </w:rPr>
  </w:style>
  <w:style w:type="paragraph" w:customStyle="1" w:styleId="75">
    <w:name w:val="(文字) (文字) Char Char (文字) (文字)"/>
    <w:basedOn w:val="1"/>
    <w:qFormat/>
    <w:uiPriority w:val="99"/>
    <w:rPr>
      <w:rFonts w:ascii="Tahoma" w:hAnsi="Tahoma" w:cs="Tahoma"/>
      <w:b/>
      <w:bCs/>
    </w:rPr>
  </w:style>
  <w:style w:type="paragraph" w:customStyle="1" w:styleId="76">
    <w:name w:val="Char1"/>
    <w:basedOn w:val="1"/>
    <w:qFormat/>
    <w:uiPriority w:val="99"/>
    <w:pPr>
      <w:adjustRightInd w:val="0"/>
      <w:spacing w:line="360" w:lineRule="auto"/>
    </w:pPr>
  </w:style>
  <w:style w:type="paragraph" w:styleId="77">
    <w:name w:val="List Paragraph"/>
    <w:basedOn w:val="1"/>
    <w:qFormat/>
    <w:uiPriority w:val="34"/>
    <w:pPr>
      <w:ind w:left="720"/>
    </w:pPr>
  </w:style>
  <w:style w:type="paragraph" w:customStyle="1" w:styleId="78">
    <w:name w:val="_Style 76"/>
    <w:basedOn w:val="2"/>
    <w:next w:val="1"/>
    <w:qFormat/>
    <w:uiPriority w:val="39"/>
    <w:pPr>
      <w:outlineLvl w:val="9"/>
    </w:pPr>
  </w:style>
  <w:style w:type="paragraph" w:styleId="79">
    <w:name w:val="No Spacing"/>
    <w:basedOn w:val="1"/>
    <w:qFormat/>
    <w:uiPriority w:val="99"/>
  </w:style>
  <w:style w:type="paragraph" w:styleId="80">
    <w:name w:val="Quote"/>
    <w:basedOn w:val="1"/>
    <w:next w:val="1"/>
    <w:link w:val="81"/>
    <w:qFormat/>
    <w:uiPriority w:val="99"/>
    <w:rPr>
      <w:rFonts w:cs="Times New Roman"/>
      <w:i/>
      <w:iCs/>
    </w:rPr>
  </w:style>
  <w:style w:type="character" w:customStyle="1" w:styleId="81">
    <w:name w:val="引用 字符"/>
    <w:link w:val="80"/>
    <w:qFormat/>
    <w:locked/>
    <w:uiPriority w:val="99"/>
    <w:rPr>
      <w:i/>
      <w:iCs/>
      <w:sz w:val="24"/>
      <w:szCs w:val="24"/>
    </w:rPr>
  </w:style>
  <w:style w:type="paragraph" w:styleId="82">
    <w:name w:val="Intense Quote"/>
    <w:basedOn w:val="1"/>
    <w:next w:val="1"/>
    <w:link w:val="83"/>
    <w:qFormat/>
    <w:uiPriority w:val="99"/>
    <w:pPr>
      <w:ind w:left="720" w:right="720"/>
    </w:pPr>
    <w:rPr>
      <w:rFonts w:cs="Times New Roman"/>
      <w:b/>
      <w:bCs/>
      <w:i/>
      <w:iCs/>
    </w:rPr>
  </w:style>
  <w:style w:type="character" w:customStyle="1" w:styleId="83">
    <w:name w:val="明显引用 字符"/>
    <w:link w:val="82"/>
    <w:qFormat/>
    <w:locked/>
    <w:uiPriority w:val="99"/>
    <w:rPr>
      <w:b/>
      <w:bCs/>
      <w:i/>
      <w:iCs/>
      <w:sz w:val="24"/>
      <w:szCs w:val="24"/>
    </w:rPr>
  </w:style>
  <w:style w:type="character" w:customStyle="1" w:styleId="84">
    <w:name w:val="_Style 82"/>
    <w:qFormat/>
    <w:uiPriority w:val="99"/>
    <w:rPr>
      <w:i/>
      <w:iCs/>
      <w:color w:val="auto"/>
    </w:rPr>
  </w:style>
  <w:style w:type="character" w:customStyle="1" w:styleId="85">
    <w:name w:val="_Style 83"/>
    <w:qFormat/>
    <w:uiPriority w:val="99"/>
    <w:rPr>
      <w:b/>
      <w:bCs/>
      <w:i/>
      <w:iCs/>
      <w:sz w:val="24"/>
      <w:szCs w:val="24"/>
      <w:u w:val="single"/>
    </w:rPr>
  </w:style>
  <w:style w:type="character" w:customStyle="1" w:styleId="86">
    <w:name w:val="_Style 84"/>
    <w:qFormat/>
    <w:uiPriority w:val="99"/>
    <w:rPr>
      <w:sz w:val="24"/>
      <w:szCs w:val="24"/>
      <w:u w:val="single"/>
    </w:rPr>
  </w:style>
  <w:style w:type="character" w:customStyle="1" w:styleId="87">
    <w:name w:val="_Style 85"/>
    <w:qFormat/>
    <w:uiPriority w:val="99"/>
    <w:rPr>
      <w:b/>
      <w:bCs/>
      <w:sz w:val="24"/>
      <w:szCs w:val="24"/>
      <w:u w:val="single"/>
    </w:rPr>
  </w:style>
  <w:style w:type="character" w:customStyle="1" w:styleId="88">
    <w:name w:val="_Style 86"/>
    <w:qFormat/>
    <w:uiPriority w:val="99"/>
    <w:rPr>
      <w:rFonts w:ascii="Cambria" w:hAnsi="Cambria" w:eastAsia="宋体" w:cs="Cambria"/>
      <w:b/>
      <w:bCs/>
      <w:i/>
      <w:iCs/>
      <w:sz w:val="24"/>
      <w:szCs w:val="24"/>
    </w:rPr>
  </w:style>
  <w:style w:type="character" w:customStyle="1" w:styleId="89">
    <w:name w:val="DeltaView Insertion"/>
    <w:qFormat/>
    <w:uiPriority w:val="99"/>
    <w:rPr>
      <w:color w:val="0000FF"/>
      <w:spacing w:val="0"/>
      <w:u w:val="double"/>
    </w:rPr>
  </w:style>
  <w:style w:type="character" w:customStyle="1" w:styleId="90">
    <w:name w:val="DeltaView Move Destination"/>
    <w:qFormat/>
    <w:uiPriority w:val="99"/>
    <w:rPr>
      <w:color w:val="auto"/>
      <w:spacing w:val="0"/>
      <w:u w:val="double"/>
    </w:rPr>
  </w:style>
  <w:style w:type="character" w:customStyle="1" w:styleId="91">
    <w:name w:val="DeltaView Deletion"/>
    <w:qFormat/>
    <w:uiPriority w:val="99"/>
    <w:rPr>
      <w:strike/>
      <w:color w:val="FF0000"/>
      <w:spacing w:val="0"/>
    </w:rPr>
  </w:style>
  <w:style w:type="paragraph" w:customStyle="1" w:styleId="92">
    <w:name w:val="Heading 11"/>
    <w:basedOn w:val="1"/>
    <w:next w:val="1"/>
    <w:qFormat/>
    <w:uiPriority w:val="99"/>
    <w:pPr>
      <w:keepNext/>
      <w:keepLines/>
      <w:widowControl w:val="0"/>
      <w:autoSpaceDE w:val="0"/>
      <w:autoSpaceDN w:val="0"/>
      <w:adjustRightInd w:val="0"/>
      <w:spacing w:before="340" w:after="330" w:line="578" w:lineRule="auto"/>
      <w:jc w:val="both"/>
      <w:outlineLvl w:val="0"/>
    </w:pPr>
    <w:rPr>
      <w:rFonts w:ascii="Times New Roman" w:hAnsi="Times New Roman" w:cs="Times New Roman"/>
      <w:b/>
      <w:bCs/>
      <w:kern w:val="44"/>
      <w:sz w:val="44"/>
      <w:szCs w:val="44"/>
    </w:rPr>
  </w:style>
  <w:style w:type="character" w:customStyle="1" w:styleId="93">
    <w:name w:val="cjn1"/>
    <w:qFormat/>
    <w:uiPriority w:val="99"/>
    <w:rPr>
      <w:rFonts w:ascii="宋体" w:hAnsi="宋体" w:eastAsia="宋体" w:cs="宋体"/>
      <w:sz w:val="22"/>
      <w:szCs w:val="22"/>
      <w:u w:val="none"/>
    </w:rPr>
  </w:style>
  <w:style w:type="character" w:customStyle="1" w:styleId="94">
    <w:name w:val="bodytext1"/>
    <w:qFormat/>
    <w:uiPriority w:val="99"/>
    <w:rPr>
      <w:rFonts w:ascii="Arial" w:hAnsi="Arial" w:cs="Arial"/>
      <w:color w:val="auto"/>
      <w:sz w:val="18"/>
      <w:szCs w:val="18"/>
      <w:u w:val="none"/>
    </w:rPr>
  </w:style>
  <w:style w:type="paragraph" w:customStyle="1" w:styleId="95">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96">
    <w:name w:val="样式标题2"/>
    <w:basedOn w:val="3"/>
    <w:qFormat/>
    <w:uiPriority w:val="99"/>
    <w:pPr>
      <w:keepLines/>
      <w:widowControl w:val="0"/>
      <w:numPr>
        <w:ilvl w:val="0"/>
        <w:numId w:val="1"/>
      </w:numPr>
      <w:spacing w:before="260" w:after="260" w:line="416" w:lineRule="auto"/>
      <w:jc w:val="center"/>
    </w:pPr>
    <w:rPr>
      <w:rFonts w:ascii="Arial" w:hAnsi="Arial" w:cs="Arial"/>
      <w:i w:val="0"/>
      <w:iCs w:val="0"/>
      <w:kern w:val="2"/>
      <w:sz w:val="24"/>
      <w:szCs w:val="24"/>
    </w:rPr>
  </w:style>
  <w:style w:type="paragraph" w:customStyle="1" w:styleId="97">
    <w:name w:val="_Style 95"/>
    <w:semiHidden/>
    <w:qFormat/>
    <w:uiPriority w:val="99"/>
    <w:rPr>
      <w:rFonts w:ascii="Calibri" w:hAnsi="Calibri" w:eastAsia="宋体" w:cs="Calibri"/>
      <w:sz w:val="24"/>
      <w:szCs w:val="24"/>
      <w:lang w:val="en-US" w:eastAsia="zh-CN" w:bidi="ar-SA"/>
    </w:rPr>
  </w:style>
  <w:style w:type="paragraph" w:customStyle="1" w:styleId="98">
    <w:name w:val="List Paragraph1"/>
    <w:basedOn w:val="1"/>
    <w:qFormat/>
    <w:uiPriority w:val="0"/>
    <w:pPr>
      <w:ind w:left="720"/>
      <w:contextualSpacing/>
    </w:pPr>
    <w:rPr>
      <w:rFonts w:cs="Times New Roman"/>
    </w:rPr>
  </w:style>
  <w:style w:type="paragraph" w:customStyle="1" w:styleId="99">
    <w:name w:val="列出段落1"/>
    <w:basedOn w:val="1"/>
    <w:qFormat/>
    <w:uiPriority w:val="0"/>
    <w:pPr>
      <w:ind w:left="720"/>
      <w:contextualSpacing/>
    </w:pPr>
    <w:rPr>
      <w:rFonts w:cs="Times New Roman"/>
    </w:rPr>
  </w:style>
  <w:style w:type="paragraph" w:customStyle="1" w:styleId="100">
    <w:name w:val="Revision"/>
    <w:hidden/>
    <w:semiHidden/>
    <w:qFormat/>
    <w:uiPriority w:val="99"/>
    <w:rPr>
      <w:rFonts w:ascii="Calibri" w:hAnsi="Calibri" w:eastAsia="宋体" w:cs="Calibri"/>
      <w:sz w:val="24"/>
      <w:szCs w:val="24"/>
      <w:lang w:val="en-US" w:eastAsia="zh-CN" w:bidi="ar-SA"/>
    </w:rPr>
  </w:style>
  <w:style w:type="paragraph" w:customStyle="1" w:styleId="101">
    <w:name w:val="样式1"/>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E5EE3-6FEE-47C6-90BE-C41EA36C35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5742</Words>
  <Characters>32732</Characters>
  <Lines>272</Lines>
  <Paragraphs>76</Paragraphs>
  <TotalTime>0</TotalTime>
  <ScaleCrop>false</ScaleCrop>
  <LinksUpToDate>false</LinksUpToDate>
  <CharactersWithSpaces>38398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2017-10-23T08:09:00Z</dcterms:created>
  <dc:creator>KWM</dc:creator>
  <cp:lastModifiedBy>陈国存</cp:lastModifiedBy>
  <cp:lastPrinted>2023-08-22T08:38:00Z</cp:lastPrinted>
  <dcterms:modified xsi:type="dcterms:W3CDTF">2023-12-29T06:28:27Z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8CAANxNujMFpJiz00bj3fPZcc7ASbun0fRgwzFURTyWVb60BTNT3uvUM0+NGXGc6jg4ueE5FAdUxOHCf_x000d_
jj+7kDXnQzN4q9C2LwwoXsUPxlASRhOeMF3VWUwiS10T0HtSCFgCcq5NrTGh9LoRRjd552aC1pEo_x000d_
mqUSb0B9ZpB3h/gXyptBo6MyE3gm8Q==</vt:lpwstr>
  </property>
  <property fmtid="{D5CDD505-2E9C-101B-9397-08002B2CF9AE}" pid="3" name="RESPONSE_SENDER_NAME">
    <vt:lpwstr>gAAAPWSkli7AR6c1NSX8JxXasSZKTE0Q+hYi</vt:lpwstr>
  </property>
  <property fmtid="{D5CDD505-2E9C-101B-9397-08002B2CF9AE}" pid="4" name="EMAIL_OWNER_ADDRESS">
    <vt:lpwstr>sAAAUYtyAkeNWR4Cs093IjBAP6ZiOSZfXNOZlMTrenbnt1o=</vt:lpwstr>
  </property>
  <property fmtid="{D5CDD505-2E9C-101B-9397-08002B2CF9AE}" pid="5" name="KSOProductBuildVer">
    <vt:lpwstr>2052-11.8.2.12085</vt:lpwstr>
  </property>
  <property fmtid="{D5CDD505-2E9C-101B-9397-08002B2CF9AE}" pid="6" name="ICV">
    <vt:lpwstr>15C6A40965CD408DB7ADB9F362ADD2F6</vt:lpwstr>
  </property>
</Properties>
</file>