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560" w:lineRule="exact"/>
        <w:jc w:val="center"/>
        <w:outlineLvl w:val="0"/>
        <w:rPr>
          <w:rFonts w:ascii="Times New Roman" w:hAnsi="Times New Roman" w:eastAsia="方正小标宋简体" w:cs="Times New Roman"/>
          <w:bCs/>
          <w:kern w:val="44"/>
          <w:sz w:val="44"/>
          <w:szCs w:val="44"/>
        </w:rPr>
      </w:pPr>
      <w:r>
        <w:rPr>
          <w:rFonts w:ascii="Times New Roman" w:hAnsi="Times New Roman" w:eastAsia="方正小标宋简体" w:cs="Times New Roman"/>
          <w:bCs/>
          <w:kern w:val="44"/>
          <w:sz w:val="44"/>
          <w:szCs w:val="44"/>
        </w:rPr>
        <w:t>采办计划公告</w:t>
      </w:r>
    </w:p>
    <w:p>
      <w:pPr>
        <w:spacing w:line="560" w:lineRule="exact"/>
        <w:rPr>
          <w:rFonts w:ascii="Times New Roman" w:hAnsi="Times New Roman" w:eastAsia="等线" w:cs="Times New Roman"/>
          <w:sz w:val="32"/>
        </w:rPr>
      </w:pPr>
    </w:p>
    <w:p>
      <w:pPr>
        <w:tabs>
          <w:tab w:val="left" w:pos="993"/>
          <w:tab w:val="left" w:pos="1134"/>
          <w:tab w:val="left" w:pos="1418"/>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为便于供应商及时了解项目采办信息，现将</w:t>
      </w:r>
      <w:r>
        <w:rPr>
          <w:rFonts w:ascii="Times New Roman" w:hAnsi="Times New Roman" w:eastAsia="仿宋_GB2312" w:cs="Times New Roman"/>
          <w:sz w:val="32"/>
          <w:szCs w:val="32"/>
          <w:u w:val="single"/>
        </w:rPr>
        <w:t>（</w:t>
      </w:r>
      <w:r>
        <w:rPr>
          <w:rFonts w:hint="eastAsia" w:ascii="Times New Roman" w:hAnsi="Times New Roman" w:eastAsia="仿宋_GB2312" w:cs="Times New Roman"/>
          <w:sz w:val="32"/>
          <w:szCs w:val="32"/>
          <w:u w:val="single"/>
          <w:lang w:val="en-US" w:eastAsia="zh-CN"/>
        </w:rPr>
        <w:t>海油发展-湛江区域中心-物流公司湛江地区2026-2029年车辆车载监控维修服务</w:t>
      </w:r>
      <w:r>
        <w:rPr>
          <w:rFonts w:ascii="Times New Roman" w:hAnsi="Times New Roman" w:eastAsia="仿宋_GB2312" w:cs="Times New Roman"/>
          <w:sz w:val="32"/>
          <w:szCs w:val="32"/>
          <w:u w:val="single"/>
        </w:rPr>
        <w:t>）</w:t>
      </w:r>
      <w:r>
        <w:rPr>
          <w:rFonts w:ascii="Times New Roman" w:hAnsi="Times New Roman" w:eastAsia="仿宋_GB2312" w:cs="Times New Roman"/>
          <w:sz w:val="32"/>
          <w:szCs w:val="32"/>
        </w:rPr>
        <w:t>的采办计划公开如下：</w:t>
      </w:r>
    </w:p>
    <w:tbl>
      <w:tblPr>
        <w:tblStyle w:val="9"/>
        <w:tblW w:w="9569"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2234"/>
        <w:gridCol w:w="2040"/>
        <w:gridCol w:w="1665"/>
        <w:gridCol w:w="1965"/>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序号</w:t>
            </w:r>
          </w:p>
        </w:tc>
        <w:tc>
          <w:tcPr>
            <w:tcW w:w="2234"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采办包</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名称</w:t>
            </w:r>
          </w:p>
        </w:tc>
        <w:tc>
          <w:tcPr>
            <w:tcW w:w="2040"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采购范围与主要技术指标</w:t>
            </w:r>
          </w:p>
        </w:tc>
        <w:tc>
          <w:tcPr>
            <w:tcW w:w="166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预计发标时间</w:t>
            </w:r>
          </w:p>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（填写到月）</w:t>
            </w:r>
          </w:p>
        </w:tc>
        <w:tc>
          <w:tcPr>
            <w:tcW w:w="196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供应商资质基本要求</w:t>
            </w:r>
          </w:p>
        </w:tc>
        <w:tc>
          <w:tcPr>
            <w:tcW w:w="1110"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trPr>
        <w:tc>
          <w:tcPr>
            <w:tcW w:w="555" w:type="dxa"/>
            <w:vAlign w:val="center"/>
          </w:tcPr>
          <w:p>
            <w:pPr>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w:t>
            </w:r>
          </w:p>
        </w:tc>
        <w:tc>
          <w:tcPr>
            <w:tcW w:w="2234" w:type="dxa"/>
            <w:vAlign w:val="center"/>
          </w:tcPr>
          <w:p>
            <w:pPr>
              <w:rPr>
                <w:rFonts w:hint="eastAsia" w:ascii="仿宋" w:hAnsi="仿宋" w:eastAsia="仿宋" w:cs="仿宋"/>
                <w:kern w:val="0"/>
                <w:sz w:val="24"/>
                <w:szCs w:val="24"/>
                <w:u w:val="single"/>
              </w:rPr>
            </w:pPr>
            <w:r>
              <w:rPr>
                <w:rFonts w:hint="eastAsia" w:ascii="Times New Roman" w:hAnsi="Times New Roman" w:eastAsia="仿宋_GB2312" w:cs="Times New Roman"/>
                <w:sz w:val="24"/>
                <w:szCs w:val="24"/>
                <w:u w:val="single"/>
                <w:lang w:val="en-US" w:eastAsia="zh-CN"/>
              </w:rPr>
              <w:t>海油发展-湛江区域中心-物流公司湛江地区2026-2029年车辆车载监控维修服务</w:t>
            </w:r>
          </w:p>
        </w:tc>
        <w:tc>
          <w:tcPr>
            <w:tcW w:w="2040" w:type="dxa"/>
            <w:vAlign w:val="center"/>
          </w:tcPr>
          <w:p>
            <w:pPr>
              <w:rPr>
                <w:rFonts w:hint="default" w:ascii="Times New Roman" w:hAnsi="Times New Roman" w:eastAsia="仿宋" w:cs="Times New Roman"/>
                <w:kern w:val="0"/>
                <w:sz w:val="24"/>
                <w:szCs w:val="24"/>
                <w:u w:val="single"/>
                <w:lang w:val="en-US" w:eastAsia="zh-CN"/>
              </w:rPr>
            </w:pPr>
            <w:r>
              <w:rPr>
                <w:rFonts w:hint="eastAsia" w:ascii="Times New Roman" w:hAnsi="Times New Roman" w:eastAsia="仿宋" w:cs="Times New Roman"/>
                <w:kern w:val="0"/>
                <w:sz w:val="24"/>
                <w:szCs w:val="24"/>
                <w:u w:val="single"/>
                <w:lang w:val="en-US" w:eastAsia="zh-CN"/>
              </w:rPr>
              <w:t>见附件1技术文件</w:t>
            </w:r>
          </w:p>
        </w:tc>
        <w:tc>
          <w:tcPr>
            <w:tcW w:w="1665" w:type="dxa"/>
            <w:vAlign w:val="center"/>
          </w:tcPr>
          <w:p>
            <w:pPr>
              <w:rPr>
                <w:rFonts w:ascii="Times New Roman" w:hAnsi="Times New Roman" w:eastAsia="仿宋" w:cs="Times New Roman"/>
                <w:kern w:val="0"/>
                <w:sz w:val="24"/>
                <w:szCs w:val="24"/>
                <w:u w:val="single"/>
              </w:rPr>
            </w:pPr>
            <w:r>
              <w:rPr>
                <w:rFonts w:ascii="Times New Roman" w:hAnsi="Times New Roman" w:eastAsia="仿宋" w:cs="Times New Roman"/>
                <w:kern w:val="0"/>
                <w:sz w:val="24"/>
                <w:szCs w:val="24"/>
                <w:u w:val="single"/>
              </w:rPr>
              <w:t>（</w:t>
            </w:r>
            <w:r>
              <w:rPr>
                <w:rFonts w:hint="eastAsia" w:ascii="Times New Roman" w:hAnsi="Times New Roman" w:eastAsia="仿宋" w:cs="Times New Roman"/>
                <w:kern w:val="0"/>
                <w:sz w:val="24"/>
                <w:szCs w:val="24"/>
                <w:u w:val="single"/>
                <w:lang w:val="en-US" w:eastAsia="zh-CN"/>
              </w:rPr>
              <w:t>2026.6</w:t>
            </w:r>
            <w:r>
              <w:rPr>
                <w:rFonts w:ascii="Times New Roman" w:hAnsi="Times New Roman" w:eastAsia="仿宋" w:cs="Times New Roman"/>
                <w:kern w:val="0"/>
                <w:sz w:val="24"/>
                <w:szCs w:val="24"/>
                <w:u w:val="single"/>
              </w:rPr>
              <w:t>）</w:t>
            </w:r>
          </w:p>
        </w:tc>
        <w:tc>
          <w:tcPr>
            <w:tcW w:w="1965" w:type="dxa"/>
            <w:vAlign w:val="center"/>
          </w:tcPr>
          <w:p>
            <w:pPr>
              <w:rPr>
                <w:rFonts w:hint="eastAsia" w:ascii="Times New Roman" w:hAnsi="Times New Roman" w:eastAsia="仿宋" w:cs="Times New Roman"/>
                <w:kern w:val="0"/>
                <w:sz w:val="24"/>
                <w:szCs w:val="24"/>
                <w:u w:val="single"/>
                <w:lang w:val="en-US" w:eastAsia="zh-CN"/>
              </w:rPr>
            </w:pPr>
            <w:r>
              <w:rPr>
                <w:rFonts w:hint="eastAsia" w:ascii="Times New Roman" w:hAnsi="Times New Roman" w:eastAsia="仿宋" w:cs="Times New Roman"/>
                <w:kern w:val="0"/>
                <w:sz w:val="24"/>
                <w:szCs w:val="24"/>
                <w:u w:val="single"/>
                <w:lang w:val="en-US" w:eastAsia="zh-CN"/>
              </w:rPr>
              <w:t>见附件2.基本要求</w:t>
            </w:r>
          </w:p>
        </w:tc>
        <w:tc>
          <w:tcPr>
            <w:tcW w:w="1110" w:type="dxa"/>
            <w:vAlign w:val="center"/>
          </w:tcPr>
          <w:p>
            <w:pPr>
              <w:rPr>
                <w:rFonts w:ascii="Times New Roman" w:hAnsi="Times New Roman" w:eastAsia="仿宋" w:cs="Times New Roman"/>
                <w:kern w:val="0"/>
                <w:sz w:val="24"/>
                <w:szCs w:val="24"/>
                <w:u w:val="single"/>
              </w:rPr>
            </w:pPr>
          </w:p>
        </w:tc>
      </w:tr>
    </w:tbl>
    <w:p>
      <w:pPr>
        <w:keepNext w:val="0"/>
        <w:keepLines w:val="0"/>
        <w:pageBreakBefore w:val="0"/>
        <w:widowControl w:val="0"/>
        <w:tabs>
          <w:tab w:val="left" w:pos="993"/>
          <w:tab w:val="left" w:pos="1134"/>
          <w:tab w:val="left" w:pos="1418"/>
        </w:tabs>
        <w:kinsoku/>
        <w:wordWrap/>
        <w:overflowPunct/>
        <w:topLinePunct w:val="0"/>
        <w:autoSpaceDE/>
        <w:autoSpaceDN/>
        <w:bidi w:val="0"/>
        <w:adjustRightInd/>
        <w:spacing w:line="240" w:lineRule="auto"/>
        <w:ind w:firstLine="640" w:firstLineChars="200"/>
        <w:textAlignment w:val="auto"/>
        <w:rPr>
          <w:rFonts w:hint="eastAsia" w:ascii="仿宋" w:hAnsi="仿宋" w:eastAsia="仿宋" w:cs="仿宋"/>
          <w:sz w:val="32"/>
          <w:szCs w:val="32"/>
          <w:u w:val="none"/>
        </w:rPr>
      </w:pPr>
      <w:r>
        <w:rPr>
          <w:rFonts w:hint="eastAsia" w:ascii="仿宋" w:hAnsi="仿宋" w:eastAsia="仿宋" w:cs="仿宋"/>
          <w:sz w:val="32"/>
          <w:szCs w:val="32"/>
        </w:rPr>
        <w:t>本次公开的采办计划是本项目采办工作的初步安排，实际采购应以相关采购公告和采购文件为准，所有提供和反馈的信息只作为项目采办参考。</w:t>
      </w:r>
    </w:p>
    <w:p>
      <w:pPr>
        <w:keepNext w:val="0"/>
        <w:keepLines w:val="0"/>
        <w:pageBreakBefore w:val="0"/>
        <w:widowControl w:val="0"/>
        <w:tabs>
          <w:tab w:val="left" w:pos="993"/>
          <w:tab w:val="left" w:pos="1134"/>
          <w:tab w:val="left" w:pos="1418"/>
        </w:tabs>
        <w:kinsoku/>
        <w:wordWrap/>
        <w:overflowPunct/>
        <w:topLinePunct w:val="0"/>
        <w:autoSpaceDE/>
        <w:autoSpaceDN/>
        <w:bidi w:val="0"/>
        <w:adjustRightInd/>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u w:val="none"/>
        </w:rPr>
        <w:t>本次公告有效期是（</w:t>
      </w:r>
      <w:r>
        <w:rPr>
          <w:rFonts w:hint="eastAsia" w:ascii="仿宋" w:hAnsi="仿宋" w:eastAsia="仿宋" w:cs="仿宋"/>
          <w:sz w:val="32"/>
          <w:szCs w:val="32"/>
          <w:u w:val="none"/>
          <w:lang w:val="en-US" w:eastAsia="zh-CN"/>
        </w:rPr>
        <w:t>2026</w:t>
      </w:r>
      <w:r>
        <w:rPr>
          <w:rFonts w:hint="eastAsia" w:ascii="仿宋" w:hAnsi="仿宋" w:eastAsia="仿宋" w:cs="仿宋"/>
          <w:sz w:val="32"/>
          <w:szCs w:val="32"/>
          <w:u w:val="none"/>
        </w:rPr>
        <w:t>年</w:t>
      </w:r>
      <w:r>
        <w:rPr>
          <w:rFonts w:hint="eastAsia" w:ascii="仿宋" w:hAnsi="仿宋" w:eastAsia="仿宋" w:cs="仿宋"/>
          <w:sz w:val="32"/>
          <w:szCs w:val="32"/>
          <w:u w:val="none"/>
          <w:lang w:val="en-US" w:eastAsia="zh-CN"/>
        </w:rPr>
        <w:t>6</w:t>
      </w:r>
      <w:r>
        <w:rPr>
          <w:rFonts w:hint="eastAsia" w:ascii="仿宋" w:hAnsi="仿宋" w:eastAsia="仿宋" w:cs="仿宋"/>
          <w:sz w:val="32"/>
          <w:szCs w:val="32"/>
          <w:u w:val="none"/>
        </w:rPr>
        <w:t>月</w:t>
      </w:r>
      <w:r>
        <w:rPr>
          <w:rFonts w:hint="eastAsia" w:ascii="仿宋" w:hAnsi="仿宋" w:eastAsia="仿宋" w:cs="仿宋"/>
          <w:sz w:val="32"/>
          <w:szCs w:val="32"/>
          <w:u w:val="none"/>
          <w:lang w:val="en-US" w:eastAsia="zh-CN"/>
        </w:rPr>
        <w:t>10</w:t>
      </w:r>
      <w:r>
        <w:rPr>
          <w:rFonts w:hint="eastAsia" w:ascii="仿宋" w:hAnsi="仿宋" w:eastAsia="仿宋" w:cs="仿宋"/>
          <w:sz w:val="32"/>
          <w:szCs w:val="32"/>
        </w:rPr>
        <w:t>日）至（</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6 </w:t>
      </w:r>
      <w:r>
        <w:rPr>
          <w:rFonts w:hint="eastAsia" w:ascii="仿宋" w:hAnsi="仿宋" w:eastAsia="仿宋" w:cs="仿宋"/>
          <w:sz w:val="32"/>
          <w:szCs w:val="32"/>
        </w:rPr>
        <w:t>月</w:t>
      </w:r>
      <w:r>
        <w:rPr>
          <w:rFonts w:hint="eastAsia" w:ascii="仿宋" w:hAnsi="仿宋" w:eastAsia="仿宋" w:cs="仿宋"/>
          <w:sz w:val="32"/>
          <w:szCs w:val="32"/>
          <w:lang w:val="en-US" w:eastAsia="zh-CN"/>
        </w:rPr>
        <w:t>17</w:t>
      </w:r>
      <w:r>
        <w:rPr>
          <w:rFonts w:hint="eastAsia" w:ascii="仿宋" w:hAnsi="仿宋" w:eastAsia="仿宋" w:cs="仿宋"/>
          <w:sz w:val="32"/>
          <w:szCs w:val="32"/>
        </w:rPr>
        <w:t>日）止。在此期间，有意参与某采办包的系统用户可在集团公司采办系统中提交反馈材料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联系方式、营业执照</w:t>
      </w:r>
      <w:r>
        <w:rPr>
          <w:rFonts w:hint="eastAsia" w:ascii="仿宋" w:hAnsi="仿宋" w:eastAsia="仿宋" w:cs="仿宋"/>
          <w:color w:val="auto"/>
          <w:sz w:val="32"/>
          <w:szCs w:val="32"/>
          <w:highlight w:val="none"/>
          <w:lang w:val="en-US" w:eastAsia="zh-CN"/>
        </w:rPr>
        <w:t>、业绩资料</w:t>
      </w:r>
      <w:r>
        <w:rPr>
          <w:rFonts w:hint="eastAsia" w:ascii="仿宋" w:hAnsi="仿宋" w:eastAsia="仿宋" w:cs="仿宋"/>
          <w:color w:val="auto"/>
          <w:sz w:val="32"/>
          <w:szCs w:val="32"/>
          <w:lang w:val="en-US" w:eastAsia="zh-CN"/>
        </w:rPr>
        <w:t>等</w:t>
      </w:r>
      <w:r>
        <w:rPr>
          <w:rFonts w:hint="eastAsia" w:ascii="仿宋" w:hAnsi="仿宋" w:eastAsia="仿宋" w:cs="仿宋"/>
          <w:sz w:val="32"/>
          <w:szCs w:val="32"/>
          <w:lang w:val="en-US" w:eastAsia="zh-CN"/>
        </w:rPr>
        <w:t>）</w:t>
      </w:r>
      <w:bookmarkStart w:id="0" w:name="_GoBack"/>
      <w:bookmarkEnd w:id="0"/>
    </w:p>
    <w:p>
      <w:pPr>
        <w:pStyle w:val="2"/>
        <w:keepNext w:val="0"/>
        <w:keepLines w:val="0"/>
        <w:pageBreakBefore w:val="0"/>
        <w:widowControl w:val="0"/>
        <w:kinsoku/>
        <w:wordWrap/>
        <w:overflowPunct/>
        <w:topLinePunct w:val="0"/>
        <w:autoSpaceDE/>
        <w:autoSpaceDN/>
        <w:bidi w:val="0"/>
        <w:adjustRightInd/>
        <w:spacing w:line="24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如对上述公开内容真实、有效性存疑，请拨打社会监督电话：020-25802262，其他事项不受理。</w:t>
      </w:r>
    </w:p>
    <w:p>
      <w:pPr>
        <w:keepNext w:val="0"/>
        <w:keepLines w:val="0"/>
        <w:pageBreakBefore w:val="0"/>
        <w:widowControl w:val="0"/>
        <w:shd w:val="clear" w:color="auto" w:fill="FFFFFF" w:themeFill="background1"/>
        <w:tabs>
          <w:tab w:val="left" w:pos="993"/>
          <w:tab w:val="left" w:pos="1134"/>
          <w:tab w:val="left" w:pos="1418"/>
        </w:tabs>
        <w:kinsoku/>
        <w:wordWrap/>
        <w:overflowPunct/>
        <w:topLinePunct w:val="0"/>
        <w:autoSpaceDE/>
        <w:autoSpaceDN/>
        <w:bidi w:val="0"/>
        <w:adjustRightInd/>
        <w:spacing w:line="240" w:lineRule="auto"/>
        <w:ind w:left="0" w:leftChars="0" w:right="106" w:righ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联系人：安全锋  电话：0759-3901643</w:t>
      </w:r>
    </w:p>
    <w:p>
      <w:pPr>
        <w:keepNext w:val="0"/>
        <w:keepLines w:val="0"/>
        <w:pageBreakBefore w:val="0"/>
        <w:widowControl w:val="0"/>
        <w:shd w:val="clear" w:color="auto" w:fill="FFFFFF" w:themeFill="background1"/>
        <w:tabs>
          <w:tab w:val="left" w:pos="993"/>
          <w:tab w:val="left" w:pos="1134"/>
          <w:tab w:val="left" w:pos="1418"/>
        </w:tabs>
        <w:kinsoku/>
        <w:wordWrap/>
        <w:overflowPunct/>
        <w:topLinePunct w:val="0"/>
        <w:autoSpaceDE/>
        <w:autoSpaceDN/>
        <w:bidi w:val="0"/>
        <w:adjustRightInd/>
        <w:spacing w:line="240" w:lineRule="auto"/>
        <w:ind w:left="0" w:leftChars="0" w:right="106" w:rightChars="0" w:firstLine="0" w:firstLine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邮箱：anqf@cnooc.com.cn</w:t>
      </w:r>
    </w:p>
    <w:p>
      <w:pPr>
        <w:keepNext w:val="0"/>
        <w:keepLines w:val="0"/>
        <w:pageBreakBefore w:val="0"/>
        <w:widowControl w:val="0"/>
        <w:shd w:val="clear" w:color="auto" w:fill="FFFFFF" w:themeFill="background1"/>
        <w:tabs>
          <w:tab w:val="left" w:pos="993"/>
          <w:tab w:val="left" w:pos="1134"/>
          <w:tab w:val="left" w:pos="1418"/>
        </w:tabs>
        <w:kinsoku/>
        <w:wordWrap/>
        <w:overflowPunct/>
        <w:topLinePunct w:val="0"/>
        <w:autoSpaceDE/>
        <w:autoSpaceDN/>
        <w:bidi w:val="0"/>
        <w:adjustRightInd/>
        <w:spacing w:line="240" w:lineRule="auto"/>
        <w:ind w:right="320" w:firstLine="960" w:firstLineChars="300"/>
        <w:jc w:val="righ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28"/>
          <w:szCs w:val="28"/>
        </w:rPr>
        <w:t>海油发展采办共享</w:t>
      </w:r>
      <w:r>
        <w:rPr>
          <w:rFonts w:hint="eastAsia" w:ascii="仿宋" w:hAnsi="仿宋" w:eastAsia="仿宋" w:cs="仿宋"/>
          <w:sz w:val="28"/>
          <w:szCs w:val="28"/>
          <w:lang w:val="en-US" w:eastAsia="zh-CN"/>
        </w:rPr>
        <w:t>湛江区域</w:t>
      </w:r>
      <w:r>
        <w:rPr>
          <w:rFonts w:hint="eastAsia" w:ascii="仿宋" w:hAnsi="仿宋" w:eastAsia="仿宋" w:cs="仿宋"/>
          <w:sz w:val="28"/>
          <w:szCs w:val="28"/>
        </w:rPr>
        <w:t>中心</w:t>
      </w:r>
      <w:r>
        <w:rPr>
          <w:rFonts w:hint="eastAsia" w:ascii="仿宋" w:hAnsi="仿宋" w:eastAsia="仿宋" w:cs="仿宋"/>
          <w:sz w:val="32"/>
          <w:szCs w:val="32"/>
        </w:rPr>
        <w:t>）</w:t>
      </w:r>
    </w:p>
    <w:p>
      <w:pPr>
        <w:keepNext w:val="0"/>
        <w:keepLines w:val="0"/>
        <w:pageBreakBefore w:val="0"/>
        <w:widowControl w:val="0"/>
        <w:tabs>
          <w:tab w:val="left" w:pos="993"/>
          <w:tab w:val="left" w:pos="1134"/>
          <w:tab w:val="left" w:pos="1418"/>
        </w:tabs>
        <w:kinsoku/>
        <w:wordWrap/>
        <w:overflowPunct/>
        <w:topLinePunct w:val="0"/>
        <w:autoSpaceDE/>
        <w:autoSpaceDN/>
        <w:bidi w:val="0"/>
        <w:adjustRightInd/>
        <w:spacing w:line="240" w:lineRule="auto"/>
        <w:ind w:right="480" w:firstLine="960" w:firstLineChars="300"/>
        <w:jc w:val="right"/>
        <w:textAlignment w:val="auto"/>
        <w:rPr>
          <w:rFonts w:hint="eastAsia" w:ascii="仿宋" w:hAnsi="仿宋" w:eastAsia="仿宋" w:cs="仿宋"/>
          <w:b/>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 xml:space="preserve">年 </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 xml:space="preserve">日  </w:t>
      </w:r>
    </w:p>
    <w:p>
      <w:pPr>
        <w:rPr>
          <w:rFonts w:hint="default" w:eastAsiaTheme="minorEastAsia"/>
          <w:b/>
          <w:bCs/>
          <w:highlight w:val="yellow"/>
          <w:lang w:val="en-US" w:eastAsia="zh-CN"/>
          <w14:textFill>
            <w14:gradFill>
              <w14:gsLst>
                <w14:gs w14:pos="0">
                  <w14:srgbClr w14:val="FE4444"/>
                </w14:gs>
                <w14:gs w14:pos="100000">
                  <w14:srgbClr w14:val="832B2B"/>
                </w14:gs>
              </w14:gsLst>
              <w14:lin w14:scaled="0"/>
            </w14:gra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2E3C4A"/>
    <w:rsid w:val="004029A6"/>
    <w:rsid w:val="00AE20AB"/>
    <w:rsid w:val="00ED277A"/>
    <w:rsid w:val="01EE1DA4"/>
    <w:rsid w:val="02522197"/>
    <w:rsid w:val="027123EC"/>
    <w:rsid w:val="02B90C80"/>
    <w:rsid w:val="03BE1172"/>
    <w:rsid w:val="042277B0"/>
    <w:rsid w:val="04D87301"/>
    <w:rsid w:val="06D26C51"/>
    <w:rsid w:val="0B967990"/>
    <w:rsid w:val="0C2C1586"/>
    <w:rsid w:val="0C30660E"/>
    <w:rsid w:val="0C953DB4"/>
    <w:rsid w:val="0CA02849"/>
    <w:rsid w:val="0EBC5FC0"/>
    <w:rsid w:val="103951CD"/>
    <w:rsid w:val="108424EE"/>
    <w:rsid w:val="11136042"/>
    <w:rsid w:val="114F6627"/>
    <w:rsid w:val="118E427D"/>
    <w:rsid w:val="144F4A07"/>
    <w:rsid w:val="15304CA1"/>
    <w:rsid w:val="161E6A84"/>
    <w:rsid w:val="168009DC"/>
    <w:rsid w:val="168C6BED"/>
    <w:rsid w:val="178606D1"/>
    <w:rsid w:val="17F829A6"/>
    <w:rsid w:val="182F4079"/>
    <w:rsid w:val="18CC0E9A"/>
    <w:rsid w:val="19FC156A"/>
    <w:rsid w:val="1B9A3CD7"/>
    <w:rsid w:val="1D5B508A"/>
    <w:rsid w:val="1DF970BD"/>
    <w:rsid w:val="1DFF4ACE"/>
    <w:rsid w:val="20E0225A"/>
    <w:rsid w:val="21982EC4"/>
    <w:rsid w:val="21CD3307"/>
    <w:rsid w:val="235A5DD0"/>
    <w:rsid w:val="24BF18C1"/>
    <w:rsid w:val="24ED55A4"/>
    <w:rsid w:val="24F12AAA"/>
    <w:rsid w:val="28792077"/>
    <w:rsid w:val="2AA05F3C"/>
    <w:rsid w:val="2AAF75F0"/>
    <w:rsid w:val="2BA11380"/>
    <w:rsid w:val="2BD40761"/>
    <w:rsid w:val="2C0D234B"/>
    <w:rsid w:val="2D384E4F"/>
    <w:rsid w:val="2E974057"/>
    <w:rsid w:val="30CC0834"/>
    <w:rsid w:val="31171DF6"/>
    <w:rsid w:val="32DA3533"/>
    <w:rsid w:val="33103D91"/>
    <w:rsid w:val="33700817"/>
    <w:rsid w:val="33B5740F"/>
    <w:rsid w:val="357F4BEB"/>
    <w:rsid w:val="36E541C7"/>
    <w:rsid w:val="37BF130A"/>
    <w:rsid w:val="38427E29"/>
    <w:rsid w:val="38A47A3D"/>
    <w:rsid w:val="3C8D5D7E"/>
    <w:rsid w:val="3CE13224"/>
    <w:rsid w:val="3D274EB2"/>
    <w:rsid w:val="3D6D04D2"/>
    <w:rsid w:val="3E8E5DC5"/>
    <w:rsid w:val="3FD07AB6"/>
    <w:rsid w:val="401D0B49"/>
    <w:rsid w:val="409D0351"/>
    <w:rsid w:val="41210D6B"/>
    <w:rsid w:val="434E7378"/>
    <w:rsid w:val="43D91FB7"/>
    <w:rsid w:val="443B30FB"/>
    <w:rsid w:val="457074F0"/>
    <w:rsid w:val="46FD09E2"/>
    <w:rsid w:val="49551CDB"/>
    <w:rsid w:val="49786C48"/>
    <w:rsid w:val="49F17862"/>
    <w:rsid w:val="4A15387A"/>
    <w:rsid w:val="4B4154B8"/>
    <w:rsid w:val="4B690A71"/>
    <w:rsid w:val="4B887D8D"/>
    <w:rsid w:val="4F2D074C"/>
    <w:rsid w:val="4F2F23EC"/>
    <w:rsid w:val="500862DC"/>
    <w:rsid w:val="50733927"/>
    <w:rsid w:val="511A73AC"/>
    <w:rsid w:val="51443947"/>
    <w:rsid w:val="52724922"/>
    <w:rsid w:val="539B2DB4"/>
    <w:rsid w:val="546F02FF"/>
    <w:rsid w:val="55624FDC"/>
    <w:rsid w:val="586E74EE"/>
    <w:rsid w:val="59EF1BB9"/>
    <w:rsid w:val="5AB21A17"/>
    <w:rsid w:val="5BF01C97"/>
    <w:rsid w:val="5CB73B2D"/>
    <w:rsid w:val="5D246241"/>
    <w:rsid w:val="5DE93D22"/>
    <w:rsid w:val="5F59641F"/>
    <w:rsid w:val="5F6C7846"/>
    <w:rsid w:val="5FE737DB"/>
    <w:rsid w:val="600E673D"/>
    <w:rsid w:val="648F2416"/>
    <w:rsid w:val="64E67319"/>
    <w:rsid w:val="64F256AC"/>
    <w:rsid w:val="65526949"/>
    <w:rsid w:val="66AC1BDC"/>
    <w:rsid w:val="66E538AB"/>
    <w:rsid w:val="67093670"/>
    <w:rsid w:val="68CE1583"/>
    <w:rsid w:val="692C6AA1"/>
    <w:rsid w:val="694A6680"/>
    <w:rsid w:val="69977CA6"/>
    <w:rsid w:val="699E01AA"/>
    <w:rsid w:val="69CB10A2"/>
    <w:rsid w:val="6A19339F"/>
    <w:rsid w:val="6A9C00F5"/>
    <w:rsid w:val="6C0819DD"/>
    <w:rsid w:val="6C4765BA"/>
    <w:rsid w:val="6CC509FF"/>
    <w:rsid w:val="6E950AF8"/>
    <w:rsid w:val="71611007"/>
    <w:rsid w:val="71AF4399"/>
    <w:rsid w:val="72344A88"/>
    <w:rsid w:val="741B643F"/>
    <w:rsid w:val="754B6888"/>
    <w:rsid w:val="75D6033D"/>
    <w:rsid w:val="75E05AF9"/>
    <w:rsid w:val="76FD0B7B"/>
    <w:rsid w:val="78C31CAF"/>
    <w:rsid w:val="78C80335"/>
    <w:rsid w:val="7A892184"/>
    <w:rsid w:val="7AA34743"/>
    <w:rsid w:val="7C5A1F79"/>
    <w:rsid w:val="7C995F54"/>
    <w:rsid w:val="7D42050F"/>
    <w:rsid w:val="7E5C37C4"/>
    <w:rsid w:val="7F4D3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9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正文（文本）"/>
    <w:next w:val="3"/>
    <w:qFormat/>
    <w:uiPriority w:val="0"/>
    <w:pPr>
      <w:widowControl w:val="0"/>
      <w:snapToGrid w:val="0"/>
      <w:spacing w:beforeLines="20" w:line="360" w:lineRule="auto"/>
      <w:jc w:val="center"/>
    </w:pPr>
    <w:rPr>
      <w:rFonts w:ascii="Times New Roman" w:hAnsi="宋体" w:eastAsia="宋体" w:cs="Times New Roman"/>
      <w:kern w:val="2"/>
      <w:sz w:val="28"/>
      <w:szCs w:val="28"/>
      <w:lang w:val="en-US" w:eastAsia="zh-CN" w:bidi="ar-SA"/>
    </w:rPr>
  </w:style>
  <w:style w:type="paragraph" w:styleId="3">
    <w:name w:val="toc 6"/>
    <w:basedOn w:val="1"/>
    <w:next w:val="1"/>
    <w:semiHidden/>
    <w:qFormat/>
    <w:uiPriority w:val="99"/>
    <w:pPr>
      <w:ind w:left="1200"/>
    </w:pPr>
    <w:rPr>
      <w:rFonts w:ascii="Calibri" w:hAnsi="Calibri"/>
      <w:sz w:val="18"/>
      <w:szCs w:val="18"/>
    </w:rPr>
  </w:style>
  <w:style w:type="paragraph" w:styleId="4">
    <w:name w:val="annotation text"/>
    <w:basedOn w:val="1"/>
    <w:unhideWhenUsed/>
    <w:qFormat/>
    <w:uiPriority w:val="99"/>
    <w:pPr>
      <w:spacing w:beforeLines="0" w:afterLines="0"/>
    </w:pPr>
    <w:rPr>
      <w:rFonts w:hint="default"/>
      <w:sz w:val="22"/>
      <w:szCs w:val="22"/>
    </w:rPr>
  </w:style>
  <w:style w:type="paragraph" w:styleId="5">
    <w:name w:val="Body Text"/>
    <w:basedOn w:val="1"/>
    <w:qFormat/>
    <w:uiPriority w:val="1"/>
    <w:pPr>
      <w:spacing w:before="36"/>
      <w:ind w:left="780"/>
    </w:pPr>
    <w:rPr>
      <w:rFonts w:ascii="宋体" w:hAnsi="宋体" w:eastAsia="宋体"/>
      <w:szCs w:val="21"/>
      <w:lang w:eastAsia="en-US"/>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paragraph" w:customStyle="1" w:styleId="13">
    <w:name w:val="Table Paragraph"/>
    <w:basedOn w:val="1"/>
    <w:qFormat/>
    <w:uiPriority w:val="0"/>
    <w:rPr>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Words>
  <Characters>314</Characters>
  <Lines>2</Lines>
  <Paragraphs>1</Paragraphs>
  <TotalTime>24</TotalTime>
  <ScaleCrop>false</ScaleCrop>
  <LinksUpToDate>false</LinksUpToDate>
  <CharactersWithSpaces>368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2021-04-29T03:47:00Z</dcterms:created>
  <dc:creator>季云峰/采办项目组/集团公司机关</dc:creator>
  <cp:lastModifiedBy>安全锋</cp:lastModifiedBy>
  <dcterms:modified xsi:type="dcterms:W3CDTF">2026-06-10T03:14:33Z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17D3D7A378F545F7BF1CE9A8417092A2</vt:lpwstr>
  </property>
</Properties>
</file>