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lang w:eastAsia="zh-CN"/>
        </w:rPr>
      </w:pPr>
      <w:bookmarkStart w:id="0" w:name="_Toc13249324"/>
      <w:bookmarkStart w:id="1" w:name="_Toc13248927"/>
      <w:r>
        <w:rPr>
          <w:rFonts w:hint="eastAsia" w:ascii="仿宋" w:hAnsi="仿宋" w:eastAsia="仿宋" w:cs="仿宋"/>
          <w:color w:val="auto"/>
          <w:lang w:eastAsia="zh-CN"/>
        </w:rPr>
        <w:t>本采购技术要求书部分</w:t>
      </w:r>
      <w:r>
        <w:rPr>
          <w:rFonts w:hint="eastAsia" w:ascii="仿宋" w:hAnsi="仿宋" w:eastAsia="仿宋" w:cs="仿宋"/>
          <w:color w:val="auto"/>
        </w:rPr>
        <w:t>引用采购技术标准《</w:t>
      </w:r>
      <w:r>
        <w:rPr>
          <w:rFonts w:hint="eastAsia" w:ascii="仿宋" w:hAnsi="仿宋" w:eastAsia="仿宋" w:cs="仿宋"/>
          <w:color w:val="auto"/>
          <w:kern w:val="0"/>
          <w:sz w:val="24"/>
          <w:szCs w:val="24"/>
          <w:highlight w:val="none"/>
          <w:lang w:val="en-US" w:eastAsia="zh-CN" w:bidi="ar-SA"/>
        </w:rPr>
        <w:t xml:space="preserve">CGBZ-ⅡHF0932-2025 </w:t>
      </w:r>
      <w:r>
        <w:rPr>
          <w:rFonts w:hint="eastAsia" w:ascii="仿宋" w:hAnsi="仿宋" w:eastAsia="仿宋" w:cs="仿宋"/>
          <w:color w:val="auto"/>
        </w:rPr>
        <w:t>船舶租赁服务》</w:t>
      </w:r>
      <w:r>
        <w:rPr>
          <w:rFonts w:hint="eastAsia" w:ascii="仿宋" w:hAnsi="仿宋" w:eastAsia="仿宋" w:cs="仿宋"/>
          <w:color w:val="auto"/>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采办</w:t>
      </w:r>
      <w:bookmarkEnd w:id="0"/>
      <w:bookmarkEnd w:id="1"/>
      <w:r>
        <w:rPr>
          <w:rFonts w:hint="eastAsia" w:ascii="仿宋" w:hAnsi="仿宋" w:eastAsia="仿宋" w:cs="仿宋"/>
          <w:b/>
          <w:bCs/>
          <w:color w:val="auto"/>
          <w:sz w:val="24"/>
          <w:szCs w:val="24"/>
          <w:lang w:val="en-US" w:eastAsia="zh-CN"/>
        </w:rPr>
        <w:t>项目概况</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bookmarkStart w:id="2" w:name="_Toc13248928"/>
      <w:bookmarkStart w:id="3" w:name="_Toc13249325"/>
      <w:r>
        <w:rPr>
          <w:rFonts w:hint="eastAsia" w:ascii="仿宋" w:hAnsi="仿宋" w:eastAsia="仿宋" w:cs="仿宋"/>
          <w:color w:val="auto"/>
          <w:sz w:val="24"/>
          <w:szCs w:val="24"/>
          <w:highlight w:val="none"/>
          <w:lang w:eastAsia="zh-CN"/>
        </w:rPr>
        <w:t>依照海油发展船舶服务（广东）有限责任公司与</w:t>
      </w:r>
      <w:r>
        <w:rPr>
          <w:rFonts w:hint="eastAsia" w:ascii="仿宋" w:hAnsi="仿宋" w:eastAsia="仿宋" w:cs="仿宋"/>
          <w:color w:val="auto"/>
          <w:sz w:val="24"/>
          <w:szCs w:val="24"/>
          <w:highlight w:val="none"/>
          <w:lang w:val="en-US" w:eastAsia="zh-CN"/>
        </w:rPr>
        <w:t>中海油</w:t>
      </w:r>
      <w:r>
        <w:rPr>
          <w:rFonts w:hint="eastAsia" w:ascii="仿宋" w:hAnsi="仿宋" w:eastAsia="仿宋" w:cs="仿宋"/>
          <w:color w:val="auto"/>
          <w:sz w:val="24"/>
          <w:szCs w:val="24"/>
          <w:highlight w:val="none"/>
          <w:lang w:eastAsia="zh-CN"/>
        </w:rPr>
        <w:t>惠州石化</w:t>
      </w:r>
      <w:r>
        <w:rPr>
          <w:rFonts w:hint="eastAsia" w:ascii="仿宋" w:hAnsi="仿宋" w:eastAsia="仿宋" w:cs="仿宋"/>
          <w:color w:val="auto"/>
          <w:sz w:val="24"/>
          <w:szCs w:val="24"/>
          <w:highlight w:val="none"/>
          <w:lang w:val="en-US" w:eastAsia="zh-CN"/>
        </w:rPr>
        <w:t>有限公司</w:t>
      </w:r>
      <w:r>
        <w:rPr>
          <w:rFonts w:hint="eastAsia" w:ascii="仿宋" w:hAnsi="仿宋" w:eastAsia="仿宋" w:cs="仿宋"/>
          <w:color w:val="auto"/>
          <w:sz w:val="24"/>
          <w:szCs w:val="24"/>
          <w:highlight w:val="none"/>
          <w:lang w:eastAsia="zh-CN"/>
        </w:rPr>
        <w:t>签订的《惠州石化马鞭洲和东联码头港作拖轮服务合同》</w:t>
      </w:r>
      <w:r>
        <w:rPr>
          <w:rFonts w:hint="eastAsia" w:ascii="仿宋" w:hAnsi="仿宋" w:eastAsia="仿宋" w:cs="仿宋"/>
          <w:color w:val="auto"/>
          <w:sz w:val="24"/>
          <w:szCs w:val="24"/>
          <w:highlight w:val="none"/>
          <w:lang w:val="en-US" w:eastAsia="zh-CN"/>
        </w:rPr>
        <w:t>的</w:t>
      </w:r>
      <w:r>
        <w:rPr>
          <w:rFonts w:hint="eastAsia" w:ascii="仿宋" w:hAnsi="仿宋" w:eastAsia="仿宋" w:cs="仿宋"/>
          <w:color w:val="auto"/>
          <w:sz w:val="24"/>
          <w:szCs w:val="24"/>
          <w:highlight w:val="none"/>
          <w:lang w:eastAsia="zh-CN"/>
        </w:rPr>
        <w:t>要求，</w:t>
      </w:r>
      <w:r>
        <w:rPr>
          <w:rFonts w:hint="eastAsia" w:ascii="仿宋" w:hAnsi="仿宋" w:eastAsia="仿宋" w:cs="仿宋"/>
          <w:color w:val="auto"/>
          <w:sz w:val="24"/>
          <w:szCs w:val="24"/>
          <w:highlight w:val="none"/>
          <w:lang w:val="en-US" w:eastAsia="zh-CN"/>
        </w:rPr>
        <w:t>广东船务公司需采办一艘</w:t>
      </w:r>
      <w:r>
        <w:rPr>
          <w:rFonts w:hint="eastAsia" w:ascii="仿宋" w:hAnsi="仿宋" w:eastAsia="仿宋" w:cs="仿宋"/>
          <w:color w:val="auto"/>
          <w:kern w:val="0"/>
          <w:sz w:val="24"/>
          <w:szCs w:val="24"/>
          <w:highlight w:val="none"/>
          <w:lang w:val="en-US" w:eastAsia="zh-CN" w:bidi="ar"/>
        </w:rPr>
        <w:t>载客人数≥48人的交通船，</w:t>
      </w:r>
      <w:r>
        <w:rPr>
          <w:rFonts w:hint="eastAsia" w:ascii="仿宋" w:hAnsi="仿宋" w:eastAsia="仿宋" w:cs="仿宋"/>
          <w:color w:val="auto"/>
          <w:sz w:val="24"/>
          <w:szCs w:val="24"/>
          <w:highlight w:val="none"/>
          <w:lang w:eastAsia="zh-CN"/>
        </w:rPr>
        <w:t>用于东联码头至马鞭洲</w:t>
      </w:r>
      <w:r>
        <w:rPr>
          <w:rFonts w:hint="eastAsia" w:ascii="仿宋" w:hAnsi="仿宋" w:eastAsia="仿宋" w:cs="仿宋"/>
          <w:color w:val="auto"/>
          <w:sz w:val="24"/>
          <w:szCs w:val="24"/>
          <w:highlight w:val="none"/>
          <w:lang w:val="en-US" w:eastAsia="zh-CN"/>
        </w:rPr>
        <w:t>岛</w:t>
      </w:r>
      <w:r>
        <w:rPr>
          <w:rFonts w:hint="eastAsia" w:ascii="仿宋" w:hAnsi="仿宋" w:eastAsia="仿宋" w:cs="仿宋"/>
          <w:color w:val="auto"/>
          <w:sz w:val="24"/>
          <w:szCs w:val="24"/>
          <w:highlight w:val="none"/>
          <w:lang w:eastAsia="zh-CN"/>
        </w:rPr>
        <w:t>往返定点通勤，专职接送两地驻岗作业人员水上通勤出行</w:t>
      </w:r>
      <w:r>
        <w:rPr>
          <w:rFonts w:hint="eastAsia" w:ascii="仿宋" w:hAnsi="仿宋" w:eastAsia="仿宋" w:cs="仿宋"/>
          <w:color w:val="auto"/>
          <w:kern w:val="0"/>
          <w:sz w:val="24"/>
          <w:szCs w:val="24"/>
          <w:highlight w:val="none"/>
          <w:lang w:val="en-US" w:eastAsia="zh-CN" w:bidi="ar"/>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需求一览表</w:t>
      </w:r>
      <w:bookmarkEnd w:id="2"/>
      <w:bookmarkEnd w:id="3"/>
    </w:p>
    <w:p>
      <w:pPr>
        <w:pStyle w:val="25"/>
        <w:keepNext w:val="0"/>
        <w:keepLines w:val="0"/>
        <w:pageBreakBefore w:val="0"/>
        <w:widowControl w:val="0"/>
        <w:numPr>
          <w:ilvl w:val="0"/>
          <w:numId w:val="0"/>
        </w:numPr>
        <w:tabs>
          <w:tab w:val="left" w:pos="1040"/>
        </w:tabs>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bookmarkStart w:id="4" w:name="_Toc13249326"/>
      <w:bookmarkStart w:id="5" w:name="_Toc13248929"/>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服务内容：</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lang w:eastAsia="zh-CN"/>
        </w:rPr>
        <w:t>应提供1艘交通船（</w:t>
      </w:r>
      <w:r>
        <w:rPr>
          <w:rFonts w:hint="eastAsia" w:ascii="仿宋" w:hAnsi="仿宋" w:eastAsia="仿宋" w:cs="仿宋"/>
          <w:color w:val="auto"/>
          <w:sz w:val="24"/>
          <w:szCs w:val="24"/>
          <w:highlight w:val="none"/>
          <w:lang w:val="en-US" w:eastAsia="zh-CN"/>
        </w:rPr>
        <w:t>包括船员等</w:t>
      </w:r>
      <w:r>
        <w:rPr>
          <w:rFonts w:hint="eastAsia" w:ascii="仿宋" w:hAnsi="仿宋" w:eastAsia="仿宋" w:cs="仿宋"/>
          <w:color w:val="auto"/>
          <w:sz w:val="24"/>
          <w:szCs w:val="24"/>
          <w:highlight w:val="none"/>
          <w:lang w:eastAsia="zh-CN"/>
        </w:rPr>
        <w:t>配套的客运服务），</w:t>
      </w:r>
      <w:r>
        <w:rPr>
          <w:rFonts w:hint="eastAsia" w:ascii="仿宋" w:hAnsi="仿宋" w:eastAsia="仿宋" w:cs="仿宋"/>
          <w:color w:val="auto"/>
          <w:sz w:val="24"/>
          <w:szCs w:val="24"/>
          <w:highlight w:val="none"/>
          <w:lang w:val="en-US" w:eastAsia="zh-CN"/>
        </w:rPr>
        <w:t>交通</w:t>
      </w:r>
      <w:r>
        <w:rPr>
          <w:rFonts w:hint="eastAsia" w:ascii="仿宋" w:hAnsi="仿宋" w:eastAsia="仿宋" w:cs="仿宋"/>
          <w:color w:val="auto"/>
          <w:sz w:val="24"/>
          <w:szCs w:val="24"/>
          <w:highlight w:val="none"/>
          <w:lang w:eastAsia="zh-CN"/>
        </w:rPr>
        <w:t>船</w:t>
      </w:r>
      <w:r>
        <w:rPr>
          <w:rFonts w:hint="eastAsia" w:ascii="仿宋" w:hAnsi="仿宋" w:eastAsia="仿宋" w:cs="仿宋"/>
          <w:color w:val="auto"/>
          <w:kern w:val="0"/>
          <w:sz w:val="24"/>
          <w:szCs w:val="24"/>
          <w:highlight w:val="none"/>
          <w:lang w:val="en-US" w:eastAsia="zh-CN" w:bidi="ar"/>
        </w:rPr>
        <w:t>载客≥48人，总定员≥51人</w:t>
      </w:r>
      <w:r>
        <w:rPr>
          <w:rFonts w:hint="eastAsia" w:ascii="仿宋" w:hAnsi="仿宋" w:eastAsia="仿宋" w:cs="仿宋"/>
          <w:color w:val="auto"/>
          <w:sz w:val="24"/>
          <w:szCs w:val="24"/>
          <w:highlight w:val="none"/>
          <w:lang w:eastAsia="zh-CN"/>
        </w:rPr>
        <w:t>（含3名船员），提供24小时待命，不限航次的运输包干服务。船舶</w:t>
      </w:r>
      <w:r>
        <w:rPr>
          <w:rFonts w:hint="eastAsia" w:ascii="仿宋" w:hAnsi="仿宋" w:eastAsia="仿宋" w:cs="仿宋"/>
          <w:color w:val="auto"/>
          <w:sz w:val="24"/>
          <w:szCs w:val="24"/>
          <w:highlight w:val="none"/>
          <w:lang w:val="en-US" w:eastAsia="zh-CN"/>
        </w:rPr>
        <w:t>采用</w:t>
      </w:r>
      <w:r>
        <w:rPr>
          <w:rFonts w:hint="eastAsia" w:ascii="仿宋" w:hAnsi="仿宋" w:eastAsia="仿宋" w:cs="仿宋"/>
          <w:color w:val="auto"/>
          <w:sz w:val="24"/>
          <w:szCs w:val="24"/>
          <w:highlight w:val="none"/>
          <w:lang w:eastAsia="zh-CN"/>
        </w:rPr>
        <w:t>期租</w:t>
      </w:r>
      <w:r>
        <w:rPr>
          <w:rFonts w:hint="eastAsia" w:ascii="仿宋" w:hAnsi="仿宋" w:eastAsia="仿宋" w:cs="仿宋"/>
          <w:color w:val="auto"/>
          <w:sz w:val="24"/>
          <w:szCs w:val="24"/>
          <w:highlight w:val="none"/>
          <w:lang w:val="en-US" w:eastAsia="zh-CN"/>
        </w:rPr>
        <w:t>方式提供服务。</w:t>
      </w:r>
    </w:p>
    <w:p>
      <w:pPr>
        <w:pStyle w:val="5"/>
        <w:keepNext w:val="0"/>
        <w:keepLines w:val="0"/>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服务时间：</w:t>
      </w:r>
      <w:r>
        <w:rPr>
          <w:rFonts w:hint="eastAsia" w:ascii="仿宋" w:hAnsi="仿宋" w:eastAsia="仿宋" w:cs="仿宋"/>
          <w:color w:val="auto"/>
          <w:sz w:val="24"/>
          <w:szCs w:val="24"/>
          <w:lang w:val="en-US" w:eastAsia="zh-CN"/>
        </w:rPr>
        <w:t>自协议签订之日起3年，采用1+1+1模式，合同执行满一年后，经双方</w:t>
      </w:r>
      <w:r>
        <w:rPr>
          <w:rFonts w:hint="eastAsia" w:ascii="仿宋" w:hAnsi="仿宋" w:eastAsia="仿宋" w:cs="仿宋"/>
          <w:color w:val="auto"/>
          <w:sz w:val="24"/>
          <w:szCs w:val="24"/>
          <w:highlight w:val="none"/>
          <w:lang w:val="en-US" w:eastAsia="zh-CN"/>
        </w:rPr>
        <w:t>协商，同意合同条款则本合同自动延续一年，依次类推。</w:t>
      </w:r>
    </w:p>
    <w:p>
      <w:pPr>
        <w:pStyle w:val="25"/>
        <w:keepNext w:val="0"/>
        <w:keepLines w:val="0"/>
        <w:pageBreakBefore w:val="0"/>
        <w:widowControl w:val="0"/>
        <w:numPr>
          <w:ilvl w:val="0"/>
          <w:numId w:val="0"/>
        </w:numPr>
        <w:tabs>
          <w:tab w:val="left" w:pos="1040"/>
        </w:tabs>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服务地点：广东惠州。</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执行标准/规范</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执行海油标准：</w:t>
      </w:r>
      <w:r>
        <w:rPr>
          <w:rFonts w:hint="eastAsia" w:ascii="仿宋" w:hAnsi="仿宋" w:eastAsia="仿宋" w:cs="仿宋"/>
          <w:color w:val="auto"/>
          <w:sz w:val="24"/>
          <w:szCs w:val="24"/>
          <w:highlight w:val="none"/>
          <w:lang w:eastAsia="zh-CN"/>
        </w:rPr>
        <w:t>CGBZ-ⅡHF0932-2025采购标准-船舶租赁服务。</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技术</w:t>
      </w:r>
      <w:r>
        <w:rPr>
          <w:rFonts w:hint="eastAsia" w:ascii="仿宋" w:hAnsi="仿宋" w:eastAsia="仿宋" w:cs="仿宋"/>
          <w:b/>
          <w:bCs/>
          <w:color w:val="auto"/>
          <w:sz w:val="24"/>
          <w:szCs w:val="24"/>
          <w:lang w:eastAsia="zh-CN"/>
        </w:rPr>
        <w:t>要求</w:t>
      </w:r>
    </w:p>
    <w:p>
      <w:pPr>
        <w:pStyle w:val="4"/>
        <w:keepNext w:val="0"/>
        <w:keepLines w:val="0"/>
        <w:pageBreakBefore w:val="0"/>
        <w:widowControl w:val="0"/>
        <w:tabs>
          <w:tab w:val="left" w:pos="600"/>
          <w:tab w:val="left" w:pos="1040"/>
        </w:tabs>
        <w:kinsoku/>
        <w:wordWrap/>
        <w:overflowPunct/>
        <w:topLinePunct w:val="0"/>
        <w:autoSpaceDE/>
        <w:autoSpaceDN/>
        <w:bidi w:val="0"/>
        <w:snapToGrid/>
        <w:spacing w:line="360" w:lineRule="auto"/>
        <w:ind w:firstLine="49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1</w:t>
      </w:r>
      <w:r>
        <w:rPr>
          <w:rFonts w:hint="eastAsia" w:ascii="仿宋" w:hAnsi="仿宋" w:eastAsia="仿宋" w:cs="仿宋"/>
          <w:b/>
          <w:color w:val="auto"/>
          <w:sz w:val="24"/>
          <w:szCs w:val="24"/>
          <w:highlight w:val="none"/>
          <w:lang w:val="en-US" w:eastAsia="zh-CN"/>
        </w:rPr>
        <w:t xml:space="preserve"> </w:t>
      </w:r>
      <w:r>
        <w:rPr>
          <w:rFonts w:hint="eastAsia" w:ascii="仿宋" w:hAnsi="仿宋" w:eastAsia="仿宋" w:cs="仿宋"/>
          <w:b/>
          <w:color w:val="auto"/>
          <w:sz w:val="24"/>
          <w:szCs w:val="24"/>
          <w:highlight w:val="none"/>
        </w:rPr>
        <w:t>服务要求</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交通船的作业范围</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从惠州东联码头或者惠州港</w:t>
      </w:r>
      <w:r>
        <w:rPr>
          <w:rFonts w:hint="eastAsia" w:ascii="仿宋" w:hAnsi="仿宋" w:eastAsia="仿宋" w:cs="仿宋"/>
          <w:color w:val="auto"/>
          <w:sz w:val="24"/>
          <w:szCs w:val="24"/>
          <w:highlight w:val="none"/>
          <w:lang w:val="en-US" w:eastAsia="zh-CN"/>
        </w:rPr>
        <w:t>接送</w:t>
      </w:r>
      <w:r>
        <w:rPr>
          <w:rFonts w:hint="eastAsia" w:ascii="仿宋" w:hAnsi="仿宋" w:eastAsia="仿宋" w:cs="仿宋"/>
          <w:color w:val="auto"/>
          <w:sz w:val="24"/>
          <w:szCs w:val="24"/>
          <w:highlight w:val="none"/>
          <w:lang w:eastAsia="zh-CN"/>
        </w:rPr>
        <w:t>人员</w:t>
      </w:r>
      <w:r>
        <w:rPr>
          <w:rFonts w:hint="eastAsia" w:ascii="仿宋" w:hAnsi="仿宋" w:eastAsia="仿宋" w:cs="仿宋"/>
          <w:color w:val="auto"/>
          <w:sz w:val="24"/>
          <w:szCs w:val="24"/>
          <w:highlight w:val="none"/>
          <w:lang w:val="en-US" w:eastAsia="zh-CN"/>
        </w:rPr>
        <w:t>往返</w:t>
      </w:r>
      <w:r>
        <w:rPr>
          <w:rFonts w:hint="eastAsia" w:ascii="仿宋" w:hAnsi="仿宋" w:eastAsia="仿宋" w:cs="仿宋"/>
          <w:color w:val="auto"/>
          <w:sz w:val="24"/>
          <w:szCs w:val="24"/>
          <w:highlight w:val="none"/>
          <w:lang w:eastAsia="zh-CN"/>
        </w:rPr>
        <w:t>马鞭州岛。</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2）船员配备要求：</w:t>
      </w:r>
      <w:r>
        <w:rPr>
          <w:rFonts w:hint="eastAsia" w:ascii="仿宋" w:hAnsi="仿宋" w:eastAsia="仿宋" w:cs="仿宋"/>
          <w:color w:val="auto"/>
          <w:sz w:val="24"/>
          <w:szCs w:val="24"/>
          <w:highlight w:val="none"/>
          <w:lang w:eastAsia="zh-CN"/>
        </w:rPr>
        <w:t>驾驶及轮机定员按照《船舶最低安全配员证书》上的要求进行配员</w:t>
      </w:r>
      <w:r>
        <w:rPr>
          <w:rFonts w:hint="eastAsia" w:ascii="仿宋" w:hAnsi="仿宋" w:eastAsia="仿宋" w:cs="仿宋"/>
          <w:color w:val="auto"/>
          <w:sz w:val="24"/>
          <w:szCs w:val="24"/>
          <w:highlight w:val="none"/>
          <w:lang w:val="en-US" w:eastAsia="zh-CN"/>
        </w:rPr>
        <w:t>,船员需具备符合海事局要求的有效证书，不超法定退休年龄</w:t>
      </w:r>
      <w:r>
        <w:rPr>
          <w:rFonts w:hint="eastAsia" w:ascii="仿宋" w:hAnsi="仿宋" w:eastAsia="仿宋" w:cs="仿宋"/>
          <w:color w:val="auto"/>
          <w:sz w:val="24"/>
          <w:szCs w:val="24"/>
          <w:highlight w:val="none"/>
          <w:lang w:eastAsia="zh-CN"/>
        </w:rPr>
        <w:t>。</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交通艇最低载员人员为51人（含3名船员），载员人数不小于48人。</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交通船（包括替代船舶）</w:t>
      </w:r>
      <w:r>
        <w:rPr>
          <w:rFonts w:hint="eastAsia" w:ascii="仿宋" w:hAnsi="仿宋" w:eastAsia="仿宋" w:cs="仿宋"/>
          <w:color w:val="auto"/>
          <w:sz w:val="24"/>
          <w:szCs w:val="24"/>
          <w:highlight w:val="none"/>
          <w:lang w:eastAsia="zh-CN"/>
        </w:rPr>
        <w:t>的靠泊码头、岸电、淡水、燃油由</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eastAsia="zh-CN"/>
        </w:rPr>
        <w:t>负责提供，</w:t>
      </w:r>
      <w:r>
        <w:rPr>
          <w:rFonts w:hint="eastAsia" w:ascii="仿宋" w:hAnsi="仿宋" w:eastAsia="仿宋" w:cs="仿宋"/>
          <w:color w:val="auto"/>
          <w:sz w:val="24"/>
          <w:szCs w:val="24"/>
          <w:highlight w:val="none"/>
          <w:lang w:val="en-US" w:eastAsia="zh-CN"/>
        </w:rPr>
        <w:t>其他费用由投标人负责</w:t>
      </w:r>
      <w:r>
        <w:rPr>
          <w:rFonts w:hint="eastAsia" w:ascii="仿宋" w:hAnsi="仿宋" w:eastAsia="仿宋" w:cs="仿宋"/>
          <w:color w:val="auto"/>
          <w:sz w:val="24"/>
          <w:szCs w:val="24"/>
          <w:highlight w:val="none"/>
          <w:lang w:eastAsia="zh-CN"/>
        </w:rPr>
        <w:t>。</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5）投标人</w:t>
      </w:r>
      <w:r>
        <w:rPr>
          <w:rFonts w:hint="eastAsia" w:ascii="仿宋" w:hAnsi="仿宋" w:eastAsia="仿宋" w:cs="仿宋"/>
          <w:color w:val="auto"/>
          <w:sz w:val="24"/>
          <w:szCs w:val="24"/>
          <w:highlight w:val="none"/>
          <w:lang w:eastAsia="zh-CN"/>
        </w:rPr>
        <w:t>必须保证交通船舱内、外卫生，座套干净整洁并定期换洗。交通船接受</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eastAsia="zh-CN"/>
        </w:rPr>
        <w:t>码头调度指令，任何除日常工作以外的行动，需汇报</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eastAsia="zh-CN"/>
        </w:rPr>
        <w:t>码头调度并得到批准后方可行动。</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食宿要求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投标人负责船员</w:t>
      </w:r>
      <w:r>
        <w:rPr>
          <w:rFonts w:hint="eastAsia" w:ascii="仿宋" w:hAnsi="仿宋" w:eastAsia="仿宋" w:cs="仿宋"/>
          <w:color w:val="auto"/>
          <w:sz w:val="24"/>
          <w:szCs w:val="24"/>
          <w:highlight w:val="none"/>
          <w:lang w:eastAsia="zh-CN"/>
        </w:rPr>
        <w:t>食宿</w:t>
      </w:r>
      <w:r>
        <w:rPr>
          <w:rFonts w:hint="eastAsia" w:ascii="仿宋" w:hAnsi="仿宋" w:eastAsia="仿宋" w:cs="仿宋"/>
          <w:color w:val="auto"/>
          <w:sz w:val="24"/>
          <w:szCs w:val="24"/>
          <w:highlight w:val="none"/>
        </w:rPr>
        <w:t>。</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7）投标人负责</w:t>
      </w:r>
      <w:r>
        <w:rPr>
          <w:rFonts w:hint="eastAsia" w:ascii="仿宋" w:hAnsi="仿宋" w:eastAsia="仿宋" w:cs="仿宋"/>
          <w:color w:val="auto"/>
          <w:sz w:val="24"/>
          <w:szCs w:val="24"/>
          <w:highlight w:val="none"/>
          <w:lang w:eastAsia="zh-CN"/>
        </w:rPr>
        <w:t>码头靠泊、进出港</w:t>
      </w:r>
      <w:r>
        <w:rPr>
          <w:rFonts w:hint="eastAsia" w:ascii="仿宋" w:hAnsi="仿宋" w:eastAsia="仿宋" w:cs="仿宋"/>
          <w:color w:val="auto"/>
          <w:sz w:val="24"/>
          <w:szCs w:val="24"/>
          <w:highlight w:val="none"/>
          <w:lang w:val="en-US" w:eastAsia="zh-CN"/>
        </w:rPr>
        <w:t>申报</w:t>
      </w:r>
      <w:r>
        <w:rPr>
          <w:rFonts w:hint="eastAsia" w:ascii="仿宋" w:hAnsi="仿宋" w:eastAsia="仿宋" w:cs="仿宋"/>
          <w:color w:val="auto"/>
          <w:sz w:val="24"/>
          <w:szCs w:val="24"/>
          <w:highlight w:val="none"/>
          <w:lang w:eastAsia="zh-CN"/>
        </w:rPr>
        <w:t>及许可证办理</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lang w:eastAsia="zh-CN"/>
        </w:rPr>
        <w:t>，负责与海事及相关部门沟通及工作期间产生的协调工作，保障有序</w:t>
      </w:r>
      <w:r>
        <w:rPr>
          <w:rFonts w:hint="eastAsia" w:ascii="仿宋" w:hAnsi="仿宋" w:eastAsia="仿宋" w:cs="仿宋"/>
          <w:color w:val="auto"/>
          <w:sz w:val="24"/>
          <w:szCs w:val="24"/>
          <w:highlight w:val="none"/>
          <w:lang w:val="en-US" w:eastAsia="zh-CN"/>
        </w:rPr>
        <w:t>提供服务</w:t>
      </w:r>
      <w:r>
        <w:rPr>
          <w:rFonts w:hint="eastAsia" w:ascii="仿宋" w:hAnsi="仿宋" w:eastAsia="仿宋" w:cs="仿宋"/>
          <w:color w:val="auto"/>
          <w:sz w:val="24"/>
          <w:szCs w:val="24"/>
          <w:highlight w:val="none"/>
          <w:lang w:eastAsia="zh-CN"/>
        </w:rPr>
        <w:t>；</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8）投标人根据招标人要求</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船舶日报、燃油</w:t>
      </w:r>
      <w:r>
        <w:rPr>
          <w:rFonts w:hint="eastAsia" w:ascii="仿宋" w:hAnsi="仿宋" w:eastAsia="仿宋" w:cs="仿宋"/>
          <w:color w:val="auto"/>
          <w:sz w:val="24"/>
          <w:szCs w:val="24"/>
          <w:highlight w:val="none"/>
          <w:lang w:eastAsia="zh-CN"/>
        </w:rPr>
        <w:t>消耗</w:t>
      </w:r>
      <w:r>
        <w:rPr>
          <w:rFonts w:hint="eastAsia" w:ascii="仿宋" w:hAnsi="仿宋" w:eastAsia="仿宋" w:cs="仿宋"/>
          <w:color w:val="auto"/>
          <w:sz w:val="24"/>
          <w:szCs w:val="24"/>
          <w:highlight w:val="none"/>
          <w:lang w:val="en-US" w:eastAsia="zh-CN"/>
        </w:rPr>
        <w:t>报告等船舶管理台账</w:t>
      </w:r>
      <w:r>
        <w:rPr>
          <w:rFonts w:hint="eastAsia" w:ascii="仿宋" w:hAnsi="仿宋" w:eastAsia="仿宋" w:cs="仿宋"/>
          <w:color w:val="auto"/>
          <w:sz w:val="24"/>
          <w:szCs w:val="24"/>
          <w:highlight w:val="none"/>
          <w:lang w:eastAsia="zh-CN"/>
        </w:rPr>
        <w:t>；</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若因船舶问题导致工作延误，</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lang w:eastAsia="zh-CN"/>
        </w:rPr>
        <w:t>需承担相应的责任；</w:t>
      </w:r>
    </w:p>
    <w:p>
      <w:pPr>
        <w:keepNext w:val="0"/>
        <w:keepLines w:val="0"/>
        <w:pageBreakBefore w:val="0"/>
        <w:widowControl w:val="0"/>
        <w:tabs>
          <w:tab w:val="left" w:pos="1040"/>
        </w:tabs>
        <w:kinsoku/>
        <w:wordWrap/>
        <w:overflowPunct/>
        <w:topLinePunct w:val="0"/>
        <w:autoSpaceDE/>
        <w:autoSpaceDN/>
        <w:bidi w:val="0"/>
        <w:snapToGrid/>
        <w:spacing w:line="360" w:lineRule="auto"/>
        <w:ind w:firstLine="48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10）人身意外险</w:t>
      </w:r>
    </w:p>
    <w:p>
      <w:pPr>
        <w:keepNext w:val="0"/>
        <w:keepLines w:val="0"/>
        <w:pageBreakBefore w:val="0"/>
        <w:widowControl w:val="0"/>
        <w:tabs>
          <w:tab w:val="left" w:pos="1040"/>
        </w:tabs>
        <w:kinsoku/>
        <w:wordWrap/>
        <w:overflowPunct/>
        <w:topLinePunct w:val="0"/>
        <w:autoSpaceDE/>
        <w:autoSpaceDN/>
        <w:bidi w:val="0"/>
        <w:snapToGrid/>
        <w:spacing w:line="360" w:lineRule="auto"/>
        <w:ind w:left="142"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（1）投标人</w:t>
      </w:r>
      <w:r>
        <w:rPr>
          <w:rFonts w:hint="eastAsia" w:ascii="仿宋" w:hAnsi="仿宋" w:eastAsia="仿宋" w:cs="仿宋"/>
          <w:color w:val="auto"/>
          <w:sz w:val="24"/>
          <w:szCs w:val="24"/>
          <w:highlight w:val="none"/>
          <w:lang w:eastAsia="zh-CN"/>
        </w:rPr>
        <w:t>必</w:t>
      </w:r>
      <w:r>
        <w:rPr>
          <w:rFonts w:hint="eastAsia" w:ascii="仿宋" w:hAnsi="仿宋" w:eastAsia="仿宋" w:cs="仿宋"/>
          <w:color w:val="auto"/>
          <w:sz w:val="24"/>
          <w:szCs w:val="24"/>
          <w:highlight w:val="none"/>
          <w:lang w:val="en-US" w:eastAsia="zh-CN"/>
        </w:rPr>
        <w:t>须购买“船东对旅客责任险”（每人不低于20万人民币保额）。</w:t>
      </w:r>
    </w:p>
    <w:p>
      <w:pPr>
        <w:keepNext w:val="0"/>
        <w:keepLines w:val="0"/>
        <w:pageBreakBefore w:val="0"/>
        <w:widowControl w:val="0"/>
        <w:tabs>
          <w:tab w:val="left" w:pos="1040"/>
        </w:tabs>
        <w:kinsoku/>
        <w:wordWrap/>
        <w:overflowPunct/>
        <w:topLinePunct w:val="0"/>
        <w:autoSpaceDE/>
        <w:autoSpaceDN/>
        <w:bidi w:val="0"/>
        <w:snapToGrid/>
        <w:spacing w:line="360" w:lineRule="auto"/>
        <w:ind w:left="142"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（2）投标人必须为船员购买人身意外险（每人不低于100万人民币保额）</w:t>
      </w:r>
    </w:p>
    <w:p>
      <w:pPr>
        <w:keepNext w:val="0"/>
        <w:keepLines w:val="0"/>
        <w:pageBreakBefore w:val="0"/>
        <w:kinsoku/>
        <w:wordWrap/>
        <w:overflowPunct/>
        <w:topLinePunct w:val="0"/>
        <w:bidi w:val="0"/>
        <w:snapToGrid/>
        <w:spacing w:line="360" w:lineRule="auto"/>
        <w:ind w:firstLine="482" w:firstLineChars="200"/>
        <w:jc w:val="both"/>
        <w:textAlignment w:val="auto"/>
        <w:outlineLvl w:val="1"/>
        <w:rPr>
          <w:rFonts w:hint="eastAsia" w:ascii="仿宋" w:hAnsi="仿宋" w:eastAsia="仿宋" w:cs="仿宋"/>
          <w:b/>
          <w:bCs/>
          <w:color w:val="auto"/>
          <w:kern w:val="2"/>
          <w:sz w:val="24"/>
          <w:szCs w:val="24"/>
          <w:highlight w:val="none"/>
          <w:lang w:eastAsia="zh-CN"/>
        </w:rPr>
      </w:pPr>
      <w:r>
        <w:rPr>
          <w:rFonts w:hint="eastAsia" w:ascii="仿宋" w:hAnsi="仿宋" w:eastAsia="仿宋" w:cs="仿宋"/>
          <w:b/>
          <w:bCs/>
          <w:color w:val="auto"/>
          <w:kern w:val="2"/>
          <w:sz w:val="24"/>
          <w:szCs w:val="24"/>
          <w:highlight w:val="none"/>
          <w:lang w:eastAsia="zh-CN"/>
        </w:rPr>
        <w:t>4.</w:t>
      </w:r>
      <w:r>
        <w:rPr>
          <w:rFonts w:hint="eastAsia" w:ascii="仿宋" w:hAnsi="仿宋" w:eastAsia="仿宋" w:cs="仿宋"/>
          <w:b/>
          <w:bCs/>
          <w:color w:val="auto"/>
          <w:kern w:val="2"/>
          <w:sz w:val="24"/>
          <w:szCs w:val="24"/>
          <w:highlight w:val="none"/>
          <w:lang w:val="en-US" w:eastAsia="zh-CN"/>
        </w:rPr>
        <w:t>2</w:t>
      </w:r>
      <w:r>
        <w:rPr>
          <w:rFonts w:hint="eastAsia" w:ascii="仿宋" w:hAnsi="仿宋" w:eastAsia="仿宋" w:cs="仿宋"/>
          <w:b/>
          <w:bCs/>
          <w:color w:val="auto"/>
          <w:kern w:val="2"/>
          <w:sz w:val="24"/>
          <w:szCs w:val="24"/>
          <w:highlight w:val="none"/>
          <w:lang w:eastAsia="zh-CN"/>
        </w:rPr>
        <w:t xml:space="preserve"> </w:t>
      </w:r>
      <w:r>
        <w:rPr>
          <w:rFonts w:hint="eastAsia" w:ascii="仿宋" w:hAnsi="仿宋" w:eastAsia="仿宋" w:cs="仿宋"/>
          <w:b/>
          <w:bCs/>
          <w:color w:val="auto"/>
          <w:kern w:val="2"/>
          <w:sz w:val="24"/>
          <w:szCs w:val="24"/>
          <w:highlight w:val="none"/>
          <w:lang w:val="en-US" w:eastAsia="zh-CN"/>
        </w:rPr>
        <w:t>工作</w:t>
      </w:r>
      <w:r>
        <w:rPr>
          <w:rFonts w:hint="eastAsia" w:ascii="仿宋" w:hAnsi="仿宋" w:eastAsia="仿宋" w:cs="仿宋"/>
          <w:b/>
          <w:bCs/>
          <w:color w:val="auto"/>
          <w:kern w:val="2"/>
          <w:sz w:val="24"/>
          <w:szCs w:val="24"/>
          <w:highlight w:val="none"/>
          <w:lang w:eastAsia="zh-CN"/>
        </w:rPr>
        <w:t>要求</w:t>
      </w:r>
      <w:r>
        <w:rPr>
          <w:rFonts w:hint="eastAsia" w:ascii="仿宋" w:hAnsi="仿宋" w:eastAsia="仿宋" w:cs="仿宋"/>
          <w:b/>
          <w:bCs/>
          <w:color w:val="auto"/>
          <w:kern w:val="2"/>
          <w:sz w:val="24"/>
          <w:szCs w:val="24"/>
          <w:highlight w:val="none"/>
          <w:lang w:val="zh-CN" w:eastAsia="zh-CN"/>
        </w:rPr>
        <w:t>（引用采购技术标准文件《CGBZ-ⅡHF0932-2025 船舶租赁服务》中第</w:t>
      </w:r>
      <w:r>
        <w:rPr>
          <w:rFonts w:hint="eastAsia" w:ascii="仿宋" w:hAnsi="仿宋" w:eastAsia="仿宋" w:cs="仿宋"/>
          <w:b/>
          <w:bCs/>
          <w:color w:val="auto"/>
          <w:kern w:val="2"/>
          <w:sz w:val="24"/>
          <w:szCs w:val="24"/>
          <w:highlight w:val="none"/>
          <w:lang w:val="en-US" w:eastAsia="zh-CN"/>
        </w:rPr>
        <w:t>4.2</w:t>
      </w:r>
      <w:r>
        <w:rPr>
          <w:rFonts w:hint="eastAsia" w:ascii="仿宋" w:hAnsi="仿宋" w:eastAsia="仿宋" w:cs="仿宋"/>
          <w:b/>
          <w:bCs/>
          <w:color w:val="auto"/>
          <w:kern w:val="2"/>
          <w:sz w:val="24"/>
          <w:szCs w:val="24"/>
          <w:highlight w:val="none"/>
          <w:lang w:val="zh-CN" w:eastAsia="zh-CN"/>
        </w:rPr>
        <w:t>节</w:t>
      </w:r>
      <w:r>
        <w:rPr>
          <w:rFonts w:hint="eastAsia" w:ascii="仿宋" w:hAnsi="仿宋" w:eastAsia="仿宋" w:cs="仿宋"/>
          <w:b/>
          <w:bCs/>
          <w:color w:val="auto"/>
          <w:kern w:val="2"/>
          <w:sz w:val="24"/>
          <w:szCs w:val="24"/>
          <w:highlight w:val="none"/>
          <w:lang w:val="en-US" w:eastAsia="zh-CN"/>
        </w:rPr>
        <w:t>工作</w:t>
      </w:r>
      <w:r>
        <w:rPr>
          <w:rFonts w:hint="eastAsia" w:ascii="仿宋" w:hAnsi="仿宋" w:eastAsia="仿宋" w:cs="仿宋"/>
          <w:b/>
          <w:bCs/>
          <w:color w:val="auto"/>
          <w:kern w:val="2"/>
          <w:sz w:val="24"/>
          <w:szCs w:val="24"/>
          <w:highlight w:val="none"/>
          <w:lang w:val="zh-CN" w:eastAsia="zh-CN"/>
        </w:rPr>
        <w:t>要求）</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投标人应提供合格的人员、设备和船舶。</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投标人应安排专人负责保持与招标人的联系，完成船舶租赁的各项需要沟通、协调的工作。</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投标人船舶和人员具备随时在航条件。在接到招标人通知后，投标人立即组织满足本次作业要求的船舶、人员、其它设备等，准时赶到招标人指定的作业区域，按照招标人的要求开展工作。</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投标人在船舶服务期间，靠离码头要通报招标人，服从招标人现场负责人的管理与指挥。</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投标人船舶到达目的地和值班期间要保持与现场密切联系，保证24小时畅通，服从招标人负责人的指挥，按要求完成工作任务。</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由于气候、设备、人员等因素船舶需要离开现场，经过招标人现场负责人同意方能离开。</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如果投标人船舶在租用期间发生故障，预计24小时不能排除时应及时通知招标人负责人，投标人接到招标人换船通知后立即派船替换该船工作，更换船只发生的费用由投标人负责。</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遇有大风警报、船舶必须事先取得现场招标人负责人的允许后，方能离开现场避风，避风期间保持通讯畅通，风减弱后应立即返回现场。</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船舶在作业期间，投标人人员及投标人雇用人员必须认真执行国家、地方及相关行业对环境保护所制定的法律、法规，保护环境。</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由于投标人原因造成海上的、陆上的任何污染的责任由投标人承担，所受到环保部门的任何罚款，均由投标人负责，不牵连招标人。</w:t>
      </w:r>
    </w:p>
    <w:p>
      <w:pPr>
        <w:pStyle w:val="25"/>
        <w:keepNext w:val="0"/>
        <w:keepLines w:val="0"/>
        <w:pageBreakBefore w:val="0"/>
        <w:numPr>
          <w:ilvl w:val="0"/>
          <w:numId w:val="2"/>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因投标人操作不当造成工程结构、招标人设备等损失或损坏的，由投标人负责维修或赔偿，产生的费用由投标人负责。投标人使用的施工设备、机具等影响工程进度和质量时，投标人应经招标人同意后及时更换，更换后的设备、机具性能对工程的适用性和安全要求不得低于原设备、机具，由此产生的费用由投标人负责。</w:t>
      </w:r>
    </w:p>
    <w:p>
      <w:pPr>
        <w:keepNext w:val="0"/>
        <w:keepLines w:val="0"/>
        <w:pageBreakBefore w:val="0"/>
        <w:kinsoku/>
        <w:wordWrap/>
        <w:overflowPunct/>
        <w:topLinePunct w:val="0"/>
        <w:bidi w:val="0"/>
        <w:snapToGrid/>
        <w:spacing w:line="360" w:lineRule="auto"/>
        <w:ind w:firstLine="482" w:firstLineChars="200"/>
        <w:jc w:val="both"/>
        <w:textAlignment w:val="auto"/>
        <w:outlineLvl w:val="1"/>
        <w:rPr>
          <w:rFonts w:hint="eastAsia" w:ascii="仿宋" w:hAnsi="仿宋" w:eastAsia="仿宋" w:cs="仿宋"/>
          <w:b/>
          <w:bCs/>
          <w:color w:val="auto"/>
          <w:kern w:val="2"/>
          <w:sz w:val="24"/>
          <w:szCs w:val="24"/>
          <w:highlight w:val="none"/>
          <w:lang w:eastAsia="zh-CN"/>
        </w:rPr>
      </w:pPr>
      <w:r>
        <w:rPr>
          <w:rFonts w:hint="eastAsia" w:ascii="仿宋" w:hAnsi="仿宋" w:eastAsia="仿宋" w:cs="仿宋"/>
          <w:b/>
          <w:bCs/>
          <w:color w:val="auto"/>
          <w:kern w:val="2"/>
          <w:sz w:val="24"/>
          <w:szCs w:val="24"/>
          <w:highlight w:val="none"/>
          <w:lang w:eastAsia="zh-CN"/>
        </w:rPr>
        <w:t>4.3</w:t>
      </w:r>
      <w:r>
        <w:rPr>
          <w:rFonts w:hint="eastAsia" w:ascii="仿宋" w:hAnsi="仿宋" w:eastAsia="仿宋" w:cs="仿宋"/>
          <w:b/>
          <w:bCs/>
          <w:color w:val="auto"/>
          <w:kern w:val="2"/>
          <w:sz w:val="24"/>
          <w:szCs w:val="24"/>
          <w:highlight w:val="none"/>
          <w:lang w:val="en-US" w:eastAsia="zh-CN"/>
        </w:rPr>
        <w:t xml:space="preserve"> </w:t>
      </w:r>
      <w:r>
        <w:rPr>
          <w:rFonts w:hint="eastAsia" w:ascii="仿宋" w:hAnsi="仿宋" w:eastAsia="仿宋" w:cs="仿宋"/>
          <w:b/>
          <w:bCs/>
          <w:color w:val="auto"/>
          <w:kern w:val="2"/>
          <w:sz w:val="24"/>
          <w:szCs w:val="24"/>
          <w:highlight w:val="none"/>
          <w:lang w:eastAsia="zh-CN"/>
        </w:rPr>
        <w:t>HSE要求（引用采购技术标准文件《CGBZ-ⅡHF0932-2025 船舶租赁服务》中4.3 健康安全环保要求）</w:t>
      </w:r>
    </w:p>
    <w:p>
      <w:pPr>
        <w:pStyle w:val="25"/>
        <w:keepNext w:val="0"/>
        <w:keepLines w:val="0"/>
        <w:pageBreakBefore w:val="0"/>
        <w:numPr>
          <w:ilvl w:val="0"/>
          <w:numId w:val="3"/>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投标人应对全部工作和相关工作人员的健康、安全、环保负责。投标人应遵守、并确保其员工遵守本项目对健康、安全、环保的规定、相关法律法规及招标人随时发布的相关规定和指示（包括有关对工作服、面罩、护目器具及工作鞋等安全防护要求）。</w:t>
      </w:r>
    </w:p>
    <w:p>
      <w:pPr>
        <w:pStyle w:val="25"/>
        <w:keepNext w:val="0"/>
        <w:keepLines w:val="0"/>
        <w:pageBreakBefore w:val="0"/>
        <w:numPr>
          <w:ilvl w:val="0"/>
          <w:numId w:val="3"/>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投标人应根据法律法规和合理审慎供应商的标准，建立并维系自身良好的健康、安全、环保体系。</w:t>
      </w:r>
    </w:p>
    <w:p>
      <w:pPr>
        <w:pStyle w:val="25"/>
        <w:keepNext w:val="0"/>
        <w:keepLines w:val="0"/>
        <w:pageBreakBefore w:val="0"/>
        <w:numPr>
          <w:ilvl w:val="0"/>
          <w:numId w:val="3"/>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投标人作业时，应避免任何可能危及人身健康、财产安全的操作，采取必要的安全和健康预防措施，不定时对所有设施、设备和材料进行健康、安全、环保检查。投标人应提供工作所需的安全设施和安全指南，保存并提供法律法规及招标人要求的所有事故、伤亡和相关事项的记录、报告。</w:t>
      </w:r>
    </w:p>
    <w:p>
      <w:pPr>
        <w:pStyle w:val="25"/>
        <w:keepNext w:val="0"/>
        <w:keepLines w:val="0"/>
        <w:pageBreakBefore w:val="0"/>
        <w:numPr>
          <w:ilvl w:val="0"/>
          <w:numId w:val="3"/>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投标人应采取合理措施，防止工作造成工程现场及周边发生任何人身、财产损害，该等防护措施包括防火措施、消除聚集的粉尘及烟雾、海底电缆、海底管道等。</w:t>
      </w:r>
    </w:p>
    <w:p>
      <w:pPr>
        <w:pStyle w:val="25"/>
        <w:keepNext w:val="0"/>
        <w:keepLines w:val="0"/>
        <w:pageBreakBefore w:val="0"/>
        <w:numPr>
          <w:ilvl w:val="0"/>
          <w:numId w:val="3"/>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投标人应全面负责进入服务现场的工作人员的安全。如服务现场发生任何人身伤害，无论是否与工作相关，投标人应及时将受伤人员送至最近的急救中心或医院进行救助。投标人应及时向招标人汇报任何人身伤害，并对该等事故进行全面调查。</w:t>
      </w:r>
    </w:p>
    <w:p>
      <w:pPr>
        <w:pStyle w:val="25"/>
        <w:keepNext w:val="0"/>
        <w:keepLines w:val="0"/>
        <w:pageBreakBefore w:val="0"/>
        <w:numPr>
          <w:ilvl w:val="0"/>
          <w:numId w:val="3"/>
        </w:numP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投标人应按国家法规和行业要求，确保安全投入足额使用。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bCs/>
          <w:color w:val="auto"/>
          <w:sz w:val="24"/>
          <w:szCs w:val="24"/>
          <w:lang w:val="zh-CN" w:eastAsia="zh-CN"/>
        </w:rPr>
      </w:pPr>
      <w:r>
        <w:rPr>
          <w:rFonts w:hint="eastAsia" w:ascii="仿宋" w:hAnsi="仿宋" w:eastAsia="仿宋" w:cs="仿宋"/>
          <w:b/>
          <w:bCs/>
          <w:color w:val="auto"/>
          <w:sz w:val="24"/>
          <w:szCs w:val="24"/>
          <w:lang w:eastAsia="zh-CN"/>
        </w:rPr>
        <w:t>配备</w:t>
      </w:r>
      <w:r>
        <w:rPr>
          <w:rFonts w:hint="eastAsia" w:ascii="仿宋" w:hAnsi="仿宋" w:eastAsia="仿宋" w:cs="仿宋"/>
          <w:b/>
          <w:bCs/>
          <w:color w:val="auto"/>
          <w:sz w:val="24"/>
          <w:szCs w:val="24"/>
          <w:highlight w:val="none"/>
          <w:lang w:eastAsia="zh-CN"/>
        </w:rPr>
        <w:t>资源</w:t>
      </w:r>
      <w:r>
        <w:rPr>
          <w:rFonts w:hint="eastAsia" w:ascii="仿宋" w:hAnsi="仿宋" w:eastAsia="仿宋" w:cs="仿宋"/>
          <w:b/>
          <w:bCs/>
          <w:color w:val="auto"/>
          <w:sz w:val="24"/>
          <w:szCs w:val="24"/>
          <w:lang w:eastAsia="zh-CN"/>
        </w:rPr>
        <w:t>要求</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2" w:firstLineChars="200"/>
        <w:textAlignment w:val="auto"/>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 xml:space="preserve">5.1 </w:t>
      </w:r>
      <w:r>
        <w:rPr>
          <w:rFonts w:hint="eastAsia" w:ascii="仿宋" w:hAnsi="仿宋" w:eastAsia="仿宋" w:cs="仿宋"/>
          <w:b/>
          <w:bCs/>
          <w:color w:val="auto"/>
          <w:sz w:val="24"/>
          <w:szCs w:val="24"/>
          <w:highlight w:val="none"/>
          <w:lang w:val="zh-CN" w:eastAsia="zh-CN"/>
        </w:rPr>
        <w:t>船舶</w:t>
      </w:r>
      <w:r>
        <w:rPr>
          <w:rFonts w:hint="eastAsia" w:ascii="仿宋" w:hAnsi="仿宋" w:eastAsia="仿宋" w:cs="仿宋"/>
          <w:b/>
          <w:bCs/>
          <w:color w:val="auto"/>
          <w:sz w:val="24"/>
          <w:szCs w:val="24"/>
          <w:highlight w:val="none"/>
          <w:lang w:val="en-US" w:eastAsia="zh-CN"/>
        </w:rPr>
        <w:t>替换</w:t>
      </w:r>
      <w:r>
        <w:rPr>
          <w:rFonts w:hint="eastAsia" w:ascii="仿宋" w:hAnsi="仿宋" w:eastAsia="仿宋" w:cs="仿宋"/>
          <w:b/>
          <w:bCs/>
          <w:color w:val="auto"/>
          <w:sz w:val="24"/>
          <w:szCs w:val="24"/>
          <w:highlight w:val="none"/>
          <w:lang w:val="zh-CN" w:eastAsia="zh-CN"/>
        </w:rPr>
        <w:t>要求（引用采购技术标准文件《CGBZ-ⅡHF0932-2025 船舶租赁服务》4.7 服务船舶替换要求）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1"/>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在合同有效期内，原则上投标人应使用投标文件中的船舶为招标人提供服务，如遇特殊情况，相关船舶不能提供服务，投标人可以安排不低于</w:t>
      </w:r>
      <w:r>
        <w:rPr>
          <w:rFonts w:hint="eastAsia" w:ascii="仿宋" w:hAnsi="仿宋" w:eastAsia="仿宋" w:cs="仿宋"/>
          <w:color w:val="auto"/>
          <w:kern w:val="2"/>
          <w:sz w:val="24"/>
          <w:szCs w:val="24"/>
          <w:highlight w:val="none"/>
          <w:lang w:val="en-US" w:eastAsia="zh-CN"/>
        </w:rPr>
        <w:t>技术要求书</w:t>
      </w:r>
      <w:r>
        <w:rPr>
          <w:rFonts w:hint="eastAsia" w:ascii="仿宋" w:hAnsi="仿宋" w:eastAsia="仿宋" w:cs="仿宋"/>
          <w:color w:val="auto"/>
          <w:kern w:val="2"/>
          <w:sz w:val="24"/>
          <w:szCs w:val="24"/>
          <w:highlight w:val="none"/>
        </w:rPr>
        <w:t>要求的船舶替代服务，替代船舶必须经过招标人同意并通过招标人验收合格后方可使用。</w:t>
      </w:r>
    </w:p>
    <w:p>
      <w:pPr>
        <w:pStyle w:val="35"/>
        <w:keepNext w:val="0"/>
        <w:keepLines w:val="0"/>
        <w:pageBreakBefore w:val="0"/>
        <w:kinsoku/>
        <w:wordWrap/>
        <w:overflowPunct/>
        <w:topLinePunct w:val="0"/>
        <w:bidi w:val="0"/>
        <w:snapToGrid/>
        <w:spacing w:line="360" w:lineRule="auto"/>
        <w:ind w:firstLine="48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Cs/>
          <w:color w:val="auto"/>
          <w:sz w:val="24"/>
          <w:szCs w:val="24"/>
          <w:highlight w:val="none"/>
        </w:rPr>
        <w:t>任何的替换（如获准）必须以适于工作的船舶进行，前提是投标人和招标人在该等替换中产生的所有成本和开支应由投标人承担，包括所需的程序性变更、船舶调查、船舶更改、保险费的变更（如有）、或受到该替换影响的其他事项的成本，并且该等替换不得干扰或延误工作并按工作进度计划有序进行。如投标人对船舶进行替换，不得影响工期且无权要求支付因此导致的任何额外费用。</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2"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val="en-US" w:eastAsia="zh-CN"/>
        </w:rPr>
        <w:t>5.2 投标人提供的船舶，需满足以下</w:t>
      </w:r>
      <w:r>
        <w:rPr>
          <w:rFonts w:hint="eastAsia" w:ascii="仿宋" w:hAnsi="仿宋" w:eastAsia="仿宋" w:cs="仿宋"/>
          <w:b/>
          <w:bCs/>
          <w:color w:val="auto"/>
          <w:sz w:val="24"/>
          <w:szCs w:val="24"/>
          <w:highlight w:val="none"/>
          <w:lang w:eastAsia="zh-CN"/>
        </w:rPr>
        <w:t>要求：</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5.2.1</w:t>
      </w:r>
      <w:r>
        <w:rPr>
          <w:rFonts w:hint="eastAsia" w:ascii="仿宋" w:hAnsi="仿宋" w:eastAsia="仿宋" w:cs="仿宋"/>
          <w:color w:val="auto"/>
          <w:sz w:val="24"/>
          <w:szCs w:val="24"/>
          <w:highlight w:val="none"/>
          <w:lang w:eastAsia="zh-CN"/>
        </w:rPr>
        <w:t>船体结构应为钢质或者玻璃钢增强纤维，</w:t>
      </w:r>
      <w:r>
        <w:rPr>
          <w:rFonts w:hint="eastAsia" w:ascii="仿宋" w:hAnsi="仿宋" w:eastAsia="仿宋" w:cs="仿宋"/>
          <w:color w:val="auto"/>
          <w:sz w:val="24"/>
          <w:szCs w:val="24"/>
          <w:highlight w:val="none"/>
          <w:lang w:val="en-US" w:eastAsia="zh-CN"/>
        </w:rPr>
        <w:t>通过</w:t>
      </w:r>
      <w:r>
        <w:rPr>
          <w:rFonts w:hint="eastAsia" w:ascii="仿宋" w:hAnsi="仿宋" w:eastAsia="仿宋" w:cs="仿宋"/>
          <w:color w:val="auto"/>
          <w:sz w:val="24"/>
          <w:szCs w:val="24"/>
          <w:highlight w:val="none"/>
          <w:lang w:eastAsia="zh-CN"/>
        </w:rPr>
        <w:t>中国船级社法定检验合格，满足《国际海上人命安全公约》（即SOLAS公约）的相关规定。</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5.2.2船舶主要设备配备要求：</w:t>
      </w:r>
    </w:p>
    <w:p>
      <w:pPr>
        <w:pStyle w:val="25"/>
        <w:keepNext w:val="0"/>
        <w:keepLines w:val="0"/>
        <w:pageBreakBefore w:val="0"/>
        <w:widowControl w:val="0"/>
        <w:numPr>
          <w:ilvl w:val="0"/>
          <w:numId w:val="4"/>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通讯导航：甚高频电话l台（能使用11频道）、GPSl台。</w:t>
      </w:r>
    </w:p>
    <w:p>
      <w:pPr>
        <w:pStyle w:val="25"/>
        <w:keepNext w:val="0"/>
        <w:keepLines w:val="0"/>
        <w:pageBreakBefore w:val="0"/>
        <w:widowControl w:val="0"/>
        <w:numPr>
          <w:ilvl w:val="0"/>
          <w:numId w:val="4"/>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推进装置：柴油机2台，电起动；船舶总功率，不小于400KW。</w:t>
      </w:r>
    </w:p>
    <w:p>
      <w:pPr>
        <w:pStyle w:val="25"/>
        <w:keepNext w:val="0"/>
        <w:keepLines w:val="0"/>
        <w:pageBreakBefore w:val="0"/>
        <w:widowControl w:val="0"/>
        <w:numPr>
          <w:ilvl w:val="0"/>
          <w:numId w:val="4"/>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发电装置：柴油发电机组l台，主要供照明、通讯、空调使用。</w:t>
      </w:r>
    </w:p>
    <w:p>
      <w:pPr>
        <w:pStyle w:val="25"/>
        <w:keepNext w:val="0"/>
        <w:keepLines w:val="0"/>
        <w:pageBreakBefore w:val="0"/>
        <w:widowControl w:val="0"/>
        <w:numPr>
          <w:ilvl w:val="0"/>
          <w:numId w:val="4"/>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消防、救生设备：配有消防安全操作手册、提供防火控制图，消防器材按照图纸要求配置。救生衣按照船舶载客人数1.1倍及以上进行配置，救生圈和救生筏按船舶设计和船检要求配备。</w:t>
      </w:r>
    </w:p>
    <w:p>
      <w:pPr>
        <w:pStyle w:val="25"/>
        <w:keepNext w:val="0"/>
        <w:keepLines w:val="0"/>
        <w:pageBreakBefore w:val="0"/>
        <w:widowControl w:val="0"/>
        <w:numPr>
          <w:ilvl w:val="0"/>
          <w:numId w:val="4"/>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救生信号设施：按照海事局要求进行配备。</w:t>
      </w:r>
    </w:p>
    <w:p>
      <w:pPr>
        <w:pStyle w:val="25"/>
        <w:keepNext w:val="0"/>
        <w:keepLines w:val="0"/>
        <w:pageBreakBefore w:val="0"/>
        <w:widowControl w:val="0"/>
        <w:numPr>
          <w:ilvl w:val="0"/>
          <w:numId w:val="4"/>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医疗设备：必须配备医药箱，包括以下药品：卫生棉、酒精、外伤药膏、纱布、绷带。</w:t>
      </w:r>
    </w:p>
    <w:p>
      <w:pPr>
        <w:pStyle w:val="25"/>
        <w:keepNext w:val="0"/>
        <w:keepLines w:val="0"/>
        <w:pageBreakBefore w:val="0"/>
        <w:widowControl w:val="0"/>
        <w:numPr>
          <w:ilvl w:val="0"/>
          <w:numId w:val="4"/>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安全设施：拥有堵漏设备，包括以下物品：棉布、堵漏木塞等。必须配备乘客上下船舶的安全设施：如护拦、扶手、扶梯、安全网、乘客安全指南，船舶安全设备和救生设备使用说明书及图纸等。</w:t>
      </w:r>
    </w:p>
    <w:p>
      <w:pPr>
        <w:pStyle w:val="25"/>
        <w:keepNext w:val="0"/>
        <w:keepLines w:val="0"/>
        <w:pageBreakBefore w:val="0"/>
        <w:widowControl w:val="0"/>
        <w:numPr>
          <w:ilvl w:val="0"/>
          <w:numId w:val="4"/>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应急装置及部署：必须在船舶醒目位置贴示应急逃生标识，标明应急须知：紧急情况下采取的重要行动；保证应急报警系统的完好可用。</w:t>
      </w:r>
    </w:p>
    <w:p>
      <w:pPr>
        <w:pStyle w:val="25"/>
        <w:keepNext w:val="0"/>
        <w:keepLines w:val="0"/>
        <w:pageBreakBefore w:val="0"/>
        <w:widowControl w:val="0"/>
        <w:numPr>
          <w:ilvl w:val="0"/>
          <w:numId w:val="4"/>
        </w:numPr>
        <w:kinsoku/>
        <w:wordWrap/>
        <w:overflowPunct/>
        <w:topLinePunct w:val="0"/>
        <w:autoSpaceDE/>
        <w:autoSpaceDN/>
        <w:bidi w:val="0"/>
        <w:snapToGrid/>
        <w:spacing w:line="360" w:lineRule="auto"/>
        <w:ind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交通船的主机要求是双机，航速要求在15节－20节之间。</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 xml:space="preserve">5.3 在船舶起租前验船时，投标人需提供以下船舶证书和资料： </w:t>
      </w:r>
    </w:p>
    <w:p>
      <w:pPr>
        <w:pStyle w:val="25"/>
        <w:keepNext w:val="0"/>
        <w:keepLines w:val="0"/>
        <w:pageBreakBefore w:val="0"/>
        <w:widowControl w:val="0"/>
        <w:numPr>
          <w:ilvl w:val="0"/>
          <w:numId w:val="0"/>
        </w:numPr>
        <w:tabs>
          <w:tab w:val="left" w:pos="1040"/>
        </w:tabs>
        <w:kinsoku/>
        <w:wordWrap/>
        <w:overflowPunct/>
        <w:topLinePunct w:val="0"/>
        <w:autoSpaceDE/>
        <w:autoSpaceDN/>
        <w:bidi w:val="0"/>
        <w:snapToGrid/>
        <w:spacing w:line="360" w:lineRule="auto"/>
        <w:ind w:left="142"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海事局、船级社颁发的</w:t>
      </w:r>
      <w:r>
        <w:rPr>
          <w:rFonts w:hint="eastAsia" w:ascii="仿宋" w:hAnsi="仿宋" w:eastAsia="仿宋" w:cs="仿宋"/>
          <w:color w:val="auto"/>
          <w:sz w:val="24"/>
          <w:szCs w:val="24"/>
          <w:highlight w:val="none"/>
          <w:lang w:val="en-US" w:eastAsia="zh-CN"/>
        </w:rPr>
        <w:t>船舶</w:t>
      </w:r>
      <w:r>
        <w:rPr>
          <w:rFonts w:hint="eastAsia" w:ascii="仿宋" w:hAnsi="仿宋" w:eastAsia="仿宋" w:cs="仿宋"/>
          <w:color w:val="auto"/>
          <w:sz w:val="24"/>
          <w:szCs w:val="24"/>
          <w:highlight w:val="none"/>
          <w:lang w:eastAsia="zh-CN"/>
        </w:rPr>
        <w:t>法定有效证书和检验报告；</w:t>
      </w:r>
    </w:p>
    <w:p>
      <w:pPr>
        <w:pStyle w:val="25"/>
        <w:keepNext w:val="0"/>
        <w:keepLines w:val="0"/>
        <w:pageBreakBefore w:val="0"/>
        <w:widowControl w:val="0"/>
        <w:numPr>
          <w:ilvl w:val="0"/>
          <w:numId w:val="0"/>
        </w:numPr>
        <w:tabs>
          <w:tab w:val="left" w:pos="1040"/>
        </w:tabs>
        <w:kinsoku/>
        <w:wordWrap/>
        <w:overflowPunct/>
        <w:topLinePunct w:val="0"/>
        <w:autoSpaceDE/>
        <w:autoSpaceDN/>
        <w:bidi w:val="0"/>
        <w:snapToGrid/>
        <w:spacing w:line="360" w:lineRule="auto"/>
        <w:ind w:left="142"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2）船舶</w:t>
      </w:r>
      <w:r>
        <w:rPr>
          <w:rFonts w:hint="eastAsia" w:ascii="仿宋" w:hAnsi="仿宋" w:eastAsia="仿宋" w:cs="仿宋"/>
          <w:color w:val="auto"/>
          <w:sz w:val="24"/>
          <w:szCs w:val="24"/>
          <w:highlight w:val="none"/>
          <w:lang w:eastAsia="zh-CN"/>
        </w:rPr>
        <w:t>图纸（包括舱容表等）、加油记录、航海日志轮和机日志；</w:t>
      </w:r>
    </w:p>
    <w:p>
      <w:pPr>
        <w:pStyle w:val="25"/>
        <w:keepNext w:val="0"/>
        <w:keepLines w:val="0"/>
        <w:pageBreakBefore w:val="0"/>
        <w:widowControl w:val="0"/>
        <w:numPr>
          <w:ilvl w:val="0"/>
          <w:numId w:val="0"/>
        </w:numPr>
        <w:tabs>
          <w:tab w:val="left" w:pos="1040"/>
        </w:tabs>
        <w:kinsoku/>
        <w:wordWrap/>
        <w:overflowPunct/>
        <w:topLinePunct w:val="0"/>
        <w:autoSpaceDE/>
        <w:autoSpaceDN/>
        <w:bidi w:val="0"/>
        <w:snapToGrid/>
        <w:spacing w:line="360" w:lineRule="auto"/>
        <w:ind w:left="142"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船舶的详细技术规格书、总布置图等技术资料；</w:t>
      </w:r>
    </w:p>
    <w:p>
      <w:pPr>
        <w:pStyle w:val="25"/>
        <w:keepNext w:val="0"/>
        <w:keepLines w:val="0"/>
        <w:pageBreakBefore w:val="0"/>
        <w:widowControl w:val="0"/>
        <w:numPr>
          <w:ilvl w:val="0"/>
          <w:numId w:val="0"/>
        </w:numPr>
        <w:tabs>
          <w:tab w:val="left" w:pos="1040"/>
        </w:tabs>
        <w:kinsoku/>
        <w:wordWrap/>
        <w:overflowPunct/>
        <w:topLinePunct w:val="0"/>
        <w:autoSpaceDE/>
        <w:autoSpaceDN/>
        <w:bidi w:val="0"/>
        <w:snapToGrid/>
        <w:spacing w:line="360" w:lineRule="auto"/>
        <w:ind w:left="142"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4）所有船</w:t>
      </w:r>
      <w:r>
        <w:rPr>
          <w:rFonts w:hint="eastAsia" w:ascii="仿宋" w:hAnsi="仿宋" w:eastAsia="仿宋" w:cs="仿宋"/>
          <w:color w:val="auto"/>
          <w:sz w:val="24"/>
          <w:szCs w:val="24"/>
          <w:highlight w:val="none"/>
          <w:lang w:eastAsia="zh-CN"/>
        </w:rPr>
        <w:t>员适任证书，</w:t>
      </w:r>
      <w:r>
        <w:rPr>
          <w:rFonts w:hint="eastAsia" w:ascii="仿宋" w:hAnsi="仿宋" w:eastAsia="仿宋" w:cs="仿宋"/>
          <w:color w:val="auto"/>
          <w:sz w:val="24"/>
          <w:szCs w:val="24"/>
          <w:highlight w:val="none"/>
          <w:lang w:val="en-US" w:eastAsia="zh-CN"/>
        </w:rPr>
        <w:t>及</w:t>
      </w:r>
      <w:r>
        <w:rPr>
          <w:rFonts w:hint="eastAsia" w:ascii="仿宋" w:hAnsi="仿宋" w:eastAsia="仿宋" w:cs="仿宋"/>
          <w:color w:val="auto"/>
          <w:sz w:val="24"/>
          <w:szCs w:val="24"/>
          <w:highlight w:val="none"/>
          <w:lang w:eastAsia="zh-CN"/>
        </w:rPr>
        <w:t>关键岗位人员简历，并经</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eastAsia="zh-CN"/>
        </w:rPr>
        <w:t>审核批准；</w:t>
      </w:r>
    </w:p>
    <w:p>
      <w:pPr>
        <w:pStyle w:val="25"/>
        <w:keepNext w:val="0"/>
        <w:keepLines w:val="0"/>
        <w:pageBreakBefore w:val="0"/>
        <w:widowControl w:val="0"/>
        <w:numPr>
          <w:ilvl w:val="0"/>
          <w:numId w:val="0"/>
        </w:numPr>
        <w:tabs>
          <w:tab w:val="left" w:pos="1040"/>
        </w:tabs>
        <w:kinsoku/>
        <w:wordWrap/>
        <w:overflowPunct/>
        <w:topLinePunct w:val="0"/>
        <w:autoSpaceDE/>
        <w:autoSpaceDN/>
        <w:bidi w:val="0"/>
        <w:snapToGrid/>
        <w:spacing w:line="360" w:lineRule="auto"/>
        <w:ind w:left="142"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船舶燃料类型及每日油水消耗的详细信息；</w:t>
      </w:r>
    </w:p>
    <w:p>
      <w:pPr>
        <w:pStyle w:val="25"/>
        <w:keepNext w:val="0"/>
        <w:keepLines w:val="0"/>
        <w:pageBreakBefore w:val="0"/>
        <w:widowControl w:val="0"/>
        <w:numPr>
          <w:ilvl w:val="0"/>
          <w:numId w:val="0"/>
        </w:numPr>
        <w:tabs>
          <w:tab w:val="left" w:pos="1040"/>
        </w:tabs>
        <w:kinsoku/>
        <w:wordWrap/>
        <w:overflowPunct/>
        <w:topLinePunct w:val="0"/>
        <w:autoSpaceDE/>
        <w:autoSpaceDN/>
        <w:bidi w:val="0"/>
        <w:snapToGrid/>
        <w:spacing w:line="360" w:lineRule="auto"/>
        <w:ind w:left="142"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6）招标人</w:t>
      </w:r>
      <w:r>
        <w:rPr>
          <w:rFonts w:hint="eastAsia" w:ascii="仿宋" w:hAnsi="仿宋" w:eastAsia="仿宋" w:cs="仿宋"/>
          <w:color w:val="auto"/>
          <w:sz w:val="24"/>
          <w:szCs w:val="24"/>
          <w:highlight w:val="none"/>
        </w:rPr>
        <w:t>要求的其他文件</w:t>
      </w:r>
      <w:r>
        <w:rPr>
          <w:rFonts w:hint="eastAsia" w:ascii="仿宋" w:hAnsi="仿宋" w:eastAsia="仿宋" w:cs="仿宋"/>
          <w:color w:val="auto"/>
          <w:sz w:val="24"/>
          <w:szCs w:val="24"/>
          <w:highlight w:val="none"/>
          <w:lang w:eastAsia="zh-CN"/>
        </w:rPr>
        <w:t>。</w:t>
      </w:r>
    </w:p>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2" w:firstLineChars="200"/>
        <w:textAlignment w:val="auto"/>
        <w:rPr>
          <w:rFonts w:hint="eastAsia" w:ascii="仿宋" w:hAnsi="仿宋" w:eastAsia="仿宋" w:cs="仿宋"/>
          <w:b/>
          <w:bCs/>
          <w:color w:val="auto"/>
          <w:sz w:val="24"/>
          <w:szCs w:val="24"/>
          <w:highlight w:val="none"/>
          <w:lang w:val="en-US" w:eastAsia="zh-CN"/>
        </w:rPr>
      </w:pPr>
      <w:bookmarkStart w:id="6" w:name="_Toc5305"/>
      <w:r>
        <w:rPr>
          <w:rFonts w:hint="eastAsia" w:ascii="仿宋" w:hAnsi="仿宋" w:eastAsia="仿宋" w:cs="仿宋"/>
          <w:b/>
          <w:bCs/>
          <w:color w:val="auto"/>
          <w:sz w:val="24"/>
          <w:szCs w:val="24"/>
          <w:highlight w:val="none"/>
          <w:lang w:val="en-US" w:eastAsia="zh-CN"/>
        </w:rPr>
        <w:t>5.4 船舶所有权及管理证书要求（引用采购技术标准文件《CGBZ-ⅡHF0932-2025 船舶租赁服务》中4.8节）</w:t>
      </w:r>
    </w:p>
    <w:p>
      <w:pPr>
        <w:pStyle w:val="2"/>
        <w:keepNext w:val="0"/>
        <w:keepLines w:val="0"/>
        <w:pageBreakBefore w:val="0"/>
        <w:kinsoku/>
        <w:wordWrap/>
        <w:overflowPunct/>
        <w:topLinePunct w:val="0"/>
        <w:bidi w:val="0"/>
        <w:snapToGrid/>
        <w:spacing w:line="360" w:lineRule="auto"/>
        <w:ind w:left="0" w:leftChars="0" w:right="121" w:rightChars="55"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投标人及使用的船舶至少须满足以下条件之一：</w:t>
      </w:r>
    </w:p>
    <w:p>
      <w:pPr>
        <w:pStyle w:val="25"/>
        <w:keepNext w:val="0"/>
        <w:keepLines w:val="0"/>
        <w:pageBreakBefore w:val="0"/>
        <w:widowControl w:val="0"/>
        <w:numPr>
          <w:ilvl w:val="0"/>
          <w:numId w:val="5"/>
        </w:numPr>
        <w:tabs>
          <w:tab w:val="left" w:pos="1040"/>
        </w:tabs>
        <w:kinsoku/>
        <w:wordWrap/>
        <w:overflowPunct/>
        <w:topLinePunct w:val="0"/>
        <w:autoSpaceDE/>
        <w:autoSpaceDN/>
        <w:bidi w:val="0"/>
        <w:snapToGrid/>
        <w:spacing w:line="360" w:lineRule="auto"/>
        <w:ind w:left="0" w:leftChars="0"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若投标人是投标船舶的所有权人，投标人应提供所投船舶的：1）船舶所有权证书以证明为自有船舶，当船舶所有权证书为公司共有性质，以《船舶所有权登记证书》中“船舶共有情况”所列内容为准，如船舶存在共有情况，投标人公司持有股份应不低于51%；2）SMC证书（按照中华人民共和国船舶安全营运和防止污染管理规则的要求不纳入船舶安全管理体系管控的船舶除外）；3）DOC证书（按照中华人民共和国船舶安全营运和防止污染管理规则的要求不纳入船舶安全管理体系管控的船舶除外），DOC证书公司的名称需与船舶SMC证书中管理公司名称保持一致。</w:t>
      </w:r>
    </w:p>
    <w:p>
      <w:pPr>
        <w:pStyle w:val="25"/>
        <w:keepNext w:val="0"/>
        <w:keepLines w:val="0"/>
        <w:pageBreakBefore w:val="0"/>
        <w:widowControl w:val="0"/>
        <w:numPr>
          <w:ilvl w:val="0"/>
          <w:numId w:val="5"/>
        </w:numPr>
        <w:tabs>
          <w:tab w:val="left" w:pos="1040"/>
        </w:tabs>
        <w:kinsoku/>
        <w:wordWrap/>
        <w:overflowPunct/>
        <w:topLinePunct w:val="0"/>
        <w:autoSpaceDE/>
        <w:autoSpaceDN/>
        <w:bidi w:val="0"/>
        <w:snapToGrid/>
        <w:spacing w:line="360" w:lineRule="auto"/>
        <w:ind w:left="0" w:leftChars="0"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若投标人为投标船舶的光船租赁人，投标人应提供所投船舶的：1）与船舶所有权人的“光船租赁登记证明书”，“光船租赁期限”的有效期应覆盖与招标人后续签订租船协议的有效期（起始时间从投标截止日开始算起）；2）SMC证书（按照中华人民共和国船舶安全营运和防止污染管理规则的要求不纳入船舶安全管理体系管控的船舶除外）；3）DOC证书（按照中华人民共和国船舶安全营运和防止污染管理规则的要求不纳入船舶安全管理体系管控的船舶除外），DOC证书公司的名称需与船舶SMC证书中管理公司名称保持一致。</w:t>
      </w:r>
    </w:p>
    <w:p>
      <w:pPr>
        <w:pStyle w:val="25"/>
        <w:keepNext w:val="0"/>
        <w:keepLines w:val="0"/>
        <w:pageBreakBefore w:val="0"/>
        <w:widowControl w:val="0"/>
        <w:numPr>
          <w:ilvl w:val="0"/>
          <w:numId w:val="5"/>
        </w:numPr>
        <w:tabs>
          <w:tab w:val="left" w:pos="1040"/>
        </w:tabs>
        <w:kinsoku/>
        <w:wordWrap/>
        <w:overflowPunct/>
        <w:topLinePunct w:val="0"/>
        <w:autoSpaceDE/>
        <w:autoSpaceDN/>
        <w:bidi w:val="0"/>
        <w:snapToGrid/>
        <w:spacing w:line="360" w:lineRule="auto"/>
        <w:ind w:left="0" w:leftChars="0"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若投标人为投标船舶的租赁人，投标人应提供：1）与船舶所有权人签署的有效期内船舶租赁合同（备注：如为非船舶运营公司的自有船舶，还需要提供船东给船舶运营公司的授权），“船舶租赁合同期限”的有效期应覆盖与招标人后续签订租船协议的有效期（起始时间从投标截止日开始算起）；2）所投船舶的SMC证书（按照中华人民共和国船舶安全营运和防止污染管理规则的要求不纳入船舶安全管理体系管控的船舶除外）；3）DOC证书（按照中华人民共和国船舶安全营运和防止污染管理规则的要求不纳入船舶安全管理体系管控的船舶除外），DOC证书公司的名称需与船舶SMC证书中管理公司名称保持一致。</w:t>
      </w:r>
    </w:p>
    <w:bookmarkEnd w:id="6"/>
    <w:p>
      <w:pPr>
        <w:pStyle w:val="25"/>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2" w:firstLineChars="200"/>
        <w:textAlignment w:val="auto"/>
        <w:rPr>
          <w:rFonts w:hint="eastAsia" w:ascii="仿宋" w:hAnsi="仿宋" w:eastAsia="仿宋" w:cs="仿宋"/>
          <w:b/>
          <w:bCs/>
          <w:color w:val="auto"/>
          <w:sz w:val="24"/>
          <w:szCs w:val="24"/>
          <w:highlight w:val="none"/>
          <w:lang w:val="en-US" w:eastAsia="zh-CN"/>
        </w:rPr>
      </w:pPr>
      <w:bookmarkStart w:id="7" w:name="_Toc246908566"/>
      <w:bookmarkStart w:id="8" w:name="_Toc363648426"/>
      <w:r>
        <w:rPr>
          <w:rFonts w:hint="eastAsia" w:ascii="仿宋" w:hAnsi="仿宋" w:eastAsia="仿宋" w:cs="仿宋"/>
          <w:b/>
          <w:bCs/>
          <w:color w:val="auto"/>
          <w:sz w:val="24"/>
          <w:szCs w:val="24"/>
          <w:highlight w:val="none"/>
          <w:lang w:val="en-US" w:eastAsia="zh-CN"/>
        </w:rPr>
        <w:t>5.5 船舶起租前验船要求</w:t>
      </w:r>
    </w:p>
    <w:p>
      <w:pPr>
        <w:pStyle w:val="2"/>
        <w:keepNext w:val="0"/>
        <w:keepLines w:val="0"/>
        <w:pageBreakBefore w:val="0"/>
        <w:kinsoku/>
        <w:wordWrap/>
        <w:overflowPunct/>
        <w:topLinePunct w:val="0"/>
        <w:bidi w:val="0"/>
        <w:snapToGrid/>
        <w:spacing w:line="360" w:lineRule="auto"/>
        <w:ind w:left="0" w:leftChars="0" w:right="121" w:rightChars="55"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1）投标人</w:t>
      </w:r>
      <w:r>
        <w:rPr>
          <w:rFonts w:hint="eastAsia" w:ascii="仿宋" w:hAnsi="仿宋" w:eastAsia="仿宋" w:cs="仿宋"/>
          <w:color w:val="auto"/>
          <w:sz w:val="24"/>
          <w:szCs w:val="24"/>
          <w:highlight w:val="none"/>
          <w:lang w:val="zh-CN" w:eastAsia="zh-CN"/>
        </w:rPr>
        <w:t>须承诺：在</w:t>
      </w:r>
      <w:r>
        <w:rPr>
          <w:rFonts w:hint="eastAsia" w:ascii="仿宋" w:hAnsi="仿宋" w:eastAsia="仿宋" w:cs="仿宋"/>
          <w:color w:val="auto"/>
          <w:sz w:val="24"/>
          <w:szCs w:val="24"/>
          <w:highlight w:val="none"/>
          <w:lang w:val="en-US" w:eastAsia="zh-CN"/>
        </w:rPr>
        <w:t>船舶起租前</w:t>
      </w:r>
      <w:r>
        <w:rPr>
          <w:rFonts w:hint="eastAsia" w:ascii="仿宋" w:hAnsi="仿宋" w:eastAsia="仿宋" w:cs="仿宋"/>
          <w:color w:val="auto"/>
          <w:sz w:val="24"/>
          <w:szCs w:val="24"/>
          <w:highlight w:val="none"/>
          <w:lang w:val="zh-CN" w:eastAsia="zh-CN"/>
        </w:rPr>
        <w:t>，</w:t>
      </w:r>
      <w:r>
        <w:rPr>
          <w:rFonts w:hint="eastAsia" w:ascii="仿宋" w:hAnsi="仿宋" w:eastAsia="仿宋" w:cs="仿宋"/>
          <w:color w:val="auto"/>
          <w:sz w:val="24"/>
          <w:szCs w:val="24"/>
          <w:highlight w:val="none"/>
          <w:lang w:val="en-US" w:eastAsia="zh-CN"/>
        </w:rPr>
        <w:t>配合招标人</w:t>
      </w:r>
      <w:r>
        <w:rPr>
          <w:rFonts w:hint="eastAsia" w:ascii="仿宋" w:hAnsi="仿宋" w:eastAsia="仿宋" w:cs="仿宋"/>
          <w:color w:val="auto"/>
          <w:sz w:val="24"/>
          <w:szCs w:val="24"/>
          <w:highlight w:val="none"/>
          <w:lang w:val="zh-CN" w:eastAsia="zh-CN"/>
        </w:rPr>
        <w:t>或</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val="zh-CN" w:eastAsia="zh-CN"/>
        </w:rPr>
        <w:t>聘请的第三方人员</w:t>
      </w:r>
      <w:r>
        <w:rPr>
          <w:rFonts w:hint="eastAsia" w:ascii="仿宋" w:hAnsi="仿宋" w:eastAsia="仿宋" w:cs="仿宋"/>
          <w:color w:val="auto"/>
          <w:sz w:val="24"/>
          <w:szCs w:val="24"/>
          <w:highlight w:val="none"/>
          <w:lang w:val="en-US" w:eastAsia="zh-CN"/>
        </w:rPr>
        <w:t>进行</w:t>
      </w:r>
      <w:r>
        <w:rPr>
          <w:rFonts w:hint="eastAsia" w:ascii="仿宋" w:hAnsi="仿宋" w:eastAsia="仿宋" w:cs="仿宋"/>
          <w:color w:val="auto"/>
          <w:sz w:val="24"/>
          <w:szCs w:val="24"/>
          <w:highlight w:val="none"/>
          <w:lang w:val="zh-CN" w:eastAsia="zh-CN"/>
        </w:rPr>
        <w:t>验船。对验船不符合项按期整改，整改完成且验船通过后方可起租。</w:t>
      </w:r>
    </w:p>
    <w:p>
      <w:pPr>
        <w:pStyle w:val="2"/>
        <w:keepNext w:val="0"/>
        <w:keepLines w:val="0"/>
        <w:pageBreakBefore w:val="0"/>
        <w:kinsoku/>
        <w:wordWrap/>
        <w:overflowPunct/>
        <w:topLinePunct w:val="0"/>
        <w:bidi w:val="0"/>
        <w:snapToGrid/>
        <w:spacing w:line="360" w:lineRule="auto"/>
        <w:ind w:left="0" w:leftChars="0" w:right="121" w:rightChars="55"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2）投标人</w:t>
      </w:r>
      <w:r>
        <w:rPr>
          <w:rFonts w:hint="eastAsia" w:ascii="仿宋" w:hAnsi="仿宋" w:eastAsia="仿宋" w:cs="仿宋"/>
          <w:color w:val="auto"/>
          <w:sz w:val="24"/>
          <w:szCs w:val="24"/>
          <w:highlight w:val="none"/>
          <w:lang w:val="zh-CN" w:eastAsia="zh-CN"/>
        </w:rPr>
        <w:t>须承诺：验船前在船舶的驾驶台等关键区域实现视频监控覆盖。</w:t>
      </w:r>
    </w:p>
    <w:p>
      <w:pPr>
        <w:pStyle w:val="2"/>
        <w:keepNext w:val="0"/>
        <w:keepLines w:val="0"/>
        <w:pageBreakBefore w:val="0"/>
        <w:kinsoku/>
        <w:wordWrap/>
        <w:overflowPunct/>
        <w:topLinePunct w:val="0"/>
        <w:bidi w:val="0"/>
        <w:snapToGrid/>
        <w:spacing w:line="360" w:lineRule="auto"/>
        <w:ind w:left="0" w:leftChars="0" w:right="121" w:rightChars="55"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3）投标人</w:t>
      </w:r>
      <w:r>
        <w:rPr>
          <w:rFonts w:hint="eastAsia" w:ascii="仿宋" w:hAnsi="仿宋" w:eastAsia="仿宋" w:cs="仿宋"/>
          <w:color w:val="auto"/>
          <w:sz w:val="24"/>
          <w:szCs w:val="24"/>
          <w:highlight w:val="none"/>
          <w:lang w:val="zh-CN" w:eastAsia="zh-CN"/>
        </w:rPr>
        <w:t>须承诺：在</w:t>
      </w:r>
      <w:r>
        <w:rPr>
          <w:rFonts w:hint="eastAsia" w:ascii="仿宋" w:hAnsi="仿宋" w:eastAsia="仿宋" w:cs="仿宋"/>
          <w:color w:val="auto"/>
          <w:sz w:val="24"/>
          <w:szCs w:val="24"/>
          <w:highlight w:val="none"/>
          <w:lang w:val="en-US" w:eastAsia="zh-CN"/>
        </w:rPr>
        <w:t>验船时提供以下保险单：船壳险、船东对旅客责任险、船东对船员责任险</w:t>
      </w:r>
      <w:r>
        <w:rPr>
          <w:rFonts w:hint="eastAsia" w:ascii="仿宋" w:hAnsi="仿宋" w:eastAsia="仿宋" w:cs="仿宋"/>
          <w:color w:val="auto"/>
          <w:sz w:val="24"/>
          <w:szCs w:val="24"/>
          <w:highlight w:val="none"/>
          <w:lang w:val="zh-CN" w:eastAsia="zh-CN"/>
        </w:rPr>
        <w:t>。</w:t>
      </w:r>
    </w:p>
    <w:p>
      <w:pPr>
        <w:pStyle w:val="2"/>
        <w:keepNext w:val="0"/>
        <w:keepLines w:val="0"/>
        <w:pageBreakBefore w:val="0"/>
        <w:kinsoku/>
        <w:wordWrap/>
        <w:overflowPunct/>
        <w:topLinePunct w:val="0"/>
        <w:bidi w:val="0"/>
        <w:snapToGrid/>
        <w:spacing w:line="360" w:lineRule="auto"/>
        <w:ind w:left="0" w:leftChars="0" w:right="121" w:rightChars="55"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4）投标人</w:t>
      </w:r>
      <w:r>
        <w:rPr>
          <w:rFonts w:hint="eastAsia" w:ascii="仿宋" w:hAnsi="仿宋" w:eastAsia="仿宋" w:cs="仿宋"/>
          <w:color w:val="auto"/>
          <w:sz w:val="24"/>
          <w:szCs w:val="24"/>
          <w:highlight w:val="none"/>
          <w:lang w:val="zh-CN" w:eastAsia="zh-CN"/>
        </w:rPr>
        <w:t>须承诺：在</w:t>
      </w:r>
      <w:r>
        <w:rPr>
          <w:rFonts w:hint="eastAsia" w:ascii="仿宋" w:hAnsi="仿宋" w:eastAsia="仿宋" w:cs="仿宋"/>
          <w:color w:val="auto"/>
          <w:sz w:val="24"/>
          <w:szCs w:val="24"/>
          <w:highlight w:val="none"/>
          <w:lang w:val="en-US" w:eastAsia="zh-CN"/>
        </w:rPr>
        <w:t>验船时，提供</w:t>
      </w:r>
      <w:r>
        <w:rPr>
          <w:rFonts w:hint="eastAsia" w:ascii="仿宋" w:hAnsi="仿宋" w:eastAsia="仿宋" w:cs="仿宋"/>
          <w:color w:val="auto"/>
          <w:sz w:val="24"/>
          <w:szCs w:val="24"/>
          <w:highlight w:val="none"/>
          <w:lang w:val="zh-CN" w:eastAsia="zh-CN"/>
        </w:rPr>
        <w:t>《船舶所有权登记证书》、《船舶国籍证书》、《最低配员证书》、《</w:t>
      </w:r>
      <w:r>
        <w:rPr>
          <w:rFonts w:hint="eastAsia" w:ascii="仿宋" w:hAnsi="仿宋" w:eastAsia="仿宋" w:cs="仿宋"/>
          <w:color w:val="auto"/>
          <w:sz w:val="24"/>
          <w:szCs w:val="24"/>
          <w:highlight w:val="none"/>
          <w:lang w:val="en-US" w:eastAsia="zh-CN"/>
        </w:rPr>
        <w:t>沿海小船检验证书》或《小型海船海船安全与环保证书》（如大于20米船舶，则具备《海上船舶检验证书》或《国内航行安全与环保证书》）。</w:t>
      </w:r>
    </w:p>
    <w:p>
      <w:pPr>
        <w:pStyle w:val="2"/>
        <w:keepNext w:val="0"/>
        <w:keepLines w:val="0"/>
        <w:pageBreakBefore w:val="0"/>
        <w:kinsoku/>
        <w:wordWrap/>
        <w:overflowPunct/>
        <w:topLinePunct w:val="0"/>
        <w:bidi w:val="0"/>
        <w:snapToGrid/>
        <w:spacing w:line="360" w:lineRule="auto"/>
        <w:ind w:left="0" w:leftChars="0" w:right="121" w:rightChars="55"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5）投标人须承诺：服务船舶</w:t>
      </w:r>
      <w:r>
        <w:rPr>
          <w:rFonts w:hint="eastAsia" w:ascii="仿宋" w:hAnsi="仿宋" w:eastAsia="仿宋" w:cs="仿宋"/>
          <w:color w:val="auto"/>
          <w:sz w:val="24"/>
          <w:szCs w:val="24"/>
          <w:highlight w:val="none"/>
          <w:lang w:val="zh-CN" w:eastAsia="zh-CN"/>
        </w:rPr>
        <w:t>《船舶营业运输证》</w:t>
      </w:r>
      <w:r>
        <w:rPr>
          <w:rFonts w:hint="eastAsia" w:ascii="仿宋" w:hAnsi="仿宋" w:eastAsia="仿宋" w:cs="仿宋"/>
          <w:color w:val="auto"/>
          <w:sz w:val="24"/>
          <w:szCs w:val="24"/>
          <w:highlight w:val="none"/>
          <w:lang w:val="en-US" w:eastAsia="zh-CN"/>
        </w:rPr>
        <w:t>满足在惠州港运营要求。</w:t>
      </w:r>
    </w:p>
    <w:bookmarkEnd w:id="7"/>
    <w:bookmarkEnd w:id="8"/>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标识、包装、运输和存储：不涉及。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工作进度和现场验收</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outlineLvl w:val="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服务及验收标准</w:t>
      </w:r>
      <w:r>
        <w:rPr>
          <w:rFonts w:hint="eastAsia" w:ascii="仿宋" w:hAnsi="仿宋" w:eastAsia="仿宋" w:cs="仿宋"/>
          <w:b/>
          <w:bCs/>
          <w:color w:val="auto"/>
          <w:kern w:val="2"/>
          <w:sz w:val="24"/>
          <w:szCs w:val="24"/>
          <w:highlight w:val="none"/>
          <w:lang w:val="zh-CN" w:eastAsia="zh-CN" w:bidi="ar-SA"/>
        </w:rPr>
        <w:t>（引用采购技术标准文件《CGBZ-ⅡHF0932-2025 船舶租赁服务》中第6节验收标准）</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作业前现场验收要求：投标人船舶进场服务开始前，招标人需按照招标文件、投标文件、合同条款中约定的服务船舶技术指标，如船舶类型、船舶吨位、船舶主机功率、船龄等，对投标人提供的服务船舶开展入场前安全验收工作，并出具安全验收报告。经招标人验收合格的服务船舶方可参与现场服务工作</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投标人于工作期限结束前应提供符合本项目要求的工作成果，并对工作成果的准确性、完整性负责。如验收过程发现工作存在任何缺陷、瑕疵、疏漏或不符合本项目的规定，投标人应根据招标人的要求，立即采取一切必要、合理的补救措施排除该等缺陷、瑕疵和疏漏。投标人应承担因此发生的一切费用。</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eastAsia="zh-CN"/>
        </w:rPr>
        <w:t>招标人项目内所用作业船舶及作业</w:t>
      </w:r>
      <w:r>
        <w:rPr>
          <w:rFonts w:hint="eastAsia" w:ascii="仿宋" w:hAnsi="仿宋" w:eastAsia="仿宋" w:cs="仿宋"/>
          <w:color w:val="auto"/>
          <w:sz w:val="24"/>
          <w:szCs w:val="24"/>
          <w:highlight w:val="none"/>
          <w:lang w:val="en-US" w:eastAsia="zh-CN"/>
        </w:rPr>
        <w:t>工作量确认单。</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严禁使用《老旧运输船舶管理规定》已达到强制报废年限的超龄船舶。</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如果合同终止时服务时间不足满月，则当月服务费按实际天数计算（月费率除以当月天数，乘以实际服务天数）。</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lang w:eastAsia="zh-CN"/>
        </w:rPr>
        <w:t>技术服务与售后服务：不涉及。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质量保证</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提供服务的船舶必须符合交通、海事部门相应的安全管理要求，如发生相关职能部门检查不合格而影响船舶作业，造成的损失由</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lang w:eastAsia="zh-CN"/>
        </w:rPr>
        <w:t>负责。</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船舶主要设备处于良好状态，</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eastAsia="zh-CN"/>
        </w:rPr>
        <w:t>有权对船上设备状况进行检查；</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服务期间，</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lang w:eastAsia="zh-CN"/>
        </w:rPr>
        <w:t>接受</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eastAsia="zh-CN"/>
        </w:rPr>
        <w:t>相关管理制度，包括但不限于接受</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eastAsia="zh-CN"/>
        </w:rPr>
        <w:t>安排的起租前检验，租赁期间的日报制度，租赁期间与</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eastAsia="zh-CN"/>
        </w:rPr>
        <w:t>的事故、险情报送要求等。</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需要做好安全和防污染措施，遵守地方政府和</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eastAsia="zh-CN"/>
        </w:rPr>
        <w:t>的相关规定。</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如因</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lang w:eastAsia="zh-CN"/>
        </w:rPr>
        <w:t>的原因影响船舶作业或造成其它损害的，由</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lang w:eastAsia="zh-CN"/>
        </w:rPr>
        <w:t>承担赔偿责任。</w:t>
      </w:r>
    </w:p>
    <w:bookmarkEnd w:id="4"/>
    <w:bookmarkEnd w:id="5"/>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bCs/>
          <w:color w:val="auto"/>
          <w:sz w:val="24"/>
          <w:szCs w:val="24"/>
          <w:highlight w:val="none"/>
          <w:lang w:eastAsia="zh-CN"/>
        </w:rPr>
      </w:pPr>
      <w:bookmarkStart w:id="9" w:name="_Toc13249328"/>
      <w:bookmarkStart w:id="10" w:name="_Toc13248931"/>
      <w:r>
        <w:rPr>
          <w:rFonts w:hint="eastAsia" w:ascii="仿宋" w:hAnsi="仿宋" w:eastAsia="仿宋" w:cs="仿宋"/>
          <w:b/>
          <w:bCs/>
          <w:color w:val="auto"/>
          <w:sz w:val="24"/>
          <w:szCs w:val="24"/>
          <w:highlight w:val="none"/>
          <w:lang w:eastAsia="zh-CN"/>
        </w:rPr>
        <w:t>其他要求</w:t>
      </w:r>
      <w:bookmarkEnd w:id="9"/>
      <w:bookmarkEnd w:id="10"/>
    </w:p>
    <w:p>
      <w:pPr>
        <w:pStyle w:val="2"/>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lang w:eastAsia="zh-CN"/>
        </w:rPr>
        <w:t>联系人：</w:t>
      </w:r>
      <w:bookmarkStart w:id="11" w:name="_GoBack"/>
      <w:bookmarkEnd w:id="11"/>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eastAsia="zh-CN"/>
        </w:rPr>
        <w:t>付款方式要求，银行电汇；</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Arial-BoldMT">
    <w:altName w:val="Segoe Print"/>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D23198"/>
    <w:multiLevelType w:val="singleLevel"/>
    <w:tmpl w:val="A7D23198"/>
    <w:lvl w:ilvl="0" w:tentative="0">
      <w:start w:val="1"/>
      <w:numFmt w:val="decimal"/>
      <w:lvlText w:val="%1."/>
      <w:lvlJc w:val="left"/>
      <w:pPr>
        <w:ind w:left="645" w:hanging="425"/>
      </w:pPr>
      <w:rPr>
        <w:rFonts w:hint="default"/>
      </w:rPr>
    </w:lvl>
  </w:abstractNum>
  <w:abstractNum w:abstractNumId="1">
    <w:nsid w:val="AD650D7E"/>
    <w:multiLevelType w:val="singleLevel"/>
    <w:tmpl w:val="AD650D7E"/>
    <w:lvl w:ilvl="0" w:tentative="0">
      <w:start w:val="1"/>
      <w:numFmt w:val="decimal"/>
      <w:lvlText w:val="%1."/>
      <w:lvlJc w:val="left"/>
      <w:pPr>
        <w:ind w:left="645" w:hanging="425"/>
      </w:pPr>
      <w:rPr>
        <w:rFonts w:hint="default" w:ascii="仿宋" w:hAnsi="仿宋" w:eastAsia="仿宋" w:cs="仿宋"/>
      </w:rPr>
    </w:lvl>
  </w:abstractNum>
  <w:abstractNum w:abstractNumId="2">
    <w:nsid w:val="D1B0175C"/>
    <w:multiLevelType w:val="singleLevel"/>
    <w:tmpl w:val="D1B0175C"/>
    <w:lvl w:ilvl="0" w:tentative="0">
      <w:start w:val="1"/>
      <w:numFmt w:val="chineseCounting"/>
      <w:suff w:val="nothing"/>
      <w:lvlText w:val="%1、"/>
      <w:lvlJc w:val="left"/>
      <w:pPr>
        <w:ind w:left="-420" w:firstLine="420"/>
      </w:pPr>
      <w:rPr>
        <w:rFonts w:hint="eastAsia" w:ascii="仿宋" w:hAnsi="仿宋" w:eastAsia="仿宋" w:cs="仿宋"/>
        <w:b/>
        <w:bCs/>
        <w:color w:val="auto"/>
      </w:rPr>
    </w:lvl>
  </w:abstractNum>
  <w:abstractNum w:abstractNumId="3">
    <w:nsid w:val="D25552D8"/>
    <w:multiLevelType w:val="singleLevel"/>
    <w:tmpl w:val="D25552D8"/>
    <w:lvl w:ilvl="0" w:tentative="0">
      <w:start w:val="1"/>
      <w:numFmt w:val="decimal"/>
      <w:lvlText w:val="%1."/>
      <w:lvlJc w:val="left"/>
      <w:pPr>
        <w:ind w:left="645" w:hanging="425"/>
      </w:pPr>
      <w:rPr>
        <w:rFonts w:hint="default"/>
      </w:rPr>
    </w:lvl>
  </w:abstractNum>
  <w:abstractNum w:abstractNumId="4">
    <w:nsid w:val="0E26CE69"/>
    <w:multiLevelType w:val="singleLevel"/>
    <w:tmpl w:val="0E26CE69"/>
    <w:lvl w:ilvl="0" w:tentative="0">
      <w:start w:val="1"/>
      <w:numFmt w:val="decimal"/>
      <w:lvlText w:val="%1)"/>
      <w:lvlJc w:val="left"/>
      <w:pPr>
        <w:ind w:left="425" w:hanging="425"/>
      </w:pPr>
      <w:rPr>
        <w:rFonts w:hint="default" w:ascii="仿宋" w:hAnsi="仿宋" w:eastAsia="仿宋" w:cs="仿宋"/>
      </w:rPr>
    </w:lvl>
  </w:abstractNum>
  <w:abstractNum w:abstractNumId="5">
    <w:nsid w:val="0EDE7C83"/>
    <w:multiLevelType w:val="singleLevel"/>
    <w:tmpl w:val="0EDE7C83"/>
    <w:lvl w:ilvl="0" w:tentative="0">
      <w:start w:val="1"/>
      <w:numFmt w:val="decimal"/>
      <w:lvlText w:val="%1)"/>
      <w:lvlJc w:val="left"/>
      <w:pPr>
        <w:ind w:left="425" w:hanging="425"/>
      </w:pPr>
      <w:rPr>
        <w:rFonts w:hint="default"/>
      </w:rPr>
    </w:lvl>
  </w:abstractNum>
  <w:abstractNum w:abstractNumId="6">
    <w:nsid w:val="1BD7677A"/>
    <w:multiLevelType w:val="singleLevel"/>
    <w:tmpl w:val="1BD7677A"/>
    <w:lvl w:ilvl="0" w:tentative="0">
      <w:start w:val="1"/>
      <w:numFmt w:val="decimal"/>
      <w:suff w:val="nothing"/>
      <w:lvlText w:val="%1）"/>
      <w:lvlJc w:val="left"/>
    </w:lvl>
  </w:abstractNum>
  <w:abstractNum w:abstractNumId="7">
    <w:nsid w:val="2361194E"/>
    <w:multiLevelType w:val="singleLevel"/>
    <w:tmpl w:val="2361194E"/>
    <w:lvl w:ilvl="0" w:tentative="0">
      <w:start w:val="1"/>
      <w:numFmt w:val="decimal"/>
      <w:suff w:val="nothing"/>
      <w:lvlText w:val="%1）"/>
      <w:lvlJc w:val="left"/>
    </w:lvl>
  </w:abstractNum>
  <w:num w:numId="1">
    <w:abstractNumId w:val="2"/>
  </w:num>
  <w:num w:numId="2">
    <w:abstractNumId w:val="5"/>
  </w:num>
  <w:num w:numId="3">
    <w:abstractNumId w:val="4"/>
  </w:num>
  <w:num w:numId="4">
    <w:abstractNumId w:val="6"/>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3N2RjNzNhYTU2NGExN2NlMmQ3MWJhNWRmYTcwZmEifQ=="/>
  </w:docVars>
  <w:rsids>
    <w:rsidRoot w:val="001644CF"/>
    <w:rsid w:val="0000572C"/>
    <w:rsid w:val="00010790"/>
    <w:rsid w:val="00015CC7"/>
    <w:rsid w:val="000267DE"/>
    <w:rsid w:val="00055FDF"/>
    <w:rsid w:val="0009050D"/>
    <w:rsid w:val="000969B8"/>
    <w:rsid w:val="000B4EEF"/>
    <w:rsid w:val="000D0C6E"/>
    <w:rsid w:val="000E7DCA"/>
    <w:rsid w:val="00104B17"/>
    <w:rsid w:val="00121D84"/>
    <w:rsid w:val="00125DD4"/>
    <w:rsid w:val="00127348"/>
    <w:rsid w:val="001323F9"/>
    <w:rsid w:val="001644CF"/>
    <w:rsid w:val="0017543C"/>
    <w:rsid w:val="001A3715"/>
    <w:rsid w:val="001B3054"/>
    <w:rsid w:val="001C0975"/>
    <w:rsid w:val="001C1D30"/>
    <w:rsid w:val="001C20A7"/>
    <w:rsid w:val="00215C60"/>
    <w:rsid w:val="002204C7"/>
    <w:rsid w:val="00223923"/>
    <w:rsid w:val="00243AAC"/>
    <w:rsid w:val="00250D9B"/>
    <w:rsid w:val="00255671"/>
    <w:rsid w:val="00291AC4"/>
    <w:rsid w:val="00296D9D"/>
    <w:rsid w:val="002A2EAC"/>
    <w:rsid w:val="002B756F"/>
    <w:rsid w:val="002D753E"/>
    <w:rsid w:val="002E2797"/>
    <w:rsid w:val="00306668"/>
    <w:rsid w:val="00316452"/>
    <w:rsid w:val="00335848"/>
    <w:rsid w:val="0034575B"/>
    <w:rsid w:val="0035221A"/>
    <w:rsid w:val="00367E0B"/>
    <w:rsid w:val="0037391E"/>
    <w:rsid w:val="00390505"/>
    <w:rsid w:val="00397269"/>
    <w:rsid w:val="003A5561"/>
    <w:rsid w:val="003D4142"/>
    <w:rsid w:val="004020A3"/>
    <w:rsid w:val="004077E1"/>
    <w:rsid w:val="004236F4"/>
    <w:rsid w:val="0048744E"/>
    <w:rsid w:val="004B51C2"/>
    <w:rsid w:val="004C4737"/>
    <w:rsid w:val="004C4CE9"/>
    <w:rsid w:val="004D0B7B"/>
    <w:rsid w:val="004D2468"/>
    <w:rsid w:val="005007A2"/>
    <w:rsid w:val="005341C7"/>
    <w:rsid w:val="005465D7"/>
    <w:rsid w:val="00563C68"/>
    <w:rsid w:val="00583050"/>
    <w:rsid w:val="005856DA"/>
    <w:rsid w:val="00593B4A"/>
    <w:rsid w:val="005C1398"/>
    <w:rsid w:val="005C1CC9"/>
    <w:rsid w:val="005C6578"/>
    <w:rsid w:val="005E10B2"/>
    <w:rsid w:val="005E5065"/>
    <w:rsid w:val="005E7FE1"/>
    <w:rsid w:val="005F1549"/>
    <w:rsid w:val="0060078E"/>
    <w:rsid w:val="006136D4"/>
    <w:rsid w:val="00616D6B"/>
    <w:rsid w:val="0063378A"/>
    <w:rsid w:val="00654889"/>
    <w:rsid w:val="006803DE"/>
    <w:rsid w:val="0069154A"/>
    <w:rsid w:val="00691592"/>
    <w:rsid w:val="006A0D77"/>
    <w:rsid w:val="006D5366"/>
    <w:rsid w:val="006E26C3"/>
    <w:rsid w:val="00704EF0"/>
    <w:rsid w:val="00706FF6"/>
    <w:rsid w:val="00715B0E"/>
    <w:rsid w:val="00723A5A"/>
    <w:rsid w:val="0072590A"/>
    <w:rsid w:val="00753CBD"/>
    <w:rsid w:val="0076111A"/>
    <w:rsid w:val="00767FC6"/>
    <w:rsid w:val="0078770E"/>
    <w:rsid w:val="007A522E"/>
    <w:rsid w:val="007F0E14"/>
    <w:rsid w:val="00832C2D"/>
    <w:rsid w:val="00834BD4"/>
    <w:rsid w:val="00852B10"/>
    <w:rsid w:val="00857686"/>
    <w:rsid w:val="008823DF"/>
    <w:rsid w:val="00891B52"/>
    <w:rsid w:val="008A30AE"/>
    <w:rsid w:val="008B31F2"/>
    <w:rsid w:val="008D107A"/>
    <w:rsid w:val="008E4757"/>
    <w:rsid w:val="008F11B2"/>
    <w:rsid w:val="008F1C83"/>
    <w:rsid w:val="008F201C"/>
    <w:rsid w:val="00913C36"/>
    <w:rsid w:val="00915D85"/>
    <w:rsid w:val="0092222D"/>
    <w:rsid w:val="0092640D"/>
    <w:rsid w:val="00930C87"/>
    <w:rsid w:val="00933E6F"/>
    <w:rsid w:val="00947CC9"/>
    <w:rsid w:val="009824EA"/>
    <w:rsid w:val="00985CA2"/>
    <w:rsid w:val="009B54BE"/>
    <w:rsid w:val="009C2FD5"/>
    <w:rsid w:val="009C6251"/>
    <w:rsid w:val="00A12205"/>
    <w:rsid w:val="00A2514C"/>
    <w:rsid w:val="00A519AA"/>
    <w:rsid w:val="00A8052C"/>
    <w:rsid w:val="00AA6DF9"/>
    <w:rsid w:val="00AC0894"/>
    <w:rsid w:val="00AD262D"/>
    <w:rsid w:val="00AF5B72"/>
    <w:rsid w:val="00B077A1"/>
    <w:rsid w:val="00B10F50"/>
    <w:rsid w:val="00B11B44"/>
    <w:rsid w:val="00B15418"/>
    <w:rsid w:val="00B324F3"/>
    <w:rsid w:val="00B3639A"/>
    <w:rsid w:val="00B56245"/>
    <w:rsid w:val="00B56A52"/>
    <w:rsid w:val="00B823CC"/>
    <w:rsid w:val="00BC0003"/>
    <w:rsid w:val="00BC7E6F"/>
    <w:rsid w:val="00BE3C84"/>
    <w:rsid w:val="00C11C45"/>
    <w:rsid w:val="00C42108"/>
    <w:rsid w:val="00C51C8A"/>
    <w:rsid w:val="00C535B6"/>
    <w:rsid w:val="00C55808"/>
    <w:rsid w:val="00C56DFD"/>
    <w:rsid w:val="00C61DB8"/>
    <w:rsid w:val="00C74A9D"/>
    <w:rsid w:val="00C87CFA"/>
    <w:rsid w:val="00CD420F"/>
    <w:rsid w:val="00CE1FC9"/>
    <w:rsid w:val="00CF00B8"/>
    <w:rsid w:val="00CF5864"/>
    <w:rsid w:val="00D235E3"/>
    <w:rsid w:val="00D40094"/>
    <w:rsid w:val="00D50E01"/>
    <w:rsid w:val="00D71DE5"/>
    <w:rsid w:val="00D71F6F"/>
    <w:rsid w:val="00D86F69"/>
    <w:rsid w:val="00DC3798"/>
    <w:rsid w:val="00E30386"/>
    <w:rsid w:val="00E308BF"/>
    <w:rsid w:val="00E53CCA"/>
    <w:rsid w:val="00E54B43"/>
    <w:rsid w:val="00E87CFE"/>
    <w:rsid w:val="00EA00FE"/>
    <w:rsid w:val="00EB6882"/>
    <w:rsid w:val="00EF142B"/>
    <w:rsid w:val="00F22A9E"/>
    <w:rsid w:val="00F44486"/>
    <w:rsid w:val="00FD2EA2"/>
    <w:rsid w:val="00FD610E"/>
    <w:rsid w:val="0364701E"/>
    <w:rsid w:val="037B3D15"/>
    <w:rsid w:val="04CE7787"/>
    <w:rsid w:val="054E056D"/>
    <w:rsid w:val="05DB064D"/>
    <w:rsid w:val="08897AD0"/>
    <w:rsid w:val="08F43C58"/>
    <w:rsid w:val="097361CC"/>
    <w:rsid w:val="0A590A63"/>
    <w:rsid w:val="0B047508"/>
    <w:rsid w:val="0B5B78D8"/>
    <w:rsid w:val="0C6D41B1"/>
    <w:rsid w:val="0D77242D"/>
    <w:rsid w:val="10E30AFD"/>
    <w:rsid w:val="11123B29"/>
    <w:rsid w:val="13497575"/>
    <w:rsid w:val="13EE107A"/>
    <w:rsid w:val="14C3284C"/>
    <w:rsid w:val="1502746D"/>
    <w:rsid w:val="157A13EA"/>
    <w:rsid w:val="15B1279F"/>
    <w:rsid w:val="1C3A7EA5"/>
    <w:rsid w:val="1FB62717"/>
    <w:rsid w:val="1FDE178A"/>
    <w:rsid w:val="2043117D"/>
    <w:rsid w:val="21831640"/>
    <w:rsid w:val="24BB4C6D"/>
    <w:rsid w:val="24BF3F8E"/>
    <w:rsid w:val="26690FAC"/>
    <w:rsid w:val="26EA55F9"/>
    <w:rsid w:val="278113B5"/>
    <w:rsid w:val="281C4CD2"/>
    <w:rsid w:val="2A9A1CF1"/>
    <w:rsid w:val="2C9E6A1F"/>
    <w:rsid w:val="2CA5603E"/>
    <w:rsid w:val="2CAE3E76"/>
    <w:rsid w:val="2EF42EA2"/>
    <w:rsid w:val="2F2B2909"/>
    <w:rsid w:val="2F7E24E2"/>
    <w:rsid w:val="301B2D6B"/>
    <w:rsid w:val="302734C7"/>
    <w:rsid w:val="30620C7F"/>
    <w:rsid w:val="30C57932"/>
    <w:rsid w:val="32171E20"/>
    <w:rsid w:val="32937CB1"/>
    <w:rsid w:val="329A07E7"/>
    <w:rsid w:val="33001FA1"/>
    <w:rsid w:val="342A0C12"/>
    <w:rsid w:val="34BD4CB7"/>
    <w:rsid w:val="34E5587F"/>
    <w:rsid w:val="37ED1C64"/>
    <w:rsid w:val="389E4823"/>
    <w:rsid w:val="394F1DB0"/>
    <w:rsid w:val="39D37AA5"/>
    <w:rsid w:val="39E71ED5"/>
    <w:rsid w:val="3B197192"/>
    <w:rsid w:val="3EF70F82"/>
    <w:rsid w:val="3F0F62AB"/>
    <w:rsid w:val="406F28D0"/>
    <w:rsid w:val="418378BE"/>
    <w:rsid w:val="42B66FC4"/>
    <w:rsid w:val="44EA423B"/>
    <w:rsid w:val="451A7C90"/>
    <w:rsid w:val="48377E10"/>
    <w:rsid w:val="49393EFF"/>
    <w:rsid w:val="4A6A706B"/>
    <w:rsid w:val="4AAE6D6F"/>
    <w:rsid w:val="4AEE6493"/>
    <w:rsid w:val="4BFA50AB"/>
    <w:rsid w:val="4DAA30F5"/>
    <w:rsid w:val="4E84644F"/>
    <w:rsid w:val="5092477E"/>
    <w:rsid w:val="51BE05CC"/>
    <w:rsid w:val="538C47D2"/>
    <w:rsid w:val="55227ECA"/>
    <w:rsid w:val="55E43222"/>
    <w:rsid w:val="571728FA"/>
    <w:rsid w:val="59F574C4"/>
    <w:rsid w:val="5A6D3BE8"/>
    <w:rsid w:val="5B74333F"/>
    <w:rsid w:val="5C270379"/>
    <w:rsid w:val="5C735723"/>
    <w:rsid w:val="5FFC638B"/>
    <w:rsid w:val="5FFF7965"/>
    <w:rsid w:val="60201AD2"/>
    <w:rsid w:val="60247400"/>
    <w:rsid w:val="61A62CB1"/>
    <w:rsid w:val="62006B89"/>
    <w:rsid w:val="63A467EB"/>
    <w:rsid w:val="63BB05C8"/>
    <w:rsid w:val="640F4F26"/>
    <w:rsid w:val="653A6EEA"/>
    <w:rsid w:val="67FB4F0E"/>
    <w:rsid w:val="6875020A"/>
    <w:rsid w:val="69CC32A0"/>
    <w:rsid w:val="6A3862B0"/>
    <w:rsid w:val="6D614100"/>
    <w:rsid w:val="6DE30FFF"/>
    <w:rsid w:val="6FD564C4"/>
    <w:rsid w:val="71B132B0"/>
    <w:rsid w:val="745A7A64"/>
    <w:rsid w:val="775F1A9C"/>
    <w:rsid w:val="784A779F"/>
    <w:rsid w:val="79CC4019"/>
    <w:rsid w:val="7CD65ADA"/>
    <w:rsid w:val="7D3B00B0"/>
    <w:rsid w:val="7DEA4AF6"/>
    <w:rsid w:val="7DFFF1E6"/>
    <w:rsid w:val="7F7E240B"/>
    <w:rsid w:val="7FA10D82"/>
    <w:rsid w:val="7FB44C18"/>
    <w:rsid w:val="7FFD49CA"/>
    <w:rsid w:val="B6F36392"/>
    <w:rsid w:val="CFF765B2"/>
    <w:rsid w:val="EB7F6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EastAsia" w:cstheme="minorBidi"/>
      <w:sz w:val="22"/>
      <w:szCs w:val="22"/>
      <w:lang w:val="en-US" w:eastAsia="en-US" w:bidi="ar-SA"/>
    </w:rPr>
  </w:style>
  <w:style w:type="paragraph" w:styleId="3">
    <w:name w:val="heading 1"/>
    <w:basedOn w:val="1"/>
    <w:next w:val="1"/>
    <w:link w:val="24"/>
    <w:qFormat/>
    <w:uiPriority w:val="0"/>
    <w:pPr>
      <w:keepNext/>
      <w:keepLines/>
      <w:spacing w:before="340" w:after="330" w:line="578" w:lineRule="auto"/>
      <w:jc w:val="both"/>
      <w:outlineLvl w:val="0"/>
    </w:pPr>
    <w:rPr>
      <w:rFonts w:ascii="Times New Roman" w:hAnsi="Times New Roman" w:eastAsia="宋体" w:cs="Times New Roman"/>
      <w:b/>
      <w:bCs/>
      <w:kern w:val="44"/>
      <w:sz w:val="44"/>
      <w:szCs w:val="44"/>
      <w:lang w:val="zh-CN" w:eastAsia="zh-CN"/>
    </w:rPr>
  </w:style>
  <w:style w:type="paragraph" w:styleId="4">
    <w:name w:val="heading 2"/>
    <w:basedOn w:val="1"/>
    <w:next w:val="1"/>
    <w:link w:val="18"/>
    <w:qFormat/>
    <w:uiPriority w:val="1"/>
    <w:pPr>
      <w:spacing w:line="479" w:lineRule="exact"/>
      <w:outlineLvl w:val="1"/>
    </w:pPr>
    <w:rPr>
      <w:rFonts w:ascii="Microsoft YaHei UI" w:hAnsi="Microsoft YaHei UI" w:eastAsia="Microsoft YaHei UI"/>
      <w:spacing w:val="2"/>
      <w:sz w:val="32"/>
      <w:szCs w:val="32"/>
      <w:lang w:eastAsia="zh-CN"/>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0"/>
    <w:qFormat/>
    <w:uiPriority w:val="1"/>
    <w:pPr>
      <w:ind w:firstLine="200" w:firstLineChars="200"/>
      <w:jc w:val="both"/>
    </w:pPr>
    <w:rPr>
      <w:rFonts w:ascii="Microsoft YaHei UI" w:hAnsi="Microsoft YaHei UI" w:eastAsia="Microsoft YaHei UI"/>
      <w:sz w:val="21"/>
      <w:szCs w:val="21"/>
    </w:rPr>
  </w:style>
  <w:style w:type="paragraph" w:styleId="5">
    <w:name w:val="annotation text"/>
    <w:basedOn w:val="1"/>
    <w:link w:val="32"/>
    <w:semiHidden/>
    <w:unhideWhenUsed/>
    <w:qFormat/>
    <w:uiPriority w:val="99"/>
  </w:style>
  <w:style w:type="paragraph" w:styleId="6">
    <w:name w:val="Body Text Indent"/>
    <w:basedOn w:val="1"/>
    <w:link w:val="31"/>
    <w:semiHidden/>
    <w:unhideWhenUsed/>
    <w:qFormat/>
    <w:uiPriority w:val="99"/>
    <w:pPr>
      <w:spacing w:after="120"/>
      <w:ind w:left="420" w:leftChars="200"/>
    </w:pPr>
  </w:style>
  <w:style w:type="paragraph" w:styleId="7">
    <w:name w:val="toc 3"/>
    <w:basedOn w:val="1"/>
    <w:next w:val="1"/>
    <w:unhideWhenUsed/>
    <w:qFormat/>
    <w:uiPriority w:val="39"/>
    <w:pPr>
      <w:widowControl/>
      <w:spacing w:after="100" w:line="259" w:lineRule="auto"/>
      <w:ind w:left="440"/>
    </w:pPr>
    <w:rPr>
      <w:rFonts w:cs="Times New Roman"/>
      <w:lang w:eastAsia="zh-CN"/>
    </w:rPr>
  </w:style>
  <w:style w:type="paragraph" w:styleId="8">
    <w:name w:val="Balloon Text"/>
    <w:basedOn w:val="1"/>
    <w:link w:val="30"/>
    <w:semiHidden/>
    <w:unhideWhenUsed/>
    <w:qFormat/>
    <w:uiPriority w:val="99"/>
    <w:rPr>
      <w:sz w:val="18"/>
      <w:szCs w:val="18"/>
    </w:rPr>
  </w:style>
  <w:style w:type="paragraph" w:styleId="9">
    <w:name w:val="footer"/>
    <w:basedOn w:val="1"/>
    <w:link w:val="29"/>
    <w:unhideWhenUsed/>
    <w:qFormat/>
    <w:uiPriority w:val="99"/>
    <w:pPr>
      <w:tabs>
        <w:tab w:val="center" w:pos="4153"/>
        <w:tab w:val="right" w:pos="8306"/>
      </w:tabs>
      <w:snapToGrid w:val="0"/>
    </w:pPr>
    <w:rPr>
      <w:sz w:val="18"/>
      <w:szCs w:val="18"/>
    </w:rPr>
  </w:style>
  <w:style w:type="paragraph" w:styleId="10">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59" w:lineRule="auto"/>
    </w:pPr>
    <w:rPr>
      <w:rFonts w:cs="Times New Roman"/>
      <w:lang w:eastAsia="zh-CN"/>
    </w:rPr>
  </w:style>
  <w:style w:type="paragraph" w:styleId="12">
    <w:name w:val="annotation subject"/>
    <w:basedOn w:val="5"/>
    <w:next w:val="5"/>
    <w:link w:val="33"/>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semiHidden/>
    <w:unhideWhenUsed/>
    <w:qFormat/>
    <w:uiPriority w:val="99"/>
    <w:rPr>
      <w:color w:val="0000FF"/>
      <w:u w:val="single"/>
    </w:rPr>
  </w:style>
  <w:style w:type="character" w:styleId="17">
    <w:name w:val="annotation reference"/>
    <w:basedOn w:val="15"/>
    <w:semiHidden/>
    <w:unhideWhenUsed/>
    <w:qFormat/>
    <w:uiPriority w:val="99"/>
    <w:rPr>
      <w:sz w:val="21"/>
      <w:szCs w:val="21"/>
    </w:rPr>
  </w:style>
  <w:style w:type="character" w:customStyle="1" w:styleId="18">
    <w:name w:val="标题 2 字符"/>
    <w:basedOn w:val="15"/>
    <w:link w:val="4"/>
    <w:qFormat/>
    <w:uiPriority w:val="1"/>
    <w:rPr>
      <w:rFonts w:ascii="Microsoft YaHei UI" w:hAnsi="Microsoft YaHei UI" w:eastAsia="Microsoft YaHei UI"/>
      <w:spacing w:val="2"/>
      <w:kern w:val="0"/>
      <w:sz w:val="32"/>
      <w:szCs w:val="32"/>
    </w:rPr>
  </w:style>
  <w:style w:type="table" w:customStyle="1" w:styleId="19">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20">
    <w:name w:val="正文文本 字符"/>
    <w:basedOn w:val="15"/>
    <w:link w:val="2"/>
    <w:qFormat/>
    <w:uiPriority w:val="1"/>
    <w:rPr>
      <w:rFonts w:ascii="Microsoft YaHei UI" w:hAnsi="Microsoft YaHei UI" w:eastAsia="Microsoft YaHei UI"/>
      <w:kern w:val="0"/>
      <w:szCs w:val="21"/>
      <w:lang w:eastAsia="en-US"/>
    </w:rPr>
  </w:style>
  <w:style w:type="paragraph" w:customStyle="1" w:styleId="21">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Table Paragraph"/>
    <w:basedOn w:val="1"/>
    <w:qFormat/>
    <w:uiPriority w:val="1"/>
  </w:style>
  <w:style w:type="paragraph" w:customStyle="1" w:styleId="2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4">
    <w:name w:val="标题 1 字符"/>
    <w:basedOn w:val="15"/>
    <w:link w:val="3"/>
    <w:qFormat/>
    <w:uiPriority w:val="0"/>
    <w:rPr>
      <w:rFonts w:ascii="Times New Roman" w:hAnsi="Times New Roman" w:eastAsia="宋体" w:cs="Times New Roman"/>
      <w:b/>
      <w:bCs/>
      <w:kern w:val="44"/>
      <w:sz w:val="44"/>
      <w:szCs w:val="44"/>
      <w:lang w:val="zh-CN" w:eastAsia="zh-CN"/>
    </w:rPr>
  </w:style>
  <w:style w:type="paragraph" w:styleId="25">
    <w:name w:val="List Paragraph"/>
    <w:basedOn w:val="1"/>
    <w:qFormat/>
    <w:uiPriority w:val="34"/>
    <w:pPr>
      <w:ind w:firstLine="420" w:firstLineChars="200"/>
    </w:pPr>
  </w:style>
  <w:style w:type="paragraph" w:customStyle="1" w:styleId="26">
    <w:name w:val="列出段落1"/>
    <w:basedOn w:val="1"/>
    <w:qFormat/>
    <w:uiPriority w:val="34"/>
    <w:pPr>
      <w:ind w:firstLine="420" w:firstLineChars="200"/>
      <w:jc w:val="both"/>
    </w:pPr>
    <w:rPr>
      <w:rFonts w:ascii="Calibri" w:hAnsi="Calibri" w:eastAsia="宋体" w:cs="Times New Roman"/>
      <w:kern w:val="2"/>
      <w:sz w:val="21"/>
      <w:lang w:eastAsia="zh-CN"/>
    </w:rPr>
  </w:style>
  <w:style w:type="paragraph" w:customStyle="1" w:styleId="27">
    <w:name w:val="设计正文2"/>
    <w:basedOn w:val="1"/>
    <w:qFormat/>
    <w:uiPriority w:val="0"/>
    <w:pPr>
      <w:snapToGrid w:val="0"/>
      <w:spacing w:before="160" w:line="320" w:lineRule="atLeast"/>
      <w:jc w:val="both"/>
    </w:pPr>
    <w:rPr>
      <w:rFonts w:ascii="Times New Roman" w:hAnsi="Times New Roman" w:eastAsia="宋体" w:cs="Times New Roman"/>
      <w:kern w:val="2"/>
      <w:sz w:val="24"/>
      <w:szCs w:val="20"/>
      <w:lang w:eastAsia="zh-CN"/>
    </w:rPr>
  </w:style>
  <w:style w:type="character" w:customStyle="1" w:styleId="28">
    <w:name w:val="页眉 字符"/>
    <w:basedOn w:val="15"/>
    <w:link w:val="10"/>
    <w:qFormat/>
    <w:uiPriority w:val="99"/>
    <w:rPr>
      <w:kern w:val="0"/>
      <w:sz w:val="18"/>
      <w:szCs w:val="18"/>
      <w:lang w:eastAsia="en-US"/>
    </w:rPr>
  </w:style>
  <w:style w:type="character" w:customStyle="1" w:styleId="29">
    <w:name w:val="页脚 字符"/>
    <w:basedOn w:val="15"/>
    <w:link w:val="9"/>
    <w:qFormat/>
    <w:uiPriority w:val="99"/>
    <w:rPr>
      <w:kern w:val="0"/>
      <w:sz w:val="18"/>
      <w:szCs w:val="18"/>
      <w:lang w:eastAsia="en-US"/>
    </w:rPr>
  </w:style>
  <w:style w:type="character" w:customStyle="1" w:styleId="30">
    <w:name w:val="批注框文本 字符"/>
    <w:basedOn w:val="15"/>
    <w:link w:val="8"/>
    <w:semiHidden/>
    <w:qFormat/>
    <w:uiPriority w:val="99"/>
    <w:rPr>
      <w:kern w:val="0"/>
      <w:sz w:val="18"/>
      <w:szCs w:val="18"/>
      <w:lang w:eastAsia="en-US"/>
    </w:rPr>
  </w:style>
  <w:style w:type="character" w:customStyle="1" w:styleId="31">
    <w:name w:val="正文文本缩进 字符"/>
    <w:basedOn w:val="15"/>
    <w:link w:val="6"/>
    <w:semiHidden/>
    <w:qFormat/>
    <w:uiPriority w:val="99"/>
    <w:rPr>
      <w:kern w:val="0"/>
      <w:sz w:val="22"/>
      <w:lang w:eastAsia="en-US"/>
    </w:rPr>
  </w:style>
  <w:style w:type="character" w:customStyle="1" w:styleId="32">
    <w:name w:val="批注文字 字符"/>
    <w:basedOn w:val="15"/>
    <w:link w:val="5"/>
    <w:semiHidden/>
    <w:qFormat/>
    <w:uiPriority w:val="99"/>
    <w:rPr>
      <w:kern w:val="0"/>
      <w:sz w:val="22"/>
      <w:lang w:eastAsia="en-US"/>
    </w:rPr>
  </w:style>
  <w:style w:type="character" w:customStyle="1" w:styleId="33">
    <w:name w:val="批注主题 字符"/>
    <w:basedOn w:val="32"/>
    <w:link w:val="12"/>
    <w:semiHidden/>
    <w:qFormat/>
    <w:uiPriority w:val="99"/>
    <w:rPr>
      <w:b/>
      <w:bCs/>
      <w:kern w:val="0"/>
      <w:sz w:val="22"/>
      <w:lang w:eastAsia="en-US"/>
    </w:rPr>
  </w:style>
  <w:style w:type="character" w:customStyle="1" w:styleId="34">
    <w:name w:val="fontstyle01"/>
    <w:basedOn w:val="15"/>
    <w:qFormat/>
    <w:uiPriority w:val="0"/>
    <w:rPr>
      <w:rFonts w:hint="default" w:ascii="Arial-BoldMT" w:hAnsi="Arial-BoldMT"/>
      <w:b/>
      <w:bCs/>
      <w:color w:val="000000"/>
      <w:sz w:val="40"/>
      <w:szCs w:val="40"/>
    </w:rPr>
  </w:style>
  <w:style w:type="paragraph" w:customStyle="1" w:styleId="35">
    <w:name w:val="默认段落字体 Para Char"/>
    <w:basedOn w:val="36"/>
    <w:next w:val="36"/>
    <w:qFormat/>
    <w:uiPriority w:val="0"/>
    <w:pPr>
      <w:ind w:firstLine="720"/>
    </w:pPr>
    <w:rPr>
      <w:rFonts w:eastAsia="仿宋"/>
      <w:kern w:val="10"/>
      <w:szCs w:val="28"/>
    </w:rPr>
  </w:style>
  <w:style w:type="paragraph" w:customStyle="1" w:styleId="36">
    <w:name w:val="Normal_1"/>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3916</Words>
  <Characters>4023</Characters>
  <Lines>28</Lines>
  <Paragraphs>8</Paragraphs>
  <TotalTime>6</TotalTime>
  <ScaleCrop>false</ScaleCrop>
  <LinksUpToDate>false</LinksUpToDate>
  <CharactersWithSpaces>4160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2026-05-13T21:59:00Z</dcterms:created>
  <dc:creator>王琴</dc:creator>
  <cp:lastModifiedBy>admin</cp:lastModifiedBy>
  <cp:lastPrinted>2026-05-25T08:00:00Z</cp:lastPrinted>
  <dcterms:modified xsi:type="dcterms:W3CDTF">2026-06-12T03:19:59Z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06C387D315E34056A35C43A924628B05</vt:lpwstr>
  </property>
  <property fmtid="{D5CDD505-2E9C-101B-9397-08002B2CF9AE}" pid="4" name="KSOTemplateDocerSaveRecord">
    <vt:lpwstr>eyJoZGlkIjoiZjI3N2RjNzNhYTU2NGExN2NlMmQ3MWJhNWRmYTcwZmEiLCJ1c2VySWQiOiI1MDA1Nzc2MzcifQ==</vt:lpwstr>
  </property>
</Properties>
</file>