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hint="eastAsia" w:ascii="Times New Roman" w:hAnsi="Times New Roman" w:eastAsia="方正小标宋简体" w:cs="Times New Roman"/>
          <w:bCs/>
          <w:color w:val="auto"/>
          <w:kern w:val="44"/>
          <w:sz w:val="44"/>
          <w:szCs w:val="44"/>
          <w:highlight w:val="none"/>
          <w:lang w:eastAsia="zh-CN"/>
        </w:rPr>
      </w:pPr>
      <w:bookmarkStart w:id="0" w:name="OLE_LINK1"/>
      <w:r>
        <w:rPr>
          <w:rFonts w:ascii="Times New Roman" w:hAnsi="Times New Roman" w:eastAsia="方正小标宋简体" w:cs="Times New Roman"/>
          <w:bCs/>
          <w:color w:val="auto"/>
          <w:kern w:val="44"/>
          <w:sz w:val="44"/>
          <w:szCs w:val="44"/>
          <w:highlight w:val="none"/>
        </w:rPr>
        <w:t>采办计划公告</w:t>
      </w:r>
    </w:p>
    <w:p>
      <w:pPr>
        <w:spacing w:line="560" w:lineRule="exact"/>
        <w:rPr>
          <w:rFonts w:ascii="Times New Roman" w:hAnsi="Times New Roman" w:eastAsia="等线" w:cs="Times New Roman"/>
          <w:color w:val="auto"/>
          <w:sz w:val="32"/>
          <w:highlight w:val="none"/>
        </w:rPr>
      </w:pPr>
    </w:p>
    <w:p>
      <w:pPr>
        <w:numPr>
          <w:ilvl w:val="0"/>
          <w:numId w:val="0"/>
        </w:numPr>
        <w:tabs>
          <w:tab w:val="left" w:pos="993"/>
          <w:tab w:val="left" w:pos="1134"/>
          <w:tab w:val="left" w:pos="1418"/>
        </w:tabs>
        <w:spacing w:line="560" w:lineRule="exact"/>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采办包名称：</w:t>
      </w:r>
    </w:p>
    <w:p>
      <w:pPr>
        <w:numPr>
          <w:ilvl w:val="0"/>
          <w:numId w:val="0"/>
        </w:numPr>
        <w:tabs>
          <w:tab w:val="left" w:pos="993"/>
          <w:tab w:val="left" w:pos="1134"/>
          <w:tab w:val="left" w:pos="1418"/>
        </w:tabs>
        <w:spacing w:line="56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海油发展-化工品类部-</w:t>
      </w:r>
      <w:r>
        <w:rPr>
          <w:rFonts w:hint="eastAsia" w:ascii="Times New Roman" w:hAnsi="Times New Roman" w:eastAsia="仿宋_GB2312" w:cs="Times New Roman"/>
          <w:color w:val="auto"/>
          <w:sz w:val="32"/>
          <w:szCs w:val="32"/>
          <w:highlight w:val="none"/>
          <w:lang w:val="en-US" w:eastAsia="zh-CN"/>
        </w:rPr>
        <w:t>装备公司东海区域防腐精蜡带等材料采购专有协议</w:t>
      </w:r>
      <w:r>
        <w:rPr>
          <w:rFonts w:ascii="Times New Roman" w:hAnsi="Times New Roman" w:eastAsia="仿宋_GB2312" w:cs="Times New Roman"/>
          <w:color w:val="auto"/>
          <w:sz w:val="32"/>
          <w:szCs w:val="32"/>
          <w:highlight w:val="none"/>
        </w:rPr>
        <w:t>采办计划公开如下：</w:t>
      </w:r>
    </w:p>
    <w:tbl>
      <w:tblPr>
        <w:tblStyle w:val="20"/>
        <w:tblW w:w="9664" w:type="dxa"/>
        <w:tblInd w:w="-6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3125"/>
        <w:gridCol w:w="1907"/>
        <w:gridCol w:w="1846"/>
        <w:gridCol w:w="1685"/>
        <w:gridCol w:w="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462" w:type="dxa"/>
            <w:vAlign w:val="center"/>
          </w:tcPr>
          <w:p>
            <w:pPr>
              <w:adjustRightInd w:val="0"/>
              <w:snapToGrid w:val="0"/>
              <w:jc w:val="center"/>
              <w:rPr>
                <w:rFonts w:ascii="Times New Roman" w:hAnsi="Times New Roman" w:eastAsia="仿宋" w:cs="Times New Roman"/>
                <w:color w:val="auto"/>
                <w:kern w:val="0"/>
                <w:sz w:val="28"/>
                <w:szCs w:val="28"/>
                <w:highlight w:val="none"/>
              </w:rPr>
            </w:pPr>
            <w:r>
              <w:rPr>
                <w:rFonts w:ascii="Times New Roman" w:hAnsi="Times New Roman" w:eastAsia="仿宋" w:cs="Times New Roman"/>
                <w:color w:val="auto"/>
                <w:kern w:val="0"/>
                <w:sz w:val="28"/>
                <w:szCs w:val="28"/>
                <w:highlight w:val="none"/>
              </w:rPr>
              <w:t>序号</w:t>
            </w:r>
          </w:p>
        </w:tc>
        <w:tc>
          <w:tcPr>
            <w:tcW w:w="3125" w:type="dxa"/>
            <w:vAlign w:val="center"/>
          </w:tcPr>
          <w:p>
            <w:pPr>
              <w:adjustRightInd w:val="0"/>
              <w:snapToGrid w:val="0"/>
              <w:jc w:val="center"/>
              <w:rPr>
                <w:rFonts w:ascii="Times New Roman" w:hAnsi="Times New Roman" w:eastAsia="仿宋" w:cs="Times New Roman"/>
                <w:color w:val="auto"/>
                <w:kern w:val="0"/>
                <w:sz w:val="28"/>
                <w:szCs w:val="28"/>
                <w:highlight w:val="none"/>
              </w:rPr>
            </w:pPr>
            <w:r>
              <w:rPr>
                <w:rFonts w:ascii="Times New Roman" w:hAnsi="Times New Roman" w:eastAsia="仿宋" w:cs="Times New Roman"/>
                <w:color w:val="auto"/>
                <w:kern w:val="0"/>
                <w:sz w:val="28"/>
                <w:szCs w:val="28"/>
                <w:highlight w:val="none"/>
              </w:rPr>
              <w:t>采办包名称</w:t>
            </w:r>
          </w:p>
        </w:tc>
        <w:tc>
          <w:tcPr>
            <w:tcW w:w="1907" w:type="dxa"/>
            <w:vAlign w:val="center"/>
          </w:tcPr>
          <w:p>
            <w:pPr>
              <w:adjustRightInd w:val="0"/>
              <w:snapToGrid w:val="0"/>
              <w:jc w:val="center"/>
              <w:rPr>
                <w:rFonts w:ascii="Times New Roman" w:hAnsi="Times New Roman" w:eastAsia="仿宋" w:cs="Times New Roman"/>
                <w:color w:val="auto"/>
                <w:kern w:val="0"/>
                <w:sz w:val="28"/>
                <w:szCs w:val="28"/>
                <w:highlight w:val="none"/>
              </w:rPr>
            </w:pPr>
            <w:r>
              <w:rPr>
                <w:rFonts w:ascii="Times New Roman" w:hAnsi="Times New Roman" w:eastAsia="仿宋" w:cs="Times New Roman"/>
                <w:color w:val="auto"/>
                <w:kern w:val="0"/>
                <w:sz w:val="28"/>
                <w:szCs w:val="28"/>
                <w:highlight w:val="none"/>
              </w:rPr>
              <w:t>采购范围与主要技术指标</w:t>
            </w:r>
          </w:p>
        </w:tc>
        <w:tc>
          <w:tcPr>
            <w:tcW w:w="1846" w:type="dxa"/>
            <w:vAlign w:val="center"/>
          </w:tcPr>
          <w:p>
            <w:pPr>
              <w:adjustRightInd w:val="0"/>
              <w:snapToGrid w:val="0"/>
              <w:jc w:val="center"/>
              <w:rPr>
                <w:rFonts w:ascii="Times New Roman" w:hAnsi="Times New Roman" w:eastAsia="仿宋" w:cs="Times New Roman"/>
                <w:color w:val="auto"/>
                <w:kern w:val="0"/>
                <w:sz w:val="28"/>
                <w:szCs w:val="28"/>
                <w:highlight w:val="none"/>
              </w:rPr>
            </w:pPr>
            <w:r>
              <w:rPr>
                <w:rFonts w:ascii="Times New Roman" w:hAnsi="Times New Roman" w:eastAsia="仿宋" w:cs="Times New Roman"/>
                <w:color w:val="auto"/>
                <w:kern w:val="0"/>
                <w:sz w:val="28"/>
                <w:szCs w:val="28"/>
                <w:highlight w:val="none"/>
              </w:rPr>
              <w:t>预计发标</w:t>
            </w:r>
          </w:p>
          <w:p>
            <w:pPr>
              <w:adjustRightInd w:val="0"/>
              <w:snapToGrid w:val="0"/>
              <w:jc w:val="center"/>
              <w:rPr>
                <w:rFonts w:ascii="Times New Roman" w:hAnsi="Times New Roman" w:eastAsia="仿宋" w:cs="Times New Roman"/>
                <w:color w:val="auto"/>
                <w:kern w:val="0"/>
                <w:sz w:val="28"/>
                <w:szCs w:val="28"/>
                <w:highlight w:val="none"/>
              </w:rPr>
            </w:pPr>
            <w:r>
              <w:rPr>
                <w:rFonts w:ascii="Times New Roman" w:hAnsi="Times New Roman" w:eastAsia="仿宋" w:cs="Times New Roman"/>
                <w:color w:val="auto"/>
                <w:kern w:val="0"/>
                <w:sz w:val="28"/>
                <w:szCs w:val="28"/>
                <w:highlight w:val="none"/>
              </w:rPr>
              <w:t>时间</w:t>
            </w:r>
          </w:p>
        </w:tc>
        <w:tc>
          <w:tcPr>
            <w:tcW w:w="1685" w:type="dxa"/>
            <w:vAlign w:val="center"/>
          </w:tcPr>
          <w:p>
            <w:pPr>
              <w:adjustRightInd w:val="0"/>
              <w:snapToGrid w:val="0"/>
              <w:jc w:val="center"/>
              <w:rPr>
                <w:rFonts w:ascii="Times New Roman" w:hAnsi="Times New Roman" w:eastAsia="仿宋" w:cs="Times New Roman"/>
                <w:color w:val="auto"/>
                <w:kern w:val="0"/>
                <w:sz w:val="28"/>
                <w:szCs w:val="28"/>
                <w:highlight w:val="none"/>
              </w:rPr>
            </w:pPr>
            <w:r>
              <w:rPr>
                <w:rFonts w:ascii="Times New Roman" w:hAnsi="Times New Roman" w:eastAsia="仿宋" w:cs="Times New Roman"/>
                <w:color w:val="auto"/>
                <w:kern w:val="0"/>
                <w:sz w:val="28"/>
                <w:szCs w:val="28"/>
                <w:highlight w:val="none"/>
              </w:rPr>
              <w:t>供应商资质基本要求</w:t>
            </w:r>
          </w:p>
        </w:tc>
        <w:tc>
          <w:tcPr>
            <w:tcW w:w="639" w:type="dxa"/>
            <w:vAlign w:val="center"/>
          </w:tcPr>
          <w:p>
            <w:pPr>
              <w:adjustRightInd w:val="0"/>
              <w:snapToGrid w:val="0"/>
              <w:jc w:val="center"/>
              <w:rPr>
                <w:rFonts w:ascii="Times New Roman" w:hAnsi="Times New Roman" w:eastAsia="仿宋" w:cs="Times New Roman"/>
                <w:color w:val="auto"/>
                <w:kern w:val="0"/>
                <w:sz w:val="28"/>
                <w:szCs w:val="28"/>
                <w:highlight w:val="none"/>
              </w:rPr>
            </w:pPr>
            <w:r>
              <w:rPr>
                <w:rFonts w:ascii="Times New Roman" w:hAnsi="Times New Roman" w:eastAsia="仿宋" w:cs="Times New Roman"/>
                <w:color w:val="auto"/>
                <w:kern w:val="0"/>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462" w:type="dxa"/>
            <w:vAlign w:val="center"/>
          </w:tcPr>
          <w:p>
            <w:pPr>
              <w:adjustRightInd w:val="0"/>
              <w:snapToGrid w:val="0"/>
              <w:jc w:val="center"/>
              <w:rPr>
                <w:rFonts w:ascii="Times New Roman" w:hAnsi="Times New Roman" w:eastAsia="仿宋" w:cs="Times New Roman"/>
                <w:color w:val="auto"/>
                <w:kern w:val="0"/>
                <w:sz w:val="28"/>
                <w:szCs w:val="28"/>
                <w:highlight w:val="none"/>
              </w:rPr>
            </w:pPr>
            <w:r>
              <w:rPr>
                <w:rFonts w:hint="eastAsia" w:ascii="Times New Roman" w:hAnsi="Times New Roman" w:eastAsia="仿宋" w:cs="Times New Roman"/>
                <w:color w:val="auto"/>
                <w:kern w:val="0"/>
                <w:sz w:val="28"/>
                <w:szCs w:val="28"/>
                <w:highlight w:val="none"/>
              </w:rPr>
              <w:t>1</w:t>
            </w:r>
          </w:p>
        </w:tc>
        <w:tc>
          <w:tcPr>
            <w:tcW w:w="3125" w:type="dxa"/>
            <w:vAlign w:val="center"/>
          </w:tcPr>
          <w:p>
            <w:pPr>
              <w:adjustRightInd w:val="0"/>
              <w:snapToGrid w:val="0"/>
              <w:jc w:val="center"/>
              <w:rPr>
                <w:rFonts w:hint="eastAsia" w:ascii="Times New Roman" w:hAnsi="Times New Roman" w:eastAsia="仿宋" w:cs="Times New Roman"/>
                <w:color w:val="auto"/>
                <w:kern w:val="0"/>
                <w:sz w:val="28"/>
                <w:szCs w:val="28"/>
                <w:highlight w:val="none"/>
                <w:lang w:eastAsia="zh-CN"/>
              </w:rPr>
            </w:pPr>
            <w:r>
              <w:rPr>
                <w:rFonts w:hint="eastAsia" w:ascii="Times New Roman" w:hAnsi="Times New Roman" w:eastAsia="仿宋" w:cs="Times New Roman"/>
                <w:color w:val="auto"/>
                <w:kern w:val="0"/>
                <w:sz w:val="28"/>
                <w:szCs w:val="28"/>
                <w:highlight w:val="none"/>
                <w:lang w:val="en-US" w:eastAsia="zh-CN"/>
              </w:rPr>
              <w:t>装备公司东海区域防腐精蜡带等材料采购专有协议</w:t>
            </w:r>
          </w:p>
        </w:tc>
        <w:tc>
          <w:tcPr>
            <w:tcW w:w="1907" w:type="dxa"/>
            <w:vAlign w:val="center"/>
          </w:tcPr>
          <w:p>
            <w:pPr>
              <w:adjustRightInd w:val="0"/>
              <w:snapToGrid w:val="0"/>
              <w:jc w:val="center"/>
              <w:rPr>
                <w:rFonts w:hint="default" w:ascii="Times New Roman" w:hAnsi="Times New Roman" w:eastAsia="仿宋" w:cs="Times New Roman"/>
                <w:color w:val="auto"/>
                <w:kern w:val="0"/>
                <w:sz w:val="28"/>
                <w:szCs w:val="28"/>
                <w:highlight w:val="none"/>
                <w:lang w:val="en-US" w:eastAsia="zh-CN"/>
              </w:rPr>
            </w:pPr>
            <w:r>
              <w:rPr>
                <w:rFonts w:hint="eastAsia" w:ascii="Times New Roman" w:hAnsi="Times New Roman" w:eastAsia="仿宋" w:cs="Times New Roman"/>
                <w:color w:val="auto"/>
                <w:kern w:val="0"/>
                <w:sz w:val="28"/>
                <w:szCs w:val="28"/>
                <w:highlight w:val="none"/>
                <w:lang w:eastAsia="zh-CN"/>
              </w:rPr>
              <w:t>见附件</w:t>
            </w:r>
            <w:r>
              <w:rPr>
                <w:rFonts w:hint="eastAsia" w:ascii="Times New Roman" w:hAnsi="Times New Roman" w:eastAsia="仿宋" w:cs="Times New Roman"/>
                <w:color w:val="auto"/>
                <w:kern w:val="0"/>
                <w:sz w:val="28"/>
                <w:szCs w:val="28"/>
                <w:highlight w:val="none"/>
                <w:lang w:val="en-US" w:eastAsia="zh-CN"/>
              </w:rPr>
              <w:t>1</w:t>
            </w:r>
          </w:p>
        </w:tc>
        <w:tc>
          <w:tcPr>
            <w:tcW w:w="1846" w:type="dxa"/>
            <w:vAlign w:val="center"/>
          </w:tcPr>
          <w:p>
            <w:pPr>
              <w:adjustRightInd w:val="0"/>
              <w:snapToGrid w:val="0"/>
              <w:jc w:val="center"/>
              <w:rPr>
                <w:rFonts w:ascii="Times New Roman" w:hAnsi="Times New Roman" w:eastAsia="仿宋" w:cs="Times New Roman"/>
                <w:color w:val="auto"/>
                <w:kern w:val="0"/>
                <w:sz w:val="28"/>
                <w:szCs w:val="28"/>
                <w:highlight w:val="none"/>
              </w:rPr>
            </w:pPr>
            <w:r>
              <w:rPr>
                <w:rFonts w:hint="eastAsia" w:ascii="Times New Roman" w:hAnsi="Times New Roman" w:eastAsia="仿宋" w:cs="Times New Roman"/>
                <w:color w:val="auto"/>
                <w:kern w:val="0"/>
                <w:sz w:val="28"/>
                <w:szCs w:val="28"/>
                <w:highlight w:val="none"/>
                <w:lang w:val="en-US" w:eastAsia="zh-CN"/>
              </w:rPr>
              <w:t>2026年7月</w:t>
            </w:r>
          </w:p>
        </w:tc>
        <w:tc>
          <w:tcPr>
            <w:tcW w:w="1685" w:type="dxa"/>
            <w:vAlign w:val="center"/>
          </w:tcPr>
          <w:p>
            <w:pPr>
              <w:adjustRightInd w:val="0"/>
              <w:snapToGrid w:val="0"/>
              <w:jc w:val="center"/>
              <w:rPr>
                <w:rFonts w:hint="default" w:ascii="Times New Roman" w:hAnsi="Times New Roman" w:eastAsia="仿宋" w:cs="Times New Roman"/>
                <w:color w:val="auto"/>
                <w:kern w:val="0"/>
                <w:sz w:val="28"/>
                <w:szCs w:val="28"/>
                <w:highlight w:val="none"/>
                <w:lang w:val="en-US" w:eastAsia="zh-CN"/>
              </w:rPr>
            </w:pPr>
            <w:r>
              <w:rPr>
                <w:rFonts w:hint="eastAsia" w:ascii="Times New Roman" w:hAnsi="Times New Roman" w:eastAsia="仿宋" w:cs="Times New Roman"/>
                <w:color w:val="auto"/>
                <w:kern w:val="0"/>
                <w:sz w:val="28"/>
                <w:szCs w:val="28"/>
                <w:highlight w:val="none"/>
                <w:lang w:eastAsia="zh-CN"/>
              </w:rPr>
              <w:t>见附件</w:t>
            </w:r>
            <w:r>
              <w:rPr>
                <w:rFonts w:hint="eastAsia" w:ascii="Times New Roman" w:hAnsi="Times New Roman" w:eastAsia="仿宋" w:cs="Times New Roman"/>
                <w:color w:val="auto"/>
                <w:kern w:val="0"/>
                <w:sz w:val="28"/>
                <w:szCs w:val="28"/>
                <w:highlight w:val="none"/>
                <w:lang w:val="en-US" w:eastAsia="zh-CN"/>
              </w:rPr>
              <w:t>2</w:t>
            </w:r>
          </w:p>
        </w:tc>
        <w:tc>
          <w:tcPr>
            <w:tcW w:w="639" w:type="dxa"/>
            <w:vAlign w:val="center"/>
          </w:tcPr>
          <w:p>
            <w:pPr>
              <w:adjustRightInd w:val="0"/>
              <w:snapToGrid w:val="0"/>
              <w:rPr>
                <w:rFonts w:ascii="Times New Roman" w:hAnsi="Times New Roman" w:eastAsia="仿宋" w:cs="Times New Roman"/>
                <w:color w:val="auto"/>
                <w:kern w:val="0"/>
                <w:sz w:val="28"/>
                <w:szCs w:val="28"/>
                <w:highlight w:val="none"/>
                <w:u w:val="single"/>
              </w:rPr>
            </w:pPr>
          </w:p>
        </w:tc>
      </w:tr>
    </w:tbl>
    <w:p>
      <w:pPr>
        <w:tabs>
          <w:tab w:val="left" w:pos="993"/>
          <w:tab w:val="left" w:pos="1134"/>
          <w:tab w:val="left" w:pos="1418"/>
        </w:tabs>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本次公开的采办计划是本项目采办工作的初步安排，实际采购应以相关采购公告和采购文件为准，所有提供和反馈的信息只作为项目采办参考。</w:t>
      </w:r>
    </w:p>
    <w:p>
      <w:pPr>
        <w:tabs>
          <w:tab w:val="left" w:pos="993"/>
          <w:tab w:val="left" w:pos="1134"/>
          <w:tab w:val="left" w:pos="1418"/>
        </w:tabs>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本次公告有效期是（</w:t>
      </w:r>
      <w:r>
        <w:rPr>
          <w:rFonts w:hint="eastAsia" w:ascii="Times New Roman" w:hAnsi="Times New Roman" w:eastAsia="仿宋_GB2312" w:cs="Times New Roman"/>
          <w:color w:val="auto"/>
          <w:sz w:val="32"/>
          <w:szCs w:val="32"/>
          <w:highlight w:val="none"/>
          <w:lang w:val="en-US" w:eastAsia="zh-CN"/>
        </w:rPr>
        <w:t>2026</w:t>
      </w:r>
      <w:r>
        <w:rPr>
          <w:rFonts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6</w:t>
      </w:r>
      <w:r>
        <w:rPr>
          <w:rFonts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w:t>
      </w:r>
      <w:r>
        <w:rPr>
          <w:rFonts w:ascii="Times New Roman" w:hAnsi="Times New Roman" w:eastAsia="仿宋_GB2312" w:cs="Times New Roman"/>
          <w:color w:val="auto"/>
          <w:sz w:val="32"/>
          <w:szCs w:val="32"/>
          <w:highlight w:val="none"/>
        </w:rPr>
        <w:t>日）至（</w:t>
      </w:r>
      <w:r>
        <w:rPr>
          <w:rFonts w:hint="eastAsia" w:ascii="Times New Roman" w:hAnsi="Times New Roman" w:eastAsia="仿宋_GB2312" w:cs="Times New Roman"/>
          <w:color w:val="auto"/>
          <w:sz w:val="32"/>
          <w:szCs w:val="32"/>
          <w:highlight w:val="none"/>
          <w:lang w:val="en-US" w:eastAsia="zh-CN"/>
        </w:rPr>
        <w:t>2026</w:t>
      </w:r>
      <w:r>
        <w:rPr>
          <w:rFonts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6</w:t>
      </w:r>
      <w:r>
        <w:rPr>
          <w:rFonts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9</w:t>
      </w:r>
      <w:r>
        <w:rPr>
          <w:rFonts w:ascii="Times New Roman" w:hAnsi="Times New Roman" w:eastAsia="仿宋_GB2312" w:cs="Times New Roman"/>
          <w:color w:val="auto"/>
          <w:sz w:val="32"/>
          <w:szCs w:val="32"/>
          <w:highlight w:val="none"/>
        </w:rPr>
        <w:t>日）止。在此期间，有意参与</w:t>
      </w:r>
      <w:r>
        <w:rPr>
          <w:rFonts w:hint="eastAsia" w:ascii="Times New Roman" w:hAnsi="Times New Roman" w:eastAsia="仿宋_GB2312" w:cs="Times New Roman"/>
          <w:color w:val="auto"/>
          <w:sz w:val="32"/>
          <w:szCs w:val="32"/>
          <w:highlight w:val="none"/>
        </w:rPr>
        <w:t>该</w:t>
      </w:r>
      <w:r>
        <w:rPr>
          <w:rFonts w:ascii="Times New Roman" w:hAnsi="Times New Roman" w:eastAsia="仿宋_GB2312" w:cs="Times New Roman"/>
          <w:color w:val="auto"/>
          <w:sz w:val="32"/>
          <w:szCs w:val="32"/>
          <w:highlight w:val="none"/>
        </w:rPr>
        <w:t>采办包的系统用户可在集团公司采办系统中提交反馈材料。</w:t>
      </w:r>
    </w:p>
    <w:p>
      <w:pPr>
        <w:tabs>
          <w:tab w:val="left" w:pos="993"/>
          <w:tab w:val="left" w:pos="1134"/>
          <w:tab w:val="left" w:pos="1418"/>
        </w:tabs>
        <w:spacing w:line="560" w:lineRule="exact"/>
        <w:ind w:firstLine="640"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如对上述公开内容真实、有效性存疑，请拨打社会监督电话：022-25802262，其他事项不受理。</w:t>
      </w:r>
    </w:p>
    <w:p>
      <w:pPr>
        <w:pStyle w:val="2"/>
        <w:rPr>
          <w:highlight w:val="none"/>
        </w:rPr>
      </w:pPr>
    </w:p>
    <w:p>
      <w:pPr>
        <w:tabs>
          <w:tab w:val="left" w:pos="993"/>
          <w:tab w:val="left" w:pos="1134"/>
          <w:tab w:val="left" w:pos="1418"/>
        </w:tabs>
        <w:spacing w:line="600" w:lineRule="exact"/>
        <w:rPr>
          <w:rFonts w:ascii="Times New Roman" w:hAnsi="Times New Roman" w:eastAsia="仿宋" w:cs="Times New Roman"/>
          <w:color w:val="auto"/>
          <w:sz w:val="28"/>
          <w:szCs w:val="28"/>
          <w:highlight w:val="none"/>
        </w:rPr>
      </w:pPr>
      <w:r>
        <w:rPr>
          <w:rFonts w:hint="eastAsia" w:ascii="Times New Roman" w:hAnsi="Times New Roman" w:eastAsia="仿宋_GB2312" w:cs="Times New Roman"/>
          <w:color w:val="auto"/>
          <w:sz w:val="32"/>
          <w:szCs w:val="32"/>
          <w:highlight w:val="none"/>
          <w:lang w:val="en-US" w:eastAsia="zh-CN"/>
        </w:rPr>
        <w:t xml:space="preserve">    </w:t>
      </w:r>
    </w:p>
    <w:p>
      <w:pPr>
        <w:tabs>
          <w:tab w:val="left" w:pos="993"/>
          <w:tab w:val="left" w:pos="1134"/>
          <w:tab w:val="left" w:pos="1418"/>
        </w:tabs>
        <w:spacing w:line="600" w:lineRule="exact"/>
        <w:ind w:right="320" w:firstLine="960" w:firstLineChars="300"/>
        <w:jc w:val="right"/>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中海油能源发展股份有限公司采办共享中心</w:t>
      </w:r>
    </w:p>
    <w:p>
      <w:pPr>
        <w:tabs>
          <w:tab w:val="left" w:pos="993"/>
          <w:tab w:val="left" w:pos="1134"/>
          <w:tab w:val="left" w:pos="1418"/>
        </w:tabs>
        <w:spacing w:line="600" w:lineRule="exact"/>
        <w:ind w:right="480" w:firstLine="960" w:firstLineChars="300"/>
        <w:jc w:val="right"/>
        <w:rPr>
          <w:rFonts w:ascii="Times New Roman" w:hAnsi="Times New Roman" w:eastAsia="仿宋_GB2312" w:cs="Times New Roman"/>
          <w:b/>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2026</w:t>
      </w:r>
      <w:r>
        <w:rPr>
          <w:rFonts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6</w:t>
      </w:r>
      <w:r>
        <w:rPr>
          <w:rFonts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w:t>
      </w:r>
      <w:r>
        <w:rPr>
          <w:rFonts w:ascii="Times New Roman" w:hAnsi="Times New Roman" w:eastAsia="仿宋_GB2312" w:cs="Times New Roman"/>
          <w:color w:val="auto"/>
          <w:sz w:val="32"/>
          <w:szCs w:val="32"/>
          <w:highlight w:val="none"/>
        </w:rPr>
        <w:t xml:space="preserve">日  </w:t>
      </w:r>
    </w:p>
    <w:bookmarkEnd w:id="0"/>
    <w:p>
      <w:pPr>
        <w:rPr>
          <w:color w:val="auto"/>
          <w:highlight w:val="none"/>
        </w:rPr>
      </w:pPr>
      <w:r>
        <w:rPr>
          <w:color w:val="auto"/>
          <w:highlight w:val="none"/>
        </w:rPr>
        <w:br w:type="page"/>
      </w:r>
    </w:p>
    <w:p>
      <w:pPr>
        <w:tabs>
          <w:tab w:val="left" w:pos="993"/>
          <w:tab w:val="left" w:pos="1134"/>
          <w:tab w:val="left" w:pos="1418"/>
        </w:tabs>
        <w:spacing w:line="560" w:lineRule="exact"/>
        <w:outlineLvl w:val="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附件</w:t>
      </w:r>
      <w:r>
        <w:rPr>
          <w:rFonts w:hint="eastAsia"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eastAsia="zh-CN"/>
        </w:rPr>
        <w:t>采购范围与主要技术指标</w:t>
      </w:r>
    </w:p>
    <w:p>
      <w:pPr>
        <w:tabs>
          <w:tab w:val="left" w:pos="993"/>
          <w:tab w:val="left" w:pos="1134"/>
          <w:tab w:val="left" w:pos="1418"/>
        </w:tabs>
        <w:spacing w:line="560" w:lineRule="exact"/>
        <w:outlineLvl w:val="0"/>
        <w:rPr>
          <w:rFonts w:hint="eastAsia" w:ascii="Times New Roman" w:hAnsi="Times New Roman" w:eastAsia="仿宋_GB2312" w:cs="Times New Roman"/>
          <w:color w:val="auto"/>
          <w:kern w:val="2"/>
          <w:sz w:val="32"/>
          <w:szCs w:val="32"/>
          <w:highlight w:val="none"/>
          <w:lang w:val="en-US" w:eastAsia="zh-CN" w:bidi="ar-SA"/>
        </w:rPr>
      </w:pPr>
      <w:bookmarkStart w:id="1" w:name="_Toc13249325"/>
      <w:bookmarkStart w:id="2" w:name="_Toc13248928"/>
      <w:r>
        <w:rPr>
          <w:rFonts w:hint="eastAsia" w:ascii="Times New Roman" w:hAnsi="Times New Roman" w:eastAsia="仿宋_GB2312" w:cs="Times New Roman"/>
          <w:color w:val="auto"/>
          <w:kern w:val="2"/>
          <w:sz w:val="32"/>
          <w:szCs w:val="32"/>
          <w:highlight w:val="none"/>
          <w:lang w:val="en-US" w:eastAsia="zh-CN" w:bidi="ar-SA"/>
        </w:rPr>
        <w:t>一、需求一览表</w:t>
      </w:r>
      <w:bookmarkEnd w:id="1"/>
      <w:bookmarkEnd w:id="2"/>
    </w:p>
    <w:tbl>
      <w:tblPr>
        <w:tblStyle w:val="52"/>
        <w:tblW w:w="5187" w:type="pct"/>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191"/>
        <w:gridCol w:w="938"/>
        <w:gridCol w:w="4214"/>
        <w:gridCol w:w="701"/>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bookmarkStart w:id="3" w:name="_Toc13248929"/>
            <w:bookmarkStart w:id="4" w:name="_Toc13249326"/>
            <w:r>
              <w:rPr>
                <w:rFonts w:hint="eastAsia" w:ascii="等线" w:hAnsi="等线" w:eastAsia="等线" w:cs="等线"/>
                <w:b w:val="0"/>
                <w:bCs w:val="0"/>
                <w:sz w:val="21"/>
                <w:szCs w:val="21"/>
                <w:highlight w:val="none"/>
                <w:lang w:eastAsia="zh-CN" w:bidi="ar"/>
              </w:rPr>
              <w:t>序号</w:t>
            </w:r>
          </w:p>
        </w:tc>
        <w:tc>
          <w:tcPr>
            <w:tcW w:w="673"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rPr>
              <w:t>SAP物资编码/服务组编码</w:t>
            </w:r>
          </w:p>
        </w:tc>
        <w:tc>
          <w:tcPr>
            <w:tcW w:w="53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100" w:beforeAutospacing="1" w:after="100" w:afterAutospacing="1" w:line="408" w:lineRule="auto"/>
              <w:ind w:left="0" w:right="0"/>
              <w:jc w:val="center"/>
              <w:rPr>
                <w:rFonts w:hint="eastAsia" w:ascii="等线" w:hAnsi="等线" w:eastAsia="等线" w:cs="等线"/>
                <w:b w:val="0"/>
                <w:bCs w:val="0"/>
                <w:sz w:val="21"/>
                <w:szCs w:val="21"/>
                <w:highlight w:val="none"/>
                <w:lang w:eastAsia="zh-CN" w:bidi="ar"/>
              </w:rPr>
            </w:pPr>
            <w:r>
              <w:rPr>
                <w:rFonts w:hint="eastAsia" w:ascii="等线" w:hAnsi="等线" w:eastAsia="等线" w:cs="等线"/>
                <w:b w:val="0"/>
                <w:bCs w:val="0"/>
                <w:sz w:val="21"/>
                <w:szCs w:val="21"/>
                <w:highlight w:val="none"/>
                <w:lang w:eastAsia="zh-CN" w:bidi="ar"/>
              </w:rPr>
              <w:t>物资名称</w:t>
            </w:r>
          </w:p>
        </w:tc>
        <w:tc>
          <w:tcPr>
            <w:tcW w:w="238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lang w:eastAsia="zh-CN" w:bidi="ar"/>
              </w:rPr>
              <w:t>规格型号</w:t>
            </w:r>
          </w:p>
        </w:tc>
        <w:tc>
          <w:tcPr>
            <w:tcW w:w="3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lang w:eastAsia="zh-CN" w:bidi="ar"/>
              </w:rPr>
              <w:t>单位</w:t>
            </w:r>
          </w:p>
        </w:tc>
        <w:tc>
          <w:tcPr>
            <w:tcW w:w="58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lang w:eastAsia="zh-CN" w:bidi="ar"/>
              </w:rPr>
              <w:t>中文单位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4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8" w:lineRule="auto"/>
              <w:ind w:left="0" w:right="0"/>
              <w:jc w:val="center"/>
              <w:textAlignment w:val="center"/>
              <w:rPr>
                <w:rFonts w:hint="eastAsia" w:ascii="等线" w:hAnsi="等线" w:eastAsia="等线" w:cs="等线"/>
                <w:b w:val="0"/>
                <w:bCs w:val="0"/>
                <w:sz w:val="21"/>
                <w:szCs w:val="21"/>
                <w:highlight w:val="none"/>
              </w:rPr>
            </w:pPr>
            <w:bookmarkStart w:id="5" w:name="OLE_LINK1_0_0"/>
            <w:r>
              <w:rPr>
                <w:rFonts w:hint="eastAsia" w:ascii="等线" w:hAnsi="等线" w:eastAsia="等线" w:cs="等线"/>
                <w:b w:val="0"/>
                <w:bCs w:val="0"/>
                <w:sz w:val="21"/>
                <w:szCs w:val="21"/>
                <w:highlight w:val="none"/>
                <w:lang w:eastAsia="zh-CN" w:bidi="ar"/>
              </w:rPr>
              <w:t>1</w:t>
            </w:r>
            <w:bookmarkEnd w:id="5"/>
          </w:p>
        </w:tc>
        <w:tc>
          <w:tcPr>
            <w:tcW w:w="119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等线" w:hAnsi="等线" w:eastAsia="等线" w:cs="等线"/>
                <w:b w:val="0"/>
                <w:bCs w:val="0"/>
                <w:color w:val="000000"/>
                <w:sz w:val="21"/>
                <w:szCs w:val="21"/>
                <w:highlight w:val="none"/>
                <w:lang w:eastAsia="zh-CN" w:bidi="ar"/>
              </w:rPr>
            </w:pPr>
            <w:r>
              <w:rPr>
                <w:rFonts w:hint="eastAsia" w:ascii="宋体" w:hAnsi="宋体" w:cs="宋体"/>
                <w:b w:val="0"/>
                <w:bCs w:val="0"/>
                <w:kern w:val="0"/>
                <w:sz w:val="24"/>
                <w:szCs w:val="24"/>
                <w:highlight w:val="none"/>
                <w:lang w:val="en-US" w:eastAsia="zh-CN"/>
              </w:rPr>
              <w:t>84989465</w:t>
            </w:r>
            <w:r>
              <w:rPr>
                <w:rFonts w:hint="eastAsia" w:ascii="宋体" w:hAnsi="宋体" w:cs="宋体"/>
                <w:b w:val="0"/>
                <w:bCs w:val="0"/>
                <w:kern w:val="0"/>
                <w:sz w:val="24"/>
                <w:szCs w:val="24"/>
                <w:highlight w:val="none"/>
              </w:rPr>
              <w:t>　</w:t>
            </w:r>
          </w:p>
        </w:tc>
        <w:tc>
          <w:tcPr>
            <w:tcW w:w="53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8" w:lineRule="auto"/>
              <w:jc w:val="center"/>
              <w:textAlignment w:val="center"/>
              <w:rPr>
                <w:rFonts w:hint="eastAsia" w:ascii="宋体" w:hAnsi="宋体" w:cs="宋体" w:eastAsiaTheme="minorEastAsia"/>
                <w:b w:val="0"/>
                <w:bCs w:val="0"/>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防腐精蜡带</w:t>
            </w:r>
          </w:p>
        </w:tc>
        <w:tc>
          <w:tcPr>
            <w:tcW w:w="2382" w:type="pct"/>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8" w:lineRule="auto"/>
              <w:ind w:left="0" w:leftChars="0" w:right="0" w:rightChars="0"/>
              <w:jc w:val="center"/>
              <w:rPr>
                <w:rFonts w:hint="eastAsia" w:ascii="等线" w:hAnsi="等线" w:eastAsia="等线" w:cs="等线"/>
                <w:b w:val="0"/>
                <w:bCs w:val="0"/>
                <w:color w:val="000000"/>
                <w:sz w:val="21"/>
                <w:szCs w:val="21"/>
                <w:highlight w:val="none"/>
                <w:lang w:val="en-US" w:eastAsia="zh-CN" w:bidi="ar"/>
              </w:rPr>
            </w:pPr>
            <w:r>
              <w:rPr>
                <w:rFonts w:hint="eastAsia" w:ascii="等线" w:hAnsi="等线" w:eastAsia="等线" w:cs="等线"/>
                <w:b w:val="0"/>
                <w:bCs w:val="0"/>
                <w:color w:val="000000"/>
                <w:sz w:val="21"/>
                <w:szCs w:val="21"/>
                <w:highlight w:val="none"/>
                <w:lang w:val="en-US" w:eastAsia="zh-CN" w:bidi="ar"/>
              </w:rPr>
              <w:t>100℃\10000mm×50mm×2mm\≥45N/cm×25N/cm</w:t>
            </w:r>
          </w:p>
        </w:tc>
        <w:tc>
          <w:tcPr>
            <w:tcW w:w="3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等线" w:hAnsi="等线" w:eastAsia="等线" w:cs="等线"/>
                <w:b w:val="0"/>
                <w:bCs w:val="0"/>
                <w:color w:val="000000"/>
                <w:spacing w:val="2"/>
                <w:sz w:val="21"/>
                <w:szCs w:val="21"/>
                <w:highlight w:val="none"/>
                <w:lang w:val="en-US" w:eastAsia="zh-CN" w:bidi="ar"/>
              </w:rPr>
              <w:t>SET</w:t>
            </w:r>
          </w:p>
        </w:tc>
        <w:tc>
          <w:tcPr>
            <w:tcW w:w="58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right="0"/>
              <w:jc w:val="center"/>
              <w:rPr>
                <w:rFonts w:hint="eastAsia" w:ascii="等线" w:hAnsi="等线" w:eastAsia="等线" w:cs="等线"/>
                <w:b w:val="0"/>
                <w:bCs w:val="0"/>
                <w:color w:val="000000"/>
                <w:spacing w:val="2"/>
                <w:sz w:val="21"/>
                <w:szCs w:val="21"/>
                <w:highlight w:val="none"/>
                <w:lang w:val="en-US" w:eastAsia="zh-CN"/>
              </w:rPr>
            </w:pPr>
            <w:r>
              <w:rPr>
                <w:rFonts w:hint="eastAsia" w:ascii="等线" w:hAnsi="等线" w:eastAsia="等线" w:cs="等线"/>
                <w:b w:val="0"/>
                <w:bCs w:val="0"/>
                <w:color w:val="000000"/>
                <w:spacing w:val="2"/>
                <w:sz w:val="21"/>
                <w:szCs w:val="21"/>
                <w:highlight w:val="no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8" w:lineRule="auto"/>
              <w:ind w:left="0" w:right="0"/>
              <w:jc w:val="center"/>
              <w:textAlignment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lang w:eastAsia="zh-CN" w:bidi="ar"/>
              </w:rPr>
              <w:t>2</w:t>
            </w:r>
          </w:p>
        </w:tc>
        <w:tc>
          <w:tcPr>
            <w:tcW w:w="119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等线" w:hAnsi="等线" w:eastAsia="等线" w:cs="等线"/>
                <w:b w:val="0"/>
                <w:bCs w:val="0"/>
                <w:color w:val="000000"/>
                <w:sz w:val="21"/>
                <w:szCs w:val="21"/>
                <w:highlight w:val="none"/>
                <w:lang w:eastAsia="zh-CN" w:bidi="ar"/>
              </w:rPr>
            </w:pPr>
            <w:r>
              <w:rPr>
                <w:rFonts w:hint="eastAsia" w:ascii="宋体" w:hAnsi="宋体" w:eastAsia="宋体" w:cs="宋体"/>
                <w:b w:val="0"/>
                <w:bCs w:val="0"/>
                <w:kern w:val="0"/>
                <w:sz w:val="24"/>
                <w:szCs w:val="24"/>
                <w:highlight w:val="none"/>
                <w:lang w:val="en-US" w:eastAsia="zh-CN"/>
              </w:rPr>
              <w:t>84989466</w:t>
            </w:r>
          </w:p>
        </w:tc>
        <w:tc>
          <w:tcPr>
            <w:tcW w:w="53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8" w:lineRule="auto"/>
              <w:jc w:val="center"/>
              <w:textAlignment w:val="center"/>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防腐精蜡带</w:t>
            </w:r>
          </w:p>
        </w:tc>
        <w:tc>
          <w:tcPr>
            <w:tcW w:w="2382" w:type="pct"/>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8" w:lineRule="auto"/>
              <w:ind w:left="0" w:leftChars="0" w:right="0" w:rightChars="0"/>
              <w:jc w:val="center"/>
              <w:rPr>
                <w:rFonts w:hint="eastAsia" w:ascii="等线" w:hAnsi="等线" w:eastAsia="等线" w:cs="等线"/>
                <w:b w:val="0"/>
                <w:bCs w:val="0"/>
                <w:color w:val="000000"/>
                <w:sz w:val="21"/>
                <w:szCs w:val="21"/>
                <w:highlight w:val="none"/>
                <w:lang w:val="en-US" w:eastAsia="zh-CN" w:bidi="ar"/>
              </w:rPr>
            </w:pPr>
            <w:r>
              <w:rPr>
                <w:rFonts w:hint="eastAsia" w:ascii="等线" w:hAnsi="等线" w:eastAsia="等线" w:cs="等线"/>
                <w:b w:val="0"/>
                <w:bCs w:val="0"/>
                <w:color w:val="000000"/>
                <w:sz w:val="21"/>
                <w:szCs w:val="21"/>
                <w:highlight w:val="none"/>
                <w:lang w:val="en-US" w:eastAsia="zh-CN" w:bidi="ar"/>
              </w:rPr>
              <w:t>100℃\10000mm×100mm×2mm\≥45N/cm×25N/cm</w:t>
            </w:r>
          </w:p>
        </w:tc>
        <w:tc>
          <w:tcPr>
            <w:tcW w:w="3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pacing w:val="2"/>
                <w:sz w:val="21"/>
                <w:szCs w:val="21"/>
                <w:highlight w:val="none"/>
              </w:rPr>
            </w:pPr>
            <w:r>
              <w:rPr>
                <w:rFonts w:hint="eastAsia" w:ascii="等线" w:hAnsi="等线" w:eastAsia="等线" w:cs="等线"/>
                <w:b w:val="0"/>
                <w:bCs w:val="0"/>
                <w:color w:val="000000"/>
                <w:spacing w:val="2"/>
                <w:sz w:val="21"/>
                <w:szCs w:val="21"/>
                <w:highlight w:val="none"/>
                <w:lang w:val="en-US" w:eastAsia="zh-CN" w:bidi="ar"/>
              </w:rPr>
              <w:t>SET</w:t>
            </w:r>
          </w:p>
        </w:tc>
        <w:tc>
          <w:tcPr>
            <w:tcW w:w="58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z w:val="21"/>
                <w:szCs w:val="21"/>
                <w:highlight w:val="none"/>
              </w:rPr>
            </w:pPr>
            <w:r>
              <w:rPr>
                <w:rFonts w:hint="eastAsia" w:ascii="等线" w:hAnsi="等线" w:eastAsia="等线" w:cs="等线"/>
                <w:b w:val="0"/>
                <w:bCs w:val="0"/>
                <w:color w:val="000000"/>
                <w:spacing w:val="2"/>
                <w:sz w:val="21"/>
                <w:szCs w:val="21"/>
                <w:highlight w:val="no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8" w:lineRule="auto"/>
              <w:ind w:left="0" w:right="0"/>
              <w:jc w:val="center"/>
              <w:textAlignment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lang w:eastAsia="zh-CN" w:bidi="ar"/>
              </w:rPr>
              <w:t>3</w:t>
            </w:r>
          </w:p>
        </w:tc>
        <w:tc>
          <w:tcPr>
            <w:tcW w:w="119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等线" w:hAnsi="等线" w:eastAsia="等线" w:cs="等线"/>
                <w:b w:val="0"/>
                <w:bCs w:val="0"/>
                <w:color w:val="000000"/>
                <w:sz w:val="21"/>
                <w:szCs w:val="21"/>
                <w:highlight w:val="none"/>
                <w:lang w:eastAsia="zh-CN" w:bidi="ar"/>
              </w:rPr>
            </w:pPr>
            <w:r>
              <w:rPr>
                <w:rFonts w:hint="eastAsia" w:ascii="宋体" w:hAnsi="宋体" w:eastAsia="宋体" w:cs="宋体"/>
                <w:b w:val="0"/>
                <w:bCs w:val="0"/>
                <w:kern w:val="0"/>
                <w:sz w:val="24"/>
                <w:szCs w:val="24"/>
                <w:highlight w:val="none"/>
                <w:lang w:val="en-US" w:eastAsia="zh-CN"/>
              </w:rPr>
              <w:t>84989467</w:t>
            </w:r>
          </w:p>
        </w:tc>
        <w:tc>
          <w:tcPr>
            <w:tcW w:w="53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8" w:lineRule="auto"/>
              <w:jc w:val="center"/>
              <w:textAlignment w:val="center"/>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防腐精蜡带</w:t>
            </w:r>
          </w:p>
        </w:tc>
        <w:tc>
          <w:tcPr>
            <w:tcW w:w="238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等线" w:hAnsi="等线" w:eastAsia="等线" w:cs="等线"/>
                <w:sz w:val="21"/>
                <w:szCs w:val="21"/>
                <w:highlight w:val="none"/>
              </w:rPr>
              <w:t>100℃\10000mm×150mm×2mm\≥45N/cm×25N/cm</w:t>
            </w:r>
          </w:p>
        </w:tc>
        <w:tc>
          <w:tcPr>
            <w:tcW w:w="3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pacing w:val="2"/>
                <w:sz w:val="21"/>
                <w:szCs w:val="21"/>
                <w:highlight w:val="none"/>
              </w:rPr>
            </w:pPr>
            <w:r>
              <w:rPr>
                <w:rFonts w:hint="eastAsia" w:ascii="等线" w:hAnsi="等线" w:eastAsia="等线" w:cs="等线"/>
                <w:b w:val="0"/>
                <w:bCs w:val="0"/>
                <w:color w:val="000000"/>
                <w:spacing w:val="2"/>
                <w:sz w:val="21"/>
                <w:szCs w:val="21"/>
                <w:highlight w:val="none"/>
                <w:lang w:val="en-US" w:eastAsia="zh-CN" w:bidi="ar"/>
              </w:rPr>
              <w:t>SET</w:t>
            </w:r>
          </w:p>
        </w:tc>
        <w:tc>
          <w:tcPr>
            <w:tcW w:w="58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z w:val="21"/>
                <w:szCs w:val="21"/>
                <w:highlight w:val="none"/>
              </w:rPr>
            </w:pPr>
            <w:r>
              <w:rPr>
                <w:rFonts w:hint="eastAsia" w:ascii="等线" w:hAnsi="等线" w:eastAsia="等线" w:cs="等线"/>
                <w:b w:val="0"/>
                <w:bCs w:val="0"/>
                <w:color w:val="000000"/>
                <w:spacing w:val="2"/>
                <w:sz w:val="21"/>
                <w:szCs w:val="21"/>
                <w:highlight w:val="no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8" w:lineRule="auto"/>
              <w:ind w:left="0" w:right="0"/>
              <w:jc w:val="center"/>
              <w:textAlignment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lang w:eastAsia="zh-CN" w:bidi="ar"/>
              </w:rPr>
              <w:t>4</w:t>
            </w:r>
          </w:p>
        </w:tc>
        <w:tc>
          <w:tcPr>
            <w:tcW w:w="119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等线" w:hAnsi="等线" w:eastAsia="等线" w:cs="等线"/>
                <w:b w:val="0"/>
                <w:bCs w:val="0"/>
                <w:color w:val="000000"/>
                <w:sz w:val="21"/>
                <w:szCs w:val="21"/>
                <w:highlight w:val="none"/>
                <w:lang w:eastAsia="zh-CN" w:bidi="ar"/>
              </w:rPr>
            </w:pPr>
            <w:r>
              <w:rPr>
                <w:rFonts w:hint="eastAsia" w:ascii="宋体" w:hAnsi="宋体" w:eastAsia="宋体" w:cs="宋体"/>
                <w:b w:val="0"/>
                <w:bCs w:val="0"/>
                <w:kern w:val="0"/>
                <w:sz w:val="24"/>
                <w:szCs w:val="24"/>
                <w:highlight w:val="none"/>
                <w:lang w:val="en-US" w:eastAsia="zh-CN"/>
              </w:rPr>
              <w:t>84989468</w:t>
            </w:r>
          </w:p>
        </w:tc>
        <w:tc>
          <w:tcPr>
            <w:tcW w:w="53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8" w:lineRule="auto"/>
              <w:jc w:val="center"/>
              <w:textAlignment w:val="center"/>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防腐精蜡带</w:t>
            </w:r>
          </w:p>
        </w:tc>
        <w:tc>
          <w:tcPr>
            <w:tcW w:w="238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等线" w:hAnsi="等线" w:eastAsia="等线" w:cs="等线"/>
                <w:sz w:val="21"/>
                <w:szCs w:val="21"/>
                <w:highlight w:val="none"/>
              </w:rPr>
              <w:t>100℃\10000mm×220mm×2mm\≥45N/cm×25N/cm</w:t>
            </w:r>
          </w:p>
        </w:tc>
        <w:tc>
          <w:tcPr>
            <w:tcW w:w="3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pacing w:val="2"/>
                <w:sz w:val="21"/>
                <w:szCs w:val="21"/>
                <w:highlight w:val="none"/>
              </w:rPr>
            </w:pPr>
            <w:r>
              <w:rPr>
                <w:rFonts w:hint="eastAsia" w:ascii="等线" w:hAnsi="等线" w:eastAsia="等线" w:cs="等线"/>
                <w:b w:val="0"/>
                <w:bCs w:val="0"/>
                <w:color w:val="000000"/>
                <w:spacing w:val="2"/>
                <w:sz w:val="21"/>
                <w:szCs w:val="21"/>
                <w:highlight w:val="none"/>
                <w:lang w:val="en-US" w:eastAsia="zh-CN" w:bidi="ar"/>
              </w:rPr>
              <w:t>SET</w:t>
            </w:r>
          </w:p>
        </w:tc>
        <w:tc>
          <w:tcPr>
            <w:tcW w:w="58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z w:val="21"/>
                <w:szCs w:val="21"/>
                <w:highlight w:val="none"/>
              </w:rPr>
            </w:pPr>
            <w:r>
              <w:rPr>
                <w:rFonts w:hint="eastAsia" w:ascii="等线" w:hAnsi="等线" w:eastAsia="等线" w:cs="等线"/>
                <w:b w:val="0"/>
                <w:bCs w:val="0"/>
                <w:color w:val="000000"/>
                <w:spacing w:val="2"/>
                <w:sz w:val="21"/>
                <w:szCs w:val="21"/>
                <w:highlight w:val="no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8" w:lineRule="auto"/>
              <w:ind w:left="0" w:right="0"/>
              <w:jc w:val="center"/>
              <w:textAlignment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lang w:eastAsia="zh-CN" w:bidi="ar"/>
              </w:rPr>
              <w:t>5</w:t>
            </w:r>
          </w:p>
        </w:tc>
        <w:tc>
          <w:tcPr>
            <w:tcW w:w="119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等线" w:hAnsi="等线" w:eastAsia="等线" w:cs="等线"/>
                <w:b w:val="0"/>
                <w:bCs w:val="0"/>
                <w:color w:val="000000"/>
                <w:sz w:val="21"/>
                <w:szCs w:val="21"/>
                <w:highlight w:val="none"/>
                <w:lang w:eastAsia="zh-CN" w:bidi="ar"/>
              </w:rPr>
            </w:pPr>
            <w:r>
              <w:rPr>
                <w:rFonts w:hint="eastAsia" w:ascii="宋体" w:hAnsi="宋体" w:eastAsia="宋体" w:cs="宋体"/>
                <w:b w:val="0"/>
                <w:bCs w:val="0"/>
                <w:kern w:val="0"/>
                <w:sz w:val="24"/>
                <w:szCs w:val="24"/>
                <w:highlight w:val="none"/>
                <w:lang w:val="en-US" w:eastAsia="zh-CN"/>
              </w:rPr>
              <w:t>84989469</w:t>
            </w:r>
          </w:p>
        </w:tc>
        <w:tc>
          <w:tcPr>
            <w:tcW w:w="53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8" w:lineRule="auto"/>
              <w:jc w:val="center"/>
              <w:textAlignment w:val="center"/>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防腐精蜡带</w:t>
            </w:r>
          </w:p>
        </w:tc>
        <w:tc>
          <w:tcPr>
            <w:tcW w:w="238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等线" w:hAnsi="等线" w:eastAsia="等线" w:cs="等线"/>
                <w:sz w:val="21"/>
                <w:szCs w:val="21"/>
                <w:highlight w:val="none"/>
              </w:rPr>
              <w:t>100℃\10000mm×300mm×2mm\≥45N/cm×25N/cm</w:t>
            </w:r>
          </w:p>
        </w:tc>
        <w:tc>
          <w:tcPr>
            <w:tcW w:w="3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pacing w:val="2"/>
                <w:sz w:val="21"/>
                <w:szCs w:val="21"/>
                <w:highlight w:val="none"/>
              </w:rPr>
            </w:pPr>
            <w:r>
              <w:rPr>
                <w:rFonts w:hint="eastAsia" w:ascii="等线" w:hAnsi="等线" w:eastAsia="等线" w:cs="等线"/>
                <w:b w:val="0"/>
                <w:bCs w:val="0"/>
                <w:color w:val="000000"/>
                <w:spacing w:val="2"/>
                <w:sz w:val="21"/>
                <w:szCs w:val="21"/>
                <w:highlight w:val="none"/>
                <w:lang w:val="en-US" w:eastAsia="zh-CN" w:bidi="ar"/>
              </w:rPr>
              <w:t>SET</w:t>
            </w:r>
          </w:p>
        </w:tc>
        <w:tc>
          <w:tcPr>
            <w:tcW w:w="58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pacing w:val="2"/>
                <w:sz w:val="21"/>
                <w:szCs w:val="21"/>
                <w:highlight w:val="none"/>
              </w:rPr>
            </w:pPr>
            <w:r>
              <w:rPr>
                <w:rFonts w:hint="eastAsia" w:ascii="等线" w:hAnsi="等线" w:eastAsia="等线" w:cs="等线"/>
                <w:b w:val="0"/>
                <w:bCs w:val="0"/>
                <w:color w:val="000000"/>
                <w:spacing w:val="2"/>
                <w:sz w:val="21"/>
                <w:szCs w:val="21"/>
                <w:highlight w:val="no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8" w:lineRule="auto"/>
              <w:ind w:left="0" w:right="0"/>
              <w:jc w:val="center"/>
              <w:textAlignment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lang w:eastAsia="zh-CN" w:bidi="ar"/>
              </w:rPr>
              <w:t>6</w:t>
            </w:r>
          </w:p>
        </w:tc>
        <w:tc>
          <w:tcPr>
            <w:tcW w:w="1191" w:type="dxa"/>
            <w:tcBorders>
              <w:top w:val="single" w:color="auto" w:sz="4" w:space="0"/>
              <w:left w:val="nil"/>
              <w:bottom w:val="single" w:color="auto" w:sz="4" w:space="0"/>
              <w:right w:val="single" w:color="auto" w:sz="4" w:space="0"/>
            </w:tcBorders>
            <w:noWrap w:val="0"/>
            <w:vAlign w:val="center"/>
          </w:tcPr>
          <w:p>
            <w:pPr>
              <w:widowControl/>
              <w:jc w:val="center"/>
              <w:rPr>
                <w:rFonts w:hint="default" w:ascii="等线" w:hAnsi="等线" w:eastAsia="等线" w:cs="等线"/>
                <w:b w:val="0"/>
                <w:bCs w:val="0"/>
                <w:color w:val="000000"/>
                <w:sz w:val="21"/>
                <w:szCs w:val="21"/>
                <w:highlight w:val="none"/>
                <w:lang w:val="en-US" w:eastAsia="zh-CN" w:bidi="ar"/>
              </w:rPr>
            </w:pPr>
            <w:r>
              <w:rPr>
                <w:rFonts w:hint="eastAsia" w:ascii="宋体" w:hAnsi="宋体" w:cs="宋体"/>
                <w:b w:val="0"/>
                <w:bCs w:val="0"/>
                <w:kern w:val="0"/>
                <w:sz w:val="24"/>
                <w:szCs w:val="24"/>
                <w:highlight w:val="none"/>
                <w:lang w:val="en-US" w:eastAsia="zh-CN"/>
              </w:rPr>
              <w:t>A031212</w:t>
            </w:r>
          </w:p>
        </w:tc>
        <w:tc>
          <w:tcPr>
            <w:tcW w:w="53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8" w:lineRule="auto"/>
              <w:jc w:val="center"/>
              <w:textAlignment w:val="center"/>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防腐底剂</w:t>
            </w:r>
          </w:p>
        </w:tc>
        <w:tc>
          <w:tcPr>
            <w:tcW w:w="238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宋体" w:hAnsi="宋体" w:eastAsia="宋体" w:cs="宋体"/>
                <w:i w:val="0"/>
                <w:iCs w:val="0"/>
                <w:color w:val="000000"/>
                <w:kern w:val="0"/>
                <w:sz w:val="22"/>
                <w:szCs w:val="22"/>
                <w:highlight w:val="none"/>
                <w:u w:val="none"/>
                <w:lang w:val="en-US" w:eastAsia="zh-CN" w:bidi="ar"/>
              </w:rPr>
              <w:t>粘结强度：≥3 MPa（与钢基材）</w:t>
            </w:r>
            <w:r>
              <w:rPr>
                <w:rFonts w:hint="eastAsia" w:ascii="宋体" w:hAnsi="宋体" w:cs="宋体"/>
                <w:i w:val="0"/>
                <w:iCs w:val="0"/>
                <w:color w:val="000000"/>
                <w:kern w:val="0"/>
                <w:sz w:val="22"/>
                <w:szCs w:val="22"/>
                <w:highlight w:val="none"/>
                <w:u w:val="none"/>
                <w:lang w:val="en-US" w:eastAsia="zh-CN" w:bidi="ar"/>
              </w:rPr>
              <w:t>，耐盐水性：浸泡8d无锈蚀，耐盐雾性：≥268h无锈蚀</w:t>
            </w:r>
          </w:p>
        </w:tc>
        <w:tc>
          <w:tcPr>
            <w:tcW w:w="3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pacing w:val="2"/>
                <w:sz w:val="21"/>
                <w:szCs w:val="21"/>
                <w:highlight w:val="none"/>
                <w:lang w:val="en-US" w:eastAsia="zh-CN"/>
              </w:rPr>
            </w:pPr>
            <w:r>
              <w:rPr>
                <w:rFonts w:hint="eastAsia" w:ascii="等线" w:hAnsi="等线" w:eastAsia="等线" w:cs="等线"/>
                <w:b w:val="0"/>
                <w:bCs w:val="0"/>
                <w:color w:val="000000"/>
                <w:spacing w:val="2"/>
                <w:sz w:val="21"/>
                <w:szCs w:val="21"/>
                <w:highlight w:val="none"/>
                <w:lang w:val="en-US" w:eastAsia="zh-CN"/>
              </w:rPr>
              <w:t>KG</w:t>
            </w:r>
          </w:p>
        </w:tc>
        <w:tc>
          <w:tcPr>
            <w:tcW w:w="58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z w:val="21"/>
                <w:szCs w:val="21"/>
                <w:highlight w:val="none"/>
                <w:lang w:val="en-US" w:eastAsia="zh-CN"/>
              </w:rPr>
            </w:pPr>
            <w:r>
              <w:rPr>
                <w:rFonts w:hint="eastAsia" w:ascii="等线" w:hAnsi="等线" w:eastAsia="等线" w:cs="等线"/>
                <w:b w:val="0"/>
                <w:bCs w:val="0"/>
                <w:color w:val="000000"/>
                <w:sz w:val="21"/>
                <w:szCs w:val="21"/>
                <w:highlight w:val="none"/>
                <w:lang w:val="en-US" w:eastAsia="zh-CN"/>
              </w:rPr>
              <w:t>千克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8" w:lineRule="auto"/>
              <w:ind w:left="0" w:right="0"/>
              <w:jc w:val="center"/>
              <w:textAlignment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lang w:eastAsia="zh-CN" w:bidi="ar"/>
              </w:rPr>
              <w:t>7</w:t>
            </w:r>
          </w:p>
        </w:tc>
        <w:tc>
          <w:tcPr>
            <w:tcW w:w="119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等线" w:hAnsi="等线" w:eastAsia="等线" w:cs="等线"/>
                <w:b w:val="0"/>
                <w:bCs w:val="0"/>
                <w:color w:val="000000"/>
                <w:sz w:val="21"/>
                <w:szCs w:val="21"/>
                <w:highlight w:val="none"/>
                <w:lang w:val="en-US" w:eastAsia="zh-CN" w:bidi="ar"/>
              </w:rPr>
            </w:pPr>
            <w:r>
              <w:rPr>
                <w:rFonts w:hint="eastAsia" w:ascii="宋体" w:hAnsi="宋体" w:eastAsia="宋体" w:cs="宋体"/>
                <w:b w:val="0"/>
                <w:bCs w:val="0"/>
                <w:kern w:val="0"/>
                <w:sz w:val="24"/>
                <w:szCs w:val="24"/>
                <w:highlight w:val="none"/>
                <w:lang w:val="en-US" w:eastAsia="zh-CN"/>
              </w:rPr>
              <w:t>84989470</w:t>
            </w:r>
          </w:p>
        </w:tc>
        <w:tc>
          <w:tcPr>
            <w:tcW w:w="53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8" w:lineRule="auto"/>
              <w:jc w:val="center"/>
              <w:textAlignment w:val="center"/>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填缝块</w:t>
            </w:r>
          </w:p>
        </w:tc>
        <w:tc>
          <w:tcPr>
            <w:tcW w:w="238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等线" w:hAnsi="等线" w:eastAsia="等线" w:cs="等线"/>
                <w:sz w:val="21"/>
                <w:szCs w:val="21"/>
                <w:highlight w:val="none"/>
              </w:rPr>
              <w:t>100℃\250mm×120mm×40mm\≥45N/cm×25N/cm</w:t>
            </w:r>
          </w:p>
        </w:tc>
        <w:tc>
          <w:tcPr>
            <w:tcW w:w="3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pacing w:val="2"/>
                <w:sz w:val="21"/>
                <w:szCs w:val="21"/>
                <w:highlight w:val="none"/>
              </w:rPr>
            </w:pPr>
            <w:r>
              <w:rPr>
                <w:rFonts w:hint="eastAsia" w:ascii="等线" w:hAnsi="等线" w:eastAsia="等线" w:cs="等线"/>
                <w:b w:val="0"/>
                <w:bCs w:val="0"/>
                <w:color w:val="000000"/>
                <w:spacing w:val="2"/>
                <w:sz w:val="21"/>
                <w:szCs w:val="21"/>
                <w:highlight w:val="none"/>
                <w:lang w:val="en-US" w:eastAsia="zh-CN" w:bidi="ar"/>
              </w:rPr>
              <w:t>SET</w:t>
            </w:r>
          </w:p>
        </w:tc>
        <w:tc>
          <w:tcPr>
            <w:tcW w:w="58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z w:val="21"/>
                <w:szCs w:val="21"/>
                <w:highlight w:val="none"/>
              </w:rPr>
            </w:pPr>
            <w:r>
              <w:rPr>
                <w:rFonts w:hint="eastAsia" w:ascii="等线" w:hAnsi="等线" w:eastAsia="等线" w:cs="等线"/>
                <w:b w:val="0"/>
                <w:bCs w:val="0"/>
                <w:color w:val="000000"/>
                <w:spacing w:val="2"/>
                <w:sz w:val="21"/>
                <w:szCs w:val="21"/>
                <w:highlight w:val="none"/>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8" w:lineRule="auto"/>
              <w:ind w:left="0" w:right="0"/>
              <w:jc w:val="center"/>
              <w:textAlignment w:val="center"/>
              <w:rPr>
                <w:rFonts w:hint="eastAsia" w:ascii="等线" w:hAnsi="等线" w:eastAsia="等线" w:cs="等线"/>
                <w:b w:val="0"/>
                <w:bCs w:val="0"/>
                <w:sz w:val="21"/>
                <w:szCs w:val="21"/>
                <w:highlight w:val="none"/>
              </w:rPr>
            </w:pPr>
            <w:r>
              <w:rPr>
                <w:rFonts w:hint="eastAsia" w:ascii="等线" w:hAnsi="等线" w:eastAsia="等线" w:cs="等线"/>
                <w:b w:val="0"/>
                <w:bCs w:val="0"/>
                <w:sz w:val="21"/>
                <w:szCs w:val="21"/>
                <w:highlight w:val="none"/>
                <w:lang w:eastAsia="zh-CN" w:bidi="ar"/>
              </w:rPr>
              <w:t>8</w:t>
            </w:r>
          </w:p>
        </w:tc>
        <w:tc>
          <w:tcPr>
            <w:tcW w:w="119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等线" w:hAnsi="等线" w:eastAsia="等线" w:cs="等线"/>
                <w:b w:val="0"/>
                <w:bCs w:val="0"/>
                <w:color w:val="000000"/>
                <w:sz w:val="21"/>
                <w:szCs w:val="21"/>
                <w:highlight w:val="none"/>
                <w:lang w:val="en-US" w:eastAsia="zh-CN" w:bidi="ar"/>
              </w:rPr>
            </w:pPr>
            <w:r>
              <w:rPr>
                <w:rFonts w:hint="eastAsia" w:ascii="宋体" w:hAnsi="宋体" w:eastAsia="宋体" w:cs="宋体"/>
                <w:b w:val="0"/>
                <w:bCs w:val="0"/>
                <w:kern w:val="0"/>
                <w:sz w:val="24"/>
                <w:szCs w:val="24"/>
                <w:highlight w:val="none"/>
                <w:lang w:val="en-US" w:eastAsia="zh-CN"/>
              </w:rPr>
              <w:t>85332106</w:t>
            </w:r>
          </w:p>
        </w:tc>
        <w:tc>
          <w:tcPr>
            <w:tcW w:w="53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8" w:lineRule="auto"/>
              <w:jc w:val="center"/>
              <w:textAlignment w:val="center"/>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克漏固强带</w:t>
            </w:r>
          </w:p>
        </w:tc>
        <w:tc>
          <w:tcPr>
            <w:tcW w:w="238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right="0"/>
              <w:jc w:val="center"/>
              <w:rPr>
                <w:rFonts w:hint="eastAsia" w:ascii="等线" w:hAnsi="等线" w:eastAsia="等线" w:cs="等线"/>
                <w:b w:val="0"/>
                <w:bCs w:val="0"/>
                <w:sz w:val="21"/>
                <w:szCs w:val="21"/>
                <w:highlight w:val="none"/>
              </w:rPr>
            </w:pPr>
            <w:r>
              <w:rPr>
                <w:rFonts w:hint="eastAsia" w:ascii="等线" w:hAnsi="等线" w:eastAsia="等线" w:cs="等线"/>
                <w:sz w:val="21"/>
                <w:szCs w:val="21"/>
                <w:highlight w:val="none"/>
              </w:rPr>
              <w:t>100℃\1mm×200mm</w:t>
            </w:r>
            <w:r>
              <w:rPr>
                <w:rFonts w:hint="eastAsia" w:ascii="等线" w:hAnsi="等线" w:eastAsia="等线" w:cs="等线"/>
                <w:color w:val="auto"/>
                <w:sz w:val="21"/>
                <w:szCs w:val="21"/>
                <w:highlight w:val="none"/>
              </w:rPr>
              <w:t>\</w:t>
            </w:r>
            <w:r>
              <w:rPr>
                <w:rFonts w:hint="eastAsia" w:ascii="等线" w:hAnsi="等线" w:eastAsia="等线" w:cs="等线"/>
                <w:color w:val="auto"/>
                <w:sz w:val="21"/>
                <w:szCs w:val="21"/>
                <w:highlight w:val="none"/>
              </w:rPr>
              <w:t>≥</w:t>
            </w:r>
            <w:r>
              <w:rPr>
                <w:rFonts w:hint="eastAsia" w:ascii="等线" w:hAnsi="等线" w:eastAsia="等线" w:cs="等线"/>
                <w:color w:val="auto"/>
                <w:sz w:val="21"/>
                <w:szCs w:val="21"/>
                <w:highlight w:val="none"/>
                <w:lang w:val="en-US" w:eastAsia="zh-CN"/>
              </w:rPr>
              <w:t>6</w:t>
            </w:r>
            <w:r>
              <w:rPr>
                <w:rFonts w:hint="eastAsia" w:ascii="等线" w:hAnsi="等线" w:eastAsia="等线" w:cs="等线"/>
                <w:color w:val="auto"/>
                <w:sz w:val="21"/>
                <w:szCs w:val="21"/>
                <w:highlight w:val="none"/>
              </w:rPr>
              <w:t>N/cm×</w:t>
            </w:r>
            <w:r>
              <w:rPr>
                <w:rFonts w:hint="eastAsia" w:ascii="等线" w:hAnsi="等线" w:eastAsia="等线" w:cs="等线"/>
                <w:color w:val="auto"/>
                <w:sz w:val="21"/>
                <w:szCs w:val="21"/>
                <w:highlight w:val="none"/>
                <w:lang w:val="en-US" w:eastAsia="zh-CN"/>
              </w:rPr>
              <w:t>6</w:t>
            </w:r>
            <w:r>
              <w:rPr>
                <w:rFonts w:hint="eastAsia" w:ascii="等线" w:hAnsi="等线" w:eastAsia="等线" w:cs="等线"/>
                <w:color w:val="auto"/>
                <w:sz w:val="21"/>
                <w:szCs w:val="21"/>
                <w:highlight w:val="none"/>
              </w:rPr>
              <w:t>N/cm</w:t>
            </w:r>
          </w:p>
        </w:tc>
        <w:tc>
          <w:tcPr>
            <w:tcW w:w="3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pacing w:val="2"/>
                <w:sz w:val="21"/>
                <w:szCs w:val="21"/>
                <w:highlight w:val="none"/>
              </w:rPr>
            </w:pPr>
            <w:r>
              <w:rPr>
                <w:rFonts w:hint="eastAsia" w:ascii="等线" w:hAnsi="等线" w:eastAsia="等线" w:cs="等线"/>
                <w:b w:val="0"/>
                <w:bCs w:val="0"/>
                <w:color w:val="000000"/>
                <w:spacing w:val="2"/>
                <w:sz w:val="21"/>
                <w:szCs w:val="21"/>
                <w:highlight w:val="none"/>
                <w:lang w:val="en-US" w:eastAsia="zh-CN" w:bidi="ar"/>
              </w:rPr>
              <w:t>SET</w:t>
            </w:r>
          </w:p>
        </w:tc>
        <w:tc>
          <w:tcPr>
            <w:tcW w:w="58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100" w:beforeAutospacing="1" w:after="100" w:afterAutospacing="1" w:line="408" w:lineRule="auto"/>
              <w:ind w:left="0" w:leftChars="0" w:right="0" w:rightChars="0"/>
              <w:jc w:val="center"/>
              <w:rPr>
                <w:rFonts w:hint="eastAsia" w:ascii="等线" w:hAnsi="等线" w:eastAsia="等线" w:cs="等线"/>
                <w:b w:val="0"/>
                <w:bCs w:val="0"/>
                <w:color w:val="000000"/>
                <w:sz w:val="21"/>
                <w:szCs w:val="21"/>
                <w:highlight w:val="none"/>
              </w:rPr>
            </w:pPr>
            <w:r>
              <w:rPr>
                <w:rFonts w:hint="eastAsia" w:ascii="等线" w:hAnsi="等线" w:eastAsia="等线" w:cs="等线"/>
                <w:b w:val="0"/>
                <w:bCs w:val="0"/>
                <w:color w:val="000000"/>
                <w:spacing w:val="2"/>
                <w:sz w:val="21"/>
                <w:szCs w:val="21"/>
                <w:highlight w:val="none"/>
                <w:lang w:val="en-US" w:eastAsia="zh-CN"/>
              </w:rPr>
              <w:t>套</w:t>
            </w:r>
          </w:p>
        </w:tc>
      </w:tr>
    </w:tbl>
    <w:p>
      <w:pPr>
        <w:keepNext w:val="0"/>
        <w:keepLines w:val="0"/>
        <w:suppressLineNumbers w:val="0"/>
        <w:spacing w:before="0" w:beforeAutospacing="0" w:after="0" w:afterAutospacing="0" w:line="254" w:lineRule="auto"/>
        <w:ind w:left="220" w:right="122" w:hanging="220" w:hangingChars="105"/>
        <w:jc w:val="both"/>
        <w:rPr>
          <w:rFonts w:hint="default" w:ascii="微软雅黑" w:hAnsi="微软雅黑" w:eastAsia="微软雅黑" w:cs="微软雅黑"/>
          <w:color w:val="000000"/>
          <w:sz w:val="21"/>
          <w:szCs w:val="21"/>
          <w:highlight w:val="none"/>
          <w:lang w:val="en-US" w:eastAsia="zh-CN" w:bidi="ar"/>
        </w:rPr>
      </w:pPr>
      <w:r>
        <w:rPr>
          <w:rFonts w:hint="eastAsia" w:ascii="微软雅黑" w:hAnsi="微软雅黑" w:eastAsia="微软雅黑" w:cs="微软雅黑"/>
          <w:color w:val="000000"/>
          <w:sz w:val="21"/>
          <w:szCs w:val="21"/>
          <w:highlight w:val="none"/>
          <w:lang w:val="en-US" w:eastAsia="zh-CN" w:bidi="ar"/>
        </w:rPr>
        <w:t>供应商投标时需备注品牌。</w:t>
      </w:r>
    </w:p>
    <w:p>
      <w:pPr>
        <w:keepNext w:val="0"/>
        <w:keepLines w:val="0"/>
        <w:suppressLineNumbers w:val="0"/>
        <w:spacing w:before="0" w:beforeAutospacing="0" w:after="0" w:afterAutospacing="0" w:line="254" w:lineRule="auto"/>
        <w:ind w:left="220" w:right="122" w:hanging="220" w:hangingChars="105"/>
        <w:jc w:val="both"/>
        <w:rPr>
          <w:rFonts w:ascii="微软雅黑" w:hAnsi="微软雅黑" w:eastAsia="微软雅黑" w:cs="Times New Roman"/>
          <w:color w:val="000000"/>
          <w:sz w:val="21"/>
          <w:szCs w:val="21"/>
          <w:highlight w:val="none"/>
        </w:rPr>
      </w:pPr>
      <w:r>
        <w:rPr>
          <w:rFonts w:ascii="微软雅黑" w:hAnsi="微软雅黑" w:eastAsia="微软雅黑" w:cs="微软雅黑"/>
          <w:color w:val="000000"/>
          <w:sz w:val="21"/>
          <w:szCs w:val="21"/>
          <w:highlight w:val="none"/>
          <w:lang w:eastAsia="zh-CN" w:bidi="ar"/>
        </w:rPr>
        <w:t>交货地点：</w:t>
      </w:r>
      <w:r>
        <w:rPr>
          <w:rFonts w:hint="eastAsia" w:ascii="微软雅黑" w:hAnsi="微软雅黑" w:eastAsia="微软雅黑" w:cs="微软雅黑"/>
          <w:color w:val="000000"/>
          <w:sz w:val="21"/>
          <w:szCs w:val="21"/>
          <w:highlight w:val="none"/>
          <w:lang w:val="en-US" w:eastAsia="zh-CN" w:bidi="ar"/>
        </w:rPr>
        <w:t>舟山市</w:t>
      </w:r>
      <w:r>
        <w:rPr>
          <w:rFonts w:ascii="微软雅黑" w:hAnsi="微软雅黑" w:eastAsia="微软雅黑" w:cs="微软雅黑"/>
          <w:color w:val="000000"/>
          <w:sz w:val="21"/>
          <w:szCs w:val="21"/>
          <w:highlight w:val="none"/>
          <w:lang w:eastAsia="zh-CN" w:bidi="ar"/>
        </w:rPr>
        <w:t>指定地点或码头。</w:t>
      </w:r>
    </w:p>
    <w:p>
      <w:pPr>
        <w:keepNext w:val="0"/>
        <w:keepLines w:val="0"/>
        <w:suppressLineNumbers w:val="0"/>
        <w:spacing w:before="0" w:beforeAutospacing="0" w:after="0" w:afterAutospacing="0" w:line="254" w:lineRule="auto"/>
        <w:ind w:left="220" w:right="122" w:hanging="220" w:hangingChars="105"/>
        <w:jc w:val="both"/>
        <w:rPr>
          <w:rFonts w:ascii="微软雅黑" w:hAnsi="微软雅黑" w:eastAsia="微软雅黑" w:cs="Times New Roman"/>
          <w:color w:val="000000"/>
          <w:sz w:val="21"/>
          <w:szCs w:val="21"/>
          <w:highlight w:val="none"/>
        </w:rPr>
      </w:pPr>
      <w:r>
        <w:rPr>
          <w:rFonts w:ascii="微软雅黑" w:hAnsi="微软雅黑" w:eastAsia="微软雅黑" w:cs="微软雅黑"/>
          <w:color w:val="000000"/>
          <w:sz w:val="21"/>
          <w:szCs w:val="21"/>
          <w:highlight w:val="none"/>
          <w:lang w:eastAsia="zh-CN" w:bidi="ar"/>
        </w:rPr>
        <w:t>合同有效期：自合同签订之日起至之后3年内。</w:t>
      </w:r>
    </w:p>
    <w:p>
      <w:pPr>
        <w:keepNext w:val="0"/>
        <w:keepLines w:val="0"/>
        <w:suppressLineNumbers w:val="0"/>
        <w:spacing w:before="0" w:beforeAutospacing="0" w:after="0" w:afterAutospacing="0" w:line="254" w:lineRule="auto"/>
        <w:ind w:left="0" w:right="122" w:firstLine="0" w:firstLineChars="0"/>
        <w:jc w:val="both"/>
        <w:rPr>
          <w:rFonts w:hint="eastAsia" w:ascii="微软雅黑" w:hAnsi="微软雅黑" w:eastAsia="微软雅黑"/>
          <w:color w:val="auto"/>
          <w:highlight w:val="none"/>
          <w:lang w:eastAsia="zh-CN"/>
        </w:rPr>
      </w:pPr>
      <w:r>
        <w:rPr>
          <w:rFonts w:ascii="微软雅黑" w:hAnsi="微软雅黑" w:eastAsia="微软雅黑" w:cs="微软雅黑"/>
          <w:color w:val="000000"/>
          <w:sz w:val="21"/>
          <w:szCs w:val="21"/>
          <w:highlight w:val="none"/>
          <w:lang w:eastAsia="zh-CN" w:bidi="ar"/>
        </w:rPr>
        <w:t>交货时间：卖方需在收到买方采购订单后15日内完成交付。</w:t>
      </w:r>
    </w:p>
    <w:p>
      <w:pPr>
        <w:tabs>
          <w:tab w:val="left" w:pos="993"/>
          <w:tab w:val="left" w:pos="1134"/>
          <w:tab w:val="left" w:pos="1418"/>
        </w:tabs>
        <w:spacing w:line="560" w:lineRule="exact"/>
        <w:outlineLvl w:val="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二、技术要求</w:t>
      </w:r>
    </w:p>
    <w:bookmarkEnd w:id="3"/>
    <w:bookmarkEnd w:id="4"/>
    <w:p>
      <w:pPr>
        <w:numPr>
          <w:ilvl w:val="0"/>
          <w:numId w:val="0"/>
        </w:numPr>
        <w:spacing w:line="360" w:lineRule="auto"/>
        <w:rPr>
          <w:highlight w:val="none"/>
        </w:rPr>
      </w:pPr>
      <w:r>
        <w:rPr>
          <w:rFonts w:hint="eastAsia" w:ascii="宋体" w:hAnsi="宋体" w:eastAsia="宋体" w:cs="宋体"/>
          <w:b/>
          <w:bCs/>
          <w:snapToGrid/>
          <w:kern w:val="0"/>
          <w:sz w:val="24"/>
          <w:szCs w:val="24"/>
          <w:highlight w:val="none"/>
          <w:lang w:val="en-US" w:eastAsia="zh-CN" w:bidi="ar-SA"/>
        </w:rPr>
        <w:t>【以下技术评议指标部分引自标准</w:t>
      </w:r>
      <w:r>
        <w:rPr>
          <w:rFonts w:hint="eastAsia" w:ascii="微软雅黑" w:hAnsi="微软雅黑" w:eastAsia="微软雅黑" w:cs="微软雅黑"/>
          <w:kern w:val="0"/>
          <w:sz w:val="21"/>
          <w:szCs w:val="21"/>
          <w:highlight w:val="none"/>
          <w:lang w:val="en-US" w:eastAsia="zh-CN" w:bidi="ar-SA"/>
        </w:rPr>
        <w:t>《</w:t>
      </w:r>
      <w:r>
        <w:rPr>
          <w:rFonts w:hint="eastAsia" w:ascii="Times New Roman" w:hAnsi="Times New Roman" w:eastAsia="宋体"/>
          <w:color w:val="auto"/>
          <w:sz w:val="24"/>
          <w:szCs w:val="24"/>
          <w:highlight w:val="none"/>
          <w:lang w:val="en-US" w:eastAsia="zh-CN"/>
        </w:rPr>
        <w:t>GB/T 30788-2025 钢制管道外部冷缠矿脂带包覆腐蚀控制技术</w:t>
      </w:r>
      <w:r>
        <w:rPr>
          <w:rFonts w:hint="eastAsia" w:ascii="微软雅黑" w:hAnsi="微软雅黑" w:eastAsia="微软雅黑" w:cs="微软雅黑"/>
          <w:kern w:val="0"/>
          <w:sz w:val="21"/>
          <w:szCs w:val="21"/>
          <w:highlight w:val="none"/>
          <w:lang w:val="en-US" w:eastAsia="zh-CN" w:bidi="ar-SA"/>
        </w:rPr>
        <w:t>》3.2、4.3</w:t>
      </w:r>
      <w:r>
        <w:rPr>
          <w:rFonts w:hint="eastAsia" w:ascii="宋体" w:hAnsi="宋体" w:eastAsia="宋体" w:cs="宋体"/>
          <w:b/>
          <w:bCs/>
          <w:snapToGrid/>
          <w:kern w:val="0"/>
          <w:sz w:val="24"/>
          <w:szCs w:val="24"/>
          <w:highlight w:val="none"/>
          <w:lang w:val="en-US" w:eastAsia="zh-CN" w:bidi="ar-SA"/>
        </w:rPr>
        <w:t>】</w:t>
      </w:r>
    </w:p>
    <w:p>
      <w:p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3.2矿脂带  petrolatum tape</w:t>
      </w:r>
    </w:p>
    <w:p>
      <w:pPr>
        <w:spacing w:line="360" w:lineRule="auto"/>
        <w:ind w:firstLine="480" w:firstLineChars="200"/>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以无纺布为成型载体，在以石油脂(或石蜡)为主要成分，添加有填料、防锈剂和阻燃剂等辅助成分的混合物中浸渍制成的柔性带状防腐蚀材料。</w:t>
      </w:r>
    </w:p>
    <w:p>
      <w:pPr>
        <w:pStyle w:val="33"/>
        <w:numPr>
          <w:ilvl w:val="0"/>
          <w:numId w:val="0"/>
        </w:numPr>
        <w:spacing w:before="120" w:after="120"/>
        <w:outlineLvl w:val="9"/>
        <w:rPr>
          <w:rFonts w:hint="eastAsia" w:ascii="微软雅黑" w:hAnsi="微软雅黑" w:eastAsia="微软雅黑" w:cs="微软雅黑"/>
          <w:bCs/>
          <w:color w:val="auto"/>
          <w:sz w:val="24"/>
          <w:szCs w:val="24"/>
          <w:highlight w:val="none"/>
          <w:lang w:val="en-US" w:eastAsia="zh-CN"/>
        </w:rPr>
      </w:pPr>
      <w:r>
        <w:rPr>
          <w:rFonts w:hint="eastAsia" w:ascii="微软雅黑" w:hAnsi="微软雅黑" w:eastAsia="微软雅黑" w:cs="微软雅黑"/>
          <w:bCs/>
          <w:color w:val="auto"/>
          <w:sz w:val="24"/>
          <w:szCs w:val="24"/>
          <w:highlight w:val="none"/>
          <w:lang w:val="en-US" w:eastAsia="zh-CN"/>
        </w:rPr>
        <w:t>4.3矿脂带</w:t>
      </w:r>
    </w:p>
    <w:p>
      <w:pPr>
        <w:spacing w:line="360" w:lineRule="auto"/>
        <w:ind w:firstLine="480" w:firstLineChars="200"/>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矿脂带性能应符合表 2 的规定。</w:t>
      </w:r>
    </w:p>
    <w:tbl>
      <w:tblPr>
        <w:tblStyle w:val="53"/>
        <w:tblW w:w="9222" w:type="dxa"/>
        <w:tblInd w:w="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809"/>
        <w:gridCol w:w="1802"/>
        <w:gridCol w:w="2703"/>
        <w:gridCol w:w="2908"/>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7" w:hRule="atLeast"/>
        </w:trPr>
        <w:tc>
          <w:tcPr>
            <w:tcW w:w="3611" w:type="dxa"/>
            <w:gridSpan w:val="2"/>
            <w:tcBorders>
              <w:top w:val="single" w:color="231F20" w:sz="6" w:space="0"/>
              <w:left w:val="single" w:color="231F20" w:sz="6" w:space="0"/>
              <w:bottom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检测项目</w:t>
            </w:r>
          </w:p>
        </w:tc>
        <w:tc>
          <w:tcPr>
            <w:tcW w:w="2703" w:type="dxa"/>
            <w:tcBorders>
              <w:top w:val="single" w:color="231F20" w:sz="6" w:space="0"/>
              <w:bottom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要求</w:t>
            </w:r>
          </w:p>
        </w:tc>
        <w:tc>
          <w:tcPr>
            <w:tcW w:w="2908" w:type="dxa"/>
            <w:tcBorders>
              <w:top w:val="single" w:color="231F20" w:sz="6" w:space="0"/>
              <w:bottom w:val="single" w:color="231F20" w:sz="6" w:space="0"/>
              <w:right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检测方法</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2" w:hRule="atLeast"/>
        </w:trPr>
        <w:tc>
          <w:tcPr>
            <w:tcW w:w="3611" w:type="dxa"/>
            <w:gridSpan w:val="2"/>
            <w:tcBorders>
              <w:top w:val="single" w:color="231F20" w:sz="6" w:space="0"/>
              <w:left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厚度/mm</w:t>
            </w:r>
          </w:p>
        </w:tc>
        <w:tc>
          <w:tcPr>
            <w:tcW w:w="2703" w:type="dxa"/>
            <w:tcBorders>
              <w:top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≥1. 00</w:t>
            </w:r>
          </w:p>
        </w:tc>
        <w:tc>
          <w:tcPr>
            <w:tcW w:w="2908" w:type="dxa"/>
            <w:tcBorders>
              <w:top w:val="single" w:color="231F20" w:sz="6" w:space="0"/>
              <w:right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GB/T 3820</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2" w:hRule="atLeast"/>
        </w:trPr>
        <w:tc>
          <w:tcPr>
            <w:tcW w:w="3611" w:type="dxa"/>
            <w:gridSpan w:val="2"/>
            <w:tcBorders>
              <w:left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中性盐雾试验(1 000 h)</w:t>
            </w:r>
          </w:p>
        </w:tc>
        <w:tc>
          <w:tcPr>
            <w:tcW w:w="2703" w:type="dxa"/>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无锈迹</w:t>
            </w:r>
          </w:p>
        </w:tc>
        <w:tc>
          <w:tcPr>
            <w:tcW w:w="2908" w:type="dxa"/>
            <w:tcBorders>
              <w:right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GB/T 10125</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55" w:hRule="atLeast"/>
        </w:trPr>
        <w:tc>
          <w:tcPr>
            <w:tcW w:w="1809" w:type="dxa"/>
            <w:vMerge w:val="restart"/>
            <w:tcBorders>
              <w:left w:val="single" w:color="231F20" w:sz="6" w:space="0"/>
              <w:bottom w:val="nil"/>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耐化学介质腐蚀 (23 ℃ ±2 ℃ ,7 d)</w:t>
            </w:r>
          </w:p>
        </w:tc>
        <w:tc>
          <w:tcPr>
            <w:tcW w:w="1802" w:type="dxa"/>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10%HCl</w:t>
            </w:r>
          </w:p>
        </w:tc>
        <w:tc>
          <w:tcPr>
            <w:tcW w:w="2703" w:type="dxa"/>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无隆起 、开裂 、剥离等现象</w:t>
            </w:r>
          </w:p>
        </w:tc>
        <w:tc>
          <w:tcPr>
            <w:tcW w:w="2908" w:type="dxa"/>
            <w:vMerge w:val="restart"/>
            <w:tcBorders>
              <w:bottom w:val="nil"/>
              <w:right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p>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SY/T 0315</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55" w:hRule="atLeast"/>
        </w:trPr>
        <w:tc>
          <w:tcPr>
            <w:tcW w:w="1809" w:type="dxa"/>
            <w:vMerge w:val="continue"/>
            <w:tcBorders>
              <w:top w:val="nil"/>
              <w:left w:val="single" w:color="231F20" w:sz="6" w:space="0"/>
              <w:bottom w:val="nil"/>
            </w:tcBorders>
            <w:vAlign w:val="top"/>
          </w:tcPr>
          <w:p>
            <w:pPr>
              <w:rPr>
                <w:rFonts w:ascii="Arial"/>
                <w:sz w:val="20"/>
                <w:szCs w:val="20"/>
                <w:highlight w:val="none"/>
              </w:rPr>
            </w:pPr>
          </w:p>
        </w:tc>
        <w:tc>
          <w:tcPr>
            <w:tcW w:w="1802" w:type="dxa"/>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10%NaOH</w:t>
            </w:r>
          </w:p>
        </w:tc>
        <w:tc>
          <w:tcPr>
            <w:tcW w:w="2703" w:type="dxa"/>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无隆起 、开裂 、剥离等现象</w:t>
            </w:r>
          </w:p>
        </w:tc>
        <w:tc>
          <w:tcPr>
            <w:tcW w:w="2908" w:type="dxa"/>
            <w:vMerge w:val="continue"/>
            <w:tcBorders>
              <w:top w:val="nil"/>
              <w:bottom w:val="nil"/>
              <w:right w:val="single" w:color="231F20" w:sz="6" w:space="0"/>
            </w:tcBorders>
            <w:vAlign w:val="top"/>
          </w:tcPr>
          <w:p>
            <w:pPr>
              <w:rPr>
                <w:rFonts w:ascii="Arial"/>
                <w:sz w:val="20"/>
                <w:szCs w:val="20"/>
                <w:highlight w:val="none"/>
              </w:rPr>
            </w:pP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2" w:hRule="atLeast"/>
        </w:trPr>
        <w:tc>
          <w:tcPr>
            <w:tcW w:w="1809" w:type="dxa"/>
            <w:vMerge w:val="continue"/>
            <w:tcBorders>
              <w:top w:val="nil"/>
              <w:left w:val="single" w:color="231F20" w:sz="6" w:space="0"/>
              <w:bottom w:val="single" w:color="231F20" w:sz="6" w:space="0"/>
            </w:tcBorders>
            <w:vAlign w:val="top"/>
          </w:tcPr>
          <w:p>
            <w:pPr>
              <w:rPr>
                <w:rFonts w:ascii="Arial"/>
                <w:sz w:val="20"/>
                <w:szCs w:val="20"/>
                <w:highlight w:val="none"/>
              </w:rPr>
            </w:pPr>
          </w:p>
        </w:tc>
        <w:tc>
          <w:tcPr>
            <w:tcW w:w="1802" w:type="dxa"/>
            <w:tcBorders>
              <w:bottom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3%NaCl</w:t>
            </w:r>
          </w:p>
        </w:tc>
        <w:tc>
          <w:tcPr>
            <w:tcW w:w="2703" w:type="dxa"/>
            <w:tcBorders>
              <w:bottom w:val="single" w:color="231F20" w:sz="6" w:space="0"/>
            </w:tcBorders>
            <w:vAlign w:val="top"/>
          </w:tcPr>
          <w:p>
            <w:pPr>
              <w:spacing w:line="360" w:lineRule="auto"/>
              <w:jc w:val="center"/>
              <w:outlineLvl w:val="9"/>
              <w:rPr>
                <w:rFonts w:hint="eastAsia" w:ascii="微软雅黑" w:hAnsi="微软雅黑" w:eastAsia="微软雅黑" w:cs="微软雅黑"/>
                <w:kern w:val="2"/>
                <w:sz w:val="20"/>
                <w:szCs w:val="20"/>
                <w:highlight w:val="none"/>
                <w:lang w:val="en-US" w:eastAsia="zh-CN" w:bidi="ar-SA"/>
              </w:rPr>
            </w:pPr>
            <w:r>
              <w:rPr>
                <w:rFonts w:hint="eastAsia" w:ascii="微软雅黑" w:hAnsi="微软雅黑" w:eastAsia="微软雅黑" w:cs="微软雅黑"/>
                <w:kern w:val="2"/>
                <w:sz w:val="20"/>
                <w:szCs w:val="20"/>
                <w:highlight w:val="none"/>
                <w:lang w:val="en-US" w:eastAsia="zh-CN" w:bidi="ar-SA"/>
              </w:rPr>
              <w:t>无隆起 、开裂 、剥离等现象</w:t>
            </w:r>
          </w:p>
        </w:tc>
        <w:tc>
          <w:tcPr>
            <w:tcW w:w="2908" w:type="dxa"/>
            <w:vMerge w:val="continue"/>
            <w:tcBorders>
              <w:top w:val="nil"/>
              <w:bottom w:val="single" w:color="231F20" w:sz="6" w:space="0"/>
              <w:right w:val="single" w:color="231F20" w:sz="6" w:space="0"/>
            </w:tcBorders>
            <w:vAlign w:val="top"/>
          </w:tcPr>
          <w:p>
            <w:pPr>
              <w:rPr>
                <w:rFonts w:ascii="Arial"/>
                <w:sz w:val="20"/>
                <w:szCs w:val="20"/>
                <w:highlight w:val="none"/>
              </w:rPr>
            </w:pPr>
          </w:p>
        </w:tc>
      </w:tr>
    </w:tbl>
    <w:p>
      <w:pPr>
        <w:numPr>
          <w:ilvl w:val="0"/>
          <w:numId w:val="0"/>
        </w:numPr>
        <w:spacing w:line="360" w:lineRule="auto"/>
        <w:rPr>
          <w:rFonts w:hint="eastAsia" w:ascii="微软雅黑" w:hAnsi="微软雅黑" w:eastAsia="微软雅黑" w:cs="Times New Roman"/>
          <w:bCs/>
          <w:color w:val="auto"/>
          <w:sz w:val="32"/>
          <w:szCs w:val="32"/>
          <w:highlight w:val="none"/>
        </w:rPr>
      </w:pPr>
      <w:bookmarkStart w:id="9" w:name="_GoBack"/>
      <w:bookmarkEnd w:id="9"/>
      <w:r>
        <w:rPr>
          <w:rFonts w:hint="eastAsia" w:ascii="宋体" w:hAnsi="宋体" w:eastAsia="宋体" w:cs="宋体"/>
          <w:b/>
          <w:bCs/>
          <w:snapToGrid/>
          <w:kern w:val="0"/>
          <w:sz w:val="24"/>
          <w:szCs w:val="24"/>
          <w:highlight w:val="none"/>
          <w:lang w:val="en-US" w:eastAsia="zh-CN" w:bidi="ar-SA"/>
        </w:rPr>
        <w:t>【</w:t>
      </w:r>
      <w:r>
        <w:rPr>
          <w:rFonts w:hint="default" w:ascii="微软雅黑" w:hAnsi="微软雅黑" w:eastAsia="微软雅黑" w:cs="Times New Roman"/>
          <w:color w:val="auto"/>
          <w:highlight w:val="none"/>
          <w:lang w:val="en-US" w:eastAsia="zh-CN"/>
        </w:rPr>
        <w:t>下述要求为对上述标准中参数的补充优化</w:t>
      </w:r>
      <w:r>
        <w:rPr>
          <w:rFonts w:hint="eastAsia" w:ascii="宋体" w:hAnsi="宋体" w:eastAsia="宋体" w:cs="宋体"/>
          <w:b/>
          <w:bCs/>
          <w:snapToGrid/>
          <w:kern w:val="0"/>
          <w:sz w:val="24"/>
          <w:szCs w:val="24"/>
          <w:highlight w:val="none"/>
          <w:lang w:val="en-US" w:eastAsia="zh-CN" w:bidi="ar-SA"/>
        </w:rPr>
        <w:t>】</w:t>
      </w:r>
    </w:p>
    <w:p>
      <w:pPr>
        <w:spacing w:line="360" w:lineRule="auto"/>
        <w:rPr>
          <w:rFonts w:hint="eastAsia" w:ascii="微软雅黑" w:hAnsi="微软雅黑" w:eastAsia="微软雅黑" w:cs="微软雅黑"/>
          <w:b/>
          <w:color w:val="auto"/>
          <w:sz w:val="24"/>
          <w:szCs w:val="24"/>
          <w:highlight w:val="none"/>
        </w:rPr>
      </w:pPr>
      <w:bookmarkStart w:id="6" w:name="_Hlk132052182"/>
      <w:r>
        <w:rPr>
          <w:rFonts w:hint="eastAsia" w:ascii="微软雅黑" w:hAnsi="微软雅黑" w:eastAsia="微软雅黑" w:cs="微软雅黑"/>
          <w:b/>
          <w:color w:val="auto"/>
          <w:sz w:val="24"/>
          <w:szCs w:val="24"/>
          <w:highlight w:val="none"/>
          <w:lang w:val="en-US" w:eastAsia="zh-CN"/>
        </w:rPr>
        <w:t>5</w:t>
      </w:r>
      <w:r>
        <w:rPr>
          <w:rFonts w:hint="eastAsia" w:ascii="微软雅黑" w:hAnsi="微软雅黑" w:eastAsia="微软雅黑" w:cs="微软雅黑"/>
          <w:b/>
          <w:color w:val="auto"/>
          <w:sz w:val="24"/>
          <w:szCs w:val="24"/>
          <w:highlight w:val="none"/>
        </w:rPr>
        <w:t xml:space="preserve">.1 </w:t>
      </w:r>
      <w:r>
        <w:rPr>
          <w:rFonts w:ascii="微软雅黑" w:hAnsi="微软雅黑" w:eastAsia="微软雅黑" w:cs="微软雅黑"/>
          <w:bCs/>
          <w:sz w:val="24"/>
          <w:szCs w:val="24"/>
          <w:highlight w:val="none"/>
          <w:lang w:eastAsia="zh-CN" w:bidi="ar"/>
        </w:rPr>
        <w:t>★</w:t>
      </w:r>
      <w:r>
        <w:rPr>
          <w:rFonts w:hint="eastAsia" w:ascii="微软雅黑" w:hAnsi="微软雅黑" w:eastAsia="微软雅黑" w:cs="微软雅黑"/>
          <w:b/>
          <w:color w:val="auto"/>
          <w:sz w:val="24"/>
          <w:szCs w:val="24"/>
          <w:highlight w:val="none"/>
          <w:lang w:val="en-US" w:eastAsia="zh-CN"/>
        </w:rPr>
        <w:t>关键</w:t>
      </w:r>
      <w:r>
        <w:rPr>
          <w:rFonts w:hint="eastAsia" w:ascii="微软雅黑" w:hAnsi="微软雅黑" w:eastAsia="微软雅黑" w:cs="微软雅黑"/>
          <w:b/>
          <w:color w:val="auto"/>
          <w:sz w:val="24"/>
          <w:szCs w:val="24"/>
          <w:highlight w:val="none"/>
        </w:rPr>
        <w:t>技术要求</w:t>
      </w:r>
    </w:p>
    <w:p>
      <w:pPr>
        <w:widowControl w:val="0"/>
        <w:adjustRightInd w:val="0"/>
        <w:snapToGrid w:val="0"/>
        <w:spacing w:line="360" w:lineRule="auto"/>
        <w:ind w:firstLine="0" w:firstLineChars="0"/>
        <w:jc w:val="both"/>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1）防腐精蜡带</w:t>
      </w:r>
    </w:p>
    <w:p>
      <w:pPr>
        <w:spacing w:line="360" w:lineRule="auto"/>
        <w:outlineLvl w:val="9"/>
        <w:rPr>
          <w:rFonts w:hint="eastAsia" w:ascii="微软雅黑" w:hAnsi="微软雅黑" w:eastAsia="微软雅黑" w:cs="微软雅黑"/>
          <w:sz w:val="24"/>
          <w:szCs w:val="24"/>
          <w:highlight w:val="none"/>
          <w:lang w:val="en-US" w:eastAsia="zh-CN"/>
        </w:rPr>
      </w:pPr>
      <w:r>
        <w:rPr>
          <w:rFonts w:hint="eastAsia" w:ascii="微软雅黑" w:hAnsi="微软雅黑" w:eastAsia="微软雅黑" w:cs="微软雅黑"/>
          <w:kern w:val="2"/>
          <w:sz w:val="24"/>
          <w:szCs w:val="24"/>
          <w:highlight w:val="none"/>
          <w:lang w:val="en-US" w:eastAsia="zh-CN" w:bidi="ar-SA"/>
        </w:rPr>
        <w:t>规格：SET</w:t>
      </w:r>
    </w:p>
    <w:p>
      <w:pPr>
        <w:numPr>
          <w:ilvl w:val="0"/>
          <w:numId w:val="1"/>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长10000mm*宽50mm*厚2mm；</w:t>
      </w:r>
    </w:p>
    <w:p>
      <w:pPr>
        <w:numPr>
          <w:ilvl w:val="0"/>
          <w:numId w:val="1"/>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附着力强，具有抗台风的能力；</w:t>
      </w:r>
    </w:p>
    <w:p>
      <w:pPr>
        <w:numPr>
          <w:ilvl w:val="0"/>
          <w:numId w:val="1"/>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光老化试验-紫外辐射暴露，暴露时间1000h,无腐蚀或锈迹渗出；</w:t>
      </w:r>
    </w:p>
    <w:p>
      <w:pPr>
        <w:numPr>
          <w:ilvl w:val="0"/>
          <w:numId w:val="1"/>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耐化学试剂，周期30天，无粉化、无膨胀、无失去粘性、无脱离损毁、无锈迹渗出；</w:t>
      </w:r>
    </w:p>
    <w:p>
      <w:pPr>
        <w:numPr>
          <w:ilvl w:val="0"/>
          <w:numId w:val="1"/>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透湿率：&lt;0.069perms(&lt;3.956ng/(㎡.s.Pa))；</w:t>
      </w:r>
    </w:p>
    <w:p>
      <w:pPr>
        <w:numPr>
          <w:ilvl w:val="0"/>
          <w:numId w:val="1"/>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中性盐雾(NSS)测试：暴露时间1000h,无起泡、无生锈、无龟裂、无粉化；</w:t>
      </w:r>
    </w:p>
    <w:p>
      <w:pPr>
        <w:numPr>
          <w:ilvl w:val="0"/>
          <w:numId w:val="1"/>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垂直燃烧等级：V-0;</w:t>
      </w:r>
    </w:p>
    <w:p>
      <w:pPr>
        <w:numPr>
          <w:ilvl w:val="0"/>
          <w:numId w:val="1"/>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主要应用区域是法兰、螺栓、弯头、抱卡、管道；</w:t>
      </w:r>
    </w:p>
    <w:p>
      <w:pPr>
        <w:numPr>
          <w:ilvl w:val="0"/>
          <w:numId w:val="1"/>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具备SGS产品检测认证，施工简便，可任意裁剪、包覆。</w:t>
      </w:r>
    </w:p>
    <w:p>
      <w:pPr>
        <w:widowControl w:val="0"/>
        <w:adjustRightInd w:val="0"/>
        <w:snapToGrid w:val="0"/>
        <w:spacing w:line="360" w:lineRule="auto"/>
        <w:ind w:firstLine="0" w:firstLineChars="0"/>
        <w:jc w:val="both"/>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2）防腐精蜡带</w:t>
      </w:r>
    </w:p>
    <w:p>
      <w:pPr>
        <w:spacing w:line="360" w:lineRule="auto"/>
        <w:outlineLvl w:val="9"/>
        <w:rPr>
          <w:rFonts w:hint="eastAsia" w:ascii="微软雅黑" w:hAnsi="微软雅黑" w:eastAsia="微软雅黑" w:cs="微软雅黑"/>
          <w:sz w:val="24"/>
          <w:szCs w:val="24"/>
          <w:highlight w:val="none"/>
          <w:lang w:val="en-US" w:eastAsia="zh-CN"/>
        </w:rPr>
      </w:pPr>
      <w:r>
        <w:rPr>
          <w:rFonts w:hint="eastAsia" w:ascii="微软雅黑" w:hAnsi="微软雅黑" w:eastAsia="微软雅黑" w:cs="微软雅黑"/>
          <w:kern w:val="2"/>
          <w:sz w:val="24"/>
          <w:szCs w:val="24"/>
          <w:highlight w:val="none"/>
          <w:lang w:val="en-US" w:eastAsia="zh-CN" w:bidi="ar-SA"/>
        </w:rPr>
        <w:t>规格：SET</w:t>
      </w:r>
    </w:p>
    <w:p>
      <w:pPr>
        <w:numPr>
          <w:ilvl w:val="0"/>
          <w:numId w:val="2"/>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长10000mm*宽100mm*厚2mm；</w:t>
      </w:r>
    </w:p>
    <w:p>
      <w:pPr>
        <w:numPr>
          <w:ilvl w:val="0"/>
          <w:numId w:val="2"/>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附着力强，具有抗台风的能力；</w:t>
      </w:r>
    </w:p>
    <w:p>
      <w:pPr>
        <w:numPr>
          <w:ilvl w:val="0"/>
          <w:numId w:val="2"/>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光老化试验-紫外辐射暴露，暴露时间1000h,无腐蚀或锈迹渗出；</w:t>
      </w:r>
    </w:p>
    <w:p>
      <w:pPr>
        <w:numPr>
          <w:ilvl w:val="0"/>
          <w:numId w:val="2"/>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耐化学试剂，周期30天，无粉化、无膨胀、无失去粘性、无脱离损毁、无锈迹渗出；</w:t>
      </w:r>
    </w:p>
    <w:p>
      <w:pPr>
        <w:numPr>
          <w:ilvl w:val="0"/>
          <w:numId w:val="2"/>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透湿率：&lt;0.069perms(&lt;3.956ng/(㎡.s.Pa))；</w:t>
      </w:r>
    </w:p>
    <w:p>
      <w:pPr>
        <w:numPr>
          <w:ilvl w:val="0"/>
          <w:numId w:val="2"/>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中性盐雾(NSS)测试：暴露时间1000h,无起泡、无生锈、无龟裂、无粉化；</w:t>
      </w:r>
    </w:p>
    <w:p>
      <w:pPr>
        <w:numPr>
          <w:ilvl w:val="0"/>
          <w:numId w:val="2"/>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垂直燃烧等级：V-0;</w:t>
      </w:r>
    </w:p>
    <w:p>
      <w:pPr>
        <w:numPr>
          <w:ilvl w:val="0"/>
          <w:numId w:val="2"/>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主要应用区域是法兰、螺栓、弯头、抱卡、管道；</w:t>
      </w:r>
    </w:p>
    <w:p>
      <w:pPr>
        <w:numPr>
          <w:ilvl w:val="0"/>
          <w:numId w:val="2"/>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具备SGS产品检测认证，施工简便，可任意裁剪、包覆。</w:t>
      </w:r>
    </w:p>
    <w:p>
      <w:pPr>
        <w:spacing w:line="360" w:lineRule="auto"/>
        <w:rPr>
          <w:rFonts w:hint="eastAsia" w:ascii="微软雅黑" w:hAnsi="微软雅黑" w:eastAsia="微软雅黑" w:cs="微软雅黑"/>
          <w:kern w:val="2"/>
          <w:sz w:val="24"/>
          <w:szCs w:val="24"/>
          <w:highlight w:val="none"/>
          <w:lang w:val="en-US" w:eastAsia="zh-CN" w:bidi="ar-SA"/>
        </w:rPr>
      </w:pPr>
    </w:p>
    <w:p>
      <w:pPr>
        <w:widowControl w:val="0"/>
        <w:adjustRightInd w:val="0"/>
        <w:snapToGrid w:val="0"/>
        <w:spacing w:line="360" w:lineRule="auto"/>
        <w:ind w:firstLine="0" w:firstLineChars="0"/>
        <w:jc w:val="both"/>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3）防腐精蜡带</w:t>
      </w:r>
    </w:p>
    <w:p>
      <w:pPr>
        <w:spacing w:line="360" w:lineRule="auto"/>
        <w:outlineLvl w:val="9"/>
        <w:rPr>
          <w:rFonts w:hint="eastAsia" w:ascii="微软雅黑" w:hAnsi="微软雅黑" w:eastAsia="微软雅黑" w:cs="微软雅黑"/>
          <w:sz w:val="24"/>
          <w:szCs w:val="24"/>
          <w:highlight w:val="none"/>
          <w:lang w:val="en-US" w:eastAsia="zh-CN"/>
        </w:rPr>
      </w:pPr>
      <w:r>
        <w:rPr>
          <w:rFonts w:hint="eastAsia" w:ascii="微软雅黑" w:hAnsi="微软雅黑" w:eastAsia="微软雅黑" w:cs="微软雅黑"/>
          <w:kern w:val="2"/>
          <w:sz w:val="24"/>
          <w:szCs w:val="24"/>
          <w:highlight w:val="none"/>
          <w:lang w:val="en-US" w:eastAsia="zh-CN" w:bidi="ar-SA"/>
        </w:rPr>
        <w:t>规格：SET</w:t>
      </w:r>
    </w:p>
    <w:p>
      <w:pPr>
        <w:numPr>
          <w:ilvl w:val="0"/>
          <w:numId w:val="3"/>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长10000mm*宽150mm*厚2mm；</w:t>
      </w:r>
    </w:p>
    <w:p>
      <w:pPr>
        <w:numPr>
          <w:ilvl w:val="0"/>
          <w:numId w:val="3"/>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附着力强，具有抗台风的能力；</w:t>
      </w:r>
    </w:p>
    <w:p>
      <w:pPr>
        <w:numPr>
          <w:ilvl w:val="0"/>
          <w:numId w:val="3"/>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光老化试验-紫外辐射暴露，暴露时间1000h,无腐蚀或锈迹渗出；</w:t>
      </w:r>
    </w:p>
    <w:p>
      <w:pPr>
        <w:numPr>
          <w:ilvl w:val="0"/>
          <w:numId w:val="3"/>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耐化学试剂，周期30天，无粉化、无膨胀、无失去粘性、无脱离损毁、无锈迹渗出；</w:t>
      </w:r>
    </w:p>
    <w:p>
      <w:pPr>
        <w:numPr>
          <w:ilvl w:val="0"/>
          <w:numId w:val="3"/>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透湿率：&lt;0.069perms(&lt;3.956ng/(㎡.s.Pa))；</w:t>
      </w:r>
    </w:p>
    <w:p>
      <w:pPr>
        <w:numPr>
          <w:ilvl w:val="0"/>
          <w:numId w:val="3"/>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中性盐雾(NSS)测试：暴露时间1000h,无起泡、无生锈、无龟裂、无粉化；</w:t>
      </w:r>
    </w:p>
    <w:p>
      <w:pPr>
        <w:numPr>
          <w:ilvl w:val="0"/>
          <w:numId w:val="3"/>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垂直燃烧等级：V-0;</w:t>
      </w:r>
    </w:p>
    <w:p>
      <w:pPr>
        <w:numPr>
          <w:ilvl w:val="0"/>
          <w:numId w:val="3"/>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主要应用区域是法兰、螺栓、弯头、抱卡、管道；</w:t>
      </w:r>
    </w:p>
    <w:p>
      <w:pPr>
        <w:numPr>
          <w:ilvl w:val="0"/>
          <w:numId w:val="3"/>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具备SGS产品检测认证，施工简便，可任意裁剪、包覆。</w:t>
      </w:r>
    </w:p>
    <w:p>
      <w:pPr>
        <w:widowControl w:val="0"/>
        <w:adjustRightInd w:val="0"/>
        <w:snapToGrid w:val="0"/>
        <w:spacing w:line="360" w:lineRule="auto"/>
        <w:ind w:firstLine="0" w:firstLineChars="0"/>
        <w:jc w:val="both"/>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4）防腐精蜡带</w:t>
      </w:r>
    </w:p>
    <w:p>
      <w:pPr>
        <w:spacing w:line="360" w:lineRule="auto"/>
        <w:outlineLvl w:val="9"/>
        <w:rPr>
          <w:rFonts w:hint="eastAsia" w:ascii="微软雅黑" w:hAnsi="微软雅黑" w:eastAsia="微软雅黑" w:cs="微软雅黑"/>
          <w:sz w:val="24"/>
          <w:szCs w:val="24"/>
          <w:highlight w:val="none"/>
          <w:lang w:val="en-US" w:eastAsia="zh-CN"/>
        </w:rPr>
      </w:pPr>
      <w:r>
        <w:rPr>
          <w:rFonts w:hint="eastAsia" w:ascii="微软雅黑" w:hAnsi="微软雅黑" w:eastAsia="微软雅黑" w:cs="微软雅黑"/>
          <w:kern w:val="2"/>
          <w:sz w:val="24"/>
          <w:szCs w:val="24"/>
          <w:highlight w:val="none"/>
          <w:lang w:val="en-US" w:eastAsia="zh-CN" w:bidi="ar-SA"/>
        </w:rPr>
        <w:t>规格：SET</w:t>
      </w:r>
    </w:p>
    <w:p>
      <w:pPr>
        <w:numPr>
          <w:ilvl w:val="0"/>
          <w:numId w:val="4"/>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宽长10000mm*220mm*厚2mm；</w:t>
      </w:r>
    </w:p>
    <w:p>
      <w:pPr>
        <w:numPr>
          <w:ilvl w:val="0"/>
          <w:numId w:val="4"/>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附着力强，具有抗台风的能力；</w:t>
      </w:r>
    </w:p>
    <w:p>
      <w:pPr>
        <w:numPr>
          <w:ilvl w:val="0"/>
          <w:numId w:val="4"/>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光老化试验-紫外辐射暴露，暴露时间1000h,无腐蚀或锈迹渗出；</w:t>
      </w:r>
    </w:p>
    <w:p>
      <w:pPr>
        <w:numPr>
          <w:ilvl w:val="0"/>
          <w:numId w:val="4"/>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耐化学试剂，周期30天，无粉化、无膨胀、无失去粘性、无脱离损毁、无锈迹渗出；</w:t>
      </w:r>
    </w:p>
    <w:p>
      <w:pPr>
        <w:numPr>
          <w:ilvl w:val="0"/>
          <w:numId w:val="4"/>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透湿率：&lt;0.069perms(&lt;3.956ng/(㎡.s.Pa))；</w:t>
      </w:r>
    </w:p>
    <w:p>
      <w:pPr>
        <w:numPr>
          <w:ilvl w:val="0"/>
          <w:numId w:val="4"/>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中性盐雾(NSS)测试：暴露时间1000h,无起泡、无生锈、无龟裂、无粉化；</w:t>
      </w:r>
    </w:p>
    <w:p>
      <w:pPr>
        <w:numPr>
          <w:ilvl w:val="0"/>
          <w:numId w:val="4"/>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垂直燃烧等级：V-0;</w:t>
      </w:r>
    </w:p>
    <w:p>
      <w:pPr>
        <w:numPr>
          <w:ilvl w:val="0"/>
          <w:numId w:val="4"/>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主要应用区域是法兰、螺栓、弯头、抱卡、管道；</w:t>
      </w:r>
    </w:p>
    <w:p>
      <w:pPr>
        <w:numPr>
          <w:ilvl w:val="0"/>
          <w:numId w:val="4"/>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具备SGS产品检测认证，施工简便，可任意裁剪、包覆。</w:t>
      </w:r>
    </w:p>
    <w:p>
      <w:pPr>
        <w:widowControl w:val="0"/>
        <w:adjustRightInd w:val="0"/>
        <w:snapToGrid w:val="0"/>
        <w:spacing w:line="360" w:lineRule="auto"/>
        <w:ind w:firstLine="0" w:firstLineChars="0"/>
        <w:jc w:val="both"/>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5）防腐精蜡带</w:t>
      </w:r>
    </w:p>
    <w:p>
      <w:pPr>
        <w:spacing w:line="360" w:lineRule="auto"/>
        <w:outlineLvl w:val="9"/>
        <w:rPr>
          <w:rFonts w:hint="eastAsia" w:ascii="微软雅黑" w:hAnsi="微软雅黑" w:eastAsia="微软雅黑" w:cs="微软雅黑"/>
          <w:sz w:val="24"/>
          <w:szCs w:val="24"/>
          <w:highlight w:val="none"/>
          <w:lang w:val="en-US" w:eastAsia="zh-CN"/>
        </w:rPr>
      </w:pPr>
      <w:r>
        <w:rPr>
          <w:rFonts w:hint="eastAsia" w:ascii="微软雅黑" w:hAnsi="微软雅黑" w:eastAsia="微软雅黑" w:cs="微软雅黑"/>
          <w:kern w:val="2"/>
          <w:sz w:val="24"/>
          <w:szCs w:val="24"/>
          <w:highlight w:val="none"/>
          <w:lang w:val="en-US" w:eastAsia="zh-CN" w:bidi="ar-SA"/>
        </w:rPr>
        <w:t>规格：SET</w:t>
      </w:r>
    </w:p>
    <w:p>
      <w:pPr>
        <w:numPr>
          <w:ilvl w:val="0"/>
          <w:numId w:val="5"/>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长10000mm*宽300mm*厚2mm；</w:t>
      </w:r>
    </w:p>
    <w:p>
      <w:pPr>
        <w:numPr>
          <w:ilvl w:val="0"/>
          <w:numId w:val="5"/>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附着力强，具有抗台风的能力；</w:t>
      </w:r>
    </w:p>
    <w:p>
      <w:pPr>
        <w:numPr>
          <w:ilvl w:val="0"/>
          <w:numId w:val="5"/>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光老化试验-紫外辐射暴露，暴露时间1000h,无腐蚀或锈迹渗出；</w:t>
      </w:r>
    </w:p>
    <w:p>
      <w:pPr>
        <w:numPr>
          <w:ilvl w:val="0"/>
          <w:numId w:val="5"/>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耐化学试剂，周期30天，无粉化、无膨胀、无失去粘性、无脱离损毁、无锈迹渗出；</w:t>
      </w:r>
    </w:p>
    <w:p>
      <w:pPr>
        <w:numPr>
          <w:ilvl w:val="0"/>
          <w:numId w:val="5"/>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透湿率：&lt;0.069perms(&lt;3.956ng/(㎡.s.Pa))；</w:t>
      </w:r>
    </w:p>
    <w:p>
      <w:pPr>
        <w:numPr>
          <w:ilvl w:val="0"/>
          <w:numId w:val="5"/>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中性盐雾(NSS)测试：暴露时间1000h,无起泡、无生锈、无龟裂、无粉化；</w:t>
      </w:r>
    </w:p>
    <w:p>
      <w:pPr>
        <w:numPr>
          <w:ilvl w:val="0"/>
          <w:numId w:val="5"/>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垂直燃烧等级：V-0;</w:t>
      </w:r>
    </w:p>
    <w:p>
      <w:pPr>
        <w:numPr>
          <w:ilvl w:val="0"/>
          <w:numId w:val="5"/>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主要应用区域是法兰、螺栓、弯头、抱卡、管道；</w:t>
      </w:r>
    </w:p>
    <w:p>
      <w:pPr>
        <w:numPr>
          <w:ilvl w:val="0"/>
          <w:numId w:val="5"/>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具备SGS产品检测认证，施工简便，可任意裁剪、包覆。</w:t>
      </w:r>
    </w:p>
    <w:p>
      <w:pPr>
        <w:widowControl w:val="0"/>
        <w:adjustRightInd w:val="0"/>
        <w:snapToGrid w:val="0"/>
        <w:spacing w:line="360" w:lineRule="auto"/>
        <w:ind w:firstLine="0" w:firstLineChars="0"/>
        <w:jc w:val="both"/>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6）防腐底剂</w:t>
      </w:r>
    </w:p>
    <w:p>
      <w:pPr>
        <w:spacing w:line="360" w:lineRule="auto"/>
        <w:outlineLvl w:val="9"/>
        <w:rPr>
          <w:rFonts w:hint="eastAsia" w:ascii="微软雅黑" w:hAnsi="微软雅黑" w:eastAsia="微软雅黑" w:cs="微软雅黑"/>
          <w:sz w:val="24"/>
          <w:szCs w:val="24"/>
          <w:highlight w:val="none"/>
          <w:lang w:val="en-US" w:eastAsia="zh-CN"/>
        </w:rPr>
      </w:pPr>
      <w:r>
        <w:rPr>
          <w:rFonts w:hint="eastAsia" w:ascii="微软雅黑" w:hAnsi="微软雅黑" w:eastAsia="微软雅黑" w:cs="微软雅黑"/>
          <w:kern w:val="2"/>
          <w:sz w:val="24"/>
          <w:szCs w:val="24"/>
          <w:highlight w:val="none"/>
          <w:lang w:val="en-US" w:eastAsia="zh-CN" w:bidi="ar-SA"/>
        </w:rPr>
        <w:t>规格：KG（3KG/桶）</w:t>
      </w:r>
    </w:p>
    <w:p>
      <w:pPr>
        <w:numPr>
          <w:ilvl w:val="0"/>
          <w:numId w:val="6"/>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粘接性强，用于基材防腐，配合精蜡带使用；</w:t>
      </w:r>
    </w:p>
    <w:p>
      <w:pPr>
        <w:numPr>
          <w:ilvl w:val="0"/>
          <w:numId w:val="6"/>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海中型底剂，长效防腐，涂抹金属表面，紧密贴敷在金属表面，阻隔空气，防止锈蚀蔓延，增强精蜡带的附着力；</w:t>
      </w:r>
    </w:p>
    <w:p>
      <w:pPr>
        <w:numPr>
          <w:ilvl w:val="0"/>
          <w:numId w:val="6"/>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附着力强，具有抗台风的能力；</w:t>
      </w:r>
    </w:p>
    <w:p>
      <w:pPr>
        <w:widowControl w:val="0"/>
        <w:adjustRightInd w:val="0"/>
        <w:snapToGrid w:val="0"/>
        <w:spacing w:line="360" w:lineRule="auto"/>
        <w:ind w:firstLine="0" w:firstLineChars="0"/>
        <w:jc w:val="both"/>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7）填缝块</w:t>
      </w:r>
    </w:p>
    <w:p>
      <w:pPr>
        <w:spacing w:line="360" w:lineRule="auto"/>
        <w:outlineLvl w:val="9"/>
        <w:rPr>
          <w:rFonts w:hint="eastAsia" w:ascii="微软雅黑" w:hAnsi="微软雅黑" w:eastAsia="微软雅黑" w:cs="微软雅黑"/>
          <w:sz w:val="24"/>
          <w:szCs w:val="24"/>
          <w:highlight w:val="none"/>
          <w:lang w:val="en-US" w:eastAsia="zh-CN"/>
        </w:rPr>
      </w:pPr>
      <w:r>
        <w:rPr>
          <w:rFonts w:hint="eastAsia" w:ascii="微软雅黑" w:hAnsi="微软雅黑" w:eastAsia="微软雅黑" w:cs="微软雅黑"/>
          <w:kern w:val="2"/>
          <w:sz w:val="24"/>
          <w:szCs w:val="24"/>
          <w:highlight w:val="none"/>
          <w:lang w:val="en-US" w:eastAsia="zh-CN" w:bidi="ar-SA"/>
        </w:rPr>
        <w:t>规格：SET</w:t>
      </w:r>
    </w:p>
    <w:p>
      <w:pPr>
        <w:numPr>
          <w:ilvl w:val="0"/>
          <w:numId w:val="7"/>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长250mm*宽120mm*厚40mm，重量500G；</w:t>
      </w:r>
    </w:p>
    <w:p>
      <w:pPr>
        <w:numPr>
          <w:ilvl w:val="0"/>
          <w:numId w:val="7"/>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 xml:space="preserve">可塑性强、密封、阻燃、无毒，提供八大重金属的检测结果，可溶性铅未检出，可溶性锑未检出，可溶性砷未检出，可溶性钡未检出，可溶性镉未检出，可溶性铬未检出，可溶性汞未检出，可溶性硒未检出； </w:t>
      </w:r>
    </w:p>
    <w:p>
      <w:pPr>
        <w:numPr>
          <w:ilvl w:val="0"/>
          <w:numId w:val="7"/>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填充于法兰间隙，可塑性强，长效防腐。</w:t>
      </w:r>
    </w:p>
    <w:p>
      <w:pPr>
        <w:widowControl w:val="0"/>
        <w:adjustRightInd w:val="0"/>
        <w:snapToGrid w:val="0"/>
        <w:spacing w:line="360" w:lineRule="auto"/>
        <w:ind w:firstLine="0" w:firstLineChars="0"/>
        <w:jc w:val="both"/>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8）克漏固强带</w:t>
      </w:r>
    </w:p>
    <w:p>
      <w:pPr>
        <w:spacing w:line="360" w:lineRule="auto"/>
        <w:outlineLvl w:val="9"/>
        <w:rPr>
          <w:rFonts w:hint="eastAsia" w:ascii="微软雅黑" w:hAnsi="微软雅黑" w:eastAsia="微软雅黑" w:cs="微软雅黑"/>
          <w:sz w:val="24"/>
          <w:szCs w:val="24"/>
          <w:highlight w:val="none"/>
          <w:lang w:val="en-US" w:eastAsia="zh-CN"/>
        </w:rPr>
      </w:pPr>
      <w:r>
        <w:rPr>
          <w:rFonts w:hint="eastAsia" w:ascii="微软雅黑" w:hAnsi="微软雅黑" w:eastAsia="微软雅黑" w:cs="微软雅黑"/>
          <w:kern w:val="2"/>
          <w:sz w:val="24"/>
          <w:szCs w:val="24"/>
          <w:highlight w:val="none"/>
          <w:lang w:val="en-US" w:eastAsia="zh-CN" w:bidi="ar-SA"/>
        </w:rPr>
        <w:t>规格：SET</w:t>
      </w:r>
    </w:p>
    <w:p>
      <w:pPr>
        <w:numPr>
          <w:ilvl w:val="0"/>
          <w:numId w:val="8"/>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宽1mm*宽200mm*长10000mm；</w:t>
      </w:r>
    </w:p>
    <w:p>
      <w:pPr>
        <w:numPr>
          <w:ilvl w:val="0"/>
          <w:numId w:val="8"/>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提供产品检测报告，报告详情：铅未检出，镉未检出，汞未检出，六价铬未检出，多溴联苯总和未检出，多溴二苯醚总和未检出，DBP未检出，BBP未检出，DEHP未检出，DIBP未检出，PH6.0，耐水性无明显变化，紫外线老化无明显破损开裂，热空气老化无明显破损开裂，耐液体化学试剂（盐酸）无明显腐蚀开裂，耐液体化学试剂（氢氧化钠）无明显腐蚀开裂，剥离强度≥6N/cm</w:t>
      </w:r>
      <w:r>
        <w:rPr>
          <w:rFonts w:hint="eastAsia" w:ascii="宋体" w:hAnsi="宋体" w:eastAsia="宋体" w:cs="宋体"/>
          <w:kern w:val="2"/>
          <w:sz w:val="24"/>
          <w:szCs w:val="24"/>
          <w:highlight w:val="none"/>
          <w:lang w:val="en-US" w:eastAsia="zh-CN" w:bidi="ar-SA"/>
        </w:rPr>
        <w:t>×</w:t>
      </w:r>
      <w:r>
        <w:rPr>
          <w:rFonts w:hint="eastAsia" w:ascii="微软雅黑" w:hAnsi="微软雅黑" w:eastAsia="微软雅黑" w:cs="微软雅黑"/>
          <w:kern w:val="2"/>
          <w:sz w:val="24"/>
          <w:szCs w:val="24"/>
          <w:highlight w:val="none"/>
          <w:lang w:val="en-US" w:eastAsia="zh-CN" w:bidi="ar-SA"/>
        </w:rPr>
        <w:t>6N/cm，拉伸强度（横向）17.4N/mm，简支梁无缺口冲击强度73KJ/㎡；</w:t>
      </w:r>
    </w:p>
    <w:p>
      <w:pPr>
        <w:numPr>
          <w:ilvl w:val="0"/>
          <w:numId w:val="8"/>
        </w:numPr>
        <w:spacing w:line="360" w:lineRule="auto"/>
        <w:outlineLvl w:val="9"/>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用于海上平台，包覆在精蜡带表面，防台风海浪冲击，防盐雾老化。</w:t>
      </w:r>
    </w:p>
    <w:p>
      <w:pPr>
        <w:pStyle w:val="2"/>
        <w:rPr>
          <w:rFonts w:hint="eastAsia" w:ascii="微软雅黑" w:hAnsi="微软雅黑" w:eastAsia="微软雅黑" w:cs="微软雅黑"/>
          <w:highlight w:val="none"/>
          <w:lang w:val="en-US" w:eastAsia="zh-CN"/>
        </w:rPr>
      </w:pPr>
    </w:p>
    <w:p>
      <w:pPr>
        <w:rPr>
          <w:rFonts w:hint="eastAsia" w:ascii="微软雅黑" w:hAnsi="微软雅黑" w:eastAsia="微软雅黑" w:cs="微软雅黑"/>
          <w:b/>
          <w:color w:val="auto"/>
          <w:sz w:val="24"/>
          <w:szCs w:val="24"/>
          <w:highlight w:val="none"/>
          <w:lang w:val="en-US" w:eastAsia="zh-CN"/>
        </w:rPr>
      </w:pPr>
      <w:r>
        <w:rPr>
          <w:rFonts w:hint="eastAsia" w:ascii="微软雅黑" w:hAnsi="微软雅黑" w:eastAsia="微软雅黑" w:cs="微软雅黑"/>
          <w:b/>
          <w:color w:val="auto"/>
          <w:sz w:val="24"/>
          <w:szCs w:val="24"/>
          <w:highlight w:val="none"/>
          <w:lang w:val="en-US" w:eastAsia="zh-CN"/>
        </w:rPr>
        <w:t>5.3 证书</w:t>
      </w:r>
    </w:p>
    <w:p>
      <w:pPr>
        <w:pStyle w:val="2"/>
        <w:rPr>
          <w:rFonts w:hint="eastAsia" w:ascii="微软雅黑" w:hAnsi="微软雅黑" w:eastAsia="微软雅黑" w:cs="微软雅黑"/>
          <w:highlight w:val="none"/>
          <w:lang w:val="en-US" w:eastAsia="zh-CN"/>
        </w:rPr>
      </w:pP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微软雅黑" w:hAnsi="微软雅黑" w:eastAsia="微软雅黑" w:cs="微软雅黑"/>
          <w:sz w:val="24"/>
          <w:szCs w:val="24"/>
          <w:highlight w:val="none"/>
        </w:rPr>
      </w:pPr>
      <w:bookmarkStart w:id="7" w:name="_Toc498349703"/>
      <w:bookmarkStart w:id="8" w:name="_Toc498350103"/>
      <w:r>
        <w:rPr>
          <w:rFonts w:hint="eastAsia" w:ascii="微软雅黑" w:hAnsi="微软雅黑" w:eastAsia="微软雅黑" w:cs="微软雅黑"/>
          <w:sz w:val="24"/>
          <w:szCs w:val="24"/>
          <w:highlight w:val="none"/>
        </w:rPr>
        <w:t>首批原料到厂后，</w:t>
      </w:r>
      <w:r>
        <w:rPr>
          <w:rFonts w:hint="eastAsia" w:ascii="微软雅黑" w:hAnsi="微软雅黑" w:eastAsia="微软雅黑" w:cs="微软雅黑"/>
          <w:sz w:val="24"/>
          <w:szCs w:val="24"/>
          <w:highlight w:val="none"/>
          <w:lang w:val="en-US" w:eastAsia="zh-CN"/>
        </w:rPr>
        <w:t>供方</w:t>
      </w:r>
      <w:r>
        <w:rPr>
          <w:rFonts w:hint="eastAsia" w:ascii="微软雅黑" w:hAnsi="微软雅黑" w:eastAsia="微软雅黑" w:cs="微软雅黑"/>
          <w:sz w:val="24"/>
          <w:szCs w:val="24"/>
          <w:highlight w:val="none"/>
        </w:rPr>
        <w:t>应提供下列文件：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1）</w:t>
      </w:r>
      <w:r>
        <w:rPr>
          <w:rFonts w:hint="eastAsia" w:ascii="微软雅黑" w:hAnsi="微软雅黑" w:eastAsia="微软雅黑" w:cs="微软雅黑"/>
          <w:sz w:val="24"/>
          <w:szCs w:val="24"/>
          <w:highlight w:val="none"/>
        </w:rPr>
        <w:t>产品使用说明书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2）</w:t>
      </w:r>
      <w:r>
        <w:rPr>
          <w:rFonts w:hint="eastAsia" w:ascii="微软雅黑" w:hAnsi="微软雅黑" w:eastAsia="微软雅黑" w:cs="微软雅黑"/>
          <w:sz w:val="24"/>
          <w:szCs w:val="24"/>
          <w:highlight w:val="none"/>
        </w:rPr>
        <w:t>储存要求及有效期</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3）</w:t>
      </w:r>
      <w:r>
        <w:rPr>
          <w:rFonts w:hint="eastAsia" w:ascii="微软雅黑" w:hAnsi="微软雅黑" w:eastAsia="微软雅黑" w:cs="微软雅黑"/>
          <w:sz w:val="24"/>
          <w:szCs w:val="24"/>
          <w:highlight w:val="none"/>
        </w:rPr>
        <w:t>装箱清单</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测试和检验报告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5）</w:t>
      </w:r>
      <w:r>
        <w:rPr>
          <w:rFonts w:hint="eastAsia" w:ascii="微软雅黑" w:hAnsi="微软雅黑" w:eastAsia="微软雅黑" w:cs="微软雅黑"/>
          <w:sz w:val="24"/>
          <w:szCs w:val="24"/>
          <w:highlight w:val="none"/>
        </w:rPr>
        <w:t>出厂检验合格证和质量证明书</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MSDS</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7）需方</w:t>
      </w:r>
      <w:r>
        <w:rPr>
          <w:rFonts w:hint="eastAsia" w:ascii="微软雅黑" w:hAnsi="微软雅黑" w:eastAsia="微软雅黑" w:cs="微软雅黑"/>
          <w:sz w:val="24"/>
          <w:szCs w:val="24"/>
          <w:highlight w:val="none"/>
        </w:rPr>
        <w:t>需要的其它文件</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后续同种材料到厂时，无需再提供第三方报告，自检报告仅提供短期试验结果即可，合格证等其他要求不变。</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自检报告中的长期试验，若因供货周期较短，来不及完成试验，可先提供同型号产品以往相应数据，并进行备注说明。</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自检报告必须注明产品名称、规格型号、批号（或可追溯性标识码）、生产厂名、产地等信息，且与实际供货信息一致。第三方报告中批号（或可追溯标识码）可以与实际供货不一致，但其他信息必须一致。</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line="360" w:lineRule="auto"/>
        <w:ind w:left="419" w:leftChars="0"/>
        <w:textAlignment w:val="auto"/>
        <w:rPr>
          <w:rStyle w:val="54"/>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lang w:val="en-US" w:eastAsia="zh-CN"/>
        </w:rPr>
        <w:t>供方</w:t>
      </w:r>
      <w:r>
        <w:rPr>
          <w:rFonts w:hint="eastAsia" w:ascii="微软雅黑" w:hAnsi="微软雅黑" w:eastAsia="微软雅黑" w:cs="微软雅黑"/>
          <w:sz w:val="24"/>
          <w:szCs w:val="24"/>
          <w:highlight w:val="none"/>
        </w:rPr>
        <w:t>提供的检验报告等纸质资料，必须包括原材料厂家的原始检验报告</w:t>
      </w:r>
      <w:r>
        <w:rPr>
          <w:rStyle w:val="54"/>
          <w:rFonts w:hint="eastAsia" w:ascii="微软雅黑" w:hAnsi="微软雅黑" w:eastAsia="微软雅黑" w:cs="微软雅黑"/>
          <w:sz w:val="24"/>
          <w:szCs w:val="24"/>
          <w:highlight w:val="none"/>
        </w:rPr>
        <w:t>。</w:t>
      </w:r>
    </w:p>
    <w:bookmarkEnd w:id="6"/>
    <w:bookmarkEnd w:id="7"/>
    <w:bookmarkEnd w:id="8"/>
    <w:p>
      <w:pPr>
        <w:tabs>
          <w:tab w:val="left" w:pos="993"/>
          <w:tab w:val="left" w:pos="1134"/>
          <w:tab w:val="left" w:pos="1418"/>
        </w:tabs>
        <w:spacing w:line="560" w:lineRule="exact"/>
        <w:outlineLvl w:val="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kern w:val="2"/>
          <w:sz w:val="32"/>
          <w:szCs w:val="32"/>
          <w:highlight w:val="none"/>
          <w:lang w:val="en-US" w:eastAsia="zh-CN" w:bidi="ar-SA"/>
        </w:rPr>
        <w:t>三、</w:t>
      </w:r>
      <w:r>
        <w:rPr>
          <w:rFonts w:hint="eastAsia" w:ascii="Times New Roman" w:hAnsi="Times New Roman" w:eastAsia="仿宋_GB2312" w:cs="Times New Roman"/>
          <w:color w:val="auto"/>
          <w:sz w:val="32"/>
          <w:szCs w:val="32"/>
          <w:highlight w:val="none"/>
        </w:rPr>
        <w:t>项目联系人</w:t>
      </w:r>
    </w:p>
    <w:p>
      <w:pPr>
        <w:numPr>
          <w:ilvl w:val="0"/>
          <w:numId w:val="0"/>
        </w:numPr>
        <w:tabs>
          <w:tab w:val="left" w:pos="993"/>
          <w:tab w:val="left" w:pos="1134"/>
          <w:tab w:val="left" w:pos="1418"/>
        </w:tabs>
        <w:spacing w:line="600" w:lineRule="exact"/>
        <w:outlineLvl w:val="0"/>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kern w:val="2"/>
          <w:sz w:val="32"/>
          <w:szCs w:val="32"/>
          <w:highlight w:val="none"/>
          <w:lang w:val="en-US" w:eastAsia="zh-CN" w:bidi="ar-SA"/>
        </w:rPr>
        <w:t>请感兴趣的供应商于2026年6月9日17:00前，与我方联系人接洽。</w:t>
      </w:r>
    </w:p>
    <w:p>
      <w:pPr>
        <w:tabs>
          <w:tab w:val="left" w:pos="993"/>
          <w:tab w:val="left" w:pos="1134"/>
          <w:tab w:val="left" w:pos="1418"/>
        </w:tabs>
        <w:spacing w:line="600" w:lineRule="exact"/>
        <w:ind w:firstLine="560" w:firstLineChars="200"/>
        <w:outlineLvl w:val="0"/>
        <w:rPr>
          <w:rFonts w:hint="eastAsia" w:ascii="Times New Roman" w:hAnsi="Times New Roman" w:eastAsia="仿宋_GB2312" w:cs="Times New Roman"/>
          <w:color w:val="auto"/>
          <w:sz w:val="28"/>
          <w:szCs w:val="28"/>
          <w:highlight w:val="none"/>
          <w:lang w:val="en-US" w:eastAsia="zh-CN"/>
        </w:rPr>
      </w:pPr>
      <w:r>
        <w:rPr>
          <w:rFonts w:ascii="Times New Roman" w:hAnsi="Times New Roman" w:eastAsia="仿宋_GB2312" w:cs="Times New Roman"/>
          <w:color w:val="auto"/>
          <w:sz w:val="28"/>
          <w:szCs w:val="28"/>
          <w:highlight w:val="none"/>
        </w:rPr>
        <w:t>联系人：</w:t>
      </w:r>
      <w:r>
        <w:rPr>
          <w:rFonts w:hint="eastAsia" w:ascii="Times New Roman" w:hAnsi="Times New Roman" w:eastAsia="仿宋_GB2312" w:cs="Times New Roman"/>
          <w:color w:val="auto"/>
          <w:sz w:val="28"/>
          <w:szCs w:val="28"/>
          <w:highlight w:val="none"/>
          <w:lang w:val="en-US" w:eastAsia="zh-CN"/>
        </w:rPr>
        <w:t>于文超</w:t>
      </w:r>
    </w:p>
    <w:p>
      <w:pPr>
        <w:tabs>
          <w:tab w:val="left" w:pos="993"/>
          <w:tab w:val="left" w:pos="1134"/>
          <w:tab w:val="left" w:pos="1418"/>
        </w:tabs>
        <w:spacing w:line="600" w:lineRule="exact"/>
        <w:ind w:firstLine="560" w:firstLineChars="200"/>
        <w:outlineLvl w:val="0"/>
        <w:rPr>
          <w:rFonts w:hint="default" w:ascii="Times New Roman" w:hAnsi="Times New Roman" w:eastAsia="仿宋_GB2312" w:cs="Times New Roman"/>
          <w:color w:val="auto"/>
          <w:sz w:val="28"/>
          <w:szCs w:val="28"/>
          <w:highlight w:val="none"/>
          <w:lang w:val="en-US" w:eastAsia="zh-CN"/>
        </w:rPr>
      </w:pPr>
      <w:r>
        <w:rPr>
          <w:rFonts w:ascii="Times New Roman" w:hAnsi="Times New Roman" w:eastAsia="仿宋_GB2312" w:cs="Times New Roman"/>
          <w:color w:val="auto"/>
          <w:sz w:val="28"/>
          <w:szCs w:val="28"/>
          <w:highlight w:val="none"/>
        </w:rPr>
        <w:t>电  话：</w:t>
      </w:r>
      <w:r>
        <w:rPr>
          <w:rFonts w:hint="eastAsia" w:ascii="Times New Roman" w:hAnsi="Times New Roman" w:eastAsia="仿宋_GB2312" w:cs="Times New Roman"/>
          <w:color w:val="auto"/>
          <w:sz w:val="28"/>
          <w:szCs w:val="28"/>
          <w:highlight w:val="none"/>
          <w:lang w:val="en-US" w:eastAsia="zh-CN"/>
        </w:rPr>
        <w:t>022-25802271</w:t>
      </w:r>
    </w:p>
    <w:p>
      <w:pPr>
        <w:tabs>
          <w:tab w:val="left" w:pos="993"/>
          <w:tab w:val="left" w:pos="1134"/>
          <w:tab w:val="left" w:pos="1418"/>
        </w:tabs>
        <w:spacing w:line="600" w:lineRule="exact"/>
        <w:ind w:firstLine="560" w:firstLineChars="200"/>
        <w:outlineLvl w:val="0"/>
        <w:rPr>
          <w:rFonts w:hint="default" w:ascii="Times New Roman" w:hAnsi="Times New Roman" w:eastAsia="仿宋" w:cs="Times New Roman"/>
          <w:color w:val="auto"/>
          <w:kern w:val="0"/>
          <w:sz w:val="24"/>
          <w:szCs w:val="24"/>
          <w:highlight w:val="none"/>
          <w:lang w:val="en-US"/>
        </w:rPr>
      </w:pPr>
      <w:r>
        <w:rPr>
          <w:rFonts w:ascii="Times New Roman" w:hAnsi="Times New Roman" w:eastAsia="仿宋_GB2312" w:cs="Times New Roman"/>
          <w:color w:val="auto"/>
          <w:sz w:val="28"/>
          <w:szCs w:val="28"/>
          <w:highlight w:val="none"/>
        </w:rPr>
        <w:t>邮  箱：</w:t>
      </w:r>
      <w:r>
        <w:rPr>
          <w:rFonts w:hint="eastAsia" w:ascii="Times New Roman" w:hAnsi="Times New Roman" w:eastAsia="仿宋_GB2312" w:cs="Times New Roman"/>
          <w:color w:val="auto"/>
          <w:sz w:val="28"/>
          <w:szCs w:val="28"/>
          <w:highlight w:val="none"/>
          <w:lang w:val="en-US" w:eastAsia="zh-CN"/>
        </w:rPr>
        <w:t>yuwch2@cnooc.com.cn</w:t>
      </w:r>
    </w:p>
    <w:p>
      <w:pPr>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br w:type="page"/>
      </w:r>
    </w:p>
    <w:p>
      <w:pPr>
        <w:tabs>
          <w:tab w:val="left" w:pos="993"/>
          <w:tab w:val="left" w:pos="1134"/>
          <w:tab w:val="left" w:pos="1418"/>
        </w:tabs>
        <w:spacing w:line="560" w:lineRule="exact"/>
        <w:outlineLvl w:val="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附件</w:t>
      </w: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rPr>
        <w:t>供应商资质基本要求</w:t>
      </w:r>
      <w:r>
        <w:rPr>
          <w:rFonts w:hint="eastAsia" w:ascii="Times New Roman" w:hAnsi="Times New Roman" w:eastAsia="仿宋_GB2312" w:cs="Times New Roman"/>
          <w:color w:val="auto"/>
          <w:sz w:val="32"/>
          <w:szCs w:val="32"/>
          <w:highlight w:val="none"/>
          <w:lang w:val="en-US" w:eastAsia="zh-CN"/>
        </w:rPr>
        <w:t xml:space="preserve"> </w:t>
      </w:r>
    </w:p>
    <w:tbl>
      <w:tblPr>
        <w:tblStyle w:val="19"/>
        <w:tblW w:w="5045" w:type="pct"/>
        <w:jc w:val="center"/>
        <w:tblLayout w:type="autofit"/>
        <w:tblCellMar>
          <w:top w:w="0" w:type="dxa"/>
          <w:left w:w="0" w:type="dxa"/>
          <w:bottom w:w="0" w:type="dxa"/>
          <w:right w:w="0" w:type="dxa"/>
        </w:tblCellMar>
      </w:tblPr>
      <w:tblGrid>
        <w:gridCol w:w="1318"/>
        <w:gridCol w:w="7076"/>
      </w:tblGrid>
      <w:tr>
        <w:tblPrEx>
          <w:tblCellMar>
            <w:top w:w="0" w:type="dxa"/>
            <w:left w:w="0" w:type="dxa"/>
            <w:bottom w:w="0" w:type="dxa"/>
            <w:right w:w="0" w:type="dxa"/>
          </w:tblCellMar>
        </w:tblPrEx>
        <w:trPr>
          <w:trHeight w:val="2484" w:hRule="atLeast"/>
          <w:jc w:val="center"/>
        </w:trPr>
        <w:tc>
          <w:tcPr>
            <w:tcW w:w="785" w:type="pct"/>
            <w:tcBorders>
              <w:top w:val="single" w:color="000000" w:sz="4" w:space="0"/>
              <w:left w:val="single" w:color="000000" w:sz="6" w:space="0"/>
              <w:bottom w:val="single" w:color="000000" w:sz="4" w:space="0"/>
              <w:right w:val="single" w:color="000000" w:sz="4" w:space="0"/>
            </w:tcBorders>
            <w:vAlign w:val="center"/>
          </w:tcPr>
          <w:p>
            <w:pPr>
              <w:pStyle w:val="50"/>
              <w:spacing w:line="300" w:lineRule="exact"/>
              <w:jc w:val="center"/>
              <w:rPr>
                <w:rFonts w:hint="eastAsia" w:ascii="仿宋" w:hAnsi="仿宋" w:eastAsia="仿宋" w:cs="Calibri"/>
                <w:b/>
                <w:bCs/>
                <w:color w:val="FF0000"/>
                <w:kern w:val="0"/>
                <w:sz w:val="21"/>
                <w:szCs w:val="21"/>
                <w:highlight w:val="none"/>
                <w:lang w:val="en-US" w:eastAsia="zh-CN" w:bidi="ar-SA"/>
              </w:rPr>
            </w:pPr>
            <w:r>
              <w:rPr>
                <w:rFonts w:hint="eastAsia" w:ascii="仿宋" w:hAnsi="仿宋" w:eastAsia="仿宋" w:cs="Calibri"/>
                <w:b/>
                <w:bCs/>
                <w:color w:val="auto"/>
                <w:kern w:val="0"/>
                <w:sz w:val="21"/>
                <w:szCs w:val="21"/>
                <w:highlight w:val="none"/>
                <w:lang w:val="en-US" w:eastAsia="zh-CN" w:bidi="ar-SA"/>
              </w:rPr>
              <w:t>资质要求</w:t>
            </w:r>
          </w:p>
          <w:p>
            <w:pPr>
              <w:pStyle w:val="50"/>
              <w:spacing w:line="300" w:lineRule="exact"/>
              <w:jc w:val="center"/>
              <w:rPr>
                <w:rFonts w:hint="eastAsia" w:ascii="仿宋" w:hAnsi="仿宋" w:eastAsia="仿宋" w:cs="Calibri"/>
                <w:b w:val="0"/>
                <w:bCs w:val="0"/>
                <w:kern w:val="0"/>
                <w:sz w:val="21"/>
                <w:szCs w:val="21"/>
                <w:highlight w:val="none"/>
                <w:lang w:val="en-US" w:eastAsia="zh-CN" w:bidi="ar-SA"/>
              </w:rPr>
            </w:pPr>
          </w:p>
        </w:tc>
        <w:tc>
          <w:tcPr>
            <w:tcW w:w="4214" w:type="pct"/>
            <w:tcBorders>
              <w:top w:val="single" w:color="000000" w:sz="4" w:space="0"/>
              <w:left w:val="nil"/>
              <w:bottom w:val="single" w:color="000000" w:sz="4" w:space="0"/>
              <w:right w:val="single" w:color="000000" w:sz="4" w:space="0"/>
            </w:tcBorders>
            <w:vAlign w:val="center"/>
          </w:tcPr>
          <w:p>
            <w:pPr>
              <w:pStyle w:val="50"/>
              <w:jc w:val="both"/>
              <w:rPr>
                <w:rFonts w:hint="eastAsia" w:ascii="仿宋" w:hAnsi="仿宋" w:eastAsia="仿宋" w:cs="仿宋"/>
                <w:b w:val="0"/>
                <w:bCs w:val="0"/>
                <w:kern w:val="2"/>
                <w:sz w:val="21"/>
                <w:szCs w:val="21"/>
                <w:highlight w:val="none"/>
                <w:lang w:val="en-US" w:eastAsia="zh-CN" w:bidi="ar-SA"/>
              </w:rPr>
            </w:pPr>
            <w:r>
              <w:rPr>
                <w:rFonts w:hint="eastAsia" w:ascii="仿宋" w:hAnsi="仿宋" w:eastAsia="仿宋" w:cs="仿宋"/>
                <w:b w:val="0"/>
                <w:bCs w:val="0"/>
                <w:kern w:val="2"/>
                <w:sz w:val="21"/>
                <w:szCs w:val="21"/>
                <w:highlight w:val="none"/>
                <w:lang w:val="en-US" w:eastAsia="zh-CN" w:bidi="ar-SA"/>
              </w:rPr>
              <w:t>1.申请人须是中华人民共和国境内注册的独立法人单位，具有合法有效的企业法人营业执照、税务登记证及组织机构代码证或证照合一的营业执照；</w:t>
            </w:r>
          </w:p>
          <w:p>
            <w:pPr>
              <w:pStyle w:val="50"/>
              <w:jc w:val="both"/>
              <w:rPr>
                <w:rFonts w:hint="eastAsia" w:ascii="仿宋" w:hAnsi="仿宋" w:eastAsia="仿宋" w:cs="仿宋"/>
                <w:b w:val="0"/>
                <w:bCs w:val="0"/>
                <w:kern w:val="2"/>
                <w:sz w:val="21"/>
                <w:szCs w:val="21"/>
                <w:highlight w:val="none"/>
                <w:lang w:val="en-US" w:eastAsia="zh-CN" w:bidi="ar-SA"/>
              </w:rPr>
            </w:pPr>
            <w:r>
              <w:rPr>
                <w:rFonts w:hint="eastAsia" w:ascii="仿宋" w:hAnsi="仿宋" w:eastAsia="仿宋" w:cs="仿宋"/>
                <w:b w:val="0"/>
                <w:bCs w:val="0"/>
                <w:kern w:val="2"/>
                <w:sz w:val="21"/>
                <w:szCs w:val="21"/>
                <w:highlight w:val="none"/>
                <w:lang w:val="en-US" w:eastAsia="zh-CN" w:bidi="ar-SA"/>
              </w:rPr>
              <w:t>2.申请人须是中华人民共和国境内具有独立承担民事责任能力的法人，或具备国家认可经营资格的其他组织。</w:t>
            </w:r>
          </w:p>
          <w:p>
            <w:pPr>
              <w:pStyle w:val="50"/>
              <w:jc w:val="both"/>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b w:val="0"/>
                <w:bCs w:val="0"/>
                <w:kern w:val="2"/>
                <w:sz w:val="21"/>
                <w:szCs w:val="21"/>
                <w:highlight w:val="none"/>
                <w:lang w:val="en-US" w:eastAsia="zh-CN" w:bidi="ar-SA"/>
              </w:rPr>
              <w:t>3.提供</w:t>
            </w:r>
            <w: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t>1个合同的防腐材料的已完成的供货业绩</w:t>
            </w:r>
            <w:r>
              <w:rPr>
                <w:rFonts w:hint="eastAsia" w:ascii="仿宋" w:hAnsi="仿宋" w:eastAsia="仿宋" w:cs="仿宋"/>
                <w:b w:val="0"/>
                <w:bCs w:val="0"/>
                <w:kern w:val="2"/>
                <w:sz w:val="21"/>
                <w:szCs w:val="21"/>
                <w:highlight w:val="none"/>
                <w:lang w:val="en-US" w:eastAsia="zh-CN" w:bidi="ar-SA"/>
              </w:rPr>
              <w:t>，</w:t>
            </w:r>
            <w: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t>业绩证明文件必须至少体现以下内容：①业绩合同复印件，包括：合同首页、合同签署时间、合同签署页（应有双方签字或盖章）、供货内容等内容</w:t>
            </w:r>
            <w:r>
              <w:rPr>
                <w:rFonts w:hint="eastAsia" w:ascii="仿宋" w:hAnsi="仿宋" w:eastAsia="仿宋" w:cs="仿宋"/>
                <w:color w:val="auto"/>
                <w:kern w:val="2"/>
                <w:sz w:val="21"/>
                <w:szCs w:val="21"/>
                <w:highlight w:val="none"/>
                <w:lang w:val="en-US" w:eastAsia="zh-CN" w:bidi="ar-SA"/>
              </w:rPr>
              <w:t>；</w:t>
            </w:r>
            <w: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t>②</w:t>
            </w:r>
            <w:r>
              <w:rPr>
                <w:rFonts w:hint="eastAsia" w:ascii="仿宋" w:hAnsi="仿宋" w:eastAsia="仿宋" w:cs="仿宋"/>
                <w:color w:val="000000" w:themeColor="text1"/>
                <w:sz w:val="21"/>
                <w:szCs w:val="21"/>
                <w:highlight w:val="none"/>
                <w:lang w:val="en-US" w:eastAsia="zh-CN"/>
                <w14:textFill>
                  <w14:solidFill>
                    <w14:schemeClr w14:val="tx1"/>
                  </w14:solidFill>
                </w14:textFill>
              </w:rPr>
              <w:t>合同</w:t>
            </w:r>
            <w:r>
              <w:rPr>
                <w:rFonts w:hint="eastAsia" w:ascii="仿宋" w:hAnsi="仿宋" w:eastAsia="仿宋" w:cs="仿宋"/>
                <w:color w:val="000000" w:themeColor="text1"/>
                <w:sz w:val="21"/>
                <w:szCs w:val="21"/>
                <w:highlight w:val="none"/>
                <w14:textFill>
                  <w14:solidFill>
                    <w14:schemeClr w14:val="tx1"/>
                  </w14:solidFill>
                </w14:textFill>
              </w:rPr>
              <w:t>所对应的结算发票</w:t>
            </w:r>
            <w:r>
              <w:rPr>
                <w:rFonts w:hint="eastAsia" w:ascii="仿宋" w:hAnsi="仿宋" w:eastAsia="仿宋" w:cs="仿宋"/>
                <w:color w:val="000000" w:themeColor="text1"/>
                <w:sz w:val="21"/>
                <w:szCs w:val="21"/>
                <w:highlight w:val="none"/>
                <w:lang w:eastAsia="zh-CN"/>
                <w14:textFill>
                  <w14:solidFill>
                    <w14:schemeClr w14:val="tx1"/>
                  </w14:solidFill>
                </w14:textFill>
              </w:rPr>
              <w:t>。</w:t>
            </w:r>
          </w:p>
          <w:p>
            <w:pPr>
              <w:pStyle w:val="50"/>
              <w:jc w:val="both"/>
              <w:rPr>
                <w:rFonts w:hint="eastAsia" w:ascii="仿宋" w:hAnsi="仿宋" w:eastAsia="仿宋" w:cs="仿宋"/>
                <w:b w:val="0"/>
                <w:bCs w:val="0"/>
                <w:kern w:val="2"/>
                <w:sz w:val="21"/>
                <w:szCs w:val="21"/>
                <w:highlight w:val="none"/>
                <w:lang w:val="en-US" w:eastAsia="zh-CN" w:bidi="ar-SA"/>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4.</w:t>
            </w:r>
            <w:r>
              <w:rPr>
                <w:rFonts w:hint="eastAsia" w:ascii="仿宋" w:hAnsi="仿宋" w:eastAsia="仿宋" w:cs="仿宋"/>
                <w:b w:val="0"/>
                <w:bCs w:val="0"/>
                <w:kern w:val="2"/>
                <w:sz w:val="21"/>
                <w:szCs w:val="21"/>
                <w:highlight w:val="none"/>
                <w:lang w:val="en-US" w:eastAsia="zh-CN" w:bidi="ar-SA"/>
              </w:rPr>
              <w:t>提供5人近个三月连续社保证明。</w:t>
            </w:r>
          </w:p>
          <w:p>
            <w:pPr>
              <w:pStyle w:val="50"/>
              <w:jc w:val="both"/>
              <w:rPr>
                <w:rFonts w:hint="eastAsia" w:ascii="仿宋" w:hAnsi="仿宋" w:eastAsia="仿宋" w:cs="仿宋"/>
                <w:b w:val="0"/>
                <w:bCs w:val="0"/>
                <w:kern w:val="2"/>
                <w:sz w:val="21"/>
                <w:szCs w:val="21"/>
                <w:highlight w:val="none"/>
                <w:lang w:val="en-US" w:eastAsia="zh-CN" w:bidi="ar-SA"/>
              </w:rPr>
            </w:pPr>
            <w:r>
              <w:rPr>
                <w:rFonts w:hint="eastAsia" w:ascii="仿宋" w:hAnsi="仿宋" w:eastAsia="仿宋" w:cs="仿宋"/>
                <w:b w:val="0"/>
                <w:bCs w:val="0"/>
                <w:kern w:val="2"/>
                <w:sz w:val="21"/>
                <w:szCs w:val="21"/>
                <w:highlight w:val="none"/>
                <w:lang w:val="en-US" w:eastAsia="zh-CN" w:bidi="ar-SA"/>
              </w:rPr>
              <w:t>5.提供2022年-2024年经审计的财务报表。</w:t>
            </w:r>
          </w:p>
          <w:p>
            <w:pPr>
              <w:pStyle w:val="50"/>
              <w:jc w:val="both"/>
              <w:rPr>
                <w:rFonts w:hint="default" w:ascii="仿宋" w:hAnsi="仿宋" w:eastAsia="仿宋" w:cs="仿宋"/>
                <w:b w:val="0"/>
                <w:bCs w:val="0"/>
                <w:kern w:val="2"/>
                <w:sz w:val="21"/>
                <w:szCs w:val="21"/>
                <w:highlight w:val="none"/>
                <w:lang w:val="en-US" w:eastAsia="zh-CN" w:bidi="ar-SA"/>
              </w:rPr>
            </w:pPr>
            <w:r>
              <w:rPr>
                <w:rFonts w:hint="eastAsia" w:ascii="仿宋" w:hAnsi="仿宋" w:eastAsia="仿宋" w:cs="仿宋"/>
                <w:b w:val="0"/>
                <w:bCs w:val="0"/>
                <w:kern w:val="2"/>
                <w:sz w:val="21"/>
                <w:szCs w:val="21"/>
                <w:highlight w:val="none"/>
                <w:lang w:val="en-US" w:eastAsia="zh-CN" w:bidi="ar-SA"/>
              </w:rPr>
              <w:t>6.提供一份中国海油外业绩，且为近三年内已完成业绩，并提供原件合同及发票。</w:t>
            </w:r>
          </w:p>
        </w:tc>
      </w:tr>
    </w:tbl>
    <w:p>
      <w:pPr>
        <w:pStyle w:val="17"/>
        <w:rPr>
          <w:rFonts w:hint="eastAsia" w:ascii="Times New Roman" w:hAnsi="Times New Roman" w:eastAsia="仿宋_GB2312" w:cs="Times New Roman"/>
          <w:color w:val="auto"/>
          <w:kern w:val="2"/>
          <w:sz w:val="32"/>
          <w:szCs w:val="32"/>
          <w:highlight w:val="none"/>
          <w:lang w:val="en-US" w:eastAsia="zh-CN" w:bidi="ar-SA"/>
        </w:rPr>
      </w:pPr>
    </w:p>
    <w:p>
      <w:pPr>
        <w:tabs>
          <w:tab w:val="left" w:pos="993"/>
          <w:tab w:val="left" w:pos="1134"/>
          <w:tab w:val="left" w:pos="1418"/>
        </w:tabs>
        <w:spacing w:line="600" w:lineRule="exact"/>
        <w:ind w:firstLine="640" w:firstLineChars="200"/>
        <w:outlineLvl w:val="0"/>
        <w:rPr>
          <w:rFonts w:ascii="Times New Roman" w:hAnsi="Times New Roman" w:eastAsia="仿宋" w:cs="Times New Roman"/>
          <w:color w:val="auto"/>
          <w:kern w:val="0"/>
          <w:sz w:val="24"/>
          <w:szCs w:val="24"/>
          <w:highlight w:val="none"/>
        </w:rPr>
      </w:pPr>
      <w:r>
        <w:rPr>
          <w:rFonts w:hint="eastAsia" w:ascii="Times New Roman" w:hAnsi="Times New Roman" w:eastAsia="仿宋_GB2312" w:cs="Times New Roman"/>
          <w:color w:val="auto"/>
          <w:sz w:val="32"/>
          <w:szCs w:val="32"/>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CIDFont+F4">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823EF"/>
    <w:multiLevelType w:val="singleLevel"/>
    <w:tmpl w:val="C1B823EF"/>
    <w:lvl w:ilvl="0" w:tentative="0">
      <w:start w:val="1"/>
      <w:numFmt w:val="lowerLetter"/>
      <w:suff w:val="space"/>
      <w:lvlText w:val="%1."/>
      <w:lvlJc w:val="left"/>
    </w:lvl>
  </w:abstractNum>
  <w:abstractNum w:abstractNumId="1">
    <w:nsid w:val="C544A534"/>
    <w:multiLevelType w:val="singleLevel"/>
    <w:tmpl w:val="C544A534"/>
    <w:lvl w:ilvl="0" w:tentative="0">
      <w:start w:val="1"/>
      <w:numFmt w:val="lowerLetter"/>
      <w:suff w:val="space"/>
      <w:lvlText w:val="%1."/>
      <w:lvlJc w:val="left"/>
    </w:lvl>
  </w:abstractNum>
  <w:abstractNum w:abstractNumId="2">
    <w:nsid w:val="C92B7694"/>
    <w:multiLevelType w:val="singleLevel"/>
    <w:tmpl w:val="C92B7694"/>
    <w:lvl w:ilvl="0" w:tentative="0">
      <w:start w:val="1"/>
      <w:numFmt w:val="lowerLetter"/>
      <w:suff w:val="space"/>
      <w:lvlText w:val="%1."/>
      <w:lvlJc w:val="left"/>
    </w:lvl>
  </w:abstractNum>
  <w:abstractNum w:abstractNumId="3">
    <w:nsid w:val="E9348DD1"/>
    <w:multiLevelType w:val="singleLevel"/>
    <w:tmpl w:val="E9348DD1"/>
    <w:lvl w:ilvl="0" w:tentative="0">
      <w:start w:val="1"/>
      <w:numFmt w:val="lowerLetter"/>
      <w:suff w:val="space"/>
      <w:lvlText w:val="%1."/>
      <w:lvlJc w:val="left"/>
    </w:lvl>
  </w:abstractNum>
  <w:abstractNum w:abstractNumId="4">
    <w:nsid w:val="F298B1C2"/>
    <w:multiLevelType w:val="singleLevel"/>
    <w:tmpl w:val="F298B1C2"/>
    <w:lvl w:ilvl="0" w:tentative="0">
      <w:start w:val="1"/>
      <w:numFmt w:val="lowerLetter"/>
      <w:suff w:val="space"/>
      <w:lvlText w:val="%1."/>
      <w:lvlJc w:val="left"/>
    </w:lvl>
  </w:abstractNum>
  <w:abstractNum w:abstractNumId="5">
    <w:nsid w:val="F9DC95FD"/>
    <w:multiLevelType w:val="singleLevel"/>
    <w:tmpl w:val="F9DC95FD"/>
    <w:lvl w:ilvl="0" w:tentative="0">
      <w:start w:val="1"/>
      <w:numFmt w:val="lowerLetter"/>
      <w:suff w:val="space"/>
      <w:lvlText w:val="%1."/>
      <w:lvlJc w:val="left"/>
    </w:lvl>
  </w:abstractNum>
  <w:abstractNum w:abstractNumId="6">
    <w:nsid w:val="15538A7E"/>
    <w:multiLevelType w:val="singleLevel"/>
    <w:tmpl w:val="15538A7E"/>
    <w:lvl w:ilvl="0" w:tentative="0">
      <w:start w:val="1"/>
      <w:numFmt w:val="lowerLetter"/>
      <w:suff w:val="space"/>
      <w:lvlText w:val="%1."/>
      <w:lvlJc w:val="left"/>
    </w:lvl>
  </w:abstractNum>
  <w:abstractNum w:abstractNumId="7">
    <w:nsid w:val="3387B3A3"/>
    <w:multiLevelType w:val="singleLevel"/>
    <w:tmpl w:val="3387B3A3"/>
    <w:lvl w:ilvl="0" w:tentative="0">
      <w:start w:val="1"/>
      <w:numFmt w:val="lowerLetter"/>
      <w:suff w:val="space"/>
      <w:lvlText w:val="%1."/>
      <w:lvlJc w:val="left"/>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0AB"/>
    <w:rsid w:val="000B4759"/>
    <w:rsid w:val="002E3C4A"/>
    <w:rsid w:val="004029A6"/>
    <w:rsid w:val="004C6673"/>
    <w:rsid w:val="00783190"/>
    <w:rsid w:val="00A04B47"/>
    <w:rsid w:val="00AE20AB"/>
    <w:rsid w:val="00BC0DA1"/>
    <w:rsid w:val="00C43A69"/>
    <w:rsid w:val="00E73B88"/>
    <w:rsid w:val="00ED277A"/>
    <w:rsid w:val="00FB1DEE"/>
    <w:rsid w:val="013019FE"/>
    <w:rsid w:val="02370032"/>
    <w:rsid w:val="02521AD8"/>
    <w:rsid w:val="03121A6C"/>
    <w:rsid w:val="039627B0"/>
    <w:rsid w:val="05233362"/>
    <w:rsid w:val="06452A44"/>
    <w:rsid w:val="068075E6"/>
    <w:rsid w:val="074C2609"/>
    <w:rsid w:val="07BB28BC"/>
    <w:rsid w:val="0800654E"/>
    <w:rsid w:val="08197069"/>
    <w:rsid w:val="09735491"/>
    <w:rsid w:val="099224C2"/>
    <w:rsid w:val="09D24E57"/>
    <w:rsid w:val="09FD3C2A"/>
    <w:rsid w:val="0ACC6D0D"/>
    <w:rsid w:val="0AE867EC"/>
    <w:rsid w:val="0B297687"/>
    <w:rsid w:val="0C7E433B"/>
    <w:rsid w:val="0C9927BA"/>
    <w:rsid w:val="0D0F7008"/>
    <w:rsid w:val="0D714A1C"/>
    <w:rsid w:val="0D77664B"/>
    <w:rsid w:val="0D7B19C1"/>
    <w:rsid w:val="0E6A4C34"/>
    <w:rsid w:val="0EC904D1"/>
    <w:rsid w:val="0F671654"/>
    <w:rsid w:val="0F883D87"/>
    <w:rsid w:val="0FC270C4"/>
    <w:rsid w:val="0FE1109D"/>
    <w:rsid w:val="10697A6E"/>
    <w:rsid w:val="10F677E1"/>
    <w:rsid w:val="11EF0072"/>
    <w:rsid w:val="11EF2364"/>
    <w:rsid w:val="126357B9"/>
    <w:rsid w:val="12784FB1"/>
    <w:rsid w:val="12DD2F59"/>
    <w:rsid w:val="13862438"/>
    <w:rsid w:val="13DC5D90"/>
    <w:rsid w:val="14455E90"/>
    <w:rsid w:val="1525161D"/>
    <w:rsid w:val="15686D2B"/>
    <w:rsid w:val="15901ADA"/>
    <w:rsid w:val="15DE5A70"/>
    <w:rsid w:val="17756E0B"/>
    <w:rsid w:val="178022E8"/>
    <w:rsid w:val="17C65910"/>
    <w:rsid w:val="17E72553"/>
    <w:rsid w:val="17FD5B27"/>
    <w:rsid w:val="19532B19"/>
    <w:rsid w:val="19895581"/>
    <w:rsid w:val="19977D8A"/>
    <w:rsid w:val="19EC70B7"/>
    <w:rsid w:val="1A424C06"/>
    <w:rsid w:val="1A65146E"/>
    <w:rsid w:val="1AA81F13"/>
    <w:rsid w:val="1ADA567B"/>
    <w:rsid w:val="1B1C7B86"/>
    <w:rsid w:val="1B7355D3"/>
    <w:rsid w:val="1BBE0A14"/>
    <w:rsid w:val="1BD855C0"/>
    <w:rsid w:val="1C9C6787"/>
    <w:rsid w:val="1DC36FD2"/>
    <w:rsid w:val="1F4C6666"/>
    <w:rsid w:val="1F936DDB"/>
    <w:rsid w:val="1FA328F8"/>
    <w:rsid w:val="1FA612BC"/>
    <w:rsid w:val="1FEE38C7"/>
    <w:rsid w:val="1FF40688"/>
    <w:rsid w:val="20A67B9D"/>
    <w:rsid w:val="21207866"/>
    <w:rsid w:val="216D6919"/>
    <w:rsid w:val="21B71DC3"/>
    <w:rsid w:val="22693D06"/>
    <w:rsid w:val="22DC5661"/>
    <w:rsid w:val="22E90B7C"/>
    <w:rsid w:val="230A0B3F"/>
    <w:rsid w:val="23173B06"/>
    <w:rsid w:val="246F482E"/>
    <w:rsid w:val="24BF1FCC"/>
    <w:rsid w:val="25675F6C"/>
    <w:rsid w:val="257C3CBC"/>
    <w:rsid w:val="2660091B"/>
    <w:rsid w:val="268632D1"/>
    <w:rsid w:val="274751AF"/>
    <w:rsid w:val="27F00C2C"/>
    <w:rsid w:val="27F30191"/>
    <w:rsid w:val="28E120D3"/>
    <w:rsid w:val="296069B8"/>
    <w:rsid w:val="29C84A8A"/>
    <w:rsid w:val="2AC563B9"/>
    <w:rsid w:val="2BE27A8A"/>
    <w:rsid w:val="2D665687"/>
    <w:rsid w:val="2D7422D9"/>
    <w:rsid w:val="2D97068E"/>
    <w:rsid w:val="2DB97690"/>
    <w:rsid w:val="2DCC6724"/>
    <w:rsid w:val="2DD75885"/>
    <w:rsid w:val="2E454CF5"/>
    <w:rsid w:val="2E4F6B43"/>
    <w:rsid w:val="2ED92B7B"/>
    <w:rsid w:val="2EFF5A33"/>
    <w:rsid w:val="2F5E57C2"/>
    <w:rsid w:val="303867AA"/>
    <w:rsid w:val="327B35FC"/>
    <w:rsid w:val="32E41FA9"/>
    <w:rsid w:val="331465DA"/>
    <w:rsid w:val="337A2651"/>
    <w:rsid w:val="33987048"/>
    <w:rsid w:val="34117602"/>
    <w:rsid w:val="34301D95"/>
    <w:rsid w:val="34632613"/>
    <w:rsid w:val="348D7A67"/>
    <w:rsid w:val="362F1587"/>
    <w:rsid w:val="36A622B7"/>
    <w:rsid w:val="37386FD5"/>
    <w:rsid w:val="376B54F8"/>
    <w:rsid w:val="37B855F7"/>
    <w:rsid w:val="37C776D5"/>
    <w:rsid w:val="37CF3414"/>
    <w:rsid w:val="38091759"/>
    <w:rsid w:val="386630CB"/>
    <w:rsid w:val="38DD572D"/>
    <w:rsid w:val="38E716A5"/>
    <w:rsid w:val="39C36951"/>
    <w:rsid w:val="3B2F18C9"/>
    <w:rsid w:val="3B757A85"/>
    <w:rsid w:val="3C623DA1"/>
    <w:rsid w:val="3D6E438D"/>
    <w:rsid w:val="3D814A65"/>
    <w:rsid w:val="3DEF482D"/>
    <w:rsid w:val="3E0E7987"/>
    <w:rsid w:val="3E307182"/>
    <w:rsid w:val="3EA00DCD"/>
    <w:rsid w:val="3F667892"/>
    <w:rsid w:val="3F817A29"/>
    <w:rsid w:val="3FBD02A0"/>
    <w:rsid w:val="3FC25F00"/>
    <w:rsid w:val="402121C3"/>
    <w:rsid w:val="402F5E22"/>
    <w:rsid w:val="405F2F57"/>
    <w:rsid w:val="40726378"/>
    <w:rsid w:val="41220E6C"/>
    <w:rsid w:val="425F4078"/>
    <w:rsid w:val="434B5DB2"/>
    <w:rsid w:val="438124F9"/>
    <w:rsid w:val="43F130C6"/>
    <w:rsid w:val="44166EC1"/>
    <w:rsid w:val="45023046"/>
    <w:rsid w:val="45DA52A8"/>
    <w:rsid w:val="46037C0A"/>
    <w:rsid w:val="462D2326"/>
    <w:rsid w:val="470C631D"/>
    <w:rsid w:val="47C34DC8"/>
    <w:rsid w:val="481C418E"/>
    <w:rsid w:val="4834297E"/>
    <w:rsid w:val="49490024"/>
    <w:rsid w:val="49614C36"/>
    <w:rsid w:val="49A92821"/>
    <w:rsid w:val="4B8F45B8"/>
    <w:rsid w:val="4BD0786C"/>
    <w:rsid w:val="4CFF7A2D"/>
    <w:rsid w:val="4D075585"/>
    <w:rsid w:val="4D123D00"/>
    <w:rsid w:val="4D387A08"/>
    <w:rsid w:val="4D46031B"/>
    <w:rsid w:val="4E292F25"/>
    <w:rsid w:val="4E726A98"/>
    <w:rsid w:val="4F124542"/>
    <w:rsid w:val="4F744B39"/>
    <w:rsid w:val="4F7D07A3"/>
    <w:rsid w:val="4FA93B5B"/>
    <w:rsid w:val="500A1327"/>
    <w:rsid w:val="52346892"/>
    <w:rsid w:val="52B65486"/>
    <w:rsid w:val="52E812BE"/>
    <w:rsid w:val="52EF50FA"/>
    <w:rsid w:val="531D1541"/>
    <w:rsid w:val="532037F5"/>
    <w:rsid w:val="534863AE"/>
    <w:rsid w:val="53627A08"/>
    <w:rsid w:val="53706A9F"/>
    <w:rsid w:val="53B30D59"/>
    <w:rsid w:val="54EC3AE2"/>
    <w:rsid w:val="553A45E0"/>
    <w:rsid w:val="561E1DD9"/>
    <w:rsid w:val="56567336"/>
    <w:rsid w:val="566B1387"/>
    <w:rsid w:val="566C5220"/>
    <w:rsid w:val="569A3F21"/>
    <w:rsid w:val="56AD4B11"/>
    <w:rsid w:val="56DA1B0D"/>
    <w:rsid w:val="58273D2E"/>
    <w:rsid w:val="58383E5F"/>
    <w:rsid w:val="59130E55"/>
    <w:rsid w:val="59537C18"/>
    <w:rsid w:val="598D6098"/>
    <w:rsid w:val="59F34F31"/>
    <w:rsid w:val="5A9F5FAD"/>
    <w:rsid w:val="5AB52371"/>
    <w:rsid w:val="5B753AEE"/>
    <w:rsid w:val="5BB362A0"/>
    <w:rsid w:val="5BE8125C"/>
    <w:rsid w:val="5C7F0374"/>
    <w:rsid w:val="5C802E15"/>
    <w:rsid w:val="5CD575BA"/>
    <w:rsid w:val="5F5E7D90"/>
    <w:rsid w:val="5FDE257D"/>
    <w:rsid w:val="607477F2"/>
    <w:rsid w:val="61537BDA"/>
    <w:rsid w:val="616D02E8"/>
    <w:rsid w:val="61E563A7"/>
    <w:rsid w:val="62F51069"/>
    <w:rsid w:val="63345E4F"/>
    <w:rsid w:val="635837C1"/>
    <w:rsid w:val="637C74FA"/>
    <w:rsid w:val="638A155C"/>
    <w:rsid w:val="63E23892"/>
    <w:rsid w:val="65122045"/>
    <w:rsid w:val="65AE0E7B"/>
    <w:rsid w:val="65D74DCA"/>
    <w:rsid w:val="66A6438E"/>
    <w:rsid w:val="66BB2EDE"/>
    <w:rsid w:val="66BF109E"/>
    <w:rsid w:val="67056631"/>
    <w:rsid w:val="67CE4ADF"/>
    <w:rsid w:val="67E1247B"/>
    <w:rsid w:val="68E61B29"/>
    <w:rsid w:val="694C640B"/>
    <w:rsid w:val="696F232C"/>
    <w:rsid w:val="6A5F0290"/>
    <w:rsid w:val="6A8F4C90"/>
    <w:rsid w:val="6AFC4C97"/>
    <w:rsid w:val="6B500E9D"/>
    <w:rsid w:val="6B6D624F"/>
    <w:rsid w:val="6BE765E4"/>
    <w:rsid w:val="6BEF3A36"/>
    <w:rsid w:val="6C062C2F"/>
    <w:rsid w:val="6CC17839"/>
    <w:rsid w:val="6E16432E"/>
    <w:rsid w:val="6F392E0F"/>
    <w:rsid w:val="7129212E"/>
    <w:rsid w:val="71336FC4"/>
    <w:rsid w:val="71F95A89"/>
    <w:rsid w:val="73007F23"/>
    <w:rsid w:val="736D6C6F"/>
    <w:rsid w:val="74386CEA"/>
    <w:rsid w:val="746F61DA"/>
    <w:rsid w:val="74E03C1D"/>
    <w:rsid w:val="75F44423"/>
    <w:rsid w:val="76311976"/>
    <w:rsid w:val="77F679AF"/>
    <w:rsid w:val="785C5E6F"/>
    <w:rsid w:val="78BC0A04"/>
    <w:rsid w:val="79781697"/>
    <w:rsid w:val="7A7F6B27"/>
    <w:rsid w:val="7B126AAA"/>
    <w:rsid w:val="7B1B7885"/>
    <w:rsid w:val="7B240194"/>
    <w:rsid w:val="7BBB198C"/>
    <w:rsid w:val="7BCE642F"/>
    <w:rsid w:val="7BD063E4"/>
    <w:rsid w:val="7DA82AFC"/>
    <w:rsid w:val="7E101E61"/>
    <w:rsid w:val="7EC363D0"/>
    <w:rsid w:val="7F3543DB"/>
    <w:rsid w:val="7F7E55CC"/>
    <w:rsid w:val="7FB65A15"/>
    <w:rsid w:val="7FCD0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1"/>
    <w:pPr>
      <w:spacing w:line="479" w:lineRule="exact"/>
      <w:outlineLvl w:val="1"/>
    </w:pPr>
    <w:rPr>
      <w:rFonts w:ascii="Microsoft YaHei UI" w:hAnsi="Microsoft YaHei UI" w:eastAsia="Microsoft YaHei UI"/>
      <w:spacing w:val="2"/>
      <w:sz w:val="32"/>
      <w:szCs w:val="32"/>
    </w:rPr>
  </w:style>
  <w:style w:type="paragraph" w:styleId="5">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6"/>
    <w:basedOn w:val="1"/>
    <w:next w:val="1"/>
    <w:semiHidden/>
    <w:unhideWhenUsed/>
    <w:qFormat/>
    <w:uiPriority w:val="9"/>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1"/>
    <w:unhideWhenUsed/>
    <w:qFormat/>
    <w:uiPriority w:val="99"/>
    <w:pPr>
      <w:tabs>
        <w:tab w:val="center" w:pos="4153"/>
        <w:tab w:val="right" w:pos="8306"/>
      </w:tabs>
      <w:snapToGrid w:val="0"/>
      <w:jc w:val="left"/>
    </w:pPr>
    <w:rPr>
      <w:sz w:val="18"/>
      <w:szCs w:val="18"/>
    </w:rPr>
  </w:style>
  <w:style w:type="paragraph" w:styleId="7">
    <w:name w:val="Normal Indent"/>
    <w:basedOn w:val="1"/>
    <w:qFormat/>
    <w:uiPriority w:val="99"/>
    <w:pPr>
      <w:tabs>
        <w:tab w:val="left" w:pos="1060"/>
      </w:tabs>
      <w:ind w:left="1058" w:leftChars="304" w:hanging="420"/>
    </w:pPr>
    <w:rPr>
      <w:sz w:val="28"/>
      <w:szCs w:val="24"/>
    </w:rPr>
  </w:style>
  <w:style w:type="paragraph" w:styleId="8">
    <w:name w:val="caption"/>
    <w:basedOn w:val="1"/>
    <w:next w:val="1"/>
    <w:qFormat/>
    <w:uiPriority w:val="0"/>
    <w:pPr>
      <w:widowControl/>
    </w:pPr>
    <w:rPr>
      <w:rFonts w:ascii="Calibri" w:hAnsi="Calibri" w:eastAsia="宋体" w:cs="Times New Roman"/>
      <w:b/>
      <w:bCs/>
      <w:color w:val="2DA2BF"/>
      <w:sz w:val="18"/>
      <w:szCs w:val="18"/>
      <w:lang w:eastAsia="zh-CN"/>
    </w:rPr>
  </w:style>
  <w:style w:type="paragraph" w:styleId="9">
    <w:name w:val="annotation text"/>
    <w:basedOn w:val="1"/>
    <w:unhideWhenUsed/>
    <w:qFormat/>
    <w:uiPriority w:val="99"/>
    <w:pPr>
      <w:jc w:val="left"/>
    </w:pPr>
  </w:style>
  <w:style w:type="paragraph" w:styleId="10">
    <w:name w:val="Body Text"/>
    <w:basedOn w:val="1"/>
    <w:next w:val="1"/>
    <w:qFormat/>
    <w:uiPriority w:val="1"/>
    <w:pPr>
      <w:ind w:firstLine="200" w:firstLineChars="200"/>
    </w:pPr>
    <w:rPr>
      <w:rFonts w:ascii="Microsoft YaHei UI" w:hAnsi="Microsoft YaHei UI" w:eastAsia="Microsoft YaHei UI"/>
      <w:szCs w:val="21"/>
    </w:rPr>
  </w:style>
  <w:style w:type="paragraph" w:styleId="11">
    <w:name w:val="Body Text Indent"/>
    <w:basedOn w:val="1"/>
    <w:next w:val="12"/>
    <w:qFormat/>
    <w:uiPriority w:val="0"/>
    <w:pPr>
      <w:spacing w:line="360" w:lineRule="auto"/>
      <w:ind w:firstLine="560" w:firstLineChars="200"/>
    </w:pPr>
    <w:rPr>
      <w:sz w:val="28"/>
      <w:szCs w:val="28"/>
    </w:rPr>
  </w:style>
  <w:style w:type="paragraph" w:styleId="12">
    <w:name w:val="annotation subject"/>
    <w:basedOn w:val="9"/>
    <w:next w:val="1"/>
    <w:qFormat/>
    <w:uiPriority w:val="0"/>
    <w:rPr>
      <w:b/>
      <w:bCs/>
    </w:rPr>
  </w:style>
  <w:style w:type="paragraph" w:styleId="13">
    <w:name w:val="toc 3"/>
    <w:basedOn w:val="1"/>
    <w:next w:val="1"/>
    <w:unhideWhenUsed/>
    <w:qFormat/>
    <w:uiPriority w:val="39"/>
    <w:pPr>
      <w:widowControl/>
      <w:spacing w:after="100" w:line="259" w:lineRule="auto"/>
      <w:ind w:left="440"/>
    </w:pPr>
    <w:rPr>
      <w:rFonts w:cs="Times New Roman"/>
      <w:lang w:eastAsia="zh-CN"/>
    </w:rPr>
  </w:style>
  <w:style w:type="paragraph" w:styleId="14">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16">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paragraph" w:styleId="17">
    <w:name w:val="Body Text First Indent"/>
    <w:basedOn w:val="10"/>
    <w:unhideWhenUsed/>
    <w:qFormat/>
    <w:uiPriority w:val="99"/>
    <w:pPr>
      <w:ind w:firstLine="567"/>
    </w:pPr>
  </w:style>
  <w:style w:type="paragraph" w:styleId="18">
    <w:name w:val="Body Text First Indent 2"/>
    <w:basedOn w:val="11"/>
    <w:next w:val="11"/>
    <w:qFormat/>
    <w:uiPriority w:val="0"/>
    <w:pPr>
      <w:ind w:firstLine="420" w:firstLineChars="200"/>
    </w:pPr>
  </w:style>
  <w:style w:type="table" w:styleId="20">
    <w:name w:val="Table Grid"/>
    <w:basedOn w:val="19"/>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rPr>
  </w:style>
  <w:style w:type="character" w:styleId="23">
    <w:name w:val="Emphasis"/>
    <w:basedOn w:val="21"/>
    <w:qFormat/>
    <w:uiPriority w:val="20"/>
    <w:rPr>
      <w:i/>
    </w:rPr>
  </w:style>
  <w:style w:type="character" w:styleId="24">
    <w:name w:val="HTML Definition"/>
    <w:basedOn w:val="21"/>
    <w:semiHidden/>
    <w:unhideWhenUsed/>
    <w:qFormat/>
    <w:uiPriority w:val="99"/>
    <w:rPr>
      <w:i/>
    </w:rPr>
  </w:style>
  <w:style w:type="character" w:styleId="25">
    <w:name w:val="HTML Acronym"/>
    <w:basedOn w:val="21"/>
    <w:semiHidden/>
    <w:unhideWhenUsed/>
    <w:qFormat/>
    <w:uiPriority w:val="99"/>
  </w:style>
  <w:style w:type="character" w:styleId="26">
    <w:name w:val="HTML Variable"/>
    <w:basedOn w:val="21"/>
    <w:semiHidden/>
    <w:unhideWhenUsed/>
    <w:qFormat/>
    <w:uiPriority w:val="99"/>
    <w:rPr>
      <w:i/>
    </w:rPr>
  </w:style>
  <w:style w:type="character" w:styleId="27">
    <w:name w:val="Hyperlink"/>
    <w:basedOn w:val="21"/>
    <w:semiHidden/>
    <w:unhideWhenUsed/>
    <w:qFormat/>
    <w:uiPriority w:val="99"/>
    <w:rPr>
      <w:color w:val="005197"/>
      <w:u w:val="single"/>
    </w:rPr>
  </w:style>
  <w:style w:type="character" w:styleId="28">
    <w:name w:val="HTML Code"/>
    <w:basedOn w:val="21"/>
    <w:semiHidden/>
    <w:unhideWhenUsed/>
    <w:qFormat/>
    <w:uiPriority w:val="99"/>
    <w:rPr>
      <w:rFonts w:ascii="微软雅黑" w:hAnsi="微软雅黑" w:eastAsia="微软雅黑" w:cs="微软雅黑"/>
      <w:sz w:val="18"/>
      <w:szCs w:val="18"/>
    </w:rPr>
  </w:style>
  <w:style w:type="character" w:styleId="29">
    <w:name w:val="HTML Cite"/>
    <w:basedOn w:val="21"/>
    <w:semiHidden/>
    <w:unhideWhenUsed/>
    <w:qFormat/>
    <w:uiPriority w:val="99"/>
    <w:rPr>
      <w:i/>
    </w:rPr>
  </w:style>
  <w:style w:type="character" w:customStyle="1" w:styleId="30">
    <w:name w:val="页眉 Char"/>
    <w:basedOn w:val="21"/>
    <w:link w:val="14"/>
    <w:qFormat/>
    <w:uiPriority w:val="99"/>
    <w:rPr>
      <w:sz w:val="18"/>
      <w:szCs w:val="18"/>
    </w:rPr>
  </w:style>
  <w:style w:type="character" w:customStyle="1" w:styleId="31">
    <w:name w:val="页脚 Char"/>
    <w:basedOn w:val="21"/>
    <w:link w:val="2"/>
    <w:qFormat/>
    <w:uiPriority w:val="99"/>
    <w:rPr>
      <w:sz w:val="18"/>
      <w:szCs w:val="18"/>
    </w:rPr>
  </w:style>
  <w:style w:type="character" w:customStyle="1" w:styleId="32">
    <w:name w:val="fontstyle01"/>
    <w:basedOn w:val="21"/>
    <w:qFormat/>
    <w:uiPriority w:val="0"/>
    <w:rPr>
      <w:rFonts w:hint="default" w:ascii="CIDFont+F4" w:hAnsi="CIDFont+F4"/>
      <w:color w:val="000000"/>
      <w:sz w:val="24"/>
      <w:szCs w:val="24"/>
    </w:rPr>
  </w:style>
  <w:style w:type="paragraph" w:customStyle="1" w:styleId="3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34">
    <w:name w:val="List Paragraph"/>
    <w:basedOn w:val="1"/>
    <w:qFormat/>
    <w:uiPriority w:val="34"/>
    <w:pPr>
      <w:ind w:firstLine="420" w:firstLineChars="200"/>
    </w:pPr>
  </w:style>
  <w:style w:type="paragraph" w:customStyle="1" w:styleId="35">
    <w:name w:val="设计正文2"/>
    <w:basedOn w:val="1"/>
    <w:qFormat/>
    <w:uiPriority w:val="0"/>
    <w:pPr>
      <w:snapToGrid w:val="0"/>
      <w:spacing w:before="160" w:line="320" w:lineRule="atLeast"/>
      <w:jc w:val="both"/>
    </w:pPr>
    <w:rPr>
      <w:rFonts w:ascii="Times New Roman" w:hAnsi="Times New Roman" w:eastAsia="宋体" w:cs="Times New Roman"/>
      <w:kern w:val="2"/>
      <w:sz w:val="24"/>
      <w:szCs w:val="20"/>
      <w:lang w:eastAsia="zh-CN"/>
    </w:rPr>
  </w:style>
  <w:style w:type="paragraph" w:customStyle="1" w:styleId="36">
    <w:name w:val="正文文本1"/>
    <w:basedOn w:val="37"/>
    <w:next w:val="40"/>
    <w:qFormat/>
    <w:uiPriority w:val="0"/>
    <w:pPr>
      <w:ind w:firstLine="200" w:firstLineChars="200"/>
      <w:jc w:val="both"/>
    </w:pPr>
    <w:rPr>
      <w:rFonts w:ascii="Microsoft YaHei UI" w:hAnsi="Microsoft YaHei UI" w:eastAsia="Microsoft YaHei UI"/>
      <w:sz w:val="21"/>
      <w:szCs w:val="21"/>
    </w:rPr>
  </w:style>
  <w:style w:type="paragraph" w:customStyle="1" w:styleId="37">
    <w:name w:val="Normal_0"/>
    <w:basedOn w:val="1"/>
    <w:next w:val="38"/>
    <w:qFormat/>
    <w:uiPriority w:val="0"/>
    <w:rPr>
      <w:rFonts w:ascii="Arial" w:hAnsi="Arial" w:eastAsia="微软雅黑" w:cs="Times New Roman"/>
      <w:lang w:eastAsia="zh-CN"/>
    </w:rPr>
  </w:style>
  <w:style w:type="paragraph" w:customStyle="1" w:styleId="38">
    <w:name w:val="页脚1"/>
    <w:basedOn w:val="39"/>
    <w:unhideWhenUsed/>
    <w:qFormat/>
    <w:uiPriority w:val="99"/>
    <w:pPr>
      <w:tabs>
        <w:tab w:val="center" w:pos="4153"/>
        <w:tab w:val="right" w:pos="8306"/>
      </w:tabs>
      <w:snapToGrid w:val="0"/>
    </w:pPr>
    <w:rPr>
      <w:sz w:val="18"/>
      <w:szCs w:val="18"/>
    </w:rPr>
  </w:style>
  <w:style w:type="paragraph" w:customStyle="1" w:styleId="39">
    <w:name w:val="Normal_1"/>
    <w:next w:val="38"/>
    <w:qFormat/>
    <w:uiPriority w:val="0"/>
    <w:rPr>
      <w:rFonts w:ascii="Arial" w:hAnsi="Arial" w:eastAsia="微软雅黑" w:cs="Times New Roman"/>
      <w:sz w:val="24"/>
      <w:szCs w:val="24"/>
      <w:lang w:val="en-US" w:eastAsia="zh-CN" w:bidi="ar-SA"/>
    </w:rPr>
  </w:style>
  <w:style w:type="paragraph" w:customStyle="1" w:styleId="40">
    <w:name w:val="目录 21"/>
    <w:basedOn w:val="39"/>
    <w:next w:val="39"/>
    <w:unhideWhenUsed/>
    <w:qFormat/>
    <w:uiPriority w:val="39"/>
    <w:pPr>
      <w:tabs>
        <w:tab w:val="left" w:pos="730"/>
        <w:tab w:val="right" w:leader="dot" w:pos="9355"/>
      </w:tabs>
      <w:ind w:left="284" w:leftChars="129" w:firstLine="154" w:firstLineChars="70"/>
    </w:pPr>
  </w:style>
  <w:style w:type="character" w:customStyle="1" w:styleId="41">
    <w:name w:val="l-btn-text"/>
    <w:basedOn w:val="21"/>
    <w:qFormat/>
    <w:uiPriority w:val="0"/>
  </w:style>
  <w:style w:type="character" w:customStyle="1" w:styleId="42">
    <w:name w:val="checkbox"/>
    <w:basedOn w:val="21"/>
    <w:qFormat/>
    <w:uiPriority w:val="0"/>
  </w:style>
  <w:style w:type="character" w:customStyle="1" w:styleId="43">
    <w:name w:val="l-btn-left"/>
    <w:basedOn w:val="21"/>
    <w:qFormat/>
    <w:uiPriority w:val="0"/>
  </w:style>
  <w:style w:type="character" w:customStyle="1" w:styleId="44">
    <w:name w:val="l-btn-left1"/>
    <w:basedOn w:val="21"/>
    <w:qFormat/>
    <w:uiPriority w:val="0"/>
  </w:style>
  <w:style w:type="character" w:customStyle="1" w:styleId="45">
    <w:name w:val="l-btn-left2"/>
    <w:basedOn w:val="21"/>
    <w:qFormat/>
    <w:uiPriority w:val="0"/>
  </w:style>
  <w:style w:type="character" w:customStyle="1" w:styleId="46">
    <w:name w:val="l-btn-left3"/>
    <w:basedOn w:val="21"/>
    <w:qFormat/>
    <w:uiPriority w:val="0"/>
  </w:style>
  <w:style w:type="character" w:customStyle="1" w:styleId="47">
    <w:name w:val="l-btn-empty"/>
    <w:basedOn w:val="21"/>
    <w:qFormat/>
    <w:uiPriority w:val="0"/>
  </w:style>
  <w:style w:type="paragraph" w:customStyle="1" w:styleId="48">
    <w:name w:val="表格"/>
    <w:basedOn w:val="16"/>
    <w:next w:val="1"/>
    <w:qFormat/>
    <w:uiPriority w:val="0"/>
    <w:pPr>
      <w:spacing w:before="0" w:after="0" w:line="360" w:lineRule="auto"/>
      <w:outlineLvl w:val="9"/>
    </w:pPr>
    <w:rPr>
      <w:rFonts w:ascii="Times New Roman" w:hAnsi="Times New Roman" w:cs="Times New Roman"/>
      <w:b w:val="0"/>
      <w:bCs w:val="0"/>
      <w:kern w:val="2"/>
      <w:sz w:val="21"/>
      <w:lang w:eastAsia="zh-CN"/>
    </w:rPr>
  </w:style>
  <w:style w:type="paragraph" w:customStyle="1" w:styleId="4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50">
    <w:name w:val="Table Paragraph"/>
    <w:basedOn w:val="1"/>
    <w:qFormat/>
    <w:uiPriority w:val="0"/>
    <w:pPr>
      <w:jc w:val="left"/>
    </w:pPr>
    <w:rPr>
      <w:kern w:val="0"/>
      <w:sz w:val="22"/>
      <w:lang w:eastAsia="en-US"/>
    </w:rPr>
  </w:style>
  <w:style w:type="paragraph" w:customStyle="1" w:styleId="51">
    <w:name w:val="其他"/>
    <w:basedOn w:val="1"/>
    <w:qFormat/>
    <w:uiPriority w:val="0"/>
    <w:pPr>
      <w:shd w:val="clear" w:color="auto" w:fill="FFFFFF"/>
    </w:pPr>
    <w:rPr>
      <w:rFonts w:ascii="Arial" w:hAnsi="Arial" w:eastAsia="Arial" w:cs="Arial"/>
      <w:sz w:val="20"/>
      <w:szCs w:val="20"/>
    </w:rPr>
  </w:style>
  <w:style w:type="table" w:customStyle="1" w:styleId="52">
    <w:name w:val="Table Grid_2"/>
    <w:basedOn w:val="19"/>
    <w:qFormat/>
    <w:uiPriority w:val="39"/>
    <w:rPr>
      <w:rFonts w:ascii="Calibri" w:hAnsi="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3">
    <w:name w:val="Table Normal"/>
    <w:semiHidden/>
    <w:unhideWhenUsed/>
    <w:qFormat/>
    <w:uiPriority w:val="2"/>
    <w:pPr>
      <w:widowControl w:val="0"/>
    </w:pPr>
    <w:rPr>
      <w:kern w:val="0"/>
      <w:sz w:val="22"/>
      <w:lang w:eastAsia="en-US"/>
    </w:rPr>
    <w:tblPr>
      <w:tblCellMar>
        <w:top w:w="0" w:type="dxa"/>
        <w:left w:w="0" w:type="dxa"/>
        <w:bottom w:w="0" w:type="dxa"/>
        <w:right w:w="0" w:type="dxa"/>
      </w:tblCellMar>
    </w:tblPr>
  </w:style>
  <w:style w:type="character" w:customStyle="1" w:styleId="54">
    <w:name w:val="纯文本 Char1"/>
    <w:qFormat/>
    <w:uiPriority w:val="0"/>
    <w:rPr>
      <w:rFonts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1851</Words>
  <Characters>1982</Characters>
  <Lines>247</Lines>
  <Paragraphs>212</Paragraphs>
  <TotalTime>3</TotalTime>
  <ScaleCrop>false</ScaleCrop>
  <LinksUpToDate>false</LinksUpToDate>
  <CharactersWithSpaces>3621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2021-05-19T09:26:00Z</dcterms:created>
  <dc:creator>季云峰/采办项目组/集团公司机关</dc:creator>
  <cp:lastModifiedBy>IT</cp:lastModifiedBy>
  <dcterms:modified xsi:type="dcterms:W3CDTF">2026-06-03T08:33:50Z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AB0845D8E9BA478FB3490D50387A999A</vt:lpwstr>
  </property>
</Properties>
</file>