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abs>
          <w:tab w:val="center" w:pos="4153"/>
          <w:tab w:val="right" w:pos="8306"/>
        </w:tabs>
        <w:snapToGrid w:val="0"/>
        <w:jc w:val="left"/>
        <w:rPr>
          <w:rFonts w:ascii="Calibri" w:hAnsi="Calibri" w:eastAsia="宋体" w:cs="Times New Roman"/>
          <w:color w:val="auto"/>
          <w:kern w:val="2"/>
          <w:sz w:val="18"/>
          <w:szCs w:val="18"/>
          <w:lang w:val="en-US" w:eastAsia="zh-CN" w:bidi="ar-SA"/>
        </w:rPr>
      </w:pPr>
      <w:bookmarkStart w:id="0" w:name="_Toc291354277"/>
      <w:bookmarkStart w:id="1" w:name="_Toc299915705"/>
      <w:bookmarkStart w:id="2" w:name="_Toc291365399"/>
      <w:bookmarkStart w:id="3" w:name="_Toc364839385"/>
      <w:bookmarkStart w:id="4" w:name="_Toc291275281"/>
      <w:bookmarkStart w:id="5" w:name="_Toc74144245"/>
    </w:p>
    <w:p>
      <w:pPr>
        <w:widowControl w:val="0"/>
        <w:tabs>
          <w:tab w:val="center" w:pos="4153"/>
          <w:tab w:val="right" w:pos="8306"/>
        </w:tabs>
        <w:snapToGrid w:val="0"/>
        <w:jc w:val="left"/>
        <w:rPr>
          <w:rFonts w:ascii="Calibri" w:hAnsi="Calibri" w:eastAsia="宋体" w:cs="Times New Roman"/>
          <w:color w:val="auto"/>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color w:val="auto"/>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color w:val="auto"/>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color w:val="auto"/>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color w:val="auto"/>
          <w:kern w:val="2"/>
          <w:sz w:val="18"/>
          <w:szCs w:val="18"/>
          <w:lang w:val="en-US" w:eastAsia="zh-CN" w:bidi="ar-SA"/>
        </w:rPr>
      </w:pPr>
    </w:p>
    <w:p>
      <w:pPr>
        <w:autoSpaceDE w:val="0"/>
        <w:autoSpaceDN w:val="0"/>
        <w:spacing w:before="120" w:after="120"/>
        <w:ind w:right="-20"/>
        <w:jc w:val="center"/>
        <w:rPr>
          <w:rFonts w:ascii="Arial Unicode MS" w:hAnsi="Calibri" w:eastAsia="Arial Unicode MS" w:cs="Arial Unicode MS"/>
          <w:b/>
          <w:color w:val="auto"/>
          <w:spacing w:val="2"/>
          <w:w w:val="99"/>
          <w:sz w:val="52"/>
          <w:szCs w:val="52"/>
        </w:rPr>
      </w:pPr>
      <w:r>
        <w:rPr>
          <w:rFonts w:ascii="Arial Unicode MS" w:hAnsi="Calibri" w:eastAsia="Arial Unicode MS" w:cs="Arial Unicode MS"/>
          <w:b/>
          <w:color w:val="auto"/>
          <w:spacing w:val="2"/>
          <w:w w:val="99"/>
          <w:sz w:val="52"/>
          <w:szCs w:val="52"/>
          <w:lang w:eastAsia="zh-CN"/>
        </w:rPr>
        <w:drawing>
          <wp:anchor distT="0" distB="0" distL="114300" distR="114300" simplePos="0" relativeHeight="251659264" behindDoc="1" locked="0" layoutInCell="1" allowOverlap="1">
            <wp:simplePos x="0" y="0"/>
            <wp:positionH relativeFrom="column">
              <wp:posOffset>2009140</wp:posOffset>
            </wp:positionH>
            <wp:positionV relativeFrom="paragraph">
              <wp:posOffset>20320</wp:posOffset>
            </wp:positionV>
            <wp:extent cx="1596390" cy="1438275"/>
            <wp:effectExtent l="0" t="0" r="3810" b="9525"/>
            <wp:wrapTight wrapText="bothSides">
              <wp:wrapPolygon>
                <wp:start x="7475" y="0"/>
                <wp:lineTo x="2320" y="4577"/>
                <wp:lineTo x="1031" y="6294"/>
                <wp:lineTo x="0" y="8297"/>
                <wp:lineTo x="0" y="15163"/>
                <wp:lineTo x="1289" y="18310"/>
                <wp:lineTo x="1289" y="18596"/>
                <wp:lineTo x="5155" y="21457"/>
                <wp:lineTo x="5671" y="21457"/>
                <wp:lineTo x="11341" y="21457"/>
                <wp:lineTo x="12115" y="21457"/>
                <wp:lineTo x="15465" y="18882"/>
                <wp:lineTo x="17527" y="14305"/>
                <wp:lineTo x="17527" y="13732"/>
                <wp:lineTo x="21394" y="12016"/>
                <wp:lineTo x="21394" y="8869"/>
                <wp:lineTo x="14950" y="4577"/>
                <wp:lineTo x="9537" y="0"/>
                <wp:lineTo x="7475" y="0"/>
              </wp:wrapPolygon>
            </wp:wrapTight>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1596390" cy="1438275"/>
                    </a:xfrm>
                    <a:prstGeom prst="rect">
                      <a:avLst/>
                    </a:prstGeom>
                    <a:noFill/>
                    <a:ln>
                      <a:noFill/>
                    </a:ln>
                  </pic:spPr>
                </pic:pic>
              </a:graphicData>
            </a:graphic>
          </wp:anchor>
        </w:drawing>
      </w:r>
    </w:p>
    <w:p>
      <w:pPr>
        <w:autoSpaceDE w:val="0"/>
        <w:autoSpaceDN w:val="0"/>
        <w:spacing w:before="120" w:after="120"/>
        <w:ind w:right="-20"/>
        <w:jc w:val="center"/>
        <w:rPr>
          <w:rFonts w:ascii="Arial Unicode MS" w:hAnsi="Calibri" w:eastAsia="Arial Unicode MS" w:cs="Arial Unicode MS"/>
          <w:b/>
          <w:color w:val="auto"/>
          <w:spacing w:val="2"/>
          <w:w w:val="99"/>
          <w:sz w:val="52"/>
          <w:szCs w:val="52"/>
        </w:rPr>
      </w:pPr>
    </w:p>
    <w:p>
      <w:pPr>
        <w:autoSpaceDE w:val="0"/>
        <w:autoSpaceDN w:val="0"/>
        <w:spacing w:before="120" w:after="120"/>
        <w:ind w:right="-20"/>
        <w:jc w:val="center"/>
        <w:rPr>
          <w:rFonts w:ascii="微软雅黑" w:hAnsi="微软雅黑" w:eastAsia="微软雅黑" w:cs="Arial Unicode MS"/>
          <w:b/>
          <w:color w:val="auto"/>
          <w:spacing w:val="2"/>
          <w:w w:val="99"/>
          <w:sz w:val="52"/>
          <w:szCs w:val="52"/>
        </w:rPr>
      </w:pPr>
    </w:p>
    <w:p>
      <w:pPr>
        <w:jc w:val="center"/>
        <w:rPr>
          <w:rFonts w:ascii="微软雅黑" w:hAnsi="微软雅黑" w:eastAsia="微软雅黑" w:cs="Arial Unicode MS"/>
          <w:color w:val="auto"/>
          <w:spacing w:val="2"/>
          <w:w w:val="99"/>
          <w:sz w:val="52"/>
          <w:szCs w:val="52"/>
          <w:lang w:eastAsia="zh-CN"/>
        </w:rPr>
      </w:pPr>
      <w:r>
        <w:rPr>
          <w:rFonts w:hint="eastAsia" w:ascii="微软雅黑" w:hAnsi="微软雅黑" w:eastAsia="微软雅黑" w:cs="Arial Unicode MS"/>
          <w:color w:val="auto"/>
          <w:spacing w:val="2"/>
          <w:w w:val="99"/>
          <w:sz w:val="52"/>
          <w:szCs w:val="52"/>
          <w:lang w:eastAsia="zh-CN"/>
        </w:rPr>
        <w:t xml:space="preserve">中海油能源物流有限公司 </w:t>
      </w:r>
      <w:r>
        <w:rPr>
          <w:rFonts w:ascii="微软雅黑" w:hAnsi="微软雅黑" w:eastAsia="微软雅黑" w:cs="Arial Unicode MS"/>
          <w:color w:val="auto"/>
          <w:spacing w:val="2"/>
          <w:w w:val="99"/>
          <w:sz w:val="52"/>
          <w:szCs w:val="52"/>
          <w:lang w:eastAsia="zh-CN"/>
        </w:rPr>
        <w:t xml:space="preserve">    </w:t>
      </w:r>
    </w:p>
    <w:p>
      <w:pPr>
        <w:keepNext w:val="0"/>
        <w:keepLines w:val="0"/>
        <w:pageBreakBefore w:val="0"/>
        <w:kinsoku/>
        <w:wordWrap/>
        <w:overflowPunct/>
        <w:topLinePunct w:val="0"/>
        <w:autoSpaceDE/>
        <w:autoSpaceDN/>
        <w:bidi w:val="0"/>
        <w:snapToGrid/>
        <w:spacing w:before="0" w:after="0" w:line="240" w:lineRule="auto"/>
        <w:ind w:right="0"/>
        <w:jc w:val="center"/>
        <w:textAlignment w:val="auto"/>
        <w:rPr>
          <w:rFonts w:hint="eastAsia" w:ascii="微软雅黑" w:hAnsi="微软雅黑" w:eastAsia="微软雅黑" w:cs="Arial Unicode MS"/>
          <w:color w:val="auto"/>
          <w:spacing w:val="2"/>
          <w:w w:val="99"/>
          <w:sz w:val="52"/>
          <w:szCs w:val="52"/>
          <w:u w:val="single"/>
          <w:lang w:val="en-US" w:eastAsia="zh-CN"/>
        </w:rPr>
      </w:pPr>
    </w:p>
    <w:p>
      <w:pPr>
        <w:keepNext w:val="0"/>
        <w:keepLines w:val="0"/>
        <w:pageBreakBefore w:val="0"/>
        <w:kinsoku/>
        <w:wordWrap/>
        <w:overflowPunct/>
        <w:topLinePunct w:val="0"/>
        <w:autoSpaceDE/>
        <w:autoSpaceDN/>
        <w:bidi w:val="0"/>
        <w:snapToGrid/>
        <w:spacing w:before="0" w:after="0" w:line="240" w:lineRule="auto"/>
        <w:ind w:right="0"/>
        <w:jc w:val="center"/>
        <w:textAlignment w:val="auto"/>
        <w:rPr>
          <w:rFonts w:hint="eastAsia" w:ascii="微软雅黑" w:hAnsi="微软雅黑" w:eastAsia="微软雅黑" w:cs="Arial Unicode MS"/>
          <w:color w:val="auto"/>
          <w:spacing w:val="2"/>
          <w:w w:val="99"/>
          <w:sz w:val="52"/>
          <w:szCs w:val="52"/>
          <w:u w:val="single"/>
          <w:lang w:val="en-US" w:eastAsia="zh-CN"/>
        </w:rPr>
      </w:pPr>
      <w:r>
        <w:rPr>
          <w:rFonts w:hint="eastAsia" w:ascii="微软雅黑" w:hAnsi="微软雅黑" w:eastAsia="微软雅黑" w:cs="Arial Unicode MS"/>
          <w:color w:val="auto"/>
          <w:spacing w:val="2"/>
          <w:w w:val="99"/>
          <w:sz w:val="52"/>
          <w:szCs w:val="52"/>
          <w:u w:val="single"/>
          <w:lang w:val="en-US" w:eastAsia="zh-CN"/>
        </w:rPr>
        <w:t>物流公司湛江地区2026-2029年车辆车载监控维修服务专有协议</w:t>
      </w:r>
    </w:p>
    <w:p>
      <w:pPr>
        <w:keepNext w:val="0"/>
        <w:keepLines w:val="0"/>
        <w:pageBreakBefore w:val="0"/>
        <w:kinsoku/>
        <w:wordWrap/>
        <w:overflowPunct/>
        <w:topLinePunct w:val="0"/>
        <w:autoSpaceDE/>
        <w:autoSpaceDN/>
        <w:bidi w:val="0"/>
        <w:snapToGrid/>
        <w:spacing w:before="0" w:after="0" w:line="240" w:lineRule="auto"/>
        <w:ind w:right="0"/>
        <w:jc w:val="center"/>
        <w:textAlignment w:val="auto"/>
        <w:rPr>
          <w:rFonts w:hint="eastAsia" w:ascii="微软雅黑" w:hAnsi="微软雅黑" w:eastAsia="微软雅黑" w:cs="Arial Unicode MS"/>
          <w:b/>
          <w:color w:val="auto"/>
          <w:spacing w:val="2"/>
          <w:w w:val="99"/>
          <w:sz w:val="52"/>
          <w:szCs w:val="52"/>
          <w:lang w:eastAsia="zh-CN"/>
        </w:rPr>
      </w:pPr>
      <w:r>
        <w:rPr>
          <w:rFonts w:hint="eastAsia" w:ascii="微软雅黑" w:hAnsi="微软雅黑" w:eastAsia="微软雅黑" w:cs="Arial Unicode MS"/>
          <w:b/>
          <w:color w:val="auto"/>
          <w:spacing w:val="2"/>
          <w:w w:val="99"/>
          <w:sz w:val="52"/>
          <w:szCs w:val="52"/>
          <w:lang w:eastAsia="zh-CN"/>
        </w:rPr>
        <w:t>采购技术要求书</w:t>
      </w:r>
    </w:p>
    <w:p>
      <w:pPr>
        <w:pStyle w:val="11"/>
        <w:rPr>
          <w:rFonts w:hint="eastAsia"/>
          <w:lang w:val="en-US" w:eastAsia="zh-CN"/>
        </w:rPr>
      </w:pPr>
    </w:p>
    <w:p>
      <w:pPr>
        <w:keepNext w:val="0"/>
        <w:keepLines w:val="0"/>
        <w:pageBreakBefore w:val="0"/>
        <w:kinsoku/>
        <w:wordWrap/>
        <w:overflowPunct/>
        <w:topLinePunct w:val="0"/>
        <w:autoSpaceDE w:val="0"/>
        <w:autoSpaceDN w:val="0"/>
        <w:bidi w:val="0"/>
        <w:snapToGrid w:val="0"/>
        <w:spacing w:before="120" w:after="120" w:line="360" w:lineRule="auto"/>
        <w:ind w:right="-20" w:firstLine="2160" w:firstLineChars="600"/>
        <w:textAlignment w:val="auto"/>
        <w:rPr>
          <w:rFonts w:ascii="Arial Unicode MS" w:eastAsia="Arial Unicode MS" w:cs="Arial Unicode MS"/>
          <w:color w:val="auto"/>
          <w:spacing w:val="2"/>
          <w:w w:val="99"/>
          <w:sz w:val="36"/>
          <w:szCs w:val="36"/>
          <w:lang w:eastAsia="zh-CN"/>
        </w:rPr>
      </w:pPr>
      <w:r>
        <w:rPr>
          <w:rFonts w:hint="eastAsia" w:ascii="Arial Unicode MS" w:eastAsia="Arial Unicode MS" w:cs="Arial Unicode MS"/>
          <w:color w:val="auto"/>
          <w:spacing w:val="2"/>
          <w:w w:val="99"/>
          <w:sz w:val="36"/>
          <w:szCs w:val="36"/>
          <w:lang w:eastAsia="zh-CN"/>
        </w:rPr>
        <w:t>编制：</w:t>
      </w:r>
      <w:r>
        <w:rPr>
          <w:rFonts w:hint="eastAsia" w:ascii="Arial Unicode MS" w:eastAsia="Arial Unicode MS" w:cs="Arial Unicode MS"/>
          <w:color w:val="auto"/>
          <w:spacing w:val="2"/>
          <w:w w:val="99"/>
          <w:sz w:val="36"/>
          <w:szCs w:val="36"/>
          <w:u w:val="single"/>
          <w:lang w:eastAsia="zh-CN"/>
        </w:rPr>
        <w:t xml:space="preserve">                </w:t>
      </w:r>
    </w:p>
    <w:p>
      <w:pPr>
        <w:keepNext w:val="0"/>
        <w:keepLines w:val="0"/>
        <w:pageBreakBefore w:val="0"/>
        <w:kinsoku/>
        <w:wordWrap/>
        <w:overflowPunct/>
        <w:topLinePunct w:val="0"/>
        <w:autoSpaceDE w:val="0"/>
        <w:autoSpaceDN w:val="0"/>
        <w:bidi w:val="0"/>
        <w:snapToGrid w:val="0"/>
        <w:spacing w:before="120" w:after="120" w:line="360" w:lineRule="auto"/>
        <w:ind w:right="-20"/>
        <w:textAlignment w:val="auto"/>
        <w:rPr>
          <w:rFonts w:hint="eastAsia" w:ascii="Arial Unicode MS" w:eastAsia="Arial Unicode MS" w:cs="Arial Unicode MS"/>
          <w:color w:val="auto"/>
          <w:spacing w:val="2"/>
          <w:w w:val="99"/>
          <w:sz w:val="36"/>
          <w:szCs w:val="36"/>
          <w:u w:val="single"/>
          <w:lang w:eastAsia="zh-CN"/>
        </w:rPr>
      </w:pPr>
      <w:r>
        <w:rPr>
          <w:rFonts w:hint="eastAsia" w:ascii="Arial Unicode MS" w:eastAsia="Arial Unicode MS" w:cs="Arial Unicode MS"/>
          <w:color w:val="auto"/>
          <w:spacing w:val="2"/>
          <w:w w:val="99"/>
          <w:sz w:val="36"/>
          <w:szCs w:val="36"/>
          <w:lang w:eastAsia="zh-CN"/>
        </w:rPr>
        <w:t xml:space="preserve">           </w:t>
      </w:r>
      <w:r>
        <w:rPr>
          <w:rFonts w:hint="eastAsia" w:ascii="Arial Unicode MS" w:eastAsia="Arial Unicode MS" w:cs="Arial Unicode MS"/>
          <w:color w:val="auto"/>
          <w:spacing w:val="2"/>
          <w:w w:val="99"/>
          <w:sz w:val="36"/>
          <w:szCs w:val="36"/>
          <w:lang w:val="en-US" w:eastAsia="zh-CN"/>
        </w:rPr>
        <w:t xml:space="preserve"> </w:t>
      </w:r>
      <w:r>
        <w:rPr>
          <w:rFonts w:hint="eastAsia" w:ascii="Arial Unicode MS" w:eastAsia="Arial Unicode MS" w:cs="Arial Unicode MS"/>
          <w:color w:val="auto"/>
          <w:spacing w:val="2"/>
          <w:w w:val="99"/>
          <w:sz w:val="36"/>
          <w:szCs w:val="36"/>
          <w:lang w:eastAsia="zh-CN"/>
        </w:rPr>
        <w:t>审核：</w:t>
      </w:r>
      <w:r>
        <w:rPr>
          <w:rFonts w:hint="eastAsia" w:ascii="Arial Unicode MS" w:eastAsia="Arial Unicode MS" w:cs="Arial Unicode MS"/>
          <w:color w:val="auto"/>
          <w:spacing w:val="2"/>
          <w:w w:val="99"/>
          <w:sz w:val="36"/>
          <w:szCs w:val="36"/>
          <w:u w:val="single"/>
          <w:lang w:eastAsia="zh-CN"/>
        </w:rPr>
        <w:t xml:space="preserve">                </w:t>
      </w:r>
    </w:p>
    <w:p>
      <w:pPr>
        <w:keepNext w:val="0"/>
        <w:keepLines w:val="0"/>
        <w:pageBreakBefore w:val="0"/>
        <w:kinsoku/>
        <w:wordWrap/>
        <w:overflowPunct/>
        <w:topLinePunct w:val="0"/>
        <w:autoSpaceDE w:val="0"/>
        <w:autoSpaceDN w:val="0"/>
        <w:bidi w:val="0"/>
        <w:snapToGrid w:val="0"/>
        <w:spacing w:before="120" w:after="120" w:line="360" w:lineRule="auto"/>
        <w:ind w:right="-20"/>
        <w:textAlignment w:val="auto"/>
        <w:rPr>
          <w:rFonts w:hint="eastAsia" w:ascii="Arial Unicode MS" w:eastAsia="Arial Unicode MS" w:cs="Arial Unicode MS"/>
          <w:color w:val="auto"/>
          <w:spacing w:val="2"/>
          <w:w w:val="99"/>
          <w:sz w:val="36"/>
          <w:szCs w:val="36"/>
          <w:u w:val="single"/>
          <w:lang w:eastAsia="zh-CN"/>
        </w:rPr>
      </w:pPr>
      <w:r>
        <w:rPr>
          <w:rFonts w:hint="eastAsia" w:ascii="Arial Unicode MS" w:eastAsia="Arial Unicode MS" w:cs="Arial Unicode MS"/>
          <w:color w:val="auto"/>
          <w:spacing w:val="2"/>
          <w:w w:val="99"/>
          <w:sz w:val="36"/>
          <w:szCs w:val="36"/>
          <w:lang w:eastAsia="zh-CN"/>
        </w:rPr>
        <w:t xml:space="preserve">           </w:t>
      </w:r>
      <w:r>
        <w:rPr>
          <w:rFonts w:hint="eastAsia" w:ascii="Arial Unicode MS" w:eastAsia="Arial Unicode MS" w:cs="Arial Unicode MS"/>
          <w:color w:val="auto"/>
          <w:spacing w:val="2"/>
          <w:w w:val="99"/>
          <w:sz w:val="36"/>
          <w:szCs w:val="36"/>
          <w:lang w:val="en-US" w:eastAsia="zh-CN"/>
        </w:rPr>
        <w:t xml:space="preserve"> </w:t>
      </w:r>
      <w:r>
        <w:rPr>
          <w:rFonts w:hint="eastAsia" w:ascii="Arial Unicode MS" w:eastAsia="Arial Unicode MS" w:cs="Arial Unicode MS"/>
          <w:color w:val="auto"/>
          <w:spacing w:val="2"/>
          <w:w w:val="99"/>
          <w:sz w:val="36"/>
          <w:szCs w:val="36"/>
          <w:lang w:eastAsia="zh-CN"/>
        </w:rPr>
        <w:t>安全审核：</w:t>
      </w:r>
      <w:r>
        <w:rPr>
          <w:rFonts w:hint="eastAsia" w:ascii="Arial Unicode MS" w:eastAsia="Arial Unicode MS" w:cs="Arial Unicode MS"/>
          <w:color w:val="auto"/>
          <w:spacing w:val="2"/>
          <w:w w:val="99"/>
          <w:sz w:val="36"/>
          <w:szCs w:val="36"/>
          <w:u w:val="single"/>
          <w:lang w:eastAsia="zh-CN"/>
        </w:rPr>
        <w:t xml:space="preserve">            </w:t>
      </w:r>
    </w:p>
    <w:p>
      <w:pPr>
        <w:keepNext w:val="0"/>
        <w:keepLines w:val="0"/>
        <w:pageBreakBefore w:val="0"/>
        <w:kinsoku/>
        <w:wordWrap/>
        <w:overflowPunct/>
        <w:topLinePunct w:val="0"/>
        <w:autoSpaceDE w:val="0"/>
        <w:autoSpaceDN w:val="0"/>
        <w:bidi w:val="0"/>
        <w:snapToGrid w:val="0"/>
        <w:spacing w:before="120" w:after="120" w:line="360" w:lineRule="auto"/>
        <w:ind w:right="-20"/>
        <w:textAlignment w:val="auto"/>
        <w:rPr>
          <w:rFonts w:hint="eastAsia" w:ascii="Arial Unicode MS" w:eastAsia="Arial Unicode MS" w:cs="Arial Unicode MS"/>
          <w:color w:val="auto"/>
          <w:spacing w:val="2"/>
          <w:w w:val="99"/>
          <w:sz w:val="36"/>
          <w:szCs w:val="36"/>
          <w:lang w:eastAsia="zh-CN"/>
        </w:rPr>
      </w:pPr>
      <w:r>
        <w:rPr>
          <w:rFonts w:hint="eastAsia" w:ascii="Arial Unicode MS" w:eastAsia="Arial Unicode MS" w:cs="Arial Unicode MS"/>
          <w:color w:val="auto"/>
          <w:spacing w:val="2"/>
          <w:w w:val="99"/>
          <w:sz w:val="36"/>
          <w:szCs w:val="36"/>
          <w:lang w:eastAsia="zh-CN"/>
        </w:rPr>
        <w:t xml:space="preserve">           </w:t>
      </w:r>
      <w:r>
        <w:rPr>
          <w:rFonts w:hint="eastAsia" w:ascii="Arial Unicode MS" w:eastAsia="Arial Unicode MS" w:cs="Arial Unicode MS"/>
          <w:color w:val="auto"/>
          <w:spacing w:val="2"/>
          <w:w w:val="99"/>
          <w:sz w:val="36"/>
          <w:szCs w:val="36"/>
          <w:lang w:val="en-US" w:eastAsia="zh-CN"/>
        </w:rPr>
        <w:t xml:space="preserve">  </w:t>
      </w:r>
      <w:r>
        <w:rPr>
          <w:rFonts w:hint="eastAsia" w:ascii="Arial Unicode MS" w:eastAsia="Arial Unicode MS" w:cs="Arial Unicode MS"/>
          <w:color w:val="auto"/>
          <w:spacing w:val="2"/>
          <w:w w:val="99"/>
          <w:sz w:val="36"/>
          <w:szCs w:val="36"/>
          <w:lang w:eastAsia="zh-CN"/>
        </w:rPr>
        <w:t>批准：</w:t>
      </w:r>
      <w:r>
        <w:rPr>
          <w:rFonts w:hint="eastAsia" w:ascii="Arial Unicode MS" w:eastAsia="Arial Unicode MS" w:cs="Arial Unicode MS"/>
          <w:color w:val="auto"/>
          <w:spacing w:val="2"/>
          <w:w w:val="99"/>
          <w:sz w:val="36"/>
          <w:szCs w:val="36"/>
          <w:u w:val="single"/>
          <w:lang w:eastAsia="zh-CN"/>
        </w:rPr>
        <w:t xml:space="preserve">                </w:t>
      </w:r>
      <w:r>
        <w:rPr>
          <w:rFonts w:hint="eastAsia" w:ascii="Arial Unicode MS" w:eastAsia="Arial Unicode MS" w:cs="Arial Unicode MS"/>
          <w:color w:val="auto"/>
          <w:spacing w:val="2"/>
          <w:w w:val="99"/>
          <w:sz w:val="36"/>
          <w:szCs w:val="36"/>
          <w:lang w:eastAsia="zh-CN"/>
        </w:rPr>
        <w:t xml:space="preserve"> </w:t>
      </w:r>
    </w:p>
    <w:p>
      <w:pPr>
        <w:widowControl w:val="0"/>
        <w:spacing w:line="479" w:lineRule="exact"/>
        <w:jc w:val="both"/>
        <w:outlineLvl w:val="1"/>
        <w:rPr>
          <w:rFonts w:ascii="Microsoft YaHei UI" w:hAnsi="Microsoft YaHei UI" w:eastAsia="Microsoft YaHei UI" w:cs="Times New Roman"/>
          <w:color w:val="auto"/>
          <w:spacing w:val="2"/>
          <w:kern w:val="2"/>
          <w:sz w:val="24"/>
          <w:szCs w:val="24"/>
          <w:lang w:val="en-US" w:eastAsia="zh-CN" w:bidi="ar-SA"/>
        </w:rPr>
      </w:pPr>
      <w:bookmarkStart w:id="6" w:name="_Toc13249324"/>
      <w:bookmarkStart w:id="7" w:name="_Toc13248927"/>
    </w:p>
    <w:p>
      <w:pPr>
        <w:widowControl w:val="0"/>
        <w:spacing w:line="479" w:lineRule="exact"/>
        <w:jc w:val="both"/>
        <w:outlineLvl w:val="1"/>
        <w:rPr>
          <w:rFonts w:ascii="Microsoft YaHei UI" w:hAnsi="Microsoft YaHei UI" w:eastAsia="Microsoft YaHei UI" w:cs="Times New Roman"/>
          <w:color w:val="auto"/>
          <w:spacing w:val="2"/>
          <w:kern w:val="2"/>
          <w:sz w:val="24"/>
          <w:szCs w:val="24"/>
          <w:lang w:val="en-US" w:eastAsia="zh-CN" w:bidi="ar-SA"/>
        </w:rPr>
      </w:pPr>
    </w:p>
    <w:p>
      <w:pPr>
        <w:spacing w:before="0" w:line="479" w:lineRule="exact"/>
        <w:outlineLvl w:val="1"/>
        <w:rPr>
          <w:rFonts w:hint="eastAsia" w:ascii="仿宋" w:hAnsi="仿宋" w:eastAsia="仿宋" w:cs="仿宋"/>
          <w:color w:val="auto"/>
          <w:kern w:val="0"/>
          <w:sz w:val="24"/>
          <w:szCs w:val="24"/>
          <w:lang w:eastAsia="zh-CN"/>
        </w:rPr>
      </w:pPr>
      <w:r>
        <w:rPr>
          <w:rFonts w:ascii="Microsoft YaHei UI" w:hAnsi="Microsoft YaHei UI" w:eastAsia="Microsoft YaHei UI" w:cs="Times New Roman"/>
          <w:color w:val="auto"/>
          <w:spacing w:val="2"/>
          <w:kern w:val="2"/>
          <w:sz w:val="24"/>
          <w:szCs w:val="24"/>
          <w:lang w:val="en-US" w:eastAsia="zh-CN" w:bidi="ar-SA"/>
        </w:rPr>
        <w:t>一、项目概况及总体要求</w:t>
      </w:r>
      <w:bookmarkEnd w:id="6"/>
      <w:bookmarkEnd w:id="7"/>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bookmarkStart w:id="8" w:name="_Toc13248928"/>
      <w:bookmarkStart w:id="9" w:name="_Toc13249325"/>
      <w:r>
        <w:rPr>
          <w:rFonts w:hint="eastAsia" w:ascii="仿宋" w:hAnsi="仿宋" w:eastAsia="仿宋" w:cs="仿宋"/>
          <w:color w:val="auto"/>
          <w:kern w:val="0"/>
          <w:sz w:val="24"/>
          <w:szCs w:val="24"/>
          <w:lang w:val="en-US" w:eastAsia="zh-CN" w:bidi="ar-SA"/>
        </w:rPr>
        <w:t>1.1项目概况：物流湛江公司现有的生产机具（汽车起重机、叉车、牵引车、大货车和值班车）车载监控长期处于高频运转状态，需要保障设备的平稳运行，消除生产安全隐患。由于现执行合同即将到期，为避免运维服务中断导致监控失效、产生安全风险，确保车载监控持续稳定运行，满足安全生产及监管要求，现申请物流公司湛江地区2026-2029年车辆车载监控维修服务专有协议。</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1.2 总体要求：乙方按照甲方要求提供车辆车载监控维修服务。</w:t>
      </w:r>
    </w:p>
    <w:p>
      <w:pPr>
        <w:spacing w:before="36" w:line="257" w:lineRule="auto"/>
        <w:ind w:right="115" w:rightChars="55" w:firstLineChars="200"/>
        <w:jc w:val="left"/>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szCs w:val="24"/>
          <w:lang w:val="en-US" w:eastAsia="zh-CN" w:bidi="ar-SA"/>
        </w:rPr>
        <w:t xml:space="preserve"> 本需求部分引用：GBT 19056-2021  汽车行驶记录仪；</w:t>
      </w:r>
      <w:r>
        <w:rPr>
          <w:rFonts w:hint="eastAsia" w:ascii="仿宋" w:hAnsi="仿宋" w:eastAsia="仿宋" w:cs="仿宋"/>
          <w:b w:val="0"/>
          <w:bCs w:val="0"/>
          <w:color w:val="auto"/>
          <w:kern w:val="0"/>
          <w:sz w:val="24"/>
          <w:szCs w:val="24"/>
          <w:lang w:val="en-US" w:eastAsia="zh-CN" w:bidi="ar-SA"/>
        </w:rPr>
        <w:t>中华人民共和国产品质量法。</w:t>
      </w:r>
    </w:p>
    <w:p>
      <w:pPr>
        <w:widowControl w:val="0"/>
        <w:spacing w:line="479" w:lineRule="exact"/>
        <w:jc w:val="both"/>
        <w:outlineLvl w:val="1"/>
        <w:rPr>
          <w:rFonts w:ascii="Microsoft YaHei UI" w:hAnsi="Microsoft YaHei UI" w:eastAsia="Microsoft YaHei UI" w:cs="Times New Roman"/>
          <w:color w:val="auto"/>
          <w:spacing w:val="2"/>
          <w:kern w:val="2"/>
          <w:sz w:val="24"/>
          <w:szCs w:val="24"/>
          <w:lang w:val="en-US" w:eastAsia="zh-CN" w:bidi="ar-SA"/>
        </w:rPr>
      </w:pPr>
      <w:r>
        <w:rPr>
          <w:rFonts w:ascii="Microsoft YaHei UI" w:hAnsi="Microsoft YaHei UI" w:eastAsia="Microsoft YaHei UI" w:cs="Times New Roman"/>
          <w:color w:val="auto"/>
          <w:spacing w:val="2"/>
          <w:kern w:val="2"/>
          <w:sz w:val="24"/>
          <w:szCs w:val="24"/>
          <w:lang w:val="en-US" w:eastAsia="zh-CN" w:bidi="ar-SA"/>
        </w:rPr>
        <w:t>二、</w:t>
      </w:r>
      <w:r>
        <w:rPr>
          <w:rFonts w:hint="eastAsia" w:ascii="Microsoft YaHei UI" w:hAnsi="Microsoft YaHei UI" w:eastAsia="Microsoft YaHei UI" w:cs="Times New Roman"/>
          <w:color w:val="auto"/>
          <w:spacing w:val="2"/>
          <w:kern w:val="2"/>
          <w:sz w:val="24"/>
          <w:szCs w:val="24"/>
          <w:lang w:val="en-US" w:eastAsia="zh-CN" w:bidi="ar-SA"/>
        </w:rPr>
        <w:t>服务</w:t>
      </w:r>
      <w:r>
        <w:rPr>
          <w:rFonts w:ascii="Microsoft YaHei UI" w:hAnsi="Microsoft YaHei UI" w:eastAsia="Microsoft YaHei UI" w:cs="Times New Roman"/>
          <w:color w:val="auto"/>
          <w:spacing w:val="2"/>
          <w:kern w:val="2"/>
          <w:sz w:val="24"/>
          <w:szCs w:val="24"/>
          <w:lang w:val="en-US" w:eastAsia="zh-CN" w:bidi="ar-SA"/>
        </w:rPr>
        <w:t>内容和范围</w:t>
      </w:r>
      <w:bookmarkEnd w:id="8"/>
      <w:bookmarkEnd w:id="9"/>
    </w:p>
    <w:p>
      <w:pPr>
        <w:widowControl w:val="0"/>
        <w:spacing w:before="36" w:line="257" w:lineRule="auto"/>
        <w:ind w:right="115" w:rightChars="55" w:firstLine="480" w:firstLineChars="200"/>
        <w:jc w:val="left"/>
        <w:rPr>
          <w:rFonts w:hint="default"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2.1 服务内容：乙方接到甲方生产指令后（服务委托单、邮件或电话），按照甲方要求提供车辆车载监控维修维修服务。乙方需要对甲方指定车辆车载监控进行故障检测</w:t>
      </w:r>
      <w:bookmarkStart w:id="11" w:name="_GoBack"/>
      <w:bookmarkEnd w:id="11"/>
      <w:r>
        <w:rPr>
          <w:rFonts w:hint="eastAsia" w:ascii="仿宋" w:hAnsi="仿宋" w:eastAsia="仿宋" w:cs="仿宋"/>
          <w:color w:val="auto"/>
          <w:kern w:val="0"/>
          <w:sz w:val="24"/>
          <w:szCs w:val="24"/>
          <w:lang w:val="en-US" w:eastAsia="zh-CN" w:bidi="ar-SA"/>
        </w:rPr>
        <w:t>、明确维修所需更换配件、甲方同意乙方维修后乙方才可进行维修，乙方不能在甲方不知情的情况下进行维修或更换配件。</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2.1.2 服务车辆包含但不限于汽车起重机、牵引车、大货车、皮卡车和厢式小货车等车载监控的车辆。</w:t>
      </w:r>
    </w:p>
    <w:p>
      <w:pPr>
        <w:widowControl w:val="0"/>
        <w:spacing w:before="36" w:line="257" w:lineRule="auto"/>
        <w:ind w:right="115" w:rightChars="55" w:firstLine="48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4"/>
          <w:szCs w:val="24"/>
          <w:lang w:val="en-US" w:eastAsia="zh-CN" w:bidi="ar-SA"/>
        </w:rPr>
        <w:t>2.2</w:t>
      </w:r>
      <w:r>
        <w:rPr>
          <w:rFonts w:hint="eastAsia" w:ascii="仿宋" w:hAnsi="仿宋" w:eastAsia="仿宋" w:cs="仿宋"/>
          <w:color w:val="auto"/>
          <w:kern w:val="0"/>
          <w:sz w:val="21"/>
          <w:szCs w:val="21"/>
          <w:lang w:val="en-US" w:eastAsia="zh-CN" w:bidi="ar-SA"/>
        </w:rPr>
        <w:t xml:space="preserve"> </w:t>
      </w:r>
      <w:r>
        <w:rPr>
          <w:rFonts w:hint="eastAsia" w:ascii="仿宋" w:hAnsi="仿宋" w:eastAsia="仿宋" w:cs="仿宋"/>
          <w:color w:val="auto"/>
          <w:kern w:val="0"/>
          <w:sz w:val="24"/>
          <w:szCs w:val="24"/>
          <w:lang w:val="en-US" w:eastAsia="zh-CN" w:bidi="ar-SA"/>
        </w:rPr>
        <w:t>工作量清单</w:t>
      </w:r>
      <w:r>
        <w:rPr>
          <w:rFonts w:hint="eastAsia" w:ascii="仿宋" w:hAnsi="仿宋" w:eastAsia="仿宋" w:cs="仿宋"/>
          <w:color w:val="auto"/>
          <w:kern w:val="0"/>
          <w:sz w:val="21"/>
          <w:szCs w:val="21"/>
          <w:lang w:val="en-US" w:eastAsia="zh-CN" w:bidi="ar-SA"/>
        </w:rPr>
        <w:t>:</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1545"/>
        <w:gridCol w:w="2910"/>
        <w:gridCol w:w="825"/>
        <w:gridCol w:w="60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序号</w:t>
            </w:r>
          </w:p>
        </w:tc>
        <w:tc>
          <w:tcPr>
            <w:tcW w:w="1545"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物资/服务名称</w:t>
            </w:r>
          </w:p>
        </w:tc>
        <w:tc>
          <w:tcPr>
            <w:tcW w:w="291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型号/服务要求</w:t>
            </w:r>
          </w:p>
        </w:tc>
        <w:tc>
          <w:tcPr>
            <w:tcW w:w="825"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计量单位</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数量</w:t>
            </w:r>
          </w:p>
        </w:tc>
        <w:tc>
          <w:tcPr>
            <w:tcW w:w="1050" w:type="dxa"/>
          </w:tcPr>
          <w:p>
            <w:pPr>
              <w:widowControl w:val="0"/>
              <w:spacing w:before="36" w:line="257" w:lineRule="auto"/>
              <w:ind w:right="115" w:rightChars="55"/>
              <w:jc w:val="left"/>
              <w:rPr>
                <w:rFonts w:hint="default"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8" w:type="dxa"/>
            <w:gridSpan w:val="6"/>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一、 车辆车载监控维护服务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1</w:t>
            </w:r>
          </w:p>
        </w:tc>
        <w:tc>
          <w:tcPr>
            <w:tcW w:w="1545"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车辆车载监控</w:t>
            </w:r>
          </w:p>
        </w:tc>
        <w:tc>
          <w:tcPr>
            <w:tcW w:w="291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故障检测排除及调试</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台</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74</w:t>
            </w:r>
          </w:p>
        </w:tc>
        <w:tc>
          <w:tcPr>
            <w:tcW w:w="1050" w:type="dxa"/>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78" w:type="dxa"/>
            <w:gridSpan w:val="6"/>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二、车辆车载监控更换配件服务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1</w:t>
            </w:r>
          </w:p>
        </w:tc>
        <w:tc>
          <w:tcPr>
            <w:tcW w:w="154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车载gps8路监控录像机</w:t>
            </w:r>
          </w:p>
        </w:tc>
        <w:tc>
          <w:tcPr>
            <w:tcW w:w="291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压缩格式：H.265</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视频输出：1路复合视频输出+可选VGA</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视频输入：8路1080N</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录像分辨率：1080p、720p、D1、HD1、CIF</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录像方式：默认自动录像，支持点火录像、手动录像、录像报警等</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硬盘：2.5寸最大2T</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可否升级：是</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支持GPS：是</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存储方式：专有裸盘存储方式</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USB：前置USB接口，可升级系统，可备份数据，可外接鼠标</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录像回放：支持</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电源：DC8~36V</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台</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44</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2</w:t>
            </w:r>
          </w:p>
        </w:tc>
        <w:tc>
          <w:tcPr>
            <w:tcW w:w="154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车载gps4路监控录像机</w:t>
            </w:r>
          </w:p>
        </w:tc>
        <w:tc>
          <w:tcPr>
            <w:tcW w:w="291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压缩格式：H.265</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视频输出：1路复合视频输出+可选VGA</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视频输入：4路1080p、4路720p</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录像分辨率：1080p、720p、D1、HD1、CIF</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录像方式：默认自动录像，支持点火录像、手动录像、录像报警等</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硬盘：2.5寸最大2T</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可否升级：是</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支持GPS：是</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存储方式：专有裸盘存储方式</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USB：前置USB接口，可升级系统，可备份数据，可外接鼠标</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录像回放：支持</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电源：DC8~36V</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台</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56</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3</w:t>
            </w:r>
          </w:p>
        </w:tc>
        <w:tc>
          <w:tcPr>
            <w:tcW w:w="154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7寸U型显示器</w:t>
            </w:r>
          </w:p>
        </w:tc>
        <w:tc>
          <w:tcPr>
            <w:tcW w:w="291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尺寸：7寸</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分辨率：1024*600</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电压：8V~36V</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功率：12W</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对比度：350：1</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亮度：350DC/M2</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可是角度：45°/175°</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安装方式：支架/枕框</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台</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58</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w:t>
            </w:r>
          </w:p>
        </w:tc>
        <w:tc>
          <w:tcPr>
            <w:tcW w:w="154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车外防水摄像机</w:t>
            </w:r>
          </w:p>
        </w:tc>
        <w:tc>
          <w:tcPr>
            <w:tcW w:w="291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安装位置：车外</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色彩：LED夜视</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夜视有效距离：8-10米</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电压：12V</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分辨率：720P/960P/1080P</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接口：航空头/AV可选</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台</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45</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5</w:t>
            </w:r>
          </w:p>
        </w:tc>
        <w:tc>
          <w:tcPr>
            <w:tcW w:w="154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半球车内摄像机</w:t>
            </w:r>
          </w:p>
        </w:tc>
        <w:tc>
          <w:tcPr>
            <w:tcW w:w="291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安装位置：车内</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镜头：2.8/3.6/6mm</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防护等级：IP67</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LED灯：24颗</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电源：12V2A</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接口：航空接口/AV</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像素：200万</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分辨率：1080P</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是否防水：否</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台</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61</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6</w:t>
            </w:r>
          </w:p>
        </w:tc>
        <w:tc>
          <w:tcPr>
            <w:tcW w:w="154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半球车内摄像机</w:t>
            </w:r>
          </w:p>
        </w:tc>
        <w:tc>
          <w:tcPr>
            <w:tcW w:w="291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安装位置：车内</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镜头：2.8/3.6/6mm</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防护等级：IP67</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LED灯：24颗</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电源：12V2A</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接口：航空接口/AV</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像素：100万</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分辨率：D1</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是否防水：否</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台</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45</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7</w:t>
            </w:r>
          </w:p>
        </w:tc>
        <w:tc>
          <w:tcPr>
            <w:tcW w:w="154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飞碟型摄像机</w:t>
            </w:r>
          </w:p>
        </w:tc>
        <w:tc>
          <w:tcPr>
            <w:tcW w:w="291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安装位置：车内</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镜头：2.8/3.6/6mm</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防护等级：IP67</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LED灯：24颗</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电源：12V2A</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接口：航空接口/AV</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像素：200万</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分辨率：1080P</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是否防水：否</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台</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48</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8</w:t>
            </w:r>
          </w:p>
        </w:tc>
        <w:tc>
          <w:tcPr>
            <w:tcW w:w="154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车外圆筒型摄像机</w:t>
            </w:r>
          </w:p>
        </w:tc>
        <w:tc>
          <w:tcPr>
            <w:tcW w:w="291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安装位置：车外</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镜头：2.8/3.6/6mm</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防护等级：IP67</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LED灯：24颗</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电源：12V2A</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接口：航空接口/AV</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像素：200万</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分辨率：1080P</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是否防水：否</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条</w:t>
            </w:r>
          </w:p>
        </w:tc>
        <w:tc>
          <w:tcPr>
            <w:tcW w:w="600" w:type="dxa"/>
            <w:vAlign w:val="center"/>
          </w:tcPr>
          <w:p>
            <w:pPr>
              <w:widowControl w:val="0"/>
              <w:spacing w:before="36" w:line="257" w:lineRule="auto"/>
              <w:ind w:right="115" w:rightChars="55"/>
              <w:jc w:val="both"/>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47</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9</w:t>
            </w:r>
          </w:p>
        </w:tc>
        <w:tc>
          <w:tcPr>
            <w:tcW w:w="154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车载监控延长线</w:t>
            </w:r>
          </w:p>
        </w:tc>
        <w:tc>
          <w:tcPr>
            <w:tcW w:w="291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20米，航空接头</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条</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50</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10</w:t>
            </w:r>
          </w:p>
        </w:tc>
        <w:tc>
          <w:tcPr>
            <w:tcW w:w="154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车载监控延长线</w:t>
            </w:r>
          </w:p>
        </w:tc>
        <w:tc>
          <w:tcPr>
            <w:tcW w:w="291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15米，航空接头</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条</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45</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11</w:t>
            </w:r>
          </w:p>
        </w:tc>
        <w:tc>
          <w:tcPr>
            <w:tcW w:w="154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车载监控延长线</w:t>
            </w:r>
          </w:p>
        </w:tc>
        <w:tc>
          <w:tcPr>
            <w:tcW w:w="291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10米，航空接头</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条</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44</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12</w:t>
            </w:r>
          </w:p>
        </w:tc>
        <w:tc>
          <w:tcPr>
            <w:tcW w:w="154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车载监控延长线</w:t>
            </w:r>
          </w:p>
        </w:tc>
        <w:tc>
          <w:tcPr>
            <w:tcW w:w="291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5米，航空接头</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条</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45</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13</w:t>
            </w:r>
          </w:p>
        </w:tc>
        <w:tc>
          <w:tcPr>
            <w:tcW w:w="154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车载监控延长线</w:t>
            </w:r>
          </w:p>
        </w:tc>
        <w:tc>
          <w:tcPr>
            <w:tcW w:w="291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3米，航空接头</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台</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44</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14</w:t>
            </w:r>
          </w:p>
        </w:tc>
        <w:tc>
          <w:tcPr>
            <w:tcW w:w="1545"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10寸车载监视器</w:t>
            </w:r>
          </w:p>
        </w:tc>
        <w:tc>
          <w:tcPr>
            <w:tcW w:w="291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尺寸：10寸</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分辨率：1024*600</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电压：8~36V</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功率：7W</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对比度：350：1</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亮度：300CD/M2</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可视角度：45°/175°</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台</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48</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15</w:t>
            </w:r>
          </w:p>
        </w:tc>
        <w:tc>
          <w:tcPr>
            <w:tcW w:w="1545"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车内金属半球摄像机</w:t>
            </w:r>
          </w:p>
        </w:tc>
        <w:tc>
          <w:tcPr>
            <w:tcW w:w="291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安装位置：车内</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镜头：2.8/3.6/6mm</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防护等级：IP67</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LED灯：24颗</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电源：12V2A</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接口：航空接口/AV</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像素：200万</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分辨率：1080P</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是否防水：否</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个</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46</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16</w:t>
            </w:r>
          </w:p>
        </w:tc>
        <w:tc>
          <w:tcPr>
            <w:tcW w:w="1545"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电源转换器</w:t>
            </w:r>
          </w:p>
        </w:tc>
        <w:tc>
          <w:tcPr>
            <w:tcW w:w="291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DC24转换DC12V3A</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根</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44</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17</w:t>
            </w:r>
          </w:p>
        </w:tc>
        <w:tc>
          <w:tcPr>
            <w:tcW w:w="1545"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电源DC母头</w:t>
            </w:r>
          </w:p>
        </w:tc>
        <w:tc>
          <w:tcPr>
            <w:tcW w:w="291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根</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48</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18</w:t>
            </w:r>
          </w:p>
        </w:tc>
        <w:tc>
          <w:tcPr>
            <w:tcW w:w="1545"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电源DC公头</w:t>
            </w:r>
          </w:p>
        </w:tc>
        <w:tc>
          <w:tcPr>
            <w:tcW w:w="291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个</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45</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19</w:t>
            </w:r>
          </w:p>
        </w:tc>
        <w:tc>
          <w:tcPr>
            <w:tcW w:w="1545"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车外吊臂支架</w:t>
            </w:r>
          </w:p>
        </w:tc>
        <w:tc>
          <w:tcPr>
            <w:tcW w:w="291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定制</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米</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45</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20</w:t>
            </w:r>
          </w:p>
        </w:tc>
        <w:tc>
          <w:tcPr>
            <w:tcW w:w="1545"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车外金属线槽</w:t>
            </w:r>
          </w:p>
        </w:tc>
        <w:tc>
          <w:tcPr>
            <w:tcW w:w="291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#24</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对</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44</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21</w:t>
            </w:r>
          </w:p>
        </w:tc>
        <w:tc>
          <w:tcPr>
            <w:tcW w:w="1545"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同轴无线网桥</w:t>
            </w:r>
          </w:p>
        </w:tc>
        <w:tc>
          <w:tcPr>
            <w:tcW w:w="291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视频信号制式：CVBS/AHD/CVI/TVI/SDI</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视频输入阻抗：75Ω</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电源：DC12V</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内置天线：16dbi</w:t>
            </w:r>
            <w:r>
              <w:rPr>
                <w:rFonts w:hint="eastAsia" w:ascii="仿宋" w:hAnsi="仿宋" w:eastAsia="仿宋" w:cs="仿宋"/>
                <w:color w:val="auto"/>
                <w:kern w:val="0"/>
                <w:sz w:val="21"/>
                <w:szCs w:val="21"/>
                <w:lang w:val="en-US" w:eastAsia="zh-CN" w:bidi="ar-SA"/>
              </w:rPr>
              <w:br w:type="textWrapping"/>
            </w:r>
            <w:r>
              <w:rPr>
                <w:rFonts w:hint="eastAsia" w:ascii="仿宋" w:hAnsi="仿宋" w:eastAsia="仿宋" w:cs="仿宋"/>
                <w:color w:val="auto"/>
                <w:kern w:val="0"/>
                <w:sz w:val="21"/>
                <w:szCs w:val="21"/>
                <w:lang w:val="en-US" w:eastAsia="zh-CN" w:bidi="ar-SA"/>
              </w:rPr>
              <w:t>使用温度：-20-60℃</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个</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45</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22</w:t>
            </w:r>
          </w:p>
        </w:tc>
        <w:tc>
          <w:tcPr>
            <w:tcW w:w="1545"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航空接头</w:t>
            </w:r>
          </w:p>
        </w:tc>
        <w:tc>
          <w:tcPr>
            <w:tcW w:w="291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m8公头</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个</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47</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23</w:t>
            </w:r>
          </w:p>
        </w:tc>
        <w:tc>
          <w:tcPr>
            <w:tcW w:w="1545"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航空接头</w:t>
            </w:r>
          </w:p>
        </w:tc>
        <w:tc>
          <w:tcPr>
            <w:tcW w:w="291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m8母头</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根</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47</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24</w:t>
            </w:r>
          </w:p>
        </w:tc>
        <w:tc>
          <w:tcPr>
            <w:tcW w:w="1545"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电源线</w:t>
            </w:r>
          </w:p>
        </w:tc>
        <w:tc>
          <w:tcPr>
            <w:tcW w:w="291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rvv2*0.5</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米</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44</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25</w:t>
            </w:r>
          </w:p>
        </w:tc>
        <w:tc>
          <w:tcPr>
            <w:tcW w:w="1545"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电源线</w:t>
            </w:r>
          </w:p>
        </w:tc>
        <w:tc>
          <w:tcPr>
            <w:tcW w:w="291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rvv2*1.0</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米</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55</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26</w:t>
            </w:r>
          </w:p>
        </w:tc>
        <w:tc>
          <w:tcPr>
            <w:tcW w:w="1545"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同轴线</w:t>
            </w:r>
          </w:p>
        </w:tc>
        <w:tc>
          <w:tcPr>
            <w:tcW w:w="291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SYV75-3</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米</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44</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27</w:t>
            </w:r>
          </w:p>
        </w:tc>
        <w:tc>
          <w:tcPr>
            <w:tcW w:w="1545"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同轴线带电缆</w:t>
            </w:r>
          </w:p>
        </w:tc>
        <w:tc>
          <w:tcPr>
            <w:tcW w:w="291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SYV75-3 + 2*0.75</w:t>
            </w:r>
          </w:p>
        </w:tc>
        <w:tc>
          <w:tcPr>
            <w:tcW w:w="825"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米</w:t>
            </w:r>
          </w:p>
        </w:tc>
        <w:tc>
          <w:tcPr>
            <w:tcW w:w="600" w:type="dxa"/>
            <w:vAlign w:val="center"/>
          </w:tcPr>
          <w:p>
            <w:pPr>
              <w:widowControl w:val="0"/>
              <w:spacing w:before="36" w:line="257" w:lineRule="auto"/>
              <w:ind w:right="115" w:rightChars="55"/>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49</w:t>
            </w:r>
          </w:p>
        </w:tc>
        <w:tc>
          <w:tcPr>
            <w:tcW w:w="1050" w:type="dxa"/>
            <w:vAlign w:val="center"/>
          </w:tcPr>
          <w:p>
            <w:pPr>
              <w:widowControl w:val="0"/>
              <w:spacing w:before="36" w:line="257" w:lineRule="auto"/>
              <w:ind w:right="115" w:rightChars="55" w:firstLine="420" w:firstLineChars="200"/>
              <w:jc w:val="left"/>
              <w:rPr>
                <w:rFonts w:hint="eastAsia" w:ascii="仿宋" w:hAnsi="仿宋" w:eastAsia="仿宋" w:cs="仿宋"/>
                <w:color w:val="auto"/>
                <w:kern w:val="0"/>
                <w:sz w:val="21"/>
                <w:szCs w:val="21"/>
                <w:lang w:val="en-US" w:eastAsia="zh-CN" w:bidi="ar-SA"/>
              </w:rPr>
            </w:pPr>
            <w:r>
              <w:rPr>
                <w:rFonts w:hint="eastAsia" w:ascii="仿宋" w:hAnsi="仿宋" w:eastAsia="仿宋" w:cs="仿宋"/>
                <w:color w:val="auto"/>
                <w:kern w:val="0"/>
                <w:sz w:val="21"/>
                <w:szCs w:val="21"/>
                <w:lang w:val="en-US" w:eastAsia="zh-CN" w:bidi="ar-SA"/>
              </w:rPr>
              <w:t>是</w:t>
            </w:r>
          </w:p>
        </w:tc>
      </w:tr>
    </w:tbl>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2.3 服务地点：南油基地和乌石基地</w:t>
      </w:r>
      <w:r>
        <w:rPr>
          <w:rFonts w:hint="eastAsia" w:ascii="仿宋" w:hAnsi="仿宋" w:eastAsia="仿宋" w:cs="仿宋"/>
          <w:color w:val="auto"/>
          <w:kern w:val="0"/>
          <w:sz w:val="24"/>
          <w:lang w:eastAsia="zh-CN"/>
        </w:rPr>
        <w:t>。</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2.4 服务期限：合同有效期自签订之日起 3 年，采用 1+1+1 模式，合同执行一年期后，若双方对合同条款及合同价格均无异议，继续沿用 1 年；若无法达成一致，则合同自动终止。第 3 年同第 2年的操作方式。协议期满后，如有未执行完毕的订单，该订单应履行完毕。若乙方决定在首个服务年度或第二个服务年度届满后不再续签下一个服务年度，必须至少提前6个月以书面形式正式通知甲方。如乙方未提前通知甲方，导致甲方新合同无法顺利续接，则乙方需继续提供服务至甲方新合同能正常使用为止。</w:t>
      </w:r>
    </w:p>
    <w:p>
      <w:pPr>
        <w:widowControl w:val="0"/>
        <w:spacing w:line="479" w:lineRule="exact"/>
        <w:jc w:val="both"/>
        <w:outlineLvl w:val="1"/>
        <w:rPr>
          <w:rFonts w:hint="eastAsia" w:ascii="Microsoft YaHei UI" w:hAnsi="Microsoft YaHei UI" w:eastAsia="Microsoft YaHei UI" w:cs="Times New Roman"/>
          <w:color w:val="auto"/>
          <w:spacing w:val="2"/>
          <w:kern w:val="2"/>
          <w:sz w:val="24"/>
          <w:szCs w:val="24"/>
          <w:lang w:val="en-US" w:eastAsia="zh-CN" w:bidi="ar-SA"/>
        </w:rPr>
      </w:pPr>
      <w:r>
        <w:rPr>
          <w:rFonts w:hint="eastAsia" w:ascii="Microsoft YaHei UI" w:hAnsi="Microsoft YaHei UI" w:eastAsia="Microsoft YaHei UI" w:cs="Times New Roman"/>
          <w:color w:val="auto"/>
          <w:spacing w:val="2"/>
          <w:kern w:val="2"/>
          <w:sz w:val="24"/>
          <w:szCs w:val="24"/>
          <w:lang w:val="en-US" w:eastAsia="zh-CN" w:bidi="ar-SA"/>
        </w:rPr>
        <w:t>三、执行标准/规范</w:t>
      </w:r>
    </w:p>
    <w:p>
      <w:pPr>
        <w:pStyle w:val="11"/>
        <w:spacing w:line="360" w:lineRule="auto"/>
        <w:ind w:firstLine="480" w:firstLineChars="200"/>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3.1 GBT 19056-2021  汽车行驶记录仪</w:t>
      </w:r>
    </w:p>
    <w:p>
      <w:pPr>
        <w:pStyle w:val="3"/>
        <w:keepNext w:val="0"/>
        <w:keepLines w:val="0"/>
        <w:widowControl/>
        <w:suppressLineNumbers w:val="0"/>
        <w:spacing w:before="0" w:beforeAutospacing="0" w:after="0" w:afterAutospacing="0" w:line="360" w:lineRule="auto"/>
        <w:ind w:left="0" w:right="0" w:firstLine="480" w:firstLineChars="200"/>
        <w:jc w:val="both"/>
        <w:rPr>
          <w:rFonts w:hint="eastAsia" w:ascii="仿宋" w:hAnsi="仿宋" w:eastAsia="仿宋" w:cs="仿宋"/>
          <w:color w:val="auto"/>
          <w:lang w:val="en-US" w:eastAsia="zh-CN"/>
        </w:rPr>
      </w:pPr>
      <w:r>
        <w:rPr>
          <w:rFonts w:hint="eastAsia" w:ascii="仿宋" w:hAnsi="仿宋" w:eastAsia="仿宋" w:cs="仿宋"/>
          <w:b w:val="0"/>
          <w:bCs w:val="0"/>
          <w:color w:val="auto"/>
          <w:kern w:val="0"/>
          <w:sz w:val="24"/>
          <w:szCs w:val="24"/>
          <w:lang w:val="en-US" w:eastAsia="zh-CN" w:bidi="ar-SA"/>
        </w:rPr>
        <w:t>3.2 中华人民共和国产品质量法</w:t>
      </w:r>
    </w:p>
    <w:p>
      <w:pPr>
        <w:widowControl w:val="0"/>
        <w:numPr>
          <w:ilvl w:val="0"/>
          <w:numId w:val="4"/>
        </w:numPr>
        <w:spacing w:line="479" w:lineRule="exact"/>
        <w:jc w:val="both"/>
        <w:outlineLvl w:val="1"/>
        <w:rPr>
          <w:rFonts w:hint="eastAsia" w:ascii="Microsoft YaHei UI" w:hAnsi="Microsoft YaHei UI" w:eastAsia="Microsoft YaHei UI" w:cs="Times New Roman"/>
          <w:color w:val="auto"/>
          <w:spacing w:val="2"/>
          <w:kern w:val="2"/>
          <w:sz w:val="24"/>
          <w:szCs w:val="24"/>
          <w:lang w:val="en-US" w:eastAsia="zh-CN" w:bidi="ar-SA"/>
        </w:rPr>
      </w:pPr>
      <w:r>
        <w:rPr>
          <w:rFonts w:hint="eastAsia" w:ascii="Microsoft YaHei UI" w:hAnsi="Microsoft YaHei UI" w:eastAsia="Microsoft YaHei UI" w:cs="Times New Roman"/>
          <w:color w:val="auto"/>
          <w:spacing w:val="2"/>
          <w:kern w:val="2"/>
          <w:sz w:val="24"/>
          <w:szCs w:val="24"/>
          <w:lang w:val="en-US" w:eastAsia="zh-CN" w:bidi="ar-SA"/>
        </w:rPr>
        <w:t>服务要求</w:t>
      </w:r>
    </w:p>
    <w:p>
      <w:pPr>
        <w:widowControl w:val="0"/>
        <w:spacing w:before="36" w:line="257" w:lineRule="auto"/>
        <w:ind w:right="115" w:rightChars="55" w:firstLine="481" w:firstLineChars="200"/>
        <w:jc w:val="left"/>
        <w:rPr>
          <w:rFonts w:hint="eastAsia"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4.1、服务具体要求：</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4.1.1 人员要求：</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需具备2年及以上车辆车载监控设备维修经验</w:t>
      </w:r>
      <w:r>
        <w:rPr>
          <w:rFonts w:hint="eastAsia" w:ascii="仿宋" w:hAnsi="仿宋" w:eastAsia="仿宋" w:cs="仿宋"/>
          <w:color w:val="auto"/>
          <w:kern w:val="0"/>
          <w:sz w:val="24"/>
          <w:lang w:eastAsia="zh-CN"/>
        </w:rPr>
        <w:t>的服务人员</w:t>
      </w:r>
      <w:r>
        <w:rPr>
          <w:rFonts w:hint="eastAsia" w:ascii="仿宋" w:hAnsi="仿宋" w:eastAsia="仿宋" w:cs="仿宋"/>
          <w:color w:val="auto"/>
          <w:kern w:val="0"/>
          <w:sz w:val="24"/>
          <w:szCs w:val="24"/>
          <w:lang w:val="en-US" w:eastAsia="zh-CN" w:bidi="ar-SA"/>
        </w:rPr>
        <w:t>，熟悉本技术要求书引用的相关标准，能够熟练处理各类车辆车载监控故障，</w:t>
      </w:r>
      <w:r>
        <w:rPr>
          <w:rFonts w:hint="eastAsia" w:ascii="仿宋" w:hAnsi="仿宋" w:eastAsia="仿宋" w:cs="仿宋"/>
          <w:color w:val="auto"/>
          <w:kern w:val="0"/>
          <w:sz w:val="24"/>
        </w:rPr>
        <w:t>包括但不限于</w:t>
      </w:r>
      <w:r>
        <w:rPr>
          <w:rFonts w:hint="eastAsia" w:ascii="仿宋" w:hAnsi="仿宋" w:eastAsia="仿宋" w:cs="仿宋"/>
          <w:color w:val="auto"/>
          <w:kern w:val="0"/>
          <w:sz w:val="24"/>
          <w:szCs w:val="24"/>
          <w:lang w:val="en-US" w:eastAsia="zh-CN" w:bidi="ar-SA"/>
        </w:rPr>
        <w:t>（如摄像头故障、主机故障、线路故障、数据传输故障等）。</w:t>
      </w:r>
    </w:p>
    <w:p>
      <w:pPr>
        <w:pStyle w:val="28"/>
        <w:widowControl/>
        <w:spacing w:before="0" w:beforeAutospacing="0" w:afterAutospacing="0" w:line="240" w:lineRule="auto"/>
        <w:ind w:right="0" w:rightChars="0"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4.1.2 配件要求：</w:t>
      </w:r>
    </w:p>
    <w:p>
      <w:pPr>
        <w:pStyle w:val="28"/>
        <w:widowControl/>
        <w:spacing w:before="0" w:beforeAutospacing="0" w:afterAutospacing="0" w:line="240" w:lineRule="auto"/>
        <w:ind w:right="0" w:rightChars="0" w:firstLine="480" w:firstLineChars="200"/>
        <w:jc w:val="left"/>
        <w:rPr>
          <w:rFonts w:hint="eastAsia" w:ascii="仿宋" w:hAnsi="仿宋" w:eastAsia="仿宋" w:cs="仿宋"/>
          <w:color w:val="auto"/>
          <w:lang w:val="en-US" w:eastAsia="zh-CN" w:bidi="ar-SA"/>
        </w:rPr>
      </w:pPr>
      <w:r>
        <w:rPr>
          <w:rFonts w:hint="eastAsia" w:ascii="仿宋" w:hAnsi="仿宋" w:eastAsia="仿宋" w:cs="仿宋"/>
          <w:color w:val="auto"/>
          <w:lang w:eastAsia="zh-CN" w:bidi="ar-SA"/>
        </w:rPr>
        <w:t>本次</w:t>
      </w:r>
      <w:r>
        <w:rPr>
          <w:rFonts w:hint="eastAsia" w:ascii="仿宋" w:hAnsi="仿宋" w:eastAsia="仿宋" w:cs="仿宋"/>
          <w:color w:val="auto"/>
          <w:lang w:bidi="ar-SA"/>
        </w:rPr>
        <w:t>维修服务为包工包料全服务，维修过程中所需更换的各类配件、耗材均由</w:t>
      </w:r>
      <w:r>
        <w:rPr>
          <w:rFonts w:hint="eastAsia" w:ascii="仿宋" w:hAnsi="仿宋" w:eastAsia="仿宋" w:cs="仿宋"/>
          <w:color w:val="auto"/>
          <w:lang w:eastAsia="zh-CN" w:bidi="ar-SA"/>
        </w:rPr>
        <w:t>乙</w:t>
      </w:r>
      <w:r>
        <w:rPr>
          <w:rFonts w:hint="eastAsia" w:ascii="仿宋" w:hAnsi="仿宋" w:eastAsia="仿宋" w:cs="仿宋"/>
          <w:color w:val="auto"/>
          <w:lang w:bidi="ar-SA"/>
        </w:rPr>
        <w:t>方提供</w:t>
      </w:r>
      <w:r>
        <w:rPr>
          <w:rFonts w:hint="eastAsia" w:ascii="仿宋" w:hAnsi="仿宋" w:eastAsia="仿宋" w:cs="仿宋"/>
          <w:color w:val="auto"/>
          <w:lang w:eastAsia="zh-CN" w:bidi="ar-SA"/>
        </w:rPr>
        <w:t>。</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4.2、 技术要求：</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4.2.1 维修后的车载监控设备需达到以下要求：摄像头成像清晰、无卡顿、无模糊；主机运行稳定，无死机、重启现象；数据传输正常，能够实时上传车辆行驶数据、监控画面至甲方监控平台。</w:t>
      </w:r>
    </w:p>
    <w:p>
      <w:pPr>
        <w:pStyle w:val="11"/>
        <w:keepNext w:val="0"/>
        <w:keepLines w:val="0"/>
        <w:widowControl/>
        <w:suppressLineNumbers w:val="0"/>
        <w:spacing w:before="0" w:beforeAutospacing="0" w:after="0" w:afterAutospacing="0" w:line="360" w:lineRule="auto"/>
        <w:ind w:left="0" w:right="0" w:firstLine="440" w:firstLineChars="200"/>
        <w:rPr>
          <w:rFonts w:hint="eastAsia" w:ascii="仿宋" w:hAnsi="仿宋" w:eastAsia="仿宋" w:cs="仿宋"/>
          <w:color w:val="auto"/>
          <w:kern w:val="0"/>
          <w:sz w:val="24"/>
          <w:szCs w:val="24"/>
          <w:lang w:val="en-US" w:eastAsia="zh-CN" w:bidi="ar-SA"/>
        </w:rPr>
      </w:pPr>
      <w:r>
        <w:rPr>
          <w:rFonts w:ascii="Arial" w:hAnsi="Arial" w:eastAsia="等线" w:cs="Arial"/>
          <w:sz w:val="22"/>
        </w:rPr>
        <w:t>★</w:t>
      </w:r>
      <w:r>
        <w:rPr>
          <w:rFonts w:hint="eastAsia" w:ascii="Arial" w:hAnsi="Arial" w:eastAsia="等线" w:cs="Arial"/>
          <w:sz w:val="22"/>
          <w:lang w:val="en-US" w:eastAsia="zh-CN"/>
        </w:rPr>
        <w:t xml:space="preserve">4.2.2 </w:t>
      </w:r>
      <w:r>
        <w:rPr>
          <w:rFonts w:hint="eastAsia" w:ascii="仿宋" w:hAnsi="仿宋" w:eastAsia="仿宋" w:cs="仿宋"/>
          <w:color w:val="auto"/>
          <w:kern w:val="0"/>
          <w:sz w:val="24"/>
          <w:lang w:val="en-US" w:eastAsia="zh-CN"/>
        </w:rPr>
        <w:t>部分引用</w:t>
      </w:r>
      <w:r>
        <w:rPr>
          <w:rFonts w:hint="eastAsia" w:ascii="仿宋" w:hAnsi="仿宋" w:eastAsia="仿宋" w:cs="仿宋"/>
          <w:color w:val="auto"/>
          <w:kern w:val="0"/>
          <w:sz w:val="24"/>
          <w:szCs w:val="24"/>
          <w:lang w:val="en-US" w:eastAsia="zh-CN" w:bidi="ar-SA"/>
        </w:rPr>
        <w:t xml:space="preserve">GBT 19056-2021  汽车行驶记录仪５.4.1.2.2 事故疑点记录 ，记录仪应具有事故疑点记录功能，事故疑点记录应符合以下要求： </w:t>
      </w:r>
    </w:p>
    <w:p>
      <w:pPr>
        <w:pStyle w:val="28"/>
        <w:keepNext w:val="0"/>
        <w:keepLines w:val="0"/>
        <w:widowControl/>
        <w:suppressLineNumbers w:val="0"/>
        <w:spacing w:before="0" w:beforeAutospacing="0" w:after="0" w:afterAutospacing="0"/>
        <w:ind w:left="0" w:right="0" w:firstLine="0"/>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 xml:space="preserve">ａ） 记录内容包括：行驶结束时间前２０ｓ的车辆行驶速度、开关量信号和行驶结束时的位置信息； </w:t>
      </w:r>
    </w:p>
    <w:p>
      <w:pPr>
        <w:pStyle w:val="28"/>
        <w:keepNext w:val="0"/>
        <w:keepLines w:val="0"/>
        <w:widowControl/>
        <w:suppressLineNumbers w:val="0"/>
        <w:spacing w:before="0" w:beforeAutospacing="0" w:after="0" w:afterAutospacing="0"/>
        <w:ind w:left="0" w:right="0" w:firstLine="0"/>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 xml:space="preserve">电源（包括备用电池）断开前２０ｓ内的车辆行驶速度、开关量信号及断电时的位置信息； </w:t>
      </w:r>
    </w:p>
    <w:p>
      <w:pPr>
        <w:pStyle w:val="28"/>
        <w:keepNext w:val="0"/>
        <w:keepLines w:val="0"/>
        <w:widowControl/>
        <w:suppressLineNumbers w:val="0"/>
        <w:spacing w:before="0" w:beforeAutospacing="0" w:after="0" w:afterAutospacing="0"/>
        <w:ind w:left="0" w:right="0" w:firstLine="0"/>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 xml:space="preserve">ｂ） 记录的时间间隔为０．１ｓ； </w:t>
      </w:r>
    </w:p>
    <w:p>
      <w:pPr>
        <w:pStyle w:val="28"/>
        <w:keepNext w:val="0"/>
        <w:keepLines w:val="0"/>
        <w:widowControl/>
        <w:suppressLineNumbers w:val="0"/>
        <w:spacing w:before="0" w:beforeAutospacing="0" w:after="0" w:afterAutospacing="0"/>
        <w:ind w:left="0" w:right="0" w:firstLine="0"/>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 xml:space="preserve">ｃ） 记录数量不少于最近１００条； </w:t>
      </w:r>
    </w:p>
    <w:p>
      <w:pPr>
        <w:pStyle w:val="28"/>
        <w:keepNext w:val="0"/>
        <w:keepLines w:val="0"/>
        <w:widowControl/>
        <w:suppressLineNumbers w:val="0"/>
        <w:spacing w:before="0" w:beforeAutospacing="0" w:after="0" w:afterAutospacing="0"/>
        <w:ind w:left="0" w:right="0" w:firstLine="0"/>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ｄ） 速度记录单位为千米每小时（ｋｍ／ｈ），测量范围至少为０ｋｍ／ｈ～２２０ｋｍ／ｈ，分辨率不大于 １ｋｍ／ｈ。</w:t>
      </w:r>
    </w:p>
    <w:p>
      <w:pPr>
        <w:widowControl w:val="0"/>
        <w:numPr>
          <w:numId w:val="0"/>
        </w:numPr>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4.3、现场管理要求：</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4.3.1 乙方维修人员需严格遵守甲方现场安全管理规定，进入甲方基地、作业现场需遵守甲方门禁管理、安全检查要求，主动出示相关证件，接受甲方现场管理人员的监督。</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4. 3.2 维修现场需设置安全警示标识，划分作业区域，采取有效的安全防护措施，防止人员伤亡、设备损坏及火灾等安全事故发生；维修过程中产生的废弃物（如废旧配件、电线、包装材料等）需分类收集、交给甲方，严禁随意丢弃，符合环保要求及甲方现场管理规定。</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4.3.3 维修作业需规范操作，严禁野蛮施工，避免对甲方车辆、设备造成二次损坏；维修结束后，需清理现场，保持作业区域整洁，无杂物、无油污。</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4.4、质量要求：</w:t>
      </w:r>
    </w:p>
    <w:p>
      <w:pPr>
        <w:keepNext w:val="0"/>
        <w:keepLines w:val="0"/>
        <w:widowControl w:val="0"/>
        <w:suppressLineNumbers w:val="0"/>
        <w:spacing w:before="36" w:beforeAutospacing="0" w:after="0" w:afterAutospacing="0" w:line="257" w:lineRule="auto"/>
        <w:ind w:left="0" w:right="115" w:rightChars="55" w:firstLine="480" w:firstLineChars="200"/>
        <w:jc w:val="left"/>
        <w:rPr>
          <w:rFonts w:hint="eastAsia" w:ascii="仿宋" w:hAnsi="仿宋" w:eastAsia="仿宋" w:cs="仿宋"/>
          <w:b w:val="0"/>
          <w:bCs w:val="0"/>
          <w:color w:val="auto"/>
          <w:kern w:val="0"/>
          <w:sz w:val="24"/>
          <w:szCs w:val="24"/>
          <w:lang w:val="en-US" w:eastAsia="zh-CN" w:bidi="ar-SA"/>
        </w:rPr>
      </w:pPr>
      <w:r>
        <w:rPr>
          <w:rFonts w:hint="eastAsia" w:ascii="仿宋" w:hAnsi="仿宋" w:eastAsia="仿宋" w:cs="仿宋"/>
          <w:color w:val="auto"/>
          <w:kern w:val="0"/>
          <w:sz w:val="24"/>
        </w:rPr>
        <w:t>★</w:t>
      </w:r>
      <w:r>
        <w:rPr>
          <w:rFonts w:hint="eastAsia" w:ascii="仿宋" w:hAnsi="仿宋" w:eastAsia="仿宋" w:cs="仿宋"/>
          <w:b w:val="0"/>
          <w:bCs w:val="0"/>
          <w:color w:val="auto"/>
          <w:kern w:val="0"/>
          <w:sz w:val="24"/>
          <w:lang w:val="en-US" w:eastAsia="zh-CN"/>
        </w:rPr>
        <w:t xml:space="preserve">4.4.1 部分引用 </w:t>
      </w:r>
      <w:r>
        <w:rPr>
          <w:rFonts w:hint="eastAsia" w:ascii="仿宋" w:hAnsi="仿宋" w:eastAsia="仿宋" w:cs="仿宋"/>
          <w:b w:val="0"/>
          <w:bCs w:val="0"/>
          <w:color w:val="auto"/>
          <w:kern w:val="0"/>
          <w:sz w:val="24"/>
          <w:szCs w:val="24"/>
          <w:lang w:val="en-US" w:eastAsia="zh-CN" w:bidi="ar-SA"/>
        </w:rPr>
        <w:t>中华人民共和国产品质量法  第十二条产品质量应当检验合格，不得以不合格产品冒充合格产品。</w:t>
      </w:r>
    </w:p>
    <w:p>
      <w:pPr>
        <w:widowControl w:val="0"/>
        <w:spacing w:before="36" w:line="257" w:lineRule="auto"/>
        <w:ind w:right="115" w:rightChars="55" w:firstLine="481" w:firstLineChars="200"/>
        <w:jc w:val="left"/>
        <w:rPr>
          <w:rFonts w:hint="eastAsia"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4.5、工作界面要求：</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4.5.1 甲方责任：提供车辆相关信息及监控设备基础资料，配合乙方开展维修作业，提供必要的作业场地及协助，对乙方维修服务进行监督、验收。</w:t>
      </w:r>
    </w:p>
    <w:p>
      <w:pPr>
        <w:widowControl w:val="0"/>
        <w:spacing w:before="36" w:line="257" w:lineRule="auto"/>
        <w:ind w:right="115" w:rightChars="55" w:firstLine="240" w:firstLineChars="1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 xml:space="preserve"> 乙方责任：负责提供维修所需的机具、设备、配件及维修人员，严格按照甲方指令及本技术要求书开展维修服务，承担维修过程中的安全责任、质量责任及相关费用，提交完整的维修报告及验收资料，配合甲方完成验收及相关核查工作，负责质保期内的返修服务。</w:t>
      </w:r>
    </w:p>
    <w:p>
      <w:pPr>
        <w:widowControl w:val="0"/>
        <w:spacing w:before="36" w:line="257" w:lineRule="auto"/>
        <w:ind w:right="115" w:rightChars="55" w:firstLine="481" w:firstLineChars="200"/>
        <w:jc w:val="left"/>
        <w:rPr>
          <w:rFonts w:hint="eastAsia"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4.6、保密要求：</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 xml:space="preserve"> 乙方及维修人员需严格保密甲方的车辆信息、车载监控数据、生产作业信息、企业管理制度及相关商业秘密，不得向任何第三方泄露。维修过程中获取的甲方监控数据、车辆信息等，仅用于维修作业，维修完成后，需及时删除相关数据（如需留存，需经甲方书面同意），严禁私自留存、传播。</w:t>
      </w:r>
    </w:p>
    <w:p>
      <w:pPr>
        <w:pStyle w:val="11"/>
        <w:numPr>
          <w:ilvl w:val="0"/>
          <w:numId w:val="0"/>
        </w:numPr>
        <w:spacing w:line="257" w:lineRule="auto"/>
        <w:ind w:right="115" w:rightChars="55" w:firstLine="481" w:firstLineChars="200"/>
        <w:rPr>
          <w:rFonts w:hint="eastAsia"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4.7、培训要求：</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质保期内，乙方需根据甲方需求，提供免费的技术咨询及应急培训服务，及时解答甲方操作人员提出的设备使用及维护问题。</w:t>
      </w:r>
    </w:p>
    <w:p>
      <w:pPr>
        <w:widowControl w:val="0"/>
        <w:spacing w:before="36" w:line="257" w:lineRule="auto"/>
        <w:ind w:right="115" w:rightChars="55"/>
        <w:jc w:val="left"/>
        <w:rPr>
          <w:rFonts w:hint="eastAsia" w:ascii="Microsoft YaHei UI" w:hAnsi="Microsoft YaHei UI" w:eastAsia="Microsoft YaHei UI" w:cs="Times New Roman"/>
          <w:b w:val="0"/>
          <w:bCs w:val="0"/>
          <w:color w:val="auto"/>
          <w:spacing w:val="2"/>
          <w:kern w:val="2"/>
          <w:sz w:val="24"/>
          <w:szCs w:val="24"/>
          <w:lang w:val="en-US" w:eastAsia="zh-CN" w:bidi="ar-SA"/>
        </w:rPr>
      </w:pPr>
      <w:bookmarkStart w:id="10" w:name="_Toc13121"/>
      <w:r>
        <w:rPr>
          <w:rFonts w:hint="eastAsia" w:ascii="Microsoft YaHei UI" w:hAnsi="Microsoft YaHei UI" w:eastAsia="Microsoft YaHei UI" w:cs="Times New Roman"/>
          <w:b w:val="0"/>
          <w:bCs w:val="0"/>
          <w:color w:val="auto"/>
          <w:spacing w:val="2"/>
          <w:kern w:val="2"/>
          <w:sz w:val="24"/>
          <w:szCs w:val="24"/>
          <w:lang w:val="en-US" w:eastAsia="zh-CN" w:bidi="ar-SA"/>
        </w:rPr>
        <w:t>五、配备资源要求</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5.1、机具要求</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5.1.1 乙方自行解决维修中所用到的相关机具设备，乙方提供的机具设备必须满足甲方的现场管理规定。</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5.2 人员要求​</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维修人员应具备良好的职业道德和服务意识，遵守甲方的各项规章制度，服从甲方现场管理人员的调度和安排。​</w:t>
      </w:r>
    </w:p>
    <w:p>
      <w:pPr>
        <w:pStyle w:val="14"/>
        <w:ind w:left="0"/>
        <w:outlineLvl w:val="0"/>
        <w:rPr>
          <w:rFonts w:hint="eastAsia" w:ascii="Microsoft YaHei UI" w:hAnsi="Microsoft YaHei UI" w:eastAsia="Microsoft YaHei UI" w:cs="Times New Roman"/>
          <w:b w:val="0"/>
          <w:bCs w:val="0"/>
          <w:i w:val="0"/>
          <w:iCs w:val="0"/>
          <w:color w:val="auto"/>
          <w:spacing w:val="2"/>
          <w:kern w:val="2"/>
          <w:sz w:val="24"/>
          <w:szCs w:val="24"/>
          <w:lang w:val="en-US" w:eastAsia="zh-CN" w:bidi="ar-SA"/>
        </w:rPr>
      </w:pPr>
      <w:r>
        <w:rPr>
          <w:rFonts w:hint="eastAsia" w:ascii="Microsoft YaHei UI" w:hAnsi="Microsoft YaHei UI" w:eastAsia="Microsoft YaHei UI" w:cs="Times New Roman"/>
          <w:b w:val="0"/>
          <w:bCs w:val="0"/>
          <w:i w:val="0"/>
          <w:iCs w:val="0"/>
          <w:color w:val="auto"/>
          <w:spacing w:val="2"/>
          <w:kern w:val="2"/>
          <w:sz w:val="24"/>
          <w:szCs w:val="24"/>
          <w:lang w:val="en-US" w:eastAsia="zh-CN" w:bidi="ar-SA"/>
        </w:rPr>
        <w:t>六、服务进度跟踪</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6.1 乙方在提供服务维修服务工作时长一般不得超过7个工作日。</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6.2 乙方如遇到特殊情况无法在规定的时间内完成维修任务时应主动积极向甲方申请延时（延时申请应如实告知甲方原因），经甲方同意后方可延时。</w:t>
      </w:r>
    </w:p>
    <w:p>
      <w:pPr>
        <w:pStyle w:val="14"/>
        <w:ind w:left="0"/>
        <w:outlineLvl w:val="0"/>
        <w:rPr>
          <w:rFonts w:hint="eastAsia" w:ascii="Microsoft YaHei UI" w:hAnsi="Microsoft YaHei UI" w:eastAsia="Microsoft YaHei UI" w:cs="Times New Roman"/>
          <w:b w:val="0"/>
          <w:bCs w:val="0"/>
          <w:i w:val="0"/>
          <w:iCs w:val="0"/>
          <w:color w:val="auto"/>
          <w:spacing w:val="2"/>
          <w:kern w:val="2"/>
          <w:sz w:val="24"/>
          <w:szCs w:val="24"/>
          <w:lang w:val="en-US" w:eastAsia="zh-CN" w:bidi="ar-SA"/>
        </w:rPr>
      </w:pPr>
      <w:r>
        <w:rPr>
          <w:rFonts w:hint="eastAsia" w:ascii="Microsoft YaHei UI" w:hAnsi="Microsoft YaHei UI" w:eastAsia="Microsoft YaHei UI" w:cs="Times New Roman"/>
          <w:b w:val="0"/>
          <w:bCs w:val="0"/>
          <w:i w:val="0"/>
          <w:iCs w:val="0"/>
          <w:color w:val="auto"/>
          <w:spacing w:val="2"/>
          <w:kern w:val="2"/>
          <w:sz w:val="24"/>
          <w:szCs w:val="24"/>
          <w:lang w:val="en-US" w:eastAsia="zh-CN" w:bidi="ar-SA"/>
        </w:rPr>
        <w:t>七、服务及验收标准</w:t>
      </w:r>
    </w:p>
    <w:p>
      <w:pPr>
        <w:widowControl w:val="0"/>
        <w:spacing w:before="36" w:line="257" w:lineRule="auto"/>
        <w:ind w:right="115" w:rightChars="55" w:firstLine="480" w:firstLineChars="200"/>
        <w:jc w:val="left"/>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szCs w:val="24"/>
          <w:lang w:val="en-US" w:eastAsia="zh-CN" w:bidi="ar-SA"/>
        </w:rPr>
        <w:t>7.1、</w:t>
      </w:r>
      <w:r>
        <w:rPr>
          <w:rFonts w:hint="eastAsia" w:ascii="仿宋" w:hAnsi="仿宋" w:eastAsia="仿宋" w:cs="仿宋"/>
          <w:color w:val="auto"/>
          <w:kern w:val="0"/>
          <w:sz w:val="24"/>
        </w:rPr>
        <w:t>★</w:t>
      </w:r>
      <w:r>
        <w:rPr>
          <w:rFonts w:hint="eastAsia" w:ascii="仿宋" w:hAnsi="仿宋" w:eastAsia="仿宋" w:cs="仿宋"/>
          <w:color w:val="auto"/>
          <w:kern w:val="0"/>
          <w:sz w:val="24"/>
          <w:lang w:val="en-US" w:eastAsia="zh-CN"/>
        </w:rPr>
        <w:t>部分引用</w:t>
      </w:r>
      <w:r>
        <w:rPr>
          <w:rFonts w:hint="eastAsia" w:ascii="仿宋" w:hAnsi="仿宋" w:eastAsia="仿宋" w:cs="仿宋"/>
          <w:color w:val="auto"/>
          <w:kern w:val="0"/>
          <w:sz w:val="24"/>
          <w:szCs w:val="24"/>
          <w:lang w:val="en-US" w:eastAsia="zh-CN" w:bidi="ar-SA"/>
        </w:rPr>
        <w:t>GBT 19056-2021 抗汽车电点火干扰:记录仪在进行汽车电点火干扰时，</w:t>
      </w:r>
      <w:r>
        <w:rPr>
          <w:rFonts w:hint="default" w:ascii="仿宋" w:hAnsi="仿宋" w:eastAsia="仿宋" w:cs="仿宋"/>
          <w:color w:val="auto"/>
          <w:kern w:val="0"/>
          <w:sz w:val="24"/>
          <w:szCs w:val="24"/>
          <w:lang w:val="en-US" w:eastAsia="zh-CN" w:bidi="ar-SA"/>
        </w:rPr>
        <w:t>不应出现异常现象，数据记录功能、显示功能应正常。</w:t>
      </w:r>
    </w:p>
    <w:p>
      <w:pPr>
        <w:widowControl w:val="0"/>
        <w:spacing w:before="36" w:line="257" w:lineRule="auto"/>
        <w:ind w:right="115" w:rightChars="55" w:firstLine="480" w:firstLineChars="200"/>
        <w:jc w:val="left"/>
        <w:rPr>
          <w:rFonts w:hint="default"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7.2、视频画面清晰连续、无黑屏花屏卡顿，录像存储完整不丢失。</w:t>
      </w:r>
    </w:p>
    <w:p>
      <w:pPr>
        <w:widowControl w:val="0"/>
        <w:spacing w:before="36" w:line="257" w:lineRule="auto"/>
        <w:ind w:right="115" w:rightChars="55" w:firstLine="480" w:firstLineChars="200"/>
        <w:jc w:val="left"/>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szCs w:val="24"/>
          <w:lang w:val="en-US" w:eastAsia="zh-CN" w:bidi="ar-SA"/>
        </w:rPr>
        <w:t>7.3、线路敷设规整固定、绝缘防护完好，无松动、短路、脱落安全隐患；</w:t>
      </w:r>
    </w:p>
    <w:bookmarkEnd w:id="10"/>
    <w:p>
      <w:pPr>
        <w:pStyle w:val="14"/>
        <w:numPr>
          <w:ilvl w:val="0"/>
          <w:numId w:val="5"/>
        </w:numPr>
        <w:ind w:left="0"/>
        <w:outlineLvl w:val="0"/>
        <w:rPr>
          <w:rFonts w:hint="eastAsia" w:ascii="Microsoft YaHei UI" w:hAnsi="Microsoft YaHei UI" w:eastAsia="Microsoft YaHei UI" w:cs="Times New Roman"/>
          <w:b w:val="0"/>
          <w:bCs w:val="0"/>
          <w:i w:val="0"/>
          <w:iCs w:val="0"/>
          <w:color w:val="auto"/>
          <w:spacing w:val="2"/>
          <w:kern w:val="2"/>
          <w:sz w:val="24"/>
          <w:szCs w:val="24"/>
          <w:lang w:val="en-US" w:eastAsia="zh-CN" w:bidi="ar-SA"/>
        </w:rPr>
      </w:pPr>
      <w:r>
        <w:rPr>
          <w:rFonts w:hint="eastAsia" w:ascii="Microsoft YaHei UI" w:hAnsi="Microsoft YaHei UI" w:eastAsia="Microsoft YaHei UI" w:cs="Times New Roman"/>
          <w:b w:val="0"/>
          <w:bCs w:val="0"/>
          <w:i w:val="0"/>
          <w:iCs w:val="0"/>
          <w:color w:val="auto"/>
          <w:spacing w:val="2"/>
          <w:kern w:val="2"/>
          <w:sz w:val="24"/>
          <w:szCs w:val="24"/>
          <w:lang w:val="en-US" w:eastAsia="zh-CN" w:bidi="ar-SA"/>
        </w:rPr>
        <w:t>质量保证</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 xml:space="preserve">8.1“质保周期”指维修后车辆的车载监控正常运行的质量保证时间，质保周期为1年（自维修完成并经双方确认合格之日起计算）。 </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8.2 质保要求：质保期内因本次维修工艺、配件质量导致设备故障，乙方 24 小时内到场无偿返修、更换合格配件，不得推诿拖延。同一故障两次维修仍无法正常使用，乙方无条件免费更换整套相关设备。</w:t>
      </w:r>
    </w:p>
    <w:p>
      <w:pPr>
        <w:pStyle w:val="67"/>
        <w:spacing w:before="120" w:after="120"/>
        <w:outlineLvl w:val="0"/>
        <w:rPr>
          <w:rFonts w:hint="eastAsia" w:ascii="Microsoft YaHei UI" w:hAnsi="Microsoft YaHei UI" w:eastAsia="Microsoft YaHei UI" w:cs="Times New Roman"/>
          <w:b w:val="0"/>
          <w:bCs w:val="0"/>
          <w:i w:val="0"/>
          <w:iCs w:val="0"/>
          <w:color w:val="auto"/>
          <w:spacing w:val="2"/>
          <w:kern w:val="2"/>
          <w:sz w:val="24"/>
          <w:szCs w:val="24"/>
          <w:lang w:val="en-US" w:eastAsia="zh-CN" w:bidi="ar-SA"/>
        </w:rPr>
      </w:pPr>
      <w:r>
        <w:rPr>
          <w:rFonts w:hint="eastAsia" w:ascii="Microsoft YaHei UI" w:hAnsi="Microsoft YaHei UI" w:eastAsia="Microsoft YaHei UI" w:cs="Times New Roman"/>
          <w:b w:val="0"/>
          <w:bCs w:val="0"/>
          <w:i w:val="0"/>
          <w:iCs w:val="0"/>
          <w:color w:val="auto"/>
          <w:spacing w:val="2"/>
          <w:kern w:val="2"/>
          <w:sz w:val="24"/>
          <w:szCs w:val="24"/>
          <w:lang w:val="en-US" w:eastAsia="zh-CN" w:bidi="ar-SA"/>
        </w:rPr>
        <w:t>九、其他要求</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9.1 技术联系人：李光俊 13553582765。</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9.2 付款方式：银行电汇。</w:t>
      </w:r>
    </w:p>
    <w:p>
      <w:pPr>
        <w:spacing w:line="240" w:lineRule="auto"/>
        <w:ind w:right="115" w:rightChars="55" w:firstLine="480" w:firstLineChars="200"/>
        <w:outlineLvl w:val="0"/>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9.3 付款周期要求：接到发票及付款资料确认无误后45天内一次性付款。</w:t>
      </w:r>
    </w:p>
    <w:p>
      <w:pPr>
        <w:keepNext w:val="0"/>
        <w:keepLines w:val="0"/>
        <w:pageBreakBefore w:val="0"/>
        <w:widowControl w:val="0"/>
        <w:kinsoku/>
        <w:wordWrap/>
        <w:overflowPunct/>
        <w:topLinePunct w:val="0"/>
        <w:autoSpaceDE/>
        <w:autoSpaceDN/>
        <w:bidi w:val="0"/>
        <w:adjustRightInd/>
        <w:snapToGrid/>
        <w:spacing w:line="257" w:lineRule="auto"/>
        <w:ind w:right="115" w:rightChars="55" w:firstLine="480" w:firstLineChars="200"/>
        <w:jc w:val="left"/>
        <w:textAlignment w:val="auto"/>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9.4 结算方式：订单结算。</w:t>
      </w:r>
    </w:p>
    <w:p>
      <w:pPr>
        <w:widowControl w:val="0"/>
        <w:spacing w:before="36" w:line="257" w:lineRule="auto"/>
        <w:ind w:right="115" w:rightChars="55" w:firstLine="480" w:firstLineChars="200"/>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9.5 其他特殊要求：无。</w:t>
      </w:r>
    </w:p>
    <w:p>
      <w:pPr>
        <w:spacing w:before="36" w:line="257" w:lineRule="auto"/>
        <w:ind w:right="115" w:rightChars="55"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 xml:space="preserve">9.6 </w:t>
      </w:r>
      <w:r>
        <w:rPr>
          <w:rFonts w:hint="eastAsia" w:ascii="仿宋" w:hAnsi="仿宋" w:eastAsia="仿宋" w:cs="仿宋"/>
          <w:color w:val="auto"/>
          <w:kern w:val="0"/>
          <w:sz w:val="24"/>
          <w:szCs w:val="24"/>
        </w:rPr>
        <w:t>执行单位：</w:t>
      </w:r>
    </w:p>
    <w:p>
      <w:pPr>
        <w:spacing w:before="36" w:line="257" w:lineRule="auto"/>
        <w:ind w:right="115" w:rightChars="55" w:firstLine="480" w:firstLineChars="200"/>
        <w:rPr>
          <w:rFonts w:hint="eastAsia" w:ascii="仿宋" w:hAnsi="仿宋" w:eastAsia="仿宋" w:cs="仿宋"/>
          <w:color w:val="auto"/>
          <w:kern w:val="0"/>
          <w:sz w:val="24"/>
          <w:szCs w:val="24"/>
          <w:highlight w:val="none"/>
          <w:lang w:bidi="ar-SA"/>
        </w:rPr>
      </w:pPr>
      <w:r>
        <w:rPr>
          <w:rFonts w:hint="eastAsia" w:ascii="仿宋" w:hAnsi="仿宋" w:eastAsia="仿宋" w:cs="仿宋"/>
          <w:color w:val="auto"/>
          <w:kern w:val="0"/>
          <w:sz w:val="24"/>
          <w:szCs w:val="24"/>
          <w:highlight w:val="none"/>
          <w:lang w:bidi="ar-SA"/>
        </w:rPr>
        <w:t>（1）中海油（湛江）能源物流有限公司</w:t>
      </w:r>
    </w:p>
    <w:p>
      <w:pPr>
        <w:spacing w:before="36" w:line="257" w:lineRule="auto"/>
        <w:ind w:right="115" w:rightChars="55" w:firstLineChars="200"/>
        <w:rPr>
          <w:rFonts w:hint="eastAsia" w:ascii="仿宋" w:hAnsi="仿宋" w:eastAsia="仿宋" w:cs="仿宋"/>
          <w:color w:val="auto"/>
          <w:kern w:val="0"/>
          <w:sz w:val="24"/>
          <w:szCs w:val="24"/>
          <w:highlight w:val="none"/>
          <w:lang w:bidi="ar-SA"/>
        </w:rPr>
      </w:pPr>
      <w:r>
        <w:rPr>
          <w:rFonts w:hint="eastAsia" w:ascii="仿宋" w:hAnsi="仿宋" w:eastAsia="仿宋" w:cs="仿宋"/>
          <w:color w:val="auto"/>
          <w:kern w:val="0"/>
          <w:sz w:val="24"/>
          <w:szCs w:val="24"/>
          <w:highlight w:val="none"/>
          <w:lang w:bidi="ar-SA"/>
        </w:rPr>
        <w:t>税号：91440804MADHXABW55</w:t>
      </w:r>
    </w:p>
    <w:p>
      <w:pPr>
        <w:spacing w:before="36" w:line="257" w:lineRule="auto"/>
        <w:ind w:right="115" w:rightChars="55" w:firstLineChars="200"/>
        <w:rPr>
          <w:rFonts w:hint="eastAsia" w:ascii="仿宋" w:hAnsi="仿宋" w:eastAsia="仿宋" w:cs="仿宋"/>
          <w:color w:val="auto"/>
          <w:kern w:val="0"/>
          <w:sz w:val="24"/>
          <w:szCs w:val="24"/>
          <w:highlight w:val="none"/>
          <w:lang w:bidi="ar-SA"/>
        </w:rPr>
      </w:pPr>
      <w:r>
        <w:rPr>
          <w:rFonts w:hint="eastAsia" w:ascii="仿宋" w:hAnsi="仿宋" w:eastAsia="仿宋" w:cs="仿宋"/>
          <w:color w:val="auto"/>
          <w:kern w:val="0"/>
          <w:sz w:val="24"/>
          <w:szCs w:val="24"/>
          <w:highlight w:val="none"/>
          <w:lang w:bidi="ar-SA"/>
        </w:rPr>
        <w:t>地址及电话：湛江市坡头区南调路1177号 0759-3911898</w:t>
      </w:r>
    </w:p>
    <w:p>
      <w:pPr>
        <w:spacing w:before="36" w:line="257" w:lineRule="auto"/>
        <w:ind w:right="115" w:rightChars="55" w:firstLineChars="200"/>
        <w:rPr>
          <w:rFonts w:hint="eastAsia" w:ascii="仿宋" w:hAnsi="仿宋" w:eastAsia="仿宋" w:cs="仿宋"/>
          <w:color w:val="auto"/>
          <w:kern w:val="0"/>
          <w:sz w:val="24"/>
          <w:szCs w:val="24"/>
          <w:highlight w:val="none"/>
          <w:lang w:bidi="ar-SA"/>
        </w:rPr>
      </w:pPr>
      <w:r>
        <w:rPr>
          <w:rFonts w:hint="eastAsia" w:ascii="仿宋" w:hAnsi="仿宋" w:eastAsia="仿宋" w:cs="仿宋"/>
          <w:color w:val="auto"/>
          <w:kern w:val="0"/>
          <w:sz w:val="24"/>
          <w:szCs w:val="24"/>
          <w:highlight w:val="none"/>
          <w:lang w:bidi="ar-SA"/>
        </w:rPr>
        <w:t>开户行：中国银行股份有限公司湛江坡头支行</w:t>
      </w:r>
    </w:p>
    <w:p>
      <w:pPr>
        <w:spacing w:before="36" w:line="257" w:lineRule="auto"/>
        <w:ind w:right="115" w:rightChars="55" w:firstLineChars="200"/>
        <w:rPr>
          <w:rFonts w:hint="eastAsia" w:ascii="仿宋" w:hAnsi="仿宋" w:eastAsia="仿宋" w:cs="仿宋"/>
          <w:color w:val="auto"/>
          <w:kern w:val="0"/>
          <w:sz w:val="24"/>
          <w:szCs w:val="24"/>
          <w:highlight w:val="none"/>
          <w:lang w:bidi="ar-SA"/>
        </w:rPr>
      </w:pPr>
      <w:r>
        <w:rPr>
          <w:rFonts w:hint="eastAsia" w:ascii="仿宋" w:hAnsi="仿宋" w:eastAsia="仿宋" w:cs="仿宋"/>
          <w:color w:val="auto"/>
          <w:kern w:val="0"/>
          <w:sz w:val="24"/>
          <w:szCs w:val="24"/>
          <w:highlight w:val="none"/>
          <w:lang w:bidi="ar-SA"/>
        </w:rPr>
        <w:t>银行账号：734178892468</w:t>
      </w:r>
    </w:p>
    <w:p>
      <w:pPr>
        <w:spacing w:before="36" w:line="257" w:lineRule="auto"/>
        <w:ind w:right="115" w:rightChars="55" w:firstLine="480" w:firstLineChars="200"/>
        <w:rPr>
          <w:rFonts w:hint="eastAsia" w:ascii="仿宋" w:hAnsi="仿宋" w:eastAsia="仿宋" w:cs="仿宋"/>
          <w:color w:val="auto"/>
          <w:kern w:val="0"/>
          <w:sz w:val="24"/>
          <w:szCs w:val="24"/>
          <w:highlight w:val="none"/>
          <w:lang w:bidi="ar-SA"/>
        </w:rPr>
      </w:pPr>
      <w:r>
        <w:rPr>
          <w:rFonts w:hint="eastAsia" w:ascii="仿宋" w:hAnsi="仿宋" w:eastAsia="仿宋" w:cs="仿宋"/>
          <w:color w:val="auto"/>
          <w:kern w:val="0"/>
          <w:sz w:val="24"/>
          <w:szCs w:val="24"/>
          <w:highlight w:val="none"/>
          <w:lang w:bidi="ar-SA"/>
        </w:rPr>
        <w:t>（2）中海油能源物流有限公司湛江南海西部物资分公司</w:t>
      </w:r>
    </w:p>
    <w:p>
      <w:pPr>
        <w:spacing w:before="36" w:line="257" w:lineRule="auto"/>
        <w:ind w:right="115" w:rightChars="55" w:firstLineChars="200"/>
        <w:rPr>
          <w:rFonts w:hint="eastAsia" w:ascii="仿宋" w:hAnsi="仿宋" w:eastAsia="仿宋" w:cs="仿宋"/>
          <w:color w:val="auto"/>
          <w:kern w:val="0"/>
          <w:sz w:val="24"/>
          <w:szCs w:val="24"/>
          <w:highlight w:val="none"/>
          <w:lang w:bidi="ar-SA"/>
        </w:rPr>
      </w:pPr>
      <w:r>
        <w:rPr>
          <w:rFonts w:hint="eastAsia" w:ascii="仿宋" w:hAnsi="仿宋" w:eastAsia="仿宋" w:cs="仿宋"/>
          <w:color w:val="auto"/>
          <w:kern w:val="0"/>
          <w:sz w:val="24"/>
          <w:szCs w:val="24"/>
          <w:highlight w:val="none"/>
          <w:lang w:bidi="ar-SA"/>
        </w:rPr>
        <w:t>税号：914408043233066619</w:t>
      </w:r>
    </w:p>
    <w:p>
      <w:pPr>
        <w:spacing w:before="36" w:line="257" w:lineRule="auto"/>
        <w:ind w:right="115" w:rightChars="55" w:firstLineChars="200"/>
        <w:rPr>
          <w:rFonts w:hint="eastAsia" w:ascii="仿宋" w:hAnsi="仿宋" w:eastAsia="仿宋" w:cs="仿宋"/>
          <w:color w:val="auto"/>
          <w:kern w:val="0"/>
          <w:sz w:val="24"/>
          <w:szCs w:val="24"/>
          <w:highlight w:val="none"/>
          <w:lang w:bidi="ar-SA"/>
        </w:rPr>
      </w:pPr>
      <w:r>
        <w:rPr>
          <w:rFonts w:hint="eastAsia" w:ascii="仿宋" w:hAnsi="仿宋" w:eastAsia="仿宋" w:cs="仿宋"/>
          <w:color w:val="auto"/>
          <w:kern w:val="0"/>
          <w:sz w:val="24"/>
          <w:szCs w:val="24"/>
          <w:highlight w:val="none"/>
          <w:lang w:bidi="ar-SA"/>
        </w:rPr>
        <w:t>地址及电话：广东省湛江市坡头区[南油公司第一生活区(办)海外联检楼] 0759-3900807</w:t>
      </w:r>
    </w:p>
    <w:p>
      <w:pPr>
        <w:spacing w:before="36" w:line="257" w:lineRule="auto"/>
        <w:ind w:right="115" w:rightChars="55" w:firstLineChars="200"/>
        <w:rPr>
          <w:rFonts w:hint="eastAsia" w:ascii="仿宋" w:hAnsi="仿宋" w:eastAsia="仿宋" w:cs="仿宋"/>
          <w:color w:val="auto"/>
          <w:kern w:val="0"/>
          <w:sz w:val="24"/>
          <w:szCs w:val="24"/>
          <w:highlight w:val="none"/>
          <w:lang w:bidi="ar-SA"/>
        </w:rPr>
      </w:pPr>
      <w:r>
        <w:rPr>
          <w:rFonts w:hint="eastAsia" w:ascii="仿宋" w:hAnsi="仿宋" w:eastAsia="仿宋" w:cs="仿宋"/>
          <w:color w:val="auto"/>
          <w:kern w:val="0"/>
          <w:sz w:val="24"/>
          <w:szCs w:val="24"/>
          <w:highlight w:val="none"/>
          <w:lang w:bidi="ar-SA"/>
        </w:rPr>
        <w:t>开户行：中国建设银行股份有限公司湛江坡头支行</w:t>
      </w:r>
    </w:p>
    <w:p>
      <w:pPr>
        <w:spacing w:before="36" w:line="257" w:lineRule="auto"/>
        <w:ind w:right="115" w:rightChars="55" w:firstLineChars="20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bidi="ar-SA"/>
        </w:rPr>
        <w:t>银行账号：44001689150059338899</w:t>
      </w:r>
    </w:p>
    <w:p>
      <w:pPr>
        <w:pStyle w:val="2"/>
        <w:ind w:firstLine="0" w:firstLineChars="0"/>
        <w:rPr>
          <w:rFonts w:hint="default"/>
          <w:lang w:val="en-US" w:eastAsia="zh-CN"/>
        </w:rPr>
      </w:pPr>
    </w:p>
    <w:bookmarkEnd w:id="0"/>
    <w:bookmarkEnd w:id="1"/>
    <w:bookmarkEnd w:id="2"/>
    <w:bookmarkEnd w:id="3"/>
    <w:bookmarkEnd w:id="4"/>
    <w:bookmarkEnd w:id="5"/>
    <w:p>
      <w:pPr>
        <w:pStyle w:val="48"/>
        <w:keepNext w:val="0"/>
        <w:keepLines w:val="0"/>
        <w:numPr>
          <w:ilvl w:val="0"/>
          <w:numId w:val="0"/>
        </w:numPr>
        <w:spacing w:line="360" w:lineRule="auto"/>
        <w:jc w:val="left"/>
        <w:rPr>
          <w:rFonts w:ascii="宋体" w:hAnsi="宋体"/>
        </w:rPr>
      </w:pPr>
    </w:p>
    <w:sectPr>
      <w:headerReference r:id="rId4" w:type="first"/>
      <w:footerReference r:id="rId6" w:type="first"/>
      <w:headerReference r:id="rId3" w:type="default"/>
      <w:footerReference r:id="rId5" w:type="default"/>
      <w:pgSz w:w="11906" w:h="16838"/>
      <w:pgMar w:top="1440" w:right="1797" w:bottom="1440" w:left="1797" w:header="851" w:footer="992" w:gutter="0"/>
      <w:pgBorders>
        <w:top w:val="none" w:sz="0" w:space="0"/>
        <w:left w:val="none" w:sz="0" w:space="0"/>
        <w:bottom w:val="none" w:sz="0" w:space="0"/>
        <w:right w:val="none" w:sz="0" w:space="0"/>
      </w:pgBorders>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新宋体">
    <w:altName w:val="Noto Sans Mono CJK SC"/>
    <w:panose1 w:val="02010609030101010101"/>
    <w:charset w:val="86"/>
    <w:family w:val="modern"/>
    <w:pitch w:val="default"/>
    <w:sig w:usb0="00000000" w:usb1="00000000" w:usb2="00000006" w:usb3="00000000" w:csb0="00040001" w:csb1="00000000"/>
  </w:font>
  <w:font w:name="Noto Sans Mono CJK SC">
    <w:panose1 w:val="020B0500000000000000"/>
    <w:charset w:val="86"/>
    <w:family w:val="auto"/>
    <w:pitch w:val="default"/>
    <w:sig w:usb0="30000083" w:usb1="2BDF3C10" w:usb2="00000016" w:usb3="00000000" w:csb0="602E0107"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楷体_GB2312">
    <w:altName w:val="方正楷体_GBK"/>
    <w:panose1 w:val="00000000000000000000"/>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86"/>
    <w:family w:val="swiss"/>
    <w:pitch w:val="default"/>
    <w:sig w:usb0="00000000" w:usb1="00000000" w:usb2="0000003F" w:usb3="00000000" w:csb0="603F01FF" w:csb1="FFFF0000"/>
  </w:font>
  <w:font w:name="Times">
    <w:altName w:val="DejaVu Sans"/>
    <w:panose1 w:val="02020603050405020304"/>
    <w:charset w:val="00"/>
    <w:family w:val="roman"/>
    <w:pitch w:val="default"/>
    <w:sig w:usb0="00000000" w:usb1="00000000" w:usb2="00000009" w:usb3="00000000" w:csb0="000001FF" w:csb1="00000000"/>
  </w:font>
  <w:font w:name="Microsoft JhengHei">
    <w:altName w:val="方正书宋_GBK"/>
    <w:panose1 w:val="020B0604030504040204"/>
    <w:charset w:val="88"/>
    <w:family w:val="swiss"/>
    <w:pitch w:val="default"/>
    <w:sig w:usb0="00000000" w:usb1="00000000" w:usb2="00000016" w:usb3="00000000" w:csb0="00100009" w:csb1="00000000"/>
  </w:font>
  <w:font w:name="微软雅黑">
    <w:altName w:val="方正黑体_GBK"/>
    <w:panose1 w:val="020B0503020204020204"/>
    <w:charset w:val="86"/>
    <w:family w:val="swiss"/>
    <w:pitch w:val="default"/>
    <w:sig w:usb0="00000000" w:usb1="00000000" w:usb2="00000016" w:usb3="00000000" w:csb0="0004001F" w:csb1="00000000"/>
  </w:font>
  <w:font w:name="Microsoft YaHei UI">
    <w:altName w:val="Droid Sans Fallback"/>
    <w:panose1 w:val="020B0503020204020204"/>
    <w:charset w:val="86"/>
    <w:family w:val="swiss"/>
    <w:pitch w:val="default"/>
    <w:sig w:usb0="00000000" w:usb1="00000000" w:usb2="00000016" w:usb3="00000000" w:csb0="0004001F" w:csb1="00000000"/>
  </w:font>
  <w:font w:name="Droid Sans Fallback">
    <w:panose1 w:val="020B0502000000000001"/>
    <w:charset w:val="86"/>
    <w:family w:val="auto"/>
    <w:pitch w:val="default"/>
    <w:sig w:usb0="910002FF" w:usb1="2BDFFCFB" w:usb2="00000036" w:usb3="00000000" w:csb0="203F01FF" w:csb1="D7FF0000"/>
  </w:font>
  <w:font w:name="仿宋">
    <w:altName w:val="方正仿宋_GBK"/>
    <w:panose1 w:val="02010609060101010101"/>
    <w:charset w:val="86"/>
    <w:family w:val="modern"/>
    <w:pitch w:val="default"/>
    <w:sig w:usb0="00000000" w:usb1="00000000" w:usb2="00000016" w:usb3="00000000" w:csb0="00040001" w:csb1="00000000"/>
  </w:font>
  <w:font w:name="等线">
    <w:altName w:val="方正黑体简体"/>
    <w:panose1 w:val="02010600030101010101"/>
    <w:charset w:val="86"/>
    <w:family w:val="auto"/>
    <w:pitch w:val="default"/>
    <w:sig w:usb0="00000000" w:usb1="00000000" w:usb2="00000016" w:usb3="00000000" w:csb0="0004000F" w:csb1="00000000"/>
  </w:font>
  <w:font w:name="方正黑体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before="120" w:after="120"/>
      <w:ind w:right="180" w:firstLine="360"/>
      <w:jc w:val="center"/>
      <w:rPr>
        <w:rFonts w:ascii="Calibri" w:hAnsi="Calibri" w:eastAsia="宋体" w:cs="Times New Roman"/>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kern w:val="2"/>
        <w:sz w:val="21"/>
        <w:szCs w:val="22"/>
        <w:lang w:val="en-US" w:eastAsia="zh-CN" w:bidi="ar-SA"/>
      </w:rPr>
    </w:pP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hint="eastAsia"/>
      </w:rPr>
      <w:t xml:space="preserve">                                          </w:t>
    </w:r>
    <w:r>
      <w:fldChar w:fldCharType="begin"/>
    </w:r>
    <w:r>
      <w:instrText xml:space="preserve"> PAGE   \* MERGEFORMAT </w:instrText>
    </w:r>
    <w:r>
      <w:fldChar w:fldCharType="separate"/>
    </w:r>
    <w:r>
      <w:rPr>
        <w:lang w:val="zh-CN"/>
      </w:rPr>
      <w:t>1</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utoSpaceDE w:val="0"/>
      <w:autoSpaceDN w:val="0"/>
      <w:adjustRightInd w:val="0"/>
      <w:spacing w:before="120" w:after="120"/>
      <w:jc w:val="right"/>
      <w:rPr>
        <w:rFonts w:ascii="Calibri" w:hAnsi="Calibri" w:eastAsia="宋体" w:cs="Times New Roman"/>
        <w:color w:val="auto"/>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tabs>
        <w:tab w:val="center" w:pos="4153"/>
        <w:tab w:val="right" w:pos="8306"/>
      </w:tabs>
      <w:snapToGrid w:val="0"/>
      <w:jc w:val="center"/>
      <w:rPr>
        <w:rFonts w:ascii="Calibri" w:hAnsi="Calibri"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20B490"/>
    <w:multiLevelType w:val="singleLevel"/>
    <w:tmpl w:val="CF20B490"/>
    <w:lvl w:ilvl="0" w:tentative="0">
      <w:start w:val="4"/>
      <w:numFmt w:val="chineseCounting"/>
      <w:suff w:val="nothing"/>
      <w:lvlText w:val="%1、"/>
      <w:lvlJc w:val="left"/>
      <w:rPr>
        <w:rFonts w:hint="eastAsia"/>
      </w:rPr>
    </w:lvl>
  </w:abstractNum>
  <w:abstractNum w:abstractNumId="1">
    <w:nsid w:val="101F2648"/>
    <w:multiLevelType w:val="multilevel"/>
    <w:tmpl w:val="101F2648"/>
    <w:lvl w:ilvl="0" w:tentative="0">
      <w:start w:val="1"/>
      <w:numFmt w:val="upperRoman"/>
      <w:lvlText w:val="第 %1 条"/>
      <w:lvlJc w:val="left"/>
      <w:pPr>
        <w:tabs>
          <w:tab w:val="left" w:pos="1440"/>
        </w:tabs>
        <w:ind w:left="0" w:firstLine="0"/>
      </w:pPr>
    </w:lvl>
    <w:lvl w:ilvl="1" w:tentative="0">
      <w:start w:val="1"/>
      <w:numFmt w:val="decimalZero"/>
      <w:pStyle w:val="4"/>
      <w:isLgl/>
      <w:lvlText w:val="节 %1.%2"/>
      <w:lvlJc w:val="left"/>
      <w:pPr>
        <w:tabs>
          <w:tab w:val="left" w:pos="1080"/>
        </w:tabs>
        <w:ind w:left="0" w:firstLine="0"/>
      </w:pPr>
    </w:lvl>
    <w:lvl w:ilvl="2" w:tentative="0">
      <w:start w:val="1"/>
      <w:numFmt w:val="lowerLetter"/>
      <w:pStyle w:val="5"/>
      <w:lvlText w:val="(%3)"/>
      <w:lvlJc w:val="left"/>
      <w:pPr>
        <w:tabs>
          <w:tab w:val="left" w:pos="720"/>
        </w:tabs>
        <w:ind w:left="720" w:hanging="432"/>
      </w:pPr>
    </w:lvl>
    <w:lvl w:ilvl="3" w:tentative="0">
      <w:start w:val="1"/>
      <w:numFmt w:val="lowerRoman"/>
      <w:lvlText w:val="(%4)"/>
      <w:lvlJc w:val="right"/>
      <w:pPr>
        <w:tabs>
          <w:tab w:val="left" w:pos="864"/>
        </w:tabs>
        <w:ind w:left="864" w:hanging="144"/>
      </w:pPr>
    </w:lvl>
    <w:lvl w:ilvl="4" w:tentative="0">
      <w:start w:val="1"/>
      <w:numFmt w:val="decimal"/>
      <w:lvlText w:val="%5)"/>
      <w:lvlJc w:val="left"/>
      <w:pPr>
        <w:tabs>
          <w:tab w:val="left" w:pos="1008"/>
        </w:tabs>
        <w:ind w:left="1008" w:hanging="432"/>
      </w:pPr>
    </w:lvl>
    <w:lvl w:ilvl="5" w:tentative="0">
      <w:start w:val="1"/>
      <w:numFmt w:val="lowerLetter"/>
      <w:lvlText w:val="%6)"/>
      <w:lvlJc w:val="left"/>
      <w:pPr>
        <w:tabs>
          <w:tab w:val="left" w:pos="1152"/>
        </w:tabs>
        <w:ind w:left="1152" w:hanging="432"/>
      </w:pPr>
    </w:lvl>
    <w:lvl w:ilvl="6" w:tentative="0">
      <w:start w:val="1"/>
      <w:numFmt w:val="lowerRoman"/>
      <w:lvlText w:val="%7)"/>
      <w:lvlJc w:val="right"/>
      <w:pPr>
        <w:tabs>
          <w:tab w:val="left" w:pos="1296"/>
        </w:tabs>
        <w:ind w:left="1296" w:hanging="288"/>
      </w:pPr>
    </w:lvl>
    <w:lvl w:ilvl="7" w:tentative="0">
      <w:start w:val="1"/>
      <w:numFmt w:val="lowerLetter"/>
      <w:lvlText w:val="%8."/>
      <w:lvlJc w:val="left"/>
      <w:pPr>
        <w:tabs>
          <w:tab w:val="left" w:pos="1440"/>
        </w:tabs>
        <w:ind w:left="1440" w:hanging="432"/>
      </w:pPr>
    </w:lvl>
    <w:lvl w:ilvl="8" w:tentative="0">
      <w:start w:val="1"/>
      <w:numFmt w:val="lowerRoman"/>
      <w:lvlText w:val="%9."/>
      <w:lvlJc w:val="right"/>
      <w:pPr>
        <w:tabs>
          <w:tab w:val="left" w:pos="1584"/>
        </w:tabs>
        <w:ind w:left="1584" w:hanging="144"/>
      </w:pPr>
    </w:lvl>
  </w:abstractNum>
  <w:abstractNum w:abstractNumId="2">
    <w:nsid w:val="19EE02D0"/>
    <w:multiLevelType w:val="multilevel"/>
    <w:tmpl w:val="19EE02D0"/>
    <w:lvl w:ilvl="0" w:tentative="0">
      <w:start w:val="1"/>
      <w:numFmt w:val="chineseCountingThousand"/>
      <w:pStyle w:val="40"/>
      <w:lvlText w:val="第%1条"/>
      <w:lvlJc w:val="left"/>
      <w:pPr>
        <w:tabs>
          <w:tab w:val="left" w:pos="1260"/>
        </w:tabs>
        <w:ind w:left="972" w:hanging="432"/>
      </w:pPr>
      <w:rPr>
        <w:rFonts w:hint="eastAsia"/>
        <w:b/>
      </w:rPr>
    </w:lvl>
    <w:lvl w:ilvl="1" w:tentative="0">
      <w:start w:val="1"/>
      <w:numFmt w:val="decimal"/>
      <w:lvlText w:val="4.%2"/>
      <w:lvlJc w:val="left"/>
      <w:pPr>
        <w:tabs>
          <w:tab w:val="left" w:pos="1140"/>
        </w:tabs>
        <w:ind w:left="1140" w:hanging="420"/>
      </w:pPr>
      <w:rPr>
        <w:rFonts w:hint="default" w:ascii="Times New Roman" w:hAnsi="Times New Roman" w:cs="Times New Roman"/>
        <w:b w:val="0"/>
        <w:color w:val="auto"/>
      </w:rPr>
    </w:lvl>
    <w:lvl w:ilvl="2" w:tentative="0">
      <w:start w:val="1"/>
      <w:numFmt w:val="decimal"/>
      <w:isLgl/>
      <w:lvlText w:val="%1.%2.%3"/>
      <w:lvlJc w:val="left"/>
      <w:pPr>
        <w:tabs>
          <w:tab w:val="left" w:pos="900"/>
        </w:tabs>
        <w:ind w:left="900" w:hanging="720"/>
      </w:pPr>
      <w:rPr>
        <w:rFonts w:hint="eastAsia"/>
      </w:rPr>
    </w:lvl>
    <w:lvl w:ilvl="3" w:tentative="0">
      <w:start w:val="1"/>
      <w:numFmt w:val="decimal"/>
      <w:isLgl/>
      <w:lvlText w:val="%1.%2.%3.%4"/>
      <w:lvlJc w:val="left"/>
      <w:pPr>
        <w:tabs>
          <w:tab w:val="left" w:pos="1044"/>
        </w:tabs>
        <w:ind w:left="1044" w:hanging="864"/>
      </w:pPr>
      <w:rPr>
        <w:rFonts w:hint="eastAsia"/>
      </w:rPr>
    </w:lvl>
    <w:lvl w:ilvl="4" w:tentative="0">
      <w:start w:val="1"/>
      <w:numFmt w:val="decimal"/>
      <w:isLgl/>
      <w:lvlText w:val="%1.%2.%3.%4.%5"/>
      <w:lvlJc w:val="left"/>
      <w:pPr>
        <w:tabs>
          <w:tab w:val="left" w:pos="1188"/>
        </w:tabs>
        <w:ind w:left="1188" w:hanging="1008"/>
      </w:pPr>
      <w:rPr>
        <w:rFonts w:hint="eastAsia"/>
      </w:rPr>
    </w:lvl>
    <w:lvl w:ilvl="5" w:tentative="0">
      <w:start w:val="1"/>
      <w:numFmt w:val="decimal"/>
      <w:lvlText w:val="%1.%2.%3.%4.%5.%6"/>
      <w:lvlJc w:val="left"/>
      <w:pPr>
        <w:tabs>
          <w:tab w:val="left" w:pos="1332"/>
        </w:tabs>
        <w:ind w:left="1332" w:hanging="1152"/>
      </w:pPr>
      <w:rPr>
        <w:rFonts w:hint="eastAsia"/>
      </w:rPr>
    </w:lvl>
    <w:lvl w:ilvl="6" w:tentative="0">
      <w:start w:val="1"/>
      <w:numFmt w:val="decimal"/>
      <w:lvlText w:val="%1.%2.%3.%4.%5.%6.%7"/>
      <w:lvlJc w:val="left"/>
      <w:pPr>
        <w:tabs>
          <w:tab w:val="left" w:pos="1476"/>
        </w:tabs>
        <w:ind w:left="1476" w:hanging="1296"/>
      </w:pPr>
      <w:rPr>
        <w:rFonts w:hint="eastAsia"/>
      </w:rPr>
    </w:lvl>
    <w:lvl w:ilvl="7" w:tentative="0">
      <w:start w:val="1"/>
      <w:numFmt w:val="decimal"/>
      <w:lvlText w:val="%1.%2.%3.%4.%5.%6.%7.%8"/>
      <w:lvlJc w:val="left"/>
      <w:pPr>
        <w:tabs>
          <w:tab w:val="left" w:pos="1620"/>
        </w:tabs>
        <w:ind w:left="1620" w:hanging="1440"/>
      </w:pPr>
      <w:rPr>
        <w:rFonts w:hint="eastAsia"/>
      </w:rPr>
    </w:lvl>
    <w:lvl w:ilvl="8" w:tentative="0">
      <w:start w:val="1"/>
      <w:numFmt w:val="decimal"/>
      <w:lvlText w:val="%1.%2.%3.%4.%5.%6.%7.%8.%9"/>
      <w:lvlJc w:val="left"/>
      <w:pPr>
        <w:tabs>
          <w:tab w:val="left" w:pos="1764"/>
        </w:tabs>
        <w:ind w:left="1764" w:hanging="1584"/>
      </w:pPr>
      <w:rPr>
        <w:rFonts w:hint="eastAsia"/>
      </w:rPr>
    </w:lvl>
  </w:abstractNum>
  <w:abstractNum w:abstractNumId="3">
    <w:nsid w:val="3B2C3E48"/>
    <w:multiLevelType w:val="multilevel"/>
    <w:tmpl w:val="3B2C3E48"/>
    <w:lvl w:ilvl="0" w:tentative="0">
      <w:start w:val="1"/>
      <w:numFmt w:val="chineseCountingThousand"/>
      <w:pStyle w:val="48"/>
      <w:lvlText w:val="第%1条"/>
      <w:lvlJc w:val="left"/>
      <w:pPr>
        <w:tabs>
          <w:tab w:val="left" w:pos="720"/>
        </w:tabs>
        <w:ind w:left="720" w:hanging="720"/>
      </w:pPr>
      <w:rPr>
        <w:rFonts w:hint="eastAsia" w:ascii="Times New Roman" w:hAnsi="Times New Roman" w:cs="Times New Roman"/>
        <w:b w:val="0"/>
        <w:bCs w:val="0"/>
        <w:i w:val="0"/>
        <w:iCs w:val="0"/>
        <w:caps w:val="0"/>
        <w:smallCaps w:val="0"/>
        <w:strike w:val="0"/>
        <w:dstrike w:val="0"/>
        <w:snapToGrid w:val="0"/>
        <w:vanish w:val="0"/>
        <w:color w:val="000000"/>
        <w:spacing w:val="0"/>
        <w:w w:val="0"/>
        <w:kern w:val="0"/>
        <w:position w:val="0"/>
        <w:sz w:val="21"/>
        <w:szCs w:val="21"/>
        <w:u w:val="none"/>
        <w:vertAlign w:val="baseline"/>
        <w:lang w:val="en-US"/>
        <w14:shadow w14:blurRad="0" w14:dist="0" w14:dir="0" w14:sx="0" w14:sy="0" w14:kx="0" w14:ky="0" w14:algn="none">
          <w14:srgbClr w14:val="000000"/>
        </w14:shadow>
      </w:rPr>
    </w:lvl>
    <w:lvl w:ilvl="1" w:tentative="0">
      <w:start w:val="1"/>
      <w:numFmt w:val="decimal"/>
      <w:lvlText w:val="(%2)"/>
      <w:lvlJc w:val="left"/>
      <w:pPr>
        <w:ind w:left="930" w:hanging="51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F6C0644"/>
    <w:multiLevelType w:val="singleLevel"/>
    <w:tmpl w:val="4F6C0644"/>
    <w:lvl w:ilvl="0" w:tentative="0">
      <w:start w:val="8"/>
      <w:numFmt w:val="chineseCounting"/>
      <w:suff w:val="nothing"/>
      <w:lvlText w:val="%1、"/>
      <w:lvlJc w:val="left"/>
      <w:rPr>
        <w:rFonts w:hint="eastAsia"/>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lOWM1OTMwZGQzZDY5MzhlNzVlMzQ0YzBhNDNhMmIifQ=="/>
  </w:docVars>
  <w:rsids>
    <w:rsidRoot w:val="00FE18D0"/>
    <w:rsid w:val="0000005B"/>
    <w:rsid w:val="000018C9"/>
    <w:rsid w:val="000032D7"/>
    <w:rsid w:val="00005081"/>
    <w:rsid w:val="0000599A"/>
    <w:rsid w:val="000069F9"/>
    <w:rsid w:val="00007499"/>
    <w:rsid w:val="0000750A"/>
    <w:rsid w:val="00011454"/>
    <w:rsid w:val="0001283E"/>
    <w:rsid w:val="000128C8"/>
    <w:rsid w:val="00014765"/>
    <w:rsid w:val="00014E6F"/>
    <w:rsid w:val="00015EBD"/>
    <w:rsid w:val="000169C4"/>
    <w:rsid w:val="00017A2A"/>
    <w:rsid w:val="0002030C"/>
    <w:rsid w:val="000214C9"/>
    <w:rsid w:val="0002172B"/>
    <w:rsid w:val="000231B4"/>
    <w:rsid w:val="00024649"/>
    <w:rsid w:val="000248E6"/>
    <w:rsid w:val="0002510E"/>
    <w:rsid w:val="0002673B"/>
    <w:rsid w:val="0003024F"/>
    <w:rsid w:val="00030D5A"/>
    <w:rsid w:val="00032301"/>
    <w:rsid w:val="0003413F"/>
    <w:rsid w:val="00034675"/>
    <w:rsid w:val="00035203"/>
    <w:rsid w:val="000404F4"/>
    <w:rsid w:val="000419F4"/>
    <w:rsid w:val="00041CED"/>
    <w:rsid w:val="0004375D"/>
    <w:rsid w:val="000437BE"/>
    <w:rsid w:val="0004468E"/>
    <w:rsid w:val="00044872"/>
    <w:rsid w:val="00045000"/>
    <w:rsid w:val="000460DA"/>
    <w:rsid w:val="00046562"/>
    <w:rsid w:val="00051D5B"/>
    <w:rsid w:val="0005544F"/>
    <w:rsid w:val="00057149"/>
    <w:rsid w:val="00057CFC"/>
    <w:rsid w:val="00057FB3"/>
    <w:rsid w:val="00062ACA"/>
    <w:rsid w:val="0006375B"/>
    <w:rsid w:val="00063D51"/>
    <w:rsid w:val="00063F45"/>
    <w:rsid w:val="000640A0"/>
    <w:rsid w:val="00064B1A"/>
    <w:rsid w:val="00065B4A"/>
    <w:rsid w:val="00065DB0"/>
    <w:rsid w:val="0006681B"/>
    <w:rsid w:val="00070435"/>
    <w:rsid w:val="0007126F"/>
    <w:rsid w:val="00071A2E"/>
    <w:rsid w:val="000732A2"/>
    <w:rsid w:val="00073E83"/>
    <w:rsid w:val="00074C0B"/>
    <w:rsid w:val="00075E3C"/>
    <w:rsid w:val="00075ED1"/>
    <w:rsid w:val="00075FD7"/>
    <w:rsid w:val="00081A37"/>
    <w:rsid w:val="00087876"/>
    <w:rsid w:val="00090EC0"/>
    <w:rsid w:val="0009199B"/>
    <w:rsid w:val="00092310"/>
    <w:rsid w:val="00092E7E"/>
    <w:rsid w:val="00096B1F"/>
    <w:rsid w:val="000A00B7"/>
    <w:rsid w:val="000A1D94"/>
    <w:rsid w:val="000A3901"/>
    <w:rsid w:val="000A4170"/>
    <w:rsid w:val="000A4682"/>
    <w:rsid w:val="000A4DE9"/>
    <w:rsid w:val="000A67AF"/>
    <w:rsid w:val="000B4CD4"/>
    <w:rsid w:val="000B76C1"/>
    <w:rsid w:val="000C08B5"/>
    <w:rsid w:val="000C1468"/>
    <w:rsid w:val="000C268D"/>
    <w:rsid w:val="000C2B35"/>
    <w:rsid w:val="000C31F4"/>
    <w:rsid w:val="000C4867"/>
    <w:rsid w:val="000D414F"/>
    <w:rsid w:val="000D41D1"/>
    <w:rsid w:val="000D424A"/>
    <w:rsid w:val="000D4B7B"/>
    <w:rsid w:val="000D5B6C"/>
    <w:rsid w:val="000D6DF1"/>
    <w:rsid w:val="000E19FE"/>
    <w:rsid w:val="000E2FBE"/>
    <w:rsid w:val="000E62B3"/>
    <w:rsid w:val="000F288F"/>
    <w:rsid w:val="000F530B"/>
    <w:rsid w:val="000F6A44"/>
    <w:rsid w:val="000F7606"/>
    <w:rsid w:val="0010295E"/>
    <w:rsid w:val="00110305"/>
    <w:rsid w:val="001125BE"/>
    <w:rsid w:val="00113FAA"/>
    <w:rsid w:val="001146BC"/>
    <w:rsid w:val="001149C2"/>
    <w:rsid w:val="00114CED"/>
    <w:rsid w:val="0011656C"/>
    <w:rsid w:val="00116D47"/>
    <w:rsid w:val="0012432E"/>
    <w:rsid w:val="00131540"/>
    <w:rsid w:val="0013388B"/>
    <w:rsid w:val="0013432C"/>
    <w:rsid w:val="001347CA"/>
    <w:rsid w:val="00135491"/>
    <w:rsid w:val="00135556"/>
    <w:rsid w:val="00135979"/>
    <w:rsid w:val="00136402"/>
    <w:rsid w:val="001369BC"/>
    <w:rsid w:val="00136F55"/>
    <w:rsid w:val="00137014"/>
    <w:rsid w:val="00137C29"/>
    <w:rsid w:val="00137FC1"/>
    <w:rsid w:val="00140463"/>
    <w:rsid w:val="00141337"/>
    <w:rsid w:val="00146E30"/>
    <w:rsid w:val="00147406"/>
    <w:rsid w:val="00151B34"/>
    <w:rsid w:val="00152BFD"/>
    <w:rsid w:val="00153991"/>
    <w:rsid w:val="0015462A"/>
    <w:rsid w:val="001547A0"/>
    <w:rsid w:val="00155817"/>
    <w:rsid w:val="001559BD"/>
    <w:rsid w:val="00156639"/>
    <w:rsid w:val="00156880"/>
    <w:rsid w:val="00157007"/>
    <w:rsid w:val="0015770F"/>
    <w:rsid w:val="00161A3D"/>
    <w:rsid w:val="00163010"/>
    <w:rsid w:val="00165FB0"/>
    <w:rsid w:val="0017067D"/>
    <w:rsid w:val="00177507"/>
    <w:rsid w:val="00180441"/>
    <w:rsid w:val="00182A5C"/>
    <w:rsid w:val="00184D7C"/>
    <w:rsid w:val="00186E67"/>
    <w:rsid w:val="00187AF0"/>
    <w:rsid w:val="00190BD3"/>
    <w:rsid w:val="00191296"/>
    <w:rsid w:val="001925C6"/>
    <w:rsid w:val="001925DE"/>
    <w:rsid w:val="00195975"/>
    <w:rsid w:val="00196BAA"/>
    <w:rsid w:val="00196F58"/>
    <w:rsid w:val="001A29AE"/>
    <w:rsid w:val="001A40F5"/>
    <w:rsid w:val="001A42D8"/>
    <w:rsid w:val="001A42E1"/>
    <w:rsid w:val="001A590F"/>
    <w:rsid w:val="001A5956"/>
    <w:rsid w:val="001A5ADB"/>
    <w:rsid w:val="001B293F"/>
    <w:rsid w:val="001B5612"/>
    <w:rsid w:val="001C15B6"/>
    <w:rsid w:val="001C2CBF"/>
    <w:rsid w:val="001C7AA8"/>
    <w:rsid w:val="001D0C64"/>
    <w:rsid w:val="001D3FE8"/>
    <w:rsid w:val="001D4586"/>
    <w:rsid w:val="001D7F5E"/>
    <w:rsid w:val="001E1A79"/>
    <w:rsid w:val="001E481B"/>
    <w:rsid w:val="001E5A36"/>
    <w:rsid w:val="001F01A7"/>
    <w:rsid w:val="001F02C4"/>
    <w:rsid w:val="001F0FFE"/>
    <w:rsid w:val="001F12A3"/>
    <w:rsid w:val="001F282D"/>
    <w:rsid w:val="001F2D78"/>
    <w:rsid w:val="001F4436"/>
    <w:rsid w:val="001F44C3"/>
    <w:rsid w:val="001F78DA"/>
    <w:rsid w:val="002004DC"/>
    <w:rsid w:val="00200C58"/>
    <w:rsid w:val="00200CDB"/>
    <w:rsid w:val="00202130"/>
    <w:rsid w:val="0020314D"/>
    <w:rsid w:val="00204B61"/>
    <w:rsid w:val="00213088"/>
    <w:rsid w:val="00213232"/>
    <w:rsid w:val="002152D9"/>
    <w:rsid w:val="00215D7A"/>
    <w:rsid w:val="0022054F"/>
    <w:rsid w:val="0022130B"/>
    <w:rsid w:val="002213F0"/>
    <w:rsid w:val="00222A6E"/>
    <w:rsid w:val="0022496C"/>
    <w:rsid w:val="00225CB1"/>
    <w:rsid w:val="00227121"/>
    <w:rsid w:val="00232257"/>
    <w:rsid w:val="00232F3A"/>
    <w:rsid w:val="0023302E"/>
    <w:rsid w:val="002337D2"/>
    <w:rsid w:val="002344D0"/>
    <w:rsid w:val="002355E7"/>
    <w:rsid w:val="002376A0"/>
    <w:rsid w:val="002377F8"/>
    <w:rsid w:val="00241B9D"/>
    <w:rsid w:val="00241F4A"/>
    <w:rsid w:val="002427D0"/>
    <w:rsid w:val="00244771"/>
    <w:rsid w:val="00247077"/>
    <w:rsid w:val="00247296"/>
    <w:rsid w:val="0025678A"/>
    <w:rsid w:val="00256A84"/>
    <w:rsid w:val="00256D3B"/>
    <w:rsid w:val="002600EF"/>
    <w:rsid w:val="00260F07"/>
    <w:rsid w:val="00261213"/>
    <w:rsid w:val="0026322F"/>
    <w:rsid w:val="002635A7"/>
    <w:rsid w:val="00265B69"/>
    <w:rsid w:val="00266607"/>
    <w:rsid w:val="0027001E"/>
    <w:rsid w:val="002708B7"/>
    <w:rsid w:val="0027327C"/>
    <w:rsid w:val="00273752"/>
    <w:rsid w:val="002744DD"/>
    <w:rsid w:val="002758DF"/>
    <w:rsid w:val="00277E45"/>
    <w:rsid w:val="002819D3"/>
    <w:rsid w:val="00282324"/>
    <w:rsid w:val="0028487C"/>
    <w:rsid w:val="002903DE"/>
    <w:rsid w:val="00290446"/>
    <w:rsid w:val="0029051A"/>
    <w:rsid w:val="00291A3C"/>
    <w:rsid w:val="00291CE9"/>
    <w:rsid w:val="0029602C"/>
    <w:rsid w:val="0029678C"/>
    <w:rsid w:val="00296F22"/>
    <w:rsid w:val="00297497"/>
    <w:rsid w:val="00297EA1"/>
    <w:rsid w:val="002A0BBC"/>
    <w:rsid w:val="002A0E71"/>
    <w:rsid w:val="002A0E9B"/>
    <w:rsid w:val="002A1D32"/>
    <w:rsid w:val="002A26F1"/>
    <w:rsid w:val="002A3A1C"/>
    <w:rsid w:val="002A6D07"/>
    <w:rsid w:val="002B08BB"/>
    <w:rsid w:val="002B2372"/>
    <w:rsid w:val="002B3D25"/>
    <w:rsid w:val="002B5AD4"/>
    <w:rsid w:val="002B5C58"/>
    <w:rsid w:val="002B7527"/>
    <w:rsid w:val="002C0593"/>
    <w:rsid w:val="002C1CDB"/>
    <w:rsid w:val="002C1FA5"/>
    <w:rsid w:val="002C3218"/>
    <w:rsid w:val="002C3C0B"/>
    <w:rsid w:val="002C5773"/>
    <w:rsid w:val="002C74B2"/>
    <w:rsid w:val="002D21B0"/>
    <w:rsid w:val="002D2878"/>
    <w:rsid w:val="002D3405"/>
    <w:rsid w:val="002D42C1"/>
    <w:rsid w:val="002D47EC"/>
    <w:rsid w:val="002E0B0E"/>
    <w:rsid w:val="002E5571"/>
    <w:rsid w:val="002E5686"/>
    <w:rsid w:val="002E584A"/>
    <w:rsid w:val="002E6F86"/>
    <w:rsid w:val="002E7F6B"/>
    <w:rsid w:val="002F1C85"/>
    <w:rsid w:val="002F4D5D"/>
    <w:rsid w:val="002F576E"/>
    <w:rsid w:val="002F6132"/>
    <w:rsid w:val="0030082A"/>
    <w:rsid w:val="003034B9"/>
    <w:rsid w:val="00303A77"/>
    <w:rsid w:val="003042FE"/>
    <w:rsid w:val="0030521A"/>
    <w:rsid w:val="003073FB"/>
    <w:rsid w:val="0031053C"/>
    <w:rsid w:val="00310F00"/>
    <w:rsid w:val="003110CF"/>
    <w:rsid w:val="003128D6"/>
    <w:rsid w:val="00312E5E"/>
    <w:rsid w:val="00314A05"/>
    <w:rsid w:val="00314DCB"/>
    <w:rsid w:val="0031544D"/>
    <w:rsid w:val="00317610"/>
    <w:rsid w:val="00322042"/>
    <w:rsid w:val="00323026"/>
    <w:rsid w:val="00323B7D"/>
    <w:rsid w:val="00324F85"/>
    <w:rsid w:val="00325B83"/>
    <w:rsid w:val="003328A0"/>
    <w:rsid w:val="0033455B"/>
    <w:rsid w:val="00335543"/>
    <w:rsid w:val="00336D5E"/>
    <w:rsid w:val="00340078"/>
    <w:rsid w:val="00342B51"/>
    <w:rsid w:val="003443CA"/>
    <w:rsid w:val="00345C58"/>
    <w:rsid w:val="00346378"/>
    <w:rsid w:val="00346FEB"/>
    <w:rsid w:val="003524CA"/>
    <w:rsid w:val="003541F6"/>
    <w:rsid w:val="003545F9"/>
    <w:rsid w:val="00354912"/>
    <w:rsid w:val="0036439F"/>
    <w:rsid w:val="00372522"/>
    <w:rsid w:val="00372803"/>
    <w:rsid w:val="00372866"/>
    <w:rsid w:val="0037286A"/>
    <w:rsid w:val="00373CFD"/>
    <w:rsid w:val="003753E0"/>
    <w:rsid w:val="00375C05"/>
    <w:rsid w:val="00377CEC"/>
    <w:rsid w:val="0038366E"/>
    <w:rsid w:val="00383EB6"/>
    <w:rsid w:val="003847B2"/>
    <w:rsid w:val="00384F9E"/>
    <w:rsid w:val="003854A7"/>
    <w:rsid w:val="0038579D"/>
    <w:rsid w:val="00387E80"/>
    <w:rsid w:val="00391137"/>
    <w:rsid w:val="00392D83"/>
    <w:rsid w:val="003A4FD3"/>
    <w:rsid w:val="003A517F"/>
    <w:rsid w:val="003A6D9B"/>
    <w:rsid w:val="003B026D"/>
    <w:rsid w:val="003B177E"/>
    <w:rsid w:val="003B24ED"/>
    <w:rsid w:val="003B5EA3"/>
    <w:rsid w:val="003B6DE2"/>
    <w:rsid w:val="003B7D82"/>
    <w:rsid w:val="003C1899"/>
    <w:rsid w:val="003C2FFD"/>
    <w:rsid w:val="003C3734"/>
    <w:rsid w:val="003C377D"/>
    <w:rsid w:val="003C378A"/>
    <w:rsid w:val="003C395E"/>
    <w:rsid w:val="003C60AA"/>
    <w:rsid w:val="003C691A"/>
    <w:rsid w:val="003C6E8B"/>
    <w:rsid w:val="003C7B74"/>
    <w:rsid w:val="003D0456"/>
    <w:rsid w:val="003D07CA"/>
    <w:rsid w:val="003D369F"/>
    <w:rsid w:val="003D3FF5"/>
    <w:rsid w:val="003D4550"/>
    <w:rsid w:val="003D4A9F"/>
    <w:rsid w:val="003D4DC1"/>
    <w:rsid w:val="003D686B"/>
    <w:rsid w:val="003D70D6"/>
    <w:rsid w:val="003E13C3"/>
    <w:rsid w:val="003E1B71"/>
    <w:rsid w:val="003E22EE"/>
    <w:rsid w:val="003E3A98"/>
    <w:rsid w:val="003E5196"/>
    <w:rsid w:val="003E56BE"/>
    <w:rsid w:val="003E5D51"/>
    <w:rsid w:val="003E5EF2"/>
    <w:rsid w:val="003E67B4"/>
    <w:rsid w:val="003E7FAD"/>
    <w:rsid w:val="003F04DD"/>
    <w:rsid w:val="003F25CB"/>
    <w:rsid w:val="003F2EDC"/>
    <w:rsid w:val="003F5249"/>
    <w:rsid w:val="003F5605"/>
    <w:rsid w:val="003F7C5A"/>
    <w:rsid w:val="00402E14"/>
    <w:rsid w:val="00403288"/>
    <w:rsid w:val="004034F9"/>
    <w:rsid w:val="00403703"/>
    <w:rsid w:val="004048A6"/>
    <w:rsid w:val="00407176"/>
    <w:rsid w:val="0040739D"/>
    <w:rsid w:val="004079D0"/>
    <w:rsid w:val="00410A34"/>
    <w:rsid w:val="00410E5E"/>
    <w:rsid w:val="00411DD9"/>
    <w:rsid w:val="00411FA9"/>
    <w:rsid w:val="00414C34"/>
    <w:rsid w:val="00415710"/>
    <w:rsid w:val="00417068"/>
    <w:rsid w:val="00417CF6"/>
    <w:rsid w:val="004222B2"/>
    <w:rsid w:val="00422ACF"/>
    <w:rsid w:val="00422BCB"/>
    <w:rsid w:val="00423E17"/>
    <w:rsid w:val="0042444F"/>
    <w:rsid w:val="00425213"/>
    <w:rsid w:val="0042534D"/>
    <w:rsid w:val="004255C8"/>
    <w:rsid w:val="0042615D"/>
    <w:rsid w:val="0042656E"/>
    <w:rsid w:val="004277C9"/>
    <w:rsid w:val="00433400"/>
    <w:rsid w:val="004343C2"/>
    <w:rsid w:val="004368BD"/>
    <w:rsid w:val="00437CE8"/>
    <w:rsid w:val="00442B6C"/>
    <w:rsid w:val="00442D8A"/>
    <w:rsid w:val="004438BC"/>
    <w:rsid w:val="00444A12"/>
    <w:rsid w:val="00447D9A"/>
    <w:rsid w:val="00451E1E"/>
    <w:rsid w:val="004527EC"/>
    <w:rsid w:val="00453340"/>
    <w:rsid w:val="004539D9"/>
    <w:rsid w:val="00455F37"/>
    <w:rsid w:val="0045623D"/>
    <w:rsid w:val="00456544"/>
    <w:rsid w:val="00457E2A"/>
    <w:rsid w:val="0046213D"/>
    <w:rsid w:val="004655E4"/>
    <w:rsid w:val="00466AED"/>
    <w:rsid w:val="00467626"/>
    <w:rsid w:val="00473A24"/>
    <w:rsid w:val="00473A44"/>
    <w:rsid w:val="004772E4"/>
    <w:rsid w:val="004804DF"/>
    <w:rsid w:val="004820F2"/>
    <w:rsid w:val="00482A06"/>
    <w:rsid w:val="00483595"/>
    <w:rsid w:val="00484C60"/>
    <w:rsid w:val="00484C86"/>
    <w:rsid w:val="00484D00"/>
    <w:rsid w:val="0048527E"/>
    <w:rsid w:val="004863AA"/>
    <w:rsid w:val="00487EA0"/>
    <w:rsid w:val="00492500"/>
    <w:rsid w:val="0049375A"/>
    <w:rsid w:val="00497071"/>
    <w:rsid w:val="004977A8"/>
    <w:rsid w:val="004A0775"/>
    <w:rsid w:val="004A2270"/>
    <w:rsid w:val="004A2D42"/>
    <w:rsid w:val="004A3B54"/>
    <w:rsid w:val="004A4E52"/>
    <w:rsid w:val="004A55EC"/>
    <w:rsid w:val="004A56F4"/>
    <w:rsid w:val="004B1155"/>
    <w:rsid w:val="004B533E"/>
    <w:rsid w:val="004B5D74"/>
    <w:rsid w:val="004B6A8E"/>
    <w:rsid w:val="004B7DA6"/>
    <w:rsid w:val="004C155B"/>
    <w:rsid w:val="004C1967"/>
    <w:rsid w:val="004C1DD5"/>
    <w:rsid w:val="004C3E15"/>
    <w:rsid w:val="004C425E"/>
    <w:rsid w:val="004C50FF"/>
    <w:rsid w:val="004C56FA"/>
    <w:rsid w:val="004C6422"/>
    <w:rsid w:val="004C6F49"/>
    <w:rsid w:val="004C7BC2"/>
    <w:rsid w:val="004D268B"/>
    <w:rsid w:val="004D26EC"/>
    <w:rsid w:val="004D44E5"/>
    <w:rsid w:val="004D53A1"/>
    <w:rsid w:val="004D5734"/>
    <w:rsid w:val="004D5848"/>
    <w:rsid w:val="004D7AB4"/>
    <w:rsid w:val="004E0512"/>
    <w:rsid w:val="004E1986"/>
    <w:rsid w:val="004E214D"/>
    <w:rsid w:val="004E2AD6"/>
    <w:rsid w:val="004E3F18"/>
    <w:rsid w:val="004E4948"/>
    <w:rsid w:val="004E4FDE"/>
    <w:rsid w:val="004E5211"/>
    <w:rsid w:val="004F2767"/>
    <w:rsid w:val="004F34AF"/>
    <w:rsid w:val="004F5A5F"/>
    <w:rsid w:val="004F69C6"/>
    <w:rsid w:val="00507525"/>
    <w:rsid w:val="0051053B"/>
    <w:rsid w:val="00511C56"/>
    <w:rsid w:val="00516622"/>
    <w:rsid w:val="00530632"/>
    <w:rsid w:val="005312F9"/>
    <w:rsid w:val="00531303"/>
    <w:rsid w:val="00531885"/>
    <w:rsid w:val="00531927"/>
    <w:rsid w:val="005329FA"/>
    <w:rsid w:val="005335AD"/>
    <w:rsid w:val="00533AFA"/>
    <w:rsid w:val="00536824"/>
    <w:rsid w:val="0054018D"/>
    <w:rsid w:val="00542139"/>
    <w:rsid w:val="005426BE"/>
    <w:rsid w:val="005439B5"/>
    <w:rsid w:val="00544CE1"/>
    <w:rsid w:val="0054529C"/>
    <w:rsid w:val="00546D87"/>
    <w:rsid w:val="00547FE6"/>
    <w:rsid w:val="0055060B"/>
    <w:rsid w:val="005510C4"/>
    <w:rsid w:val="00551A45"/>
    <w:rsid w:val="00552B92"/>
    <w:rsid w:val="00553C50"/>
    <w:rsid w:val="005549BB"/>
    <w:rsid w:val="00554B00"/>
    <w:rsid w:val="00555928"/>
    <w:rsid w:val="005560ED"/>
    <w:rsid w:val="0056018D"/>
    <w:rsid w:val="005601A7"/>
    <w:rsid w:val="00561B7B"/>
    <w:rsid w:val="005637DC"/>
    <w:rsid w:val="00567B5E"/>
    <w:rsid w:val="005713D7"/>
    <w:rsid w:val="00572A13"/>
    <w:rsid w:val="00574CBD"/>
    <w:rsid w:val="005750AA"/>
    <w:rsid w:val="00576204"/>
    <w:rsid w:val="00577EFA"/>
    <w:rsid w:val="00580AD9"/>
    <w:rsid w:val="005826ED"/>
    <w:rsid w:val="00582A33"/>
    <w:rsid w:val="0058387A"/>
    <w:rsid w:val="00583BA9"/>
    <w:rsid w:val="005876E6"/>
    <w:rsid w:val="00591EE1"/>
    <w:rsid w:val="0059549A"/>
    <w:rsid w:val="00596C82"/>
    <w:rsid w:val="005A0A0E"/>
    <w:rsid w:val="005A13D0"/>
    <w:rsid w:val="005A4ADB"/>
    <w:rsid w:val="005A4C6F"/>
    <w:rsid w:val="005A5672"/>
    <w:rsid w:val="005A5917"/>
    <w:rsid w:val="005B07D4"/>
    <w:rsid w:val="005B099A"/>
    <w:rsid w:val="005B3D01"/>
    <w:rsid w:val="005B6B7A"/>
    <w:rsid w:val="005B77BF"/>
    <w:rsid w:val="005C0270"/>
    <w:rsid w:val="005C123B"/>
    <w:rsid w:val="005C3FF3"/>
    <w:rsid w:val="005C588D"/>
    <w:rsid w:val="005C620A"/>
    <w:rsid w:val="005C71D3"/>
    <w:rsid w:val="005D3276"/>
    <w:rsid w:val="005D3379"/>
    <w:rsid w:val="005D3D0D"/>
    <w:rsid w:val="005D3EB3"/>
    <w:rsid w:val="005D41BF"/>
    <w:rsid w:val="005D43AF"/>
    <w:rsid w:val="005D5854"/>
    <w:rsid w:val="005D5E39"/>
    <w:rsid w:val="005E1D6B"/>
    <w:rsid w:val="005E55CB"/>
    <w:rsid w:val="005E5E6F"/>
    <w:rsid w:val="005F0B95"/>
    <w:rsid w:val="005F2018"/>
    <w:rsid w:val="005F40F3"/>
    <w:rsid w:val="005F5137"/>
    <w:rsid w:val="005F72C0"/>
    <w:rsid w:val="005F7378"/>
    <w:rsid w:val="005F7513"/>
    <w:rsid w:val="00601772"/>
    <w:rsid w:val="00610FAC"/>
    <w:rsid w:val="00612375"/>
    <w:rsid w:val="00612C1E"/>
    <w:rsid w:val="006146CB"/>
    <w:rsid w:val="00614D6E"/>
    <w:rsid w:val="0061513C"/>
    <w:rsid w:val="00615D94"/>
    <w:rsid w:val="00616489"/>
    <w:rsid w:val="00616F6C"/>
    <w:rsid w:val="006221BF"/>
    <w:rsid w:val="00622536"/>
    <w:rsid w:val="00625C1C"/>
    <w:rsid w:val="00637B10"/>
    <w:rsid w:val="00637D49"/>
    <w:rsid w:val="006427F8"/>
    <w:rsid w:val="00642A6B"/>
    <w:rsid w:val="006437CD"/>
    <w:rsid w:val="00644D4C"/>
    <w:rsid w:val="00654086"/>
    <w:rsid w:val="006637BC"/>
    <w:rsid w:val="00663F76"/>
    <w:rsid w:val="00666147"/>
    <w:rsid w:val="00670C45"/>
    <w:rsid w:val="006724FB"/>
    <w:rsid w:val="00673855"/>
    <w:rsid w:val="00674996"/>
    <w:rsid w:val="00677629"/>
    <w:rsid w:val="0068322B"/>
    <w:rsid w:val="00683B32"/>
    <w:rsid w:val="006840CA"/>
    <w:rsid w:val="00684C18"/>
    <w:rsid w:val="00685A00"/>
    <w:rsid w:val="006865B4"/>
    <w:rsid w:val="0069106F"/>
    <w:rsid w:val="0069239C"/>
    <w:rsid w:val="00692CB6"/>
    <w:rsid w:val="00693A25"/>
    <w:rsid w:val="00693B3F"/>
    <w:rsid w:val="0069494F"/>
    <w:rsid w:val="00694F06"/>
    <w:rsid w:val="00695274"/>
    <w:rsid w:val="0069744B"/>
    <w:rsid w:val="00697714"/>
    <w:rsid w:val="006A1C65"/>
    <w:rsid w:val="006A1EA4"/>
    <w:rsid w:val="006A2275"/>
    <w:rsid w:val="006A68EB"/>
    <w:rsid w:val="006A7F95"/>
    <w:rsid w:val="006B0DCF"/>
    <w:rsid w:val="006B18CD"/>
    <w:rsid w:val="006B1C2F"/>
    <w:rsid w:val="006B3466"/>
    <w:rsid w:val="006B48B6"/>
    <w:rsid w:val="006B52BF"/>
    <w:rsid w:val="006C0535"/>
    <w:rsid w:val="006C2230"/>
    <w:rsid w:val="006C2568"/>
    <w:rsid w:val="006C30F3"/>
    <w:rsid w:val="006C50F0"/>
    <w:rsid w:val="006C72E2"/>
    <w:rsid w:val="006C7639"/>
    <w:rsid w:val="006C7878"/>
    <w:rsid w:val="006D0B37"/>
    <w:rsid w:val="006D3BA3"/>
    <w:rsid w:val="006D4A15"/>
    <w:rsid w:val="006D6694"/>
    <w:rsid w:val="006D6DF0"/>
    <w:rsid w:val="006E04E3"/>
    <w:rsid w:val="006E1761"/>
    <w:rsid w:val="006E3A3D"/>
    <w:rsid w:val="006E3D8C"/>
    <w:rsid w:val="006E4138"/>
    <w:rsid w:val="006E5B54"/>
    <w:rsid w:val="006E615B"/>
    <w:rsid w:val="006F1EBD"/>
    <w:rsid w:val="006F4AED"/>
    <w:rsid w:val="006F584F"/>
    <w:rsid w:val="006F5D75"/>
    <w:rsid w:val="00700809"/>
    <w:rsid w:val="007031A4"/>
    <w:rsid w:val="0070743C"/>
    <w:rsid w:val="007078A6"/>
    <w:rsid w:val="007078EF"/>
    <w:rsid w:val="00707DE1"/>
    <w:rsid w:val="00711A51"/>
    <w:rsid w:val="007144B8"/>
    <w:rsid w:val="00715752"/>
    <w:rsid w:val="007178F3"/>
    <w:rsid w:val="007216CD"/>
    <w:rsid w:val="007221CA"/>
    <w:rsid w:val="007222C5"/>
    <w:rsid w:val="007226AA"/>
    <w:rsid w:val="00722C28"/>
    <w:rsid w:val="007248E5"/>
    <w:rsid w:val="00725072"/>
    <w:rsid w:val="00725083"/>
    <w:rsid w:val="007255C8"/>
    <w:rsid w:val="00725834"/>
    <w:rsid w:val="00727EED"/>
    <w:rsid w:val="00735FE6"/>
    <w:rsid w:val="0073711D"/>
    <w:rsid w:val="00737F36"/>
    <w:rsid w:val="007415AB"/>
    <w:rsid w:val="00746CB8"/>
    <w:rsid w:val="007501DB"/>
    <w:rsid w:val="00753126"/>
    <w:rsid w:val="007545D3"/>
    <w:rsid w:val="00754D84"/>
    <w:rsid w:val="00756A0F"/>
    <w:rsid w:val="00760CF9"/>
    <w:rsid w:val="0076135F"/>
    <w:rsid w:val="007622EC"/>
    <w:rsid w:val="00762948"/>
    <w:rsid w:val="00762DA3"/>
    <w:rsid w:val="007634E8"/>
    <w:rsid w:val="00770E8F"/>
    <w:rsid w:val="0077181C"/>
    <w:rsid w:val="00772B3D"/>
    <w:rsid w:val="007734E0"/>
    <w:rsid w:val="00774DFE"/>
    <w:rsid w:val="007764E5"/>
    <w:rsid w:val="00777C84"/>
    <w:rsid w:val="00781C88"/>
    <w:rsid w:val="0078502A"/>
    <w:rsid w:val="0078599F"/>
    <w:rsid w:val="00786B06"/>
    <w:rsid w:val="00787B76"/>
    <w:rsid w:val="00790A63"/>
    <w:rsid w:val="00791C99"/>
    <w:rsid w:val="00792352"/>
    <w:rsid w:val="007973C3"/>
    <w:rsid w:val="007A0951"/>
    <w:rsid w:val="007A19FA"/>
    <w:rsid w:val="007A2117"/>
    <w:rsid w:val="007A2548"/>
    <w:rsid w:val="007A4383"/>
    <w:rsid w:val="007A595A"/>
    <w:rsid w:val="007B0987"/>
    <w:rsid w:val="007B0AB5"/>
    <w:rsid w:val="007B2417"/>
    <w:rsid w:val="007B393D"/>
    <w:rsid w:val="007B53F5"/>
    <w:rsid w:val="007B6418"/>
    <w:rsid w:val="007C0C72"/>
    <w:rsid w:val="007C304F"/>
    <w:rsid w:val="007C3B3A"/>
    <w:rsid w:val="007C5861"/>
    <w:rsid w:val="007C5930"/>
    <w:rsid w:val="007C6AD9"/>
    <w:rsid w:val="007C75D3"/>
    <w:rsid w:val="007D11FC"/>
    <w:rsid w:val="007D2353"/>
    <w:rsid w:val="007D2A54"/>
    <w:rsid w:val="007D2F56"/>
    <w:rsid w:val="007D4E37"/>
    <w:rsid w:val="007E0CEC"/>
    <w:rsid w:val="007E0E5E"/>
    <w:rsid w:val="007E190C"/>
    <w:rsid w:val="007E1F8F"/>
    <w:rsid w:val="007E27B1"/>
    <w:rsid w:val="007E282E"/>
    <w:rsid w:val="007E28A7"/>
    <w:rsid w:val="007E2933"/>
    <w:rsid w:val="007E366A"/>
    <w:rsid w:val="007E4612"/>
    <w:rsid w:val="007F0A40"/>
    <w:rsid w:val="007F115A"/>
    <w:rsid w:val="007F17F1"/>
    <w:rsid w:val="007F1898"/>
    <w:rsid w:val="007F1905"/>
    <w:rsid w:val="007F2E39"/>
    <w:rsid w:val="007F3777"/>
    <w:rsid w:val="007F3B81"/>
    <w:rsid w:val="008000F3"/>
    <w:rsid w:val="008016AA"/>
    <w:rsid w:val="00803308"/>
    <w:rsid w:val="00803DB6"/>
    <w:rsid w:val="00804788"/>
    <w:rsid w:val="008052B9"/>
    <w:rsid w:val="00806900"/>
    <w:rsid w:val="008076C9"/>
    <w:rsid w:val="00810B2B"/>
    <w:rsid w:val="0081120B"/>
    <w:rsid w:val="00812055"/>
    <w:rsid w:val="008134A4"/>
    <w:rsid w:val="00813E46"/>
    <w:rsid w:val="00815402"/>
    <w:rsid w:val="00821531"/>
    <w:rsid w:val="0082323F"/>
    <w:rsid w:val="00824340"/>
    <w:rsid w:val="008255B4"/>
    <w:rsid w:val="008276ED"/>
    <w:rsid w:val="008277A5"/>
    <w:rsid w:val="00830F4F"/>
    <w:rsid w:val="0083190A"/>
    <w:rsid w:val="0083291A"/>
    <w:rsid w:val="00832F62"/>
    <w:rsid w:val="00836D55"/>
    <w:rsid w:val="00841AC6"/>
    <w:rsid w:val="00844617"/>
    <w:rsid w:val="00844FA1"/>
    <w:rsid w:val="00847C88"/>
    <w:rsid w:val="00850359"/>
    <w:rsid w:val="00850DEC"/>
    <w:rsid w:val="00850FDD"/>
    <w:rsid w:val="00852EFA"/>
    <w:rsid w:val="008561B9"/>
    <w:rsid w:val="00857B9F"/>
    <w:rsid w:val="00860C2F"/>
    <w:rsid w:val="00861088"/>
    <w:rsid w:val="0086282F"/>
    <w:rsid w:val="00862B82"/>
    <w:rsid w:val="00863866"/>
    <w:rsid w:val="00864C08"/>
    <w:rsid w:val="00871BC3"/>
    <w:rsid w:val="00872731"/>
    <w:rsid w:val="00880263"/>
    <w:rsid w:val="00880C91"/>
    <w:rsid w:val="00880F83"/>
    <w:rsid w:val="00881753"/>
    <w:rsid w:val="00885699"/>
    <w:rsid w:val="00886BB2"/>
    <w:rsid w:val="00890FE0"/>
    <w:rsid w:val="00892477"/>
    <w:rsid w:val="008924D4"/>
    <w:rsid w:val="00894346"/>
    <w:rsid w:val="0089497E"/>
    <w:rsid w:val="008955BD"/>
    <w:rsid w:val="0089622A"/>
    <w:rsid w:val="00896A3D"/>
    <w:rsid w:val="008A14AB"/>
    <w:rsid w:val="008A396B"/>
    <w:rsid w:val="008A6486"/>
    <w:rsid w:val="008A6FEB"/>
    <w:rsid w:val="008A7AD5"/>
    <w:rsid w:val="008B450A"/>
    <w:rsid w:val="008B4837"/>
    <w:rsid w:val="008C2098"/>
    <w:rsid w:val="008C2DDF"/>
    <w:rsid w:val="008C3462"/>
    <w:rsid w:val="008C3BAB"/>
    <w:rsid w:val="008C70CD"/>
    <w:rsid w:val="008C7C8F"/>
    <w:rsid w:val="008D0312"/>
    <w:rsid w:val="008D1278"/>
    <w:rsid w:val="008D2DB6"/>
    <w:rsid w:val="008D3982"/>
    <w:rsid w:val="008D4079"/>
    <w:rsid w:val="008D4CAA"/>
    <w:rsid w:val="008E0183"/>
    <w:rsid w:val="008E1360"/>
    <w:rsid w:val="008E1DAE"/>
    <w:rsid w:val="008E2959"/>
    <w:rsid w:val="008E4E5C"/>
    <w:rsid w:val="008E6244"/>
    <w:rsid w:val="008F0FC1"/>
    <w:rsid w:val="008F22EB"/>
    <w:rsid w:val="008F2E1F"/>
    <w:rsid w:val="008F5031"/>
    <w:rsid w:val="008F5722"/>
    <w:rsid w:val="008F594B"/>
    <w:rsid w:val="008F6689"/>
    <w:rsid w:val="00901D3B"/>
    <w:rsid w:val="00904D1E"/>
    <w:rsid w:val="00904F62"/>
    <w:rsid w:val="009110C1"/>
    <w:rsid w:val="00913EF1"/>
    <w:rsid w:val="00914C1E"/>
    <w:rsid w:val="00917072"/>
    <w:rsid w:val="00920778"/>
    <w:rsid w:val="00922C89"/>
    <w:rsid w:val="0092393F"/>
    <w:rsid w:val="00924490"/>
    <w:rsid w:val="00930263"/>
    <w:rsid w:val="00930715"/>
    <w:rsid w:val="009319D7"/>
    <w:rsid w:val="00932723"/>
    <w:rsid w:val="00933875"/>
    <w:rsid w:val="0094023B"/>
    <w:rsid w:val="0094086D"/>
    <w:rsid w:val="0094202D"/>
    <w:rsid w:val="00942595"/>
    <w:rsid w:val="009437C3"/>
    <w:rsid w:val="0094392B"/>
    <w:rsid w:val="00950D17"/>
    <w:rsid w:val="00950EF7"/>
    <w:rsid w:val="00954DD6"/>
    <w:rsid w:val="00954EE4"/>
    <w:rsid w:val="00956E10"/>
    <w:rsid w:val="00957821"/>
    <w:rsid w:val="00961A1F"/>
    <w:rsid w:val="0096210D"/>
    <w:rsid w:val="0096249C"/>
    <w:rsid w:val="0096472D"/>
    <w:rsid w:val="00965210"/>
    <w:rsid w:val="0096625F"/>
    <w:rsid w:val="0096661B"/>
    <w:rsid w:val="009667C0"/>
    <w:rsid w:val="00967A81"/>
    <w:rsid w:val="009747D6"/>
    <w:rsid w:val="00977471"/>
    <w:rsid w:val="00977CDC"/>
    <w:rsid w:val="00981860"/>
    <w:rsid w:val="00981C78"/>
    <w:rsid w:val="00981E04"/>
    <w:rsid w:val="00982177"/>
    <w:rsid w:val="00982BC8"/>
    <w:rsid w:val="00983DB9"/>
    <w:rsid w:val="009854AF"/>
    <w:rsid w:val="0098564A"/>
    <w:rsid w:val="00986142"/>
    <w:rsid w:val="00990326"/>
    <w:rsid w:val="0099053E"/>
    <w:rsid w:val="0099132C"/>
    <w:rsid w:val="00992123"/>
    <w:rsid w:val="00995142"/>
    <w:rsid w:val="009958C1"/>
    <w:rsid w:val="00995BF0"/>
    <w:rsid w:val="0099691A"/>
    <w:rsid w:val="00997B26"/>
    <w:rsid w:val="009A32A8"/>
    <w:rsid w:val="009A3812"/>
    <w:rsid w:val="009A5B38"/>
    <w:rsid w:val="009B21BA"/>
    <w:rsid w:val="009B7ABC"/>
    <w:rsid w:val="009C0400"/>
    <w:rsid w:val="009C1B06"/>
    <w:rsid w:val="009C1E19"/>
    <w:rsid w:val="009C3493"/>
    <w:rsid w:val="009C4593"/>
    <w:rsid w:val="009C63EF"/>
    <w:rsid w:val="009D2947"/>
    <w:rsid w:val="009D2F99"/>
    <w:rsid w:val="009D5C06"/>
    <w:rsid w:val="009D6F98"/>
    <w:rsid w:val="009D7005"/>
    <w:rsid w:val="009E10D5"/>
    <w:rsid w:val="009E3498"/>
    <w:rsid w:val="009E72A6"/>
    <w:rsid w:val="009F0699"/>
    <w:rsid w:val="009F0726"/>
    <w:rsid w:val="009F27DD"/>
    <w:rsid w:val="009F6620"/>
    <w:rsid w:val="009F69E2"/>
    <w:rsid w:val="009F6B44"/>
    <w:rsid w:val="009F774F"/>
    <w:rsid w:val="00A00A75"/>
    <w:rsid w:val="00A01D05"/>
    <w:rsid w:val="00A021FE"/>
    <w:rsid w:val="00A07FCD"/>
    <w:rsid w:val="00A102D8"/>
    <w:rsid w:val="00A10547"/>
    <w:rsid w:val="00A12BE4"/>
    <w:rsid w:val="00A151EC"/>
    <w:rsid w:val="00A20ADA"/>
    <w:rsid w:val="00A20D59"/>
    <w:rsid w:val="00A210D7"/>
    <w:rsid w:val="00A21E20"/>
    <w:rsid w:val="00A2209C"/>
    <w:rsid w:val="00A22120"/>
    <w:rsid w:val="00A23A98"/>
    <w:rsid w:val="00A2477B"/>
    <w:rsid w:val="00A24BB2"/>
    <w:rsid w:val="00A24C1C"/>
    <w:rsid w:val="00A25DEC"/>
    <w:rsid w:val="00A25E8F"/>
    <w:rsid w:val="00A26382"/>
    <w:rsid w:val="00A26CE4"/>
    <w:rsid w:val="00A35D60"/>
    <w:rsid w:val="00A36B1B"/>
    <w:rsid w:val="00A43AD4"/>
    <w:rsid w:val="00A44C43"/>
    <w:rsid w:val="00A46466"/>
    <w:rsid w:val="00A46F94"/>
    <w:rsid w:val="00A510B1"/>
    <w:rsid w:val="00A519A9"/>
    <w:rsid w:val="00A524C8"/>
    <w:rsid w:val="00A5627C"/>
    <w:rsid w:val="00A56560"/>
    <w:rsid w:val="00A603C2"/>
    <w:rsid w:val="00A626C1"/>
    <w:rsid w:val="00A63E03"/>
    <w:rsid w:val="00A65182"/>
    <w:rsid w:val="00A65648"/>
    <w:rsid w:val="00A65691"/>
    <w:rsid w:val="00A6594F"/>
    <w:rsid w:val="00A65DDC"/>
    <w:rsid w:val="00A714AC"/>
    <w:rsid w:val="00A7343F"/>
    <w:rsid w:val="00A73FAC"/>
    <w:rsid w:val="00A74573"/>
    <w:rsid w:val="00A74F4E"/>
    <w:rsid w:val="00A75725"/>
    <w:rsid w:val="00A77947"/>
    <w:rsid w:val="00A821DA"/>
    <w:rsid w:val="00A8338E"/>
    <w:rsid w:val="00A836F1"/>
    <w:rsid w:val="00A846DC"/>
    <w:rsid w:val="00A84AA5"/>
    <w:rsid w:val="00A85EAB"/>
    <w:rsid w:val="00A86A13"/>
    <w:rsid w:val="00A86B95"/>
    <w:rsid w:val="00A87257"/>
    <w:rsid w:val="00A87327"/>
    <w:rsid w:val="00A90736"/>
    <w:rsid w:val="00A90D09"/>
    <w:rsid w:val="00A92DD8"/>
    <w:rsid w:val="00A9425E"/>
    <w:rsid w:val="00A97124"/>
    <w:rsid w:val="00A971EF"/>
    <w:rsid w:val="00A978CB"/>
    <w:rsid w:val="00AA289E"/>
    <w:rsid w:val="00AA678B"/>
    <w:rsid w:val="00AA7084"/>
    <w:rsid w:val="00AA7AA6"/>
    <w:rsid w:val="00AB11A4"/>
    <w:rsid w:val="00AB3D3B"/>
    <w:rsid w:val="00AC01A9"/>
    <w:rsid w:val="00AC12CE"/>
    <w:rsid w:val="00AC251A"/>
    <w:rsid w:val="00AC3780"/>
    <w:rsid w:val="00AC697D"/>
    <w:rsid w:val="00AC71F9"/>
    <w:rsid w:val="00AC7A7E"/>
    <w:rsid w:val="00AD057A"/>
    <w:rsid w:val="00AD0E1F"/>
    <w:rsid w:val="00AD1B5A"/>
    <w:rsid w:val="00AD1F39"/>
    <w:rsid w:val="00AD3170"/>
    <w:rsid w:val="00AD3841"/>
    <w:rsid w:val="00AD7F09"/>
    <w:rsid w:val="00AE1E33"/>
    <w:rsid w:val="00AE3E60"/>
    <w:rsid w:val="00AE4420"/>
    <w:rsid w:val="00AE7E3E"/>
    <w:rsid w:val="00AF1FC7"/>
    <w:rsid w:val="00AF217E"/>
    <w:rsid w:val="00AF3308"/>
    <w:rsid w:val="00AF5205"/>
    <w:rsid w:val="00AF6006"/>
    <w:rsid w:val="00B03E88"/>
    <w:rsid w:val="00B04252"/>
    <w:rsid w:val="00B066C0"/>
    <w:rsid w:val="00B0702E"/>
    <w:rsid w:val="00B07D53"/>
    <w:rsid w:val="00B10540"/>
    <w:rsid w:val="00B10F73"/>
    <w:rsid w:val="00B12B58"/>
    <w:rsid w:val="00B14A1C"/>
    <w:rsid w:val="00B14CB8"/>
    <w:rsid w:val="00B153D0"/>
    <w:rsid w:val="00B22258"/>
    <w:rsid w:val="00B248A1"/>
    <w:rsid w:val="00B24C2B"/>
    <w:rsid w:val="00B313FB"/>
    <w:rsid w:val="00B34DD4"/>
    <w:rsid w:val="00B350CD"/>
    <w:rsid w:val="00B35A9A"/>
    <w:rsid w:val="00B35B90"/>
    <w:rsid w:val="00B36529"/>
    <w:rsid w:val="00B37244"/>
    <w:rsid w:val="00B413B5"/>
    <w:rsid w:val="00B4232F"/>
    <w:rsid w:val="00B42A4A"/>
    <w:rsid w:val="00B445AC"/>
    <w:rsid w:val="00B4606F"/>
    <w:rsid w:val="00B4628E"/>
    <w:rsid w:val="00B46897"/>
    <w:rsid w:val="00B50DE1"/>
    <w:rsid w:val="00B52417"/>
    <w:rsid w:val="00B537B5"/>
    <w:rsid w:val="00B540B9"/>
    <w:rsid w:val="00B541EF"/>
    <w:rsid w:val="00B55C9A"/>
    <w:rsid w:val="00B564AC"/>
    <w:rsid w:val="00B57A58"/>
    <w:rsid w:val="00B615CA"/>
    <w:rsid w:val="00B6267C"/>
    <w:rsid w:val="00B64635"/>
    <w:rsid w:val="00B66C87"/>
    <w:rsid w:val="00B66FBF"/>
    <w:rsid w:val="00B71416"/>
    <w:rsid w:val="00B7257C"/>
    <w:rsid w:val="00B751FD"/>
    <w:rsid w:val="00B77552"/>
    <w:rsid w:val="00B827A0"/>
    <w:rsid w:val="00B83100"/>
    <w:rsid w:val="00B85E64"/>
    <w:rsid w:val="00B86488"/>
    <w:rsid w:val="00B902DF"/>
    <w:rsid w:val="00B90656"/>
    <w:rsid w:val="00B907DF"/>
    <w:rsid w:val="00B91126"/>
    <w:rsid w:val="00B91A57"/>
    <w:rsid w:val="00B932AF"/>
    <w:rsid w:val="00B94E5A"/>
    <w:rsid w:val="00B94EFE"/>
    <w:rsid w:val="00B9768B"/>
    <w:rsid w:val="00BA1EF0"/>
    <w:rsid w:val="00BA55E3"/>
    <w:rsid w:val="00BA5E73"/>
    <w:rsid w:val="00BA7966"/>
    <w:rsid w:val="00BB3BB5"/>
    <w:rsid w:val="00BB5F94"/>
    <w:rsid w:val="00BB6896"/>
    <w:rsid w:val="00BB765C"/>
    <w:rsid w:val="00BB7805"/>
    <w:rsid w:val="00BC1D82"/>
    <w:rsid w:val="00BC2B1A"/>
    <w:rsid w:val="00BC7913"/>
    <w:rsid w:val="00BD03D5"/>
    <w:rsid w:val="00BD181B"/>
    <w:rsid w:val="00BD24EA"/>
    <w:rsid w:val="00BD34C8"/>
    <w:rsid w:val="00BE436B"/>
    <w:rsid w:val="00BF0197"/>
    <w:rsid w:val="00BF0820"/>
    <w:rsid w:val="00BF0E4A"/>
    <w:rsid w:val="00BF1E79"/>
    <w:rsid w:val="00BF2644"/>
    <w:rsid w:val="00BF47F7"/>
    <w:rsid w:val="00BF4E92"/>
    <w:rsid w:val="00BF5114"/>
    <w:rsid w:val="00BF5C8D"/>
    <w:rsid w:val="00BF69DD"/>
    <w:rsid w:val="00BF756D"/>
    <w:rsid w:val="00C004F8"/>
    <w:rsid w:val="00C008C5"/>
    <w:rsid w:val="00C029AA"/>
    <w:rsid w:val="00C05B33"/>
    <w:rsid w:val="00C100D2"/>
    <w:rsid w:val="00C1331F"/>
    <w:rsid w:val="00C14514"/>
    <w:rsid w:val="00C15A04"/>
    <w:rsid w:val="00C20763"/>
    <w:rsid w:val="00C212D7"/>
    <w:rsid w:val="00C21FAB"/>
    <w:rsid w:val="00C220DB"/>
    <w:rsid w:val="00C23381"/>
    <w:rsid w:val="00C2339D"/>
    <w:rsid w:val="00C23649"/>
    <w:rsid w:val="00C23D02"/>
    <w:rsid w:val="00C2401D"/>
    <w:rsid w:val="00C244D4"/>
    <w:rsid w:val="00C2515F"/>
    <w:rsid w:val="00C27E4D"/>
    <w:rsid w:val="00C315FE"/>
    <w:rsid w:val="00C329C6"/>
    <w:rsid w:val="00C33D89"/>
    <w:rsid w:val="00C37A8E"/>
    <w:rsid w:val="00C450DD"/>
    <w:rsid w:val="00C46E60"/>
    <w:rsid w:val="00C47D20"/>
    <w:rsid w:val="00C51068"/>
    <w:rsid w:val="00C5179E"/>
    <w:rsid w:val="00C55A71"/>
    <w:rsid w:val="00C616EB"/>
    <w:rsid w:val="00C61980"/>
    <w:rsid w:val="00C621D9"/>
    <w:rsid w:val="00C62CFA"/>
    <w:rsid w:val="00C650D0"/>
    <w:rsid w:val="00C66236"/>
    <w:rsid w:val="00C703DC"/>
    <w:rsid w:val="00C72845"/>
    <w:rsid w:val="00C7352C"/>
    <w:rsid w:val="00C7402A"/>
    <w:rsid w:val="00C7460E"/>
    <w:rsid w:val="00C748EA"/>
    <w:rsid w:val="00C768BA"/>
    <w:rsid w:val="00C77F40"/>
    <w:rsid w:val="00C84955"/>
    <w:rsid w:val="00C906C9"/>
    <w:rsid w:val="00C90F6F"/>
    <w:rsid w:val="00C92233"/>
    <w:rsid w:val="00C92D90"/>
    <w:rsid w:val="00C9515E"/>
    <w:rsid w:val="00C959DB"/>
    <w:rsid w:val="00CA18B7"/>
    <w:rsid w:val="00CA1C7A"/>
    <w:rsid w:val="00CA1E2B"/>
    <w:rsid w:val="00CA3655"/>
    <w:rsid w:val="00CA3F01"/>
    <w:rsid w:val="00CA6888"/>
    <w:rsid w:val="00CA695E"/>
    <w:rsid w:val="00CA6F42"/>
    <w:rsid w:val="00CB12BA"/>
    <w:rsid w:val="00CB21A5"/>
    <w:rsid w:val="00CB3E7B"/>
    <w:rsid w:val="00CB3FA1"/>
    <w:rsid w:val="00CB4534"/>
    <w:rsid w:val="00CB48D6"/>
    <w:rsid w:val="00CB5821"/>
    <w:rsid w:val="00CB7CEE"/>
    <w:rsid w:val="00CC17B5"/>
    <w:rsid w:val="00CC3539"/>
    <w:rsid w:val="00CC372B"/>
    <w:rsid w:val="00CC4724"/>
    <w:rsid w:val="00CC5BDD"/>
    <w:rsid w:val="00CD17D5"/>
    <w:rsid w:val="00CD245D"/>
    <w:rsid w:val="00CD50AE"/>
    <w:rsid w:val="00CD6843"/>
    <w:rsid w:val="00CD6E0E"/>
    <w:rsid w:val="00CD717F"/>
    <w:rsid w:val="00CE0310"/>
    <w:rsid w:val="00CE0ABA"/>
    <w:rsid w:val="00CE3CBE"/>
    <w:rsid w:val="00CE4C6D"/>
    <w:rsid w:val="00CE6332"/>
    <w:rsid w:val="00CF120B"/>
    <w:rsid w:val="00CF55C2"/>
    <w:rsid w:val="00CF58D3"/>
    <w:rsid w:val="00CF6588"/>
    <w:rsid w:val="00D01456"/>
    <w:rsid w:val="00D01854"/>
    <w:rsid w:val="00D02C1B"/>
    <w:rsid w:val="00D04A1F"/>
    <w:rsid w:val="00D067AA"/>
    <w:rsid w:val="00D06C80"/>
    <w:rsid w:val="00D07BE0"/>
    <w:rsid w:val="00D11B16"/>
    <w:rsid w:val="00D15CD6"/>
    <w:rsid w:val="00D16563"/>
    <w:rsid w:val="00D21EB6"/>
    <w:rsid w:val="00D220B1"/>
    <w:rsid w:val="00D221BD"/>
    <w:rsid w:val="00D228C5"/>
    <w:rsid w:val="00D24862"/>
    <w:rsid w:val="00D2604D"/>
    <w:rsid w:val="00D26457"/>
    <w:rsid w:val="00D308D0"/>
    <w:rsid w:val="00D310EB"/>
    <w:rsid w:val="00D360F5"/>
    <w:rsid w:val="00D41F2E"/>
    <w:rsid w:val="00D4276F"/>
    <w:rsid w:val="00D4439D"/>
    <w:rsid w:val="00D45831"/>
    <w:rsid w:val="00D46B62"/>
    <w:rsid w:val="00D4701E"/>
    <w:rsid w:val="00D47BE8"/>
    <w:rsid w:val="00D47D14"/>
    <w:rsid w:val="00D51962"/>
    <w:rsid w:val="00D53375"/>
    <w:rsid w:val="00D5755E"/>
    <w:rsid w:val="00D57A8C"/>
    <w:rsid w:val="00D62D25"/>
    <w:rsid w:val="00D642B7"/>
    <w:rsid w:val="00D64454"/>
    <w:rsid w:val="00D66534"/>
    <w:rsid w:val="00D70767"/>
    <w:rsid w:val="00D70BCC"/>
    <w:rsid w:val="00D711CF"/>
    <w:rsid w:val="00D71602"/>
    <w:rsid w:val="00D71D8F"/>
    <w:rsid w:val="00D722A4"/>
    <w:rsid w:val="00D75187"/>
    <w:rsid w:val="00D7547F"/>
    <w:rsid w:val="00D75CBD"/>
    <w:rsid w:val="00D76068"/>
    <w:rsid w:val="00D766AC"/>
    <w:rsid w:val="00D7675E"/>
    <w:rsid w:val="00D77679"/>
    <w:rsid w:val="00D8115A"/>
    <w:rsid w:val="00D85AED"/>
    <w:rsid w:val="00D85E64"/>
    <w:rsid w:val="00D86A05"/>
    <w:rsid w:val="00D87667"/>
    <w:rsid w:val="00D87BBE"/>
    <w:rsid w:val="00D92DD1"/>
    <w:rsid w:val="00D93E2C"/>
    <w:rsid w:val="00D94B79"/>
    <w:rsid w:val="00D973EE"/>
    <w:rsid w:val="00D9751D"/>
    <w:rsid w:val="00DA04DD"/>
    <w:rsid w:val="00DA075F"/>
    <w:rsid w:val="00DA0C90"/>
    <w:rsid w:val="00DA64A7"/>
    <w:rsid w:val="00DA7F9D"/>
    <w:rsid w:val="00DB0491"/>
    <w:rsid w:val="00DB0C96"/>
    <w:rsid w:val="00DB274B"/>
    <w:rsid w:val="00DB408D"/>
    <w:rsid w:val="00DB5DB6"/>
    <w:rsid w:val="00DB6073"/>
    <w:rsid w:val="00DC1336"/>
    <w:rsid w:val="00DC1D6C"/>
    <w:rsid w:val="00DC2D82"/>
    <w:rsid w:val="00DC2EB5"/>
    <w:rsid w:val="00DC3E3D"/>
    <w:rsid w:val="00DC6E4B"/>
    <w:rsid w:val="00DD3D5E"/>
    <w:rsid w:val="00DD446B"/>
    <w:rsid w:val="00DE219B"/>
    <w:rsid w:val="00DE21B3"/>
    <w:rsid w:val="00DE3882"/>
    <w:rsid w:val="00DE41B3"/>
    <w:rsid w:val="00DE62BD"/>
    <w:rsid w:val="00DE62F8"/>
    <w:rsid w:val="00DE7185"/>
    <w:rsid w:val="00DF3992"/>
    <w:rsid w:val="00DF4C72"/>
    <w:rsid w:val="00DF4E10"/>
    <w:rsid w:val="00DF6DB8"/>
    <w:rsid w:val="00DF6E51"/>
    <w:rsid w:val="00DF7FE9"/>
    <w:rsid w:val="00E0006E"/>
    <w:rsid w:val="00E008DF"/>
    <w:rsid w:val="00E03E52"/>
    <w:rsid w:val="00E0481C"/>
    <w:rsid w:val="00E0596F"/>
    <w:rsid w:val="00E05A81"/>
    <w:rsid w:val="00E06227"/>
    <w:rsid w:val="00E0719E"/>
    <w:rsid w:val="00E073F0"/>
    <w:rsid w:val="00E116A2"/>
    <w:rsid w:val="00E13238"/>
    <w:rsid w:val="00E1402F"/>
    <w:rsid w:val="00E16CC7"/>
    <w:rsid w:val="00E22B5D"/>
    <w:rsid w:val="00E23FAD"/>
    <w:rsid w:val="00E26442"/>
    <w:rsid w:val="00E27488"/>
    <w:rsid w:val="00E302D0"/>
    <w:rsid w:val="00E30EDA"/>
    <w:rsid w:val="00E310C5"/>
    <w:rsid w:val="00E31BD5"/>
    <w:rsid w:val="00E321EA"/>
    <w:rsid w:val="00E33DEB"/>
    <w:rsid w:val="00E352DE"/>
    <w:rsid w:val="00E36EBD"/>
    <w:rsid w:val="00E4128E"/>
    <w:rsid w:val="00E41FA3"/>
    <w:rsid w:val="00E4235A"/>
    <w:rsid w:val="00E4319B"/>
    <w:rsid w:val="00E4478D"/>
    <w:rsid w:val="00E451E5"/>
    <w:rsid w:val="00E45BD9"/>
    <w:rsid w:val="00E462A0"/>
    <w:rsid w:val="00E500F5"/>
    <w:rsid w:val="00E51CD8"/>
    <w:rsid w:val="00E5314D"/>
    <w:rsid w:val="00E53645"/>
    <w:rsid w:val="00E55BDC"/>
    <w:rsid w:val="00E6071A"/>
    <w:rsid w:val="00E60756"/>
    <w:rsid w:val="00E61606"/>
    <w:rsid w:val="00E61A33"/>
    <w:rsid w:val="00E64074"/>
    <w:rsid w:val="00E73B66"/>
    <w:rsid w:val="00E742DF"/>
    <w:rsid w:val="00E743A6"/>
    <w:rsid w:val="00E750E8"/>
    <w:rsid w:val="00E75968"/>
    <w:rsid w:val="00E76AEB"/>
    <w:rsid w:val="00E80E8F"/>
    <w:rsid w:val="00E8275C"/>
    <w:rsid w:val="00E82E93"/>
    <w:rsid w:val="00E86C1B"/>
    <w:rsid w:val="00E87FC5"/>
    <w:rsid w:val="00E91AC3"/>
    <w:rsid w:val="00E933A0"/>
    <w:rsid w:val="00E9419C"/>
    <w:rsid w:val="00E97F96"/>
    <w:rsid w:val="00E97FA7"/>
    <w:rsid w:val="00EA22C3"/>
    <w:rsid w:val="00EA514A"/>
    <w:rsid w:val="00EA59E9"/>
    <w:rsid w:val="00EB152E"/>
    <w:rsid w:val="00EB3086"/>
    <w:rsid w:val="00EB39E2"/>
    <w:rsid w:val="00EC224C"/>
    <w:rsid w:val="00EC26E1"/>
    <w:rsid w:val="00ED315A"/>
    <w:rsid w:val="00ED37F0"/>
    <w:rsid w:val="00ED4DB2"/>
    <w:rsid w:val="00EE0ED2"/>
    <w:rsid w:val="00EE1048"/>
    <w:rsid w:val="00EE230C"/>
    <w:rsid w:val="00EE35AB"/>
    <w:rsid w:val="00EE4E69"/>
    <w:rsid w:val="00EE6419"/>
    <w:rsid w:val="00EE7AE3"/>
    <w:rsid w:val="00EF0D9B"/>
    <w:rsid w:val="00EF1D77"/>
    <w:rsid w:val="00EF7A36"/>
    <w:rsid w:val="00F0003C"/>
    <w:rsid w:val="00F01D5B"/>
    <w:rsid w:val="00F0588E"/>
    <w:rsid w:val="00F06CB5"/>
    <w:rsid w:val="00F078B4"/>
    <w:rsid w:val="00F07F89"/>
    <w:rsid w:val="00F11A2B"/>
    <w:rsid w:val="00F1227E"/>
    <w:rsid w:val="00F1230B"/>
    <w:rsid w:val="00F13148"/>
    <w:rsid w:val="00F1500C"/>
    <w:rsid w:val="00F20D1B"/>
    <w:rsid w:val="00F213FD"/>
    <w:rsid w:val="00F24BC4"/>
    <w:rsid w:val="00F25A51"/>
    <w:rsid w:val="00F265EF"/>
    <w:rsid w:val="00F26C9E"/>
    <w:rsid w:val="00F26FF0"/>
    <w:rsid w:val="00F30AF5"/>
    <w:rsid w:val="00F31BBF"/>
    <w:rsid w:val="00F32CFD"/>
    <w:rsid w:val="00F3403D"/>
    <w:rsid w:val="00F415B7"/>
    <w:rsid w:val="00F418B6"/>
    <w:rsid w:val="00F41918"/>
    <w:rsid w:val="00F46C83"/>
    <w:rsid w:val="00F46EAD"/>
    <w:rsid w:val="00F545C0"/>
    <w:rsid w:val="00F54B6A"/>
    <w:rsid w:val="00F54F8E"/>
    <w:rsid w:val="00F560FA"/>
    <w:rsid w:val="00F56AD2"/>
    <w:rsid w:val="00F56D1E"/>
    <w:rsid w:val="00F63527"/>
    <w:rsid w:val="00F645AC"/>
    <w:rsid w:val="00F647C0"/>
    <w:rsid w:val="00F66904"/>
    <w:rsid w:val="00F674AC"/>
    <w:rsid w:val="00F70058"/>
    <w:rsid w:val="00F71CE0"/>
    <w:rsid w:val="00F72210"/>
    <w:rsid w:val="00F7387F"/>
    <w:rsid w:val="00F73F83"/>
    <w:rsid w:val="00F74D14"/>
    <w:rsid w:val="00F77868"/>
    <w:rsid w:val="00F77D70"/>
    <w:rsid w:val="00F80279"/>
    <w:rsid w:val="00F80A35"/>
    <w:rsid w:val="00F823A2"/>
    <w:rsid w:val="00F83561"/>
    <w:rsid w:val="00F8612B"/>
    <w:rsid w:val="00F869CF"/>
    <w:rsid w:val="00F91B87"/>
    <w:rsid w:val="00F9221B"/>
    <w:rsid w:val="00F93100"/>
    <w:rsid w:val="00F93A51"/>
    <w:rsid w:val="00F9449F"/>
    <w:rsid w:val="00F95E04"/>
    <w:rsid w:val="00F96CF0"/>
    <w:rsid w:val="00F97161"/>
    <w:rsid w:val="00F973FB"/>
    <w:rsid w:val="00F9750D"/>
    <w:rsid w:val="00FA00EF"/>
    <w:rsid w:val="00FA0348"/>
    <w:rsid w:val="00FA47BB"/>
    <w:rsid w:val="00FA7BCA"/>
    <w:rsid w:val="00FB0EF4"/>
    <w:rsid w:val="00FB1130"/>
    <w:rsid w:val="00FB2F91"/>
    <w:rsid w:val="00FB37DD"/>
    <w:rsid w:val="00FB4B6A"/>
    <w:rsid w:val="00FB4C25"/>
    <w:rsid w:val="00FB5EA8"/>
    <w:rsid w:val="00FC5B4D"/>
    <w:rsid w:val="00FC7D83"/>
    <w:rsid w:val="00FD0278"/>
    <w:rsid w:val="00FD033D"/>
    <w:rsid w:val="00FD134B"/>
    <w:rsid w:val="00FD17AE"/>
    <w:rsid w:val="00FD273B"/>
    <w:rsid w:val="00FD375F"/>
    <w:rsid w:val="00FD3E33"/>
    <w:rsid w:val="00FD4CAE"/>
    <w:rsid w:val="00FD71E6"/>
    <w:rsid w:val="00FD7E94"/>
    <w:rsid w:val="00FE18D0"/>
    <w:rsid w:val="00FF02DC"/>
    <w:rsid w:val="00FF0ADB"/>
    <w:rsid w:val="00FF1319"/>
    <w:rsid w:val="00FF6174"/>
    <w:rsid w:val="00FF687F"/>
    <w:rsid w:val="00FF69D7"/>
    <w:rsid w:val="00FF7158"/>
    <w:rsid w:val="01042CD0"/>
    <w:rsid w:val="01C21E0B"/>
    <w:rsid w:val="01C56903"/>
    <w:rsid w:val="01FD58CF"/>
    <w:rsid w:val="022D7004"/>
    <w:rsid w:val="027D4F23"/>
    <w:rsid w:val="02EE4FCD"/>
    <w:rsid w:val="03256D22"/>
    <w:rsid w:val="03903D32"/>
    <w:rsid w:val="04194551"/>
    <w:rsid w:val="042F3964"/>
    <w:rsid w:val="0433224A"/>
    <w:rsid w:val="04473600"/>
    <w:rsid w:val="045875B5"/>
    <w:rsid w:val="045F2802"/>
    <w:rsid w:val="04607218"/>
    <w:rsid w:val="04CA791B"/>
    <w:rsid w:val="04D160A4"/>
    <w:rsid w:val="04EB36D1"/>
    <w:rsid w:val="04FC1B3B"/>
    <w:rsid w:val="04FF402F"/>
    <w:rsid w:val="05861C9A"/>
    <w:rsid w:val="05F22F6F"/>
    <w:rsid w:val="05F652DD"/>
    <w:rsid w:val="06626601"/>
    <w:rsid w:val="06AA0E3B"/>
    <w:rsid w:val="0703693A"/>
    <w:rsid w:val="077256C2"/>
    <w:rsid w:val="07915CCB"/>
    <w:rsid w:val="07DB53C6"/>
    <w:rsid w:val="07F97307"/>
    <w:rsid w:val="081454D8"/>
    <w:rsid w:val="082C3425"/>
    <w:rsid w:val="083C70E6"/>
    <w:rsid w:val="09011584"/>
    <w:rsid w:val="09291F57"/>
    <w:rsid w:val="098932C2"/>
    <w:rsid w:val="0A54281E"/>
    <w:rsid w:val="0A652A31"/>
    <w:rsid w:val="0AB85A97"/>
    <w:rsid w:val="0B220922"/>
    <w:rsid w:val="0BD87233"/>
    <w:rsid w:val="0BEC5902"/>
    <w:rsid w:val="0BFE7321"/>
    <w:rsid w:val="0C11600E"/>
    <w:rsid w:val="0C240038"/>
    <w:rsid w:val="0C6C62F9"/>
    <w:rsid w:val="0C9B08D2"/>
    <w:rsid w:val="0CAA6E21"/>
    <w:rsid w:val="0D296707"/>
    <w:rsid w:val="0D39050A"/>
    <w:rsid w:val="0D8323B8"/>
    <w:rsid w:val="0DF50570"/>
    <w:rsid w:val="0DFF4F4B"/>
    <w:rsid w:val="0E3966AF"/>
    <w:rsid w:val="0E7476E7"/>
    <w:rsid w:val="0F026AA1"/>
    <w:rsid w:val="0F171180"/>
    <w:rsid w:val="0F1B4A58"/>
    <w:rsid w:val="0F36168F"/>
    <w:rsid w:val="0FAA2482"/>
    <w:rsid w:val="0FBF4992"/>
    <w:rsid w:val="0FD57721"/>
    <w:rsid w:val="0FD75461"/>
    <w:rsid w:val="10116269"/>
    <w:rsid w:val="10A265FD"/>
    <w:rsid w:val="10BB4860"/>
    <w:rsid w:val="110B120B"/>
    <w:rsid w:val="112E4107"/>
    <w:rsid w:val="117F3294"/>
    <w:rsid w:val="1185479F"/>
    <w:rsid w:val="12816876"/>
    <w:rsid w:val="128A74D9"/>
    <w:rsid w:val="129F20A3"/>
    <w:rsid w:val="12B519C8"/>
    <w:rsid w:val="12E66EB4"/>
    <w:rsid w:val="130A686C"/>
    <w:rsid w:val="132F62D2"/>
    <w:rsid w:val="134D31B8"/>
    <w:rsid w:val="138812FD"/>
    <w:rsid w:val="13916645"/>
    <w:rsid w:val="13D23475"/>
    <w:rsid w:val="142475C5"/>
    <w:rsid w:val="14663EBE"/>
    <w:rsid w:val="14C0093E"/>
    <w:rsid w:val="15137188"/>
    <w:rsid w:val="15737901"/>
    <w:rsid w:val="158F3C06"/>
    <w:rsid w:val="159266A5"/>
    <w:rsid w:val="16907088"/>
    <w:rsid w:val="17327A6A"/>
    <w:rsid w:val="17484438"/>
    <w:rsid w:val="1767603B"/>
    <w:rsid w:val="178F54FA"/>
    <w:rsid w:val="17AE6C1F"/>
    <w:rsid w:val="17C989ED"/>
    <w:rsid w:val="17D47A29"/>
    <w:rsid w:val="1840063A"/>
    <w:rsid w:val="18697B91"/>
    <w:rsid w:val="19A5326B"/>
    <w:rsid w:val="19A625A3"/>
    <w:rsid w:val="19BEDD3D"/>
    <w:rsid w:val="1A971079"/>
    <w:rsid w:val="1B64385C"/>
    <w:rsid w:val="1BA47A0B"/>
    <w:rsid w:val="1BEB5010"/>
    <w:rsid w:val="1C164CA2"/>
    <w:rsid w:val="1C2203CD"/>
    <w:rsid w:val="1CD54E50"/>
    <w:rsid w:val="1CD642D8"/>
    <w:rsid w:val="1CF8153B"/>
    <w:rsid w:val="1D565845"/>
    <w:rsid w:val="1DB96EC4"/>
    <w:rsid w:val="1DF83B8E"/>
    <w:rsid w:val="1E055424"/>
    <w:rsid w:val="1E057C8A"/>
    <w:rsid w:val="1E3274C9"/>
    <w:rsid w:val="1E8E20FF"/>
    <w:rsid w:val="1F260952"/>
    <w:rsid w:val="1F376FE2"/>
    <w:rsid w:val="20BD316F"/>
    <w:rsid w:val="211F1734"/>
    <w:rsid w:val="21676C37"/>
    <w:rsid w:val="21726983"/>
    <w:rsid w:val="221648AB"/>
    <w:rsid w:val="22A77C33"/>
    <w:rsid w:val="22B7666B"/>
    <w:rsid w:val="22C23D29"/>
    <w:rsid w:val="22F8223D"/>
    <w:rsid w:val="23035CAE"/>
    <w:rsid w:val="23244DE0"/>
    <w:rsid w:val="232D7E02"/>
    <w:rsid w:val="23443CE8"/>
    <w:rsid w:val="23E12305"/>
    <w:rsid w:val="23F724F4"/>
    <w:rsid w:val="24B009BC"/>
    <w:rsid w:val="24CE322A"/>
    <w:rsid w:val="24F43A2F"/>
    <w:rsid w:val="25FFCE0C"/>
    <w:rsid w:val="261E681B"/>
    <w:rsid w:val="268D7D62"/>
    <w:rsid w:val="269007AC"/>
    <w:rsid w:val="26955FF5"/>
    <w:rsid w:val="26A73544"/>
    <w:rsid w:val="26E36D60"/>
    <w:rsid w:val="26FC0475"/>
    <w:rsid w:val="273F8C38"/>
    <w:rsid w:val="27781BD7"/>
    <w:rsid w:val="27D36DD5"/>
    <w:rsid w:val="283E4B96"/>
    <w:rsid w:val="28845CE5"/>
    <w:rsid w:val="28A44CB3"/>
    <w:rsid w:val="28CF5004"/>
    <w:rsid w:val="28DB49C0"/>
    <w:rsid w:val="29053906"/>
    <w:rsid w:val="29096190"/>
    <w:rsid w:val="29115E06"/>
    <w:rsid w:val="29831BAA"/>
    <w:rsid w:val="29BB42A0"/>
    <w:rsid w:val="2A202079"/>
    <w:rsid w:val="2A763753"/>
    <w:rsid w:val="2A9A6A2C"/>
    <w:rsid w:val="2AAE58D7"/>
    <w:rsid w:val="2B034BCE"/>
    <w:rsid w:val="2B055B84"/>
    <w:rsid w:val="2B2B6F28"/>
    <w:rsid w:val="2B51698E"/>
    <w:rsid w:val="2C2140C0"/>
    <w:rsid w:val="2C3C40E0"/>
    <w:rsid w:val="2C475230"/>
    <w:rsid w:val="2CAE4E2D"/>
    <w:rsid w:val="2D0408E6"/>
    <w:rsid w:val="2D34755E"/>
    <w:rsid w:val="2D3E0CD3"/>
    <w:rsid w:val="2DB52BFD"/>
    <w:rsid w:val="2DDC3C52"/>
    <w:rsid w:val="2DF33D2D"/>
    <w:rsid w:val="2ED00791"/>
    <w:rsid w:val="2F295ADF"/>
    <w:rsid w:val="2F3B46FD"/>
    <w:rsid w:val="2F4D6047"/>
    <w:rsid w:val="2F866E22"/>
    <w:rsid w:val="2F882B9B"/>
    <w:rsid w:val="2F9F3E9B"/>
    <w:rsid w:val="2FEA5603"/>
    <w:rsid w:val="300C557A"/>
    <w:rsid w:val="302D0E9B"/>
    <w:rsid w:val="3034062C"/>
    <w:rsid w:val="30365E44"/>
    <w:rsid w:val="303D5733"/>
    <w:rsid w:val="30E65DCB"/>
    <w:rsid w:val="31224929"/>
    <w:rsid w:val="31285162"/>
    <w:rsid w:val="314F4D75"/>
    <w:rsid w:val="315C7CCE"/>
    <w:rsid w:val="315C7E3B"/>
    <w:rsid w:val="31857392"/>
    <w:rsid w:val="31C53211"/>
    <w:rsid w:val="31CE48A3"/>
    <w:rsid w:val="31EB2B34"/>
    <w:rsid w:val="31EC354B"/>
    <w:rsid w:val="31FE63E8"/>
    <w:rsid w:val="325B0F32"/>
    <w:rsid w:val="327E2E89"/>
    <w:rsid w:val="32874D75"/>
    <w:rsid w:val="32B72358"/>
    <w:rsid w:val="33596894"/>
    <w:rsid w:val="3434509F"/>
    <w:rsid w:val="34473776"/>
    <w:rsid w:val="3492319D"/>
    <w:rsid w:val="34F263FC"/>
    <w:rsid w:val="351D64DC"/>
    <w:rsid w:val="35487054"/>
    <w:rsid w:val="3581693E"/>
    <w:rsid w:val="359A7184"/>
    <w:rsid w:val="35A70C72"/>
    <w:rsid w:val="36257395"/>
    <w:rsid w:val="3778277C"/>
    <w:rsid w:val="37787E31"/>
    <w:rsid w:val="3780124C"/>
    <w:rsid w:val="37D21ECE"/>
    <w:rsid w:val="37EFD62A"/>
    <w:rsid w:val="380D00E1"/>
    <w:rsid w:val="387B47D3"/>
    <w:rsid w:val="39051558"/>
    <w:rsid w:val="39CE572A"/>
    <w:rsid w:val="3A581619"/>
    <w:rsid w:val="3A740295"/>
    <w:rsid w:val="3A991494"/>
    <w:rsid w:val="3AB768DF"/>
    <w:rsid w:val="3AF45588"/>
    <w:rsid w:val="3AFA7DDD"/>
    <w:rsid w:val="3B07350D"/>
    <w:rsid w:val="3B075CE3"/>
    <w:rsid w:val="3B0C6A91"/>
    <w:rsid w:val="3B1F2605"/>
    <w:rsid w:val="3B26410F"/>
    <w:rsid w:val="3BAE1BDB"/>
    <w:rsid w:val="3BFF0B6F"/>
    <w:rsid w:val="3C187FCD"/>
    <w:rsid w:val="3C2E046D"/>
    <w:rsid w:val="3C300842"/>
    <w:rsid w:val="3C4D4A76"/>
    <w:rsid w:val="3CEF6007"/>
    <w:rsid w:val="3DB1150E"/>
    <w:rsid w:val="3DDF5349"/>
    <w:rsid w:val="3DDF56C9"/>
    <w:rsid w:val="3DDF6CA9"/>
    <w:rsid w:val="3DE71F1A"/>
    <w:rsid w:val="3E2924BD"/>
    <w:rsid w:val="3E590915"/>
    <w:rsid w:val="3E5C19C7"/>
    <w:rsid w:val="3E9726BC"/>
    <w:rsid w:val="3EAA0C79"/>
    <w:rsid w:val="3EAC321D"/>
    <w:rsid w:val="3EAF3AA8"/>
    <w:rsid w:val="3F1931C2"/>
    <w:rsid w:val="3F253F62"/>
    <w:rsid w:val="3F3F68EA"/>
    <w:rsid w:val="3F735F05"/>
    <w:rsid w:val="3F9F2FB4"/>
    <w:rsid w:val="40897BAC"/>
    <w:rsid w:val="409E470A"/>
    <w:rsid w:val="40CD1928"/>
    <w:rsid w:val="412929F5"/>
    <w:rsid w:val="415A12F9"/>
    <w:rsid w:val="41D442AE"/>
    <w:rsid w:val="41E80CAC"/>
    <w:rsid w:val="420248A2"/>
    <w:rsid w:val="42213E49"/>
    <w:rsid w:val="424E2D84"/>
    <w:rsid w:val="426D7ECC"/>
    <w:rsid w:val="42E106DB"/>
    <w:rsid w:val="42E44134"/>
    <w:rsid w:val="43091654"/>
    <w:rsid w:val="43511F59"/>
    <w:rsid w:val="43585209"/>
    <w:rsid w:val="43810A90"/>
    <w:rsid w:val="438C7FE0"/>
    <w:rsid w:val="43CA157C"/>
    <w:rsid w:val="43CD6976"/>
    <w:rsid w:val="44FB598F"/>
    <w:rsid w:val="451F3201"/>
    <w:rsid w:val="458A068A"/>
    <w:rsid w:val="463D6B03"/>
    <w:rsid w:val="46E70C80"/>
    <w:rsid w:val="46EA5C0F"/>
    <w:rsid w:val="4732546E"/>
    <w:rsid w:val="4795243E"/>
    <w:rsid w:val="48B3438D"/>
    <w:rsid w:val="49280AAB"/>
    <w:rsid w:val="496417A1"/>
    <w:rsid w:val="499E6DEB"/>
    <w:rsid w:val="49B42429"/>
    <w:rsid w:val="4A474E3B"/>
    <w:rsid w:val="4A6A13C3"/>
    <w:rsid w:val="4A7A18D6"/>
    <w:rsid w:val="4A7C3F9E"/>
    <w:rsid w:val="4AC02575"/>
    <w:rsid w:val="4B122B37"/>
    <w:rsid w:val="4B145C14"/>
    <w:rsid w:val="4B6D116B"/>
    <w:rsid w:val="4B7A2709"/>
    <w:rsid w:val="4BA018A0"/>
    <w:rsid w:val="4C227327"/>
    <w:rsid w:val="4CE26CC4"/>
    <w:rsid w:val="4CE70AA9"/>
    <w:rsid w:val="4D1B4BF6"/>
    <w:rsid w:val="4DD70B1D"/>
    <w:rsid w:val="4E300906"/>
    <w:rsid w:val="4E6F3803"/>
    <w:rsid w:val="4E8A2A31"/>
    <w:rsid w:val="4E8D10A8"/>
    <w:rsid w:val="4EA400F8"/>
    <w:rsid w:val="4EAA7FE0"/>
    <w:rsid w:val="4EB414E6"/>
    <w:rsid w:val="4F1B2C8C"/>
    <w:rsid w:val="4F2C02B2"/>
    <w:rsid w:val="4F300541"/>
    <w:rsid w:val="4F6260FB"/>
    <w:rsid w:val="4F891FFC"/>
    <w:rsid w:val="4FB07878"/>
    <w:rsid w:val="4FBFF647"/>
    <w:rsid w:val="4FD25A40"/>
    <w:rsid w:val="50A820D4"/>
    <w:rsid w:val="50BA6DBE"/>
    <w:rsid w:val="50C72064"/>
    <w:rsid w:val="51053BF3"/>
    <w:rsid w:val="51063B27"/>
    <w:rsid w:val="51273B6A"/>
    <w:rsid w:val="514637A2"/>
    <w:rsid w:val="51705706"/>
    <w:rsid w:val="51B87B50"/>
    <w:rsid w:val="529945F3"/>
    <w:rsid w:val="52A358EB"/>
    <w:rsid w:val="52BD0F7D"/>
    <w:rsid w:val="53656BCB"/>
    <w:rsid w:val="53A34D40"/>
    <w:rsid w:val="542A59D6"/>
    <w:rsid w:val="54A27D31"/>
    <w:rsid w:val="54AD47F8"/>
    <w:rsid w:val="54D9161F"/>
    <w:rsid w:val="54DC257E"/>
    <w:rsid w:val="54EE57E5"/>
    <w:rsid w:val="55652EB2"/>
    <w:rsid w:val="55A23682"/>
    <w:rsid w:val="55E353C0"/>
    <w:rsid w:val="56AF1B3F"/>
    <w:rsid w:val="56BC6755"/>
    <w:rsid w:val="56CF0BA1"/>
    <w:rsid w:val="56E85D74"/>
    <w:rsid w:val="56E94771"/>
    <w:rsid w:val="56F53CA3"/>
    <w:rsid w:val="56FF1DFA"/>
    <w:rsid w:val="57141D7D"/>
    <w:rsid w:val="573E5FAE"/>
    <w:rsid w:val="575F1533"/>
    <w:rsid w:val="58B73A25"/>
    <w:rsid w:val="59796F2C"/>
    <w:rsid w:val="5A1530F9"/>
    <w:rsid w:val="5A726E70"/>
    <w:rsid w:val="5A7E6898"/>
    <w:rsid w:val="5A833B8D"/>
    <w:rsid w:val="5A9647BB"/>
    <w:rsid w:val="5A993B09"/>
    <w:rsid w:val="5AA51AB0"/>
    <w:rsid w:val="5ABB5323"/>
    <w:rsid w:val="5AC85AE0"/>
    <w:rsid w:val="5AEB447E"/>
    <w:rsid w:val="5B3C0F82"/>
    <w:rsid w:val="5B4E6197"/>
    <w:rsid w:val="5B9C5AA4"/>
    <w:rsid w:val="5BA068E0"/>
    <w:rsid w:val="5BF316E9"/>
    <w:rsid w:val="5C1E3DBB"/>
    <w:rsid w:val="5C313AEE"/>
    <w:rsid w:val="5CD4565B"/>
    <w:rsid w:val="5CD96221"/>
    <w:rsid w:val="5CF132E5"/>
    <w:rsid w:val="5CFE770A"/>
    <w:rsid w:val="5D1B0ADC"/>
    <w:rsid w:val="5DFDC92B"/>
    <w:rsid w:val="5E502F28"/>
    <w:rsid w:val="5E7A4C8A"/>
    <w:rsid w:val="5E815DED"/>
    <w:rsid w:val="5E824AD5"/>
    <w:rsid w:val="5EA3054C"/>
    <w:rsid w:val="5FB82E4E"/>
    <w:rsid w:val="5FF348A0"/>
    <w:rsid w:val="5FF75357"/>
    <w:rsid w:val="603D2158"/>
    <w:rsid w:val="604C62AF"/>
    <w:rsid w:val="604D4101"/>
    <w:rsid w:val="60A70823"/>
    <w:rsid w:val="60F81FDB"/>
    <w:rsid w:val="60F96BAB"/>
    <w:rsid w:val="61243C22"/>
    <w:rsid w:val="61513F42"/>
    <w:rsid w:val="61C827FF"/>
    <w:rsid w:val="61D218D0"/>
    <w:rsid w:val="622362DC"/>
    <w:rsid w:val="62587DDC"/>
    <w:rsid w:val="62B611F1"/>
    <w:rsid w:val="63294BB5"/>
    <w:rsid w:val="633B269D"/>
    <w:rsid w:val="636F95A0"/>
    <w:rsid w:val="639D7CBB"/>
    <w:rsid w:val="63A94FF8"/>
    <w:rsid w:val="64333BB6"/>
    <w:rsid w:val="646150D5"/>
    <w:rsid w:val="64B67287"/>
    <w:rsid w:val="65284AE2"/>
    <w:rsid w:val="657C38AF"/>
    <w:rsid w:val="65820EBC"/>
    <w:rsid w:val="658C13EB"/>
    <w:rsid w:val="658D6DEB"/>
    <w:rsid w:val="65AC25F5"/>
    <w:rsid w:val="65CF2BB5"/>
    <w:rsid w:val="66AB54A7"/>
    <w:rsid w:val="66C809EE"/>
    <w:rsid w:val="66DE607C"/>
    <w:rsid w:val="679413D5"/>
    <w:rsid w:val="67B1326E"/>
    <w:rsid w:val="67F002B6"/>
    <w:rsid w:val="69335418"/>
    <w:rsid w:val="6A21172A"/>
    <w:rsid w:val="6B070E26"/>
    <w:rsid w:val="6BA8732E"/>
    <w:rsid w:val="6BCE2CF9"/>
    <w:rsid w:val="6BDF8266"/>
    <w:rsid w:val="6C615D2A"/>
    <w:rsid w:val="6C9D7C06"/>
    <w:rsid w:val="6CAE4466"/>
    <w:rsid w:val="6D2A6C10"/>
    <w:rsid w:val="6D505D9E"/>
    <w:rsid w:val="6D65184A"/>
    <w:rsid w:val="6D994296"/>
    <w:rsid w:val="6EF009EF"/>
    <w:rsid w:val="6F4F0EFE"/>
    <w:rsid w:val="6F747B43"/>
    <w:rsid w:val="6F885CC3"/>
    <w:rsid w:val="6F8B5D50"/>
    <w:rsid w:val="6FB933D4"/>
    <w:rsid w:val="6FC57D8E"/>
    <w:rsid w:val="704E4817"/>
    <w:rsid w:val="70B25A0C"/>
    <w:rsid w:val="70CC1BE0"/>
    <w:rsid w:val="70D61246"/>
    <w:rsid w:val="71277A3E"/>
    <w:rsid w:val="71290DE0"/>
    <w:rsid w:val="713C56D6"/>
    <w:rsid w:val="717C1B6D"/>
    <w:rsid w:val="7257157E"/>
    <w:rsid w:val="7271224F"/>
    <w:rsid w:val="72734A0C"/>
    <w:rsid w:val="729B7495"/>
    <w:rsid w:val="72A921D9"/>
    <w:rsid w:val="72F71FD9"/>
    <w:rsid w:val="73081230"/>
    <w:rsid w:val="73256F1E"/>
    <w:rsid w:val="7349576A"/>
    <w:rsid w:val="739369E5"/>
    <w:rsid w:val="73B76B77"/>
    <w:rsid w:val="73DB4760"/>
    <w:rsid w:val="73F66269"/>
    <w:rsid w:val="74164B15"/>
    <w:rsid w:val="74251D33"/>
    <w:rsid w:val="746A3F21"/>
    <w:rsid w:val="74933140"/>
    <w:rsid w:val="74B80DF9"/>
    <w:rsid w:val="751045A9"/>
    <w:rsid w:val="757D51A2"/>
    <w:rsid w:val="75CB791B"/>
    <w:rsid w:val="75FC3D65"/>
    <w:rsid w:val="76460E64"/>
    <w:rsid w:val="76710245"/>
    <w:rsid w:val="76CC46E8"/>
    <w:rsid w:val="77CFD29D"/>
    <w:rsid w:val="77FA1841"/>
    <w:rsid w:val="77FA5D85"/>
    <w:rsid w:val="781F4CEB"/>
    <w:rsid w:val="79057B1A"/>
    <w:rsid w:val="79463EE1"/>
    <w:rsid w:val="79554C3B"/>
    <w:rsid w:val="79607369"/>
    <w:rsid w:val="79DE736C"/>
    <w:rsid w:val="7A364358"/>
    <w:rsid w:val="7A531040"/>
    <w:rsid w:val="7A5B2CCA"/>
    <w:rsid w:val="7A666C01"/>
    <w:rsid w:val="7A782F6D"/>
    <w:rsid w:val="7ABB0CFB"/>
    <w:rsid w:val="7ACF0C4A"/>
    <w:rsid w:val="7AD24297"/>
    <w:rsid w:val="7B063163"/>
    <w:rsid w:val="7B1A4C99"/>
    <w:rsid w:val="7B7FF9EA"/>
    <w:rsid w:val="7BFF1796"/>
    <w:rsid w:val="7C0367EE"/>
    <w:rsid w:val="7CBCDD17"/>
    <w:rsid w:val="7CBF6188"/>
    <w:rsid w:val="7CFF4C4A"/>
    <w:rsid w:val="7D10757D"/>
    <w:rsid w:val="7D2C02DA"/>
    <w:rsid w:val="7D8B37E3"/>
    <w:rsid w:val="7DF12C86"/>
    <w:rsid w:val="7DF761F3"/>
    <w:rsid w:val="7E386B07"/>
    <w:rsid w:val="7E4766AC"/>
    <w:rsid w:val="7E7933A7"/>
    <w:rsid w:val="7E7E6C0F"/>
    <w:rsid w:val="7EAF577D"/>
    <w:rsid w:val="7EB9ED6B"/>
    <w:rsid w:val="7EBFB2C6"/>
    <w:rsid w:val="7EC5205C"/>
    <w:rsid w:val="7EDE6ADC"/>
    <w:rsid w:val="7F0F1404"/>
    <w:rsid w:val="7F197FB7"/>
    <w:rsid w:val="7F596D35"/>
    <w:rsid w:val="7FF52F01"/>
    <w:rsid w:val="92FD16B0"/>
    <w:rsid w:val="9DF7414E"/>
    <w:rsid w:val="9DFF9BD8"/>
    <w:rsid w:val="AFFF7BA6"/>
    <w:rsid w:val="B0DF0957"/>
    <w:rsid w:val="B3BEE54F"/>
    <w:rsid w:val="B6CE2C69"/>
    <w:rsid w:val="B77FB140"/>
    <w:rsid w:val="B7F6F90E"/>
    <w:rsid w:val="B7FFDE4B"/>
    <w:rsid w:val="BFF77D75"/>
    <w:rsid w:val="C6D37A08"/>
    <w:rsid w:val="CDEFD1C2"/>
    <w:rsid w:val="CECB6C4D"/>
    <w:rsid w:val="CEFFD1A1"/>
    <w:rsid w:val="DFFFEC31"/>
    <w:rsid w:val="E7EDAA60"/>
    <w:rsid w:val="E8DB021C"/>
    <w:rsid w:val="EBFBDCD9"/>
    <w:rsid w:val="ECBFB6EB"/>
    <w:rsid w:val="F5FEAED1"/>
    <w:rsid w:val="F6DCC9DD"/>
    <w:rsid w:val="F98FA38C"/>
    <w:rsid w:val="F9F6F1E4"/>
    <w:rsid w:val="FBFF0FDD"/>
    <w:rsid w:val="FCFF5DDC"/>
    <w:rsid w:val="FF1F2417"/>
    <w:rsid w:val="FF6F5D18"/>
    <w:rsid w:val="FFE6C120"/>
    <w:rsid w:val="FFEE522A"/>
    <w:rsid w:val="FFF75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iPriority="99" w:name="Body Text 3"/>
    <w:lsdException w:qFormat="1" w:unhideWhenUsed="0" w:uiPriority="99"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nhideWhenUsed="0"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4"/>
    <w:qFormat/>
    <w:uiPriority w:val="9"/>
    <w:pPr>
      <w:keepNext/>
      <w:keepLines/>
      <w:spacing w:before="340" w:after="330" w:line="360" w:lineRule="auto"/>
      <w:jc w:val="center"/>
      <w:outlineLvl w:val="0"/>
    </w:pPr>
    <w:rPr>
      <w:rFonts w:ascii="宋体" w:hAnsi="宋体" w:cs="宋体"/>
      <w:b/>
      <w:bCs/>
      <w:kern w:val="0"/>
      <w:sz w:val="24"/>
      <w:lang w:val="zh-CN"/>
    </w:rPr>
  </w:style>
  <w:style w:type="paragraph" w:styleId="4">
    <w:name w:val="heading 2"/>
    <w:basedOn w:val="1"/>
    <w:next w:val="1"/>
    <w:link w:val="62"/>
    <w:qFormat/>
    <w:uiPriority w:val="9"/>
    <w:pPr>
      <w:keepNext/>
      <w:keepLines/>
      <w:numPr>
        <w:ilvl w:val="1"/>
        <w:numId w:val="1"/>
      </w:numPr>
      <w:spacing w:before="260" w:after="260" w:line="416" w:lineRule="auto"/>
      <w:outlineLvl w:val="1"/>
    </w:pPr>
    <w:rPr>
      <w:rFonts w:ascii="Arial" w:hAnsi="Arial" w:eastAsia="黑体"/>
      <w:b/>
      <w:bCs/>
      <w:sz w:val="32"/>
      <w:szCs w:val="32"/>
    </w:rPr>
  </w:style>
  <w:style w:type="paragraph" w:styleId="5">
    <w:name w:val="heading 3"/>
    <w:basedOn w:val="1"/>
    <w:next w:val="1"/>
    <w:link w:val="63"/>
    <w:qFormat/>
    <w:uiPriority w:val="9"/>
    <w:pPr>
      <w:keepNext/>
      <w:keepLines/>
      <w:numPr>
        <w:ilvl w:val="2"/>
        <w:numId w:val="1"/>
      </w:numPr>
      <w:spacing w:before="260" w:after="260" w:line="416" w:lineRule="auto"/>
      <w:outlineLvl w:val="2"/>
    </w:pPr>
    <w:rPr>
      <w:b/>
      <w:bCs/>
      <w:sz w:val="30"/>
      <w:szCs w:val="32"/>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52"/>
    <w:qFormat/>
    <w:uiPriority w:val="99"/>
    <w:pPr>
      <w:tabs>
        <w:tab w:val="center" w:pos="4153"/>
        <w:tab w:val="right" w:pos="8306"/>
      </w:tabs>
      <w:snapToGrid w:val="0"/>
      <w:jc w:val="left"/>
    </w:pPr>
    <w:rPr>
      <w:sz w:val="18"/>
      <w:szCs w:val="18"/>
    </w:rPr>
  </w:style>
  <w:style w:type="paragraph" w:styleId="6">
    <w:name w:val="toc 7"/>
    <w:basedOn w:val="1"/>
    <w:next w:val="1"/>
    <w:semiHidden/>
    <w:qFormat/>
    <w:uiPriority w:val="0"/>
    <w:pPr>
      <w:ind w:left="1260"/>
      <w:jc w:val="left"/>
    </w:pPr>
    <w:rPr>
      <w:sz w:val="18"/>
      <w:szCs w:val="18"/>
    </w:rPr>
  </w:style>
  <w:style w:type="paragraph" w:styleId="7">
    <w:name w:val="Normal Indent"/>
    <w:basedOn w:val="1"/>
    <w:qFormat/>
    <w:uiPriority w:val="0"/>
    <w:pPr>
      <w:ind w:firstLine="420" w:firstLineChars="200"/>
    </w:pPr>
  </w:style>
  <w:style w:type="paragraph" w:styleId="8">
    <w:name w:val="Document Map"/>
    <w:basedOn w:val="1"/>
    <w:semiHidden/>
    <w:qFormat/>
    <w:uiPriority w:val="0"/>
    <w:pPr>
      <w:shd w:val="clear" w:color="auto" w:fill="000080"/>
    </w:pPr>
  </w:style>
  <w:style w:type="paragraph" w:styleId="9">
    <w:name w:val="annotation text"/>
    <w:basedOn w:val="1"/>
    <w:link w:val="55"/>
    <w:qFormat/>
    <w:uiPriority w:val="99"/>
    <w:pPr>
      <w:jc w:val="left"/>
    </w:pPr>
  </w:style>
  <w:style w:type="paragraph" w:styleId="10">
    <w:name w:val="Body Text 3"/>
    <w:basedOn w:val="1"/>
    <w:link w:val="60"/>
    <w:semiHidden/>
    <w:unhideWhenUsed/>
    <w:qFormat/>
    <w:uiPriority w:val="99"/>
    <w:pPr>
      <w:spacing w:after="120"/>
    </w:pPr>
    <w:rPr>
      <w:sz w:val="16"/>
      <w:szCs w:val="16"/>
    </w:rPr>
  </w:style>
  <w:style w:type="paragraph" w:styleId="11">
    <w:name w:val="Body Text"/>
    <w:basedOn w:val="1"/>
    <w:next w:val="1"/>
    <w:qFormat/>
    <w:uiPriority w:val="0"/>
    <w:pPr>
      <w:tabs>
        <w:tab w:val="left" w:pos="1175"/>
      </w:tabs>
      <w:autoSpaceDE w:val="0"/>
      <w:autoSpaceDN w:val="0"/>
      <w:adjustRightInd w:val="0"/>
      <w:spacing w:line="360" w:lineRule="auto"/>
    </w:pPr>
    <w:rPr>
      <w:rFonts w:ascii="仿宋_GB2312" w:eastAsia="仿宋_GB2312"/>
      <w:sz w:val="28"/>
    </w:rPr>
  </w:style>
  <w:style w:type="paragraph" w:styleId="12">
    <w:name w:val="Body Text Indent"/>
    <w:basedOn w:val="1"/>
    <w:link w:val="59"/>
    <w:qFormat/>
    <w:uiPriority w:val="0"/>
    <w:pPr>
      <w:autoSpaceDE w:val="0"/>
      <w:autoSpaceDN w:val="0"/>
      <w:adjustRightInd w:val="0"/>
      <w:spacing w:line="360" w:lineRule="auto"/>
      <w:ind w:firstLine="540"/>
    </w:pPr>
    <w:rPr>
      <w:rFonts w:ascii="仿宋_GB2312" w:eastAsia="仿宋_GB2312"/>
      <w:color w:val="000000"/>
      <w:sz w:val="28"/>
    </w:rPr>
  </w:style>
  <w:style w:type="paragraph" w:styleId="13">
    <w:name w:val="toc 5"/>
    <w:basedOn w:val="1"/>
    <w:next w:val="1"/>
    <w:semiHidden/>
    <w:qFormat/>
    <w:uiPriority w:val="0"/>
    <w:pPr>
      <w:ind w:left="840"/>
      <w:jc w:val="left"/>
    </w:pPr>
    <w:rPr>
      <w:sz w:val="18"/>
      <w:szCs w:val="18"/>
    </w:rPr>
  </w:style>
  <w:style w:type="paragraph" w:styleId="14">
    <w:name w:val="toc 3"/>
    <w:basedOn w:val="1"/>
    <w:next w:val="1"/>
    <w:qFormat/>
    <w:uiPriority w:val="39"/>
    <w:pPr>
      <w:ind w:left="420"/>
      <w:jc w:val="left"/>
    </w:pPr>
    <w:rPr>
      <w:i/>
      <w:iCs/>
      <w:sz w:val="20"/>
      <w:szCs w:val="20"/>
    </w:rPr>
  </w:style>
  <w:style w:type="paragraph" w:styleId="15">
    <w:name w:val="toc 8"/>
    <w:basedOn w:val="1"/>
    <w:next w:val="1"/>
    <w:semiHidden/>
    <w:qFormat/>
    <w:uiPriority w:val="0"/>
    <w:pPr>
      <w:ind w:left="1470"/>
      <w:jc w:val="left"/>
    </w:pPr>
    <w:rPr>
      <w:sz w:val="18"/>
      <w:szCs w:val="18"/>
    </w:rPr>
  </w:style>
  <w:style w:type="paragraph" w:styleId="16">
    <w:name w:val="Date"/>
    <w:basedOn w:val="1"/>
    <w:next w:val="1"/>
    <w:link w:val="66"/>
    <w:qFormat/>
    <w:uiPriority w:val="99"/>
    <w:pPr>
      <w:adjustRightInd w:val="0"/>
      <w:spacing w:line="360" w:lineRule="atLeast"/>
      <w:textAlignment w:val="baseline"/>
    </w:pPr>
    <w:rPr>
      <w:rFonts w:ascii="宋体"/>
      <w:kern w:val="0"/>
      <w:sz w:val="28"/>
      <w:szCs w:val="20"/>
    </w:rPr>
  </w:style>
  <w:style w:type="paragraph" w:styleId="17">
    <w:name w:val="Body Text Indent 2"/>
    <w:basedOn w:val="1"/>
    <w:link w:val="61"/>
    <w:qFormat/>
    <w:uiPriority w:val="99"/>
    <w:pPr>
      <w:snapToGrid w:val="0"/>
      <w:spacing w:line="300" w:lineRule="auto"/>
      <w:ind w:left="1050"/>
    </w:pPr>
    <w:rPr>
      <w:rFonts w:ascii="新宋体" w:hAnsi="新宋体" w:eastAsia="新宋体"/>
      <w:spacing w:val="10"/>
      <w:sz w:val="28"/>
      <w:szCs w:val="20"/>
    </w:rPr>
  </w:style>
  <w:style w:type="paragraph" w:styleId="18">
    <w:name w:val="Balloon Text"/>
    <w:basedOn w:val="1"/>
    <w:link w:val="69"/>
    <w:semiHidden/>
    <w:qFormat/>
    <w:uiPriority w:val="99"/>
    <w:rPr>
      <w:sz w:val="18"/>
      <w:szCs w:val="18"/>
    </w:rPr>
  </w:style>
  <w:style w:type="paragraph" w:styleId="19">
    <w:name w:val="header"/>
    <w:basedOn w:val="1"/>
    <w:link w:val="58"/>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4"/>
    <w:basedOn w:val="1"/>
    <w:next w:val="1"/>
    <w:semiHidden/>
    <w:qFormat/>
    <w:uiPriority w:val="0"/>
    <w:pPr>
      <w:ind w:left="630"/>
      <w:jc w:val="left"/>
    </w:pPr>
    <w:rPr>
      <w:sz w:val="18"/>
      <w:szCs w:val="18"/>
    </w:rPr>
  </w:style>
  <w:style w:type="paragraph" w:styleId="22">
    <w:name w:val="Subtitle"/>
    <w:basedOn w:val="1"/>
    <w:next w:val="1"/>
    <w:link w:val="65"/>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23">
    <w:name w:val="toc 6"/>
    <w:basedOn w:val="1"/>
    <w:next w:val="1"/>
    <w:semiHidden/>
    <w:qFormat/>
    <w:uiPriority w:val="0"/>
    <w:pPr>
      <w:ind w:left="1050"/>
      <w:jc w:val="left"/>
    </w:pPr>
    <w:rPr>
      <w:sz w:val="18"/>
      <w:szCs w:val="18"/>
    </w:rPr>
  </w:style>
  <w:style w:type="paragraph" w:styleId="24">
    <w:name w:val="Body Text Indent 3"/>
    <w:basedOn w:val="1"/>
    <w:qFormat/>
    <w:uiPriority w:val="0"/>
    <w:pPr>
      <w:autoSpaceDE w:val="0"/>
      <w:autoSpaceDN w:val="0"/>
      <w:adjustRightInd w:val="0"/>
      <w:spacing w:line="360" w:lineRule="auto"/>
      <w:ind w:left="720" w:firstLine="540"/>
    </w:pPr>
    <w:rPr>
      <w:rFonts w:ascii="仿宋_GB2312" w:eastAsia="仿宋_GB2312"/>
      <w:color w:val="000000"/>
      <w:sz w:val="28"/>
    </w:rPr>
  </w:style>
  <w:style w:type="paragraph" w:styleId="25">
    <w:name w:val="toc 2"/>
    <w:basedOn w:val="1"/>
    <w:next w:val="1"/>
    <w:qFormat/>
    <w:uiPriority w:val="39"/>
    <w:pPr>
      <w:ind w:left="210"/>
      <w:jc w:val="left"/>
    </w:pPr>
    <w:rPr>
      <w:smallCaps/>
      <w:sz w:val="20"/>
      <w:szCs w:val="20"/>
    </w:rPr>
  </w:style>
  <w:style w:type="paragraph" w:styleId="26">
    <w:name w:val="toc 9"/>
    <w:basedOn w:val="1"/>
    <w:next w:val="1"/>
    <w:semiHidden/>
    <w:qFormat/>
    <w:uiPriority w:val="0"/>
    <w:pPr>
      <w:ind w:left="1680"/>
      <w:jc w:val="left"/>
    </w:pPr>
    <w:rPr>
      <w:sz w:val="18"/>
      <w:szCs w:val="18"/>
    </w:rPr>
  </w:style>
  <w:style w:type="paragraph" w:styleId="27">
    <w:name w:val="Body Text 2"/>
    <w:basedOn w:val="1"/>
    <w:qFormat/>
    <w:uiPriority w:val="0"/>
    <w:pPr>
      <w:tabs>
        <w:tab w:val="left" w:pos="540"/>
      </w:tabs>
      <w:autoSpaceDE w:val="0"/>
      <w:autoSpaceDN w:val="0"/>
      <w:adjustRightInd w:val="0"/>
      <w:spacing w:line="360" w:lineRule="auto"/>
    </w:pPr>
    <w:rPr>
      <w:rFonts w:ascii="仿宋_GB2312" w:eastAsia="仿宋_GB2312"/>
      <w:color w:val="000000"/>
      <w:sz w:val="28"/>
    </w:rPr>
  </w:style>
  <w:style w:type="paragraph" w:styleId="28">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paragraph" w:styleId="29">
    <w:name w:val="index 1"/>
    <w:basedOn w:val="1"/>
    <w:next w:val="1"/>
    <w:semiHidden/>
    <w:qFormat/>
    <w:uiPriority w:val="0"/>
  </w:style>
  <w:style w:type="paragraph" w:styleId="30">
    <w:name w:val="Title"/>
    <w:basedOn w:val="1"/>
    <w:next w:val="1"/>
    <w:link w:val="51"/>
    <w:qFormat/>
    <w:uiPriority w:val="0"/>
    <w:pPr>
      <w:spacing w:before="240" w:after="60"/>
      <w:jc w:val="center"/>
      <w:outlineLvl w:val="0"/>
    </w:pPr>
    <w:rPr>
      <w:rFonts w:ascii="Cambria" w:hAnsi="Cambria"/>
      <w:b/>
      <w:bCs/>
      <w:sz w:val="32"/>
      <w:szCs w:val="32"/>
    </w:rPr>
  </w:style>
  <w:style w:type="paragraph" w:styleId="31">
    <w:name w:val="annotation subject"/>
    <w:basedOn w:val="9"/>
    <w:next w:val="9"/>
    <w:semiHidden/>
    <w:qFormat/>
    <w:uiPriority w:val="0"/>
    <w:rPr>
      <w:b/>
      <w:bCs/>
    </w:rPr>
  </w:style>
  <w:style w:type="table" w:styleId="33">
    <w:name w:val="Table Grid"/>
    <w:basedOn w:val="3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Strong"/>
    <w:basedOn w:val="34"/>
    <w:qFormat/>
    <w:uiPriority w:val="0"/>
    <w:rPr>
      <w:b/>
    </w:rPr>
  </w:style>
  <w:style w:type="character" w:styleId="36">
    <w:name w:val="page number"/>
    <w:basedOn w:val="34"/>
    <w:qFormat/>
    <w:uiPriority w:val="0"/>
  </w:style>
  <w:style w:type="character" w:styleId="37">
    <w:name w:val="Emphasis"/>
    <w:basedOn w:val="34"/>
    <w:qFormat/>
    <w:uiPriority w:val="20"/>
    <w:rPr>
      <w:i/>
      <w:iCs/>
    </w:rPr>
  </w:style>
  <w:style w:type="character" w:styleId="38">
    <w:name w:val="Hyperlink"/>
    <w:basedOn w:val="34"/>
    <w:qFormat/>
    <w:uiPriority w:val="99"/>
    <w:rPr>
      <w:color w:val="0000FF"/>
      <w:u w:val="single"/>
    </w:rPr>
  </w:style>
  <w:style w:type="character" w:styleId="39">
    <w:name w:val="annotation reference"/>
    <w:basedOn w:val="34"/>
    <w:semiHidden/>
    <w:qFormat/>
    <w:uiPriority w:val="99"/>
    <w:rPr>
      <w:sz w:val="21"/>
      <w:szCs w:val="21"/>
    </w:rPr>
  </w:style>
  <w:style w:type="paragraph" w:customStyle="1" w:styleId="40">
    <w:name w:val="样式 标题 1 + 四号"/>
    <w:basedOn w:val="3"/>
    <w:qFormat/>
    <w:uiPriority w:val="0"/>
    <w:pPr>
      <w:numPr>
        <w:ilvl w:val="0"/>
        <w:numId w:val="2"/>
      </w:numPr>
      <w:spacing w:before="120" w:after="120"/>
      <w:jc w:val="both"/>
    </w:pPr>
    <w:rPr>
      <w:rFonts w:ascii="楷体_GB2312" w:hAnsi="Times New Roman" w:eastAsia="楷体_GB2312" w:cs="Times New Roman"/>
      <w:bCs w:val="0"/>
      <w:color w:val="000000"/>
      <w:kern w:val="2"/>
      <w:sz w:val="28"/>
      <w:lang w:val="en-US"/>
    </w:rPr>
  </w:style>
  <w:style w:type="paragraph" w:customStyle="1" w:styleId="41">
    <w:name w:val="样式1"/>
    <w:basedOn w:val="1"/>
    <w:qFormat/>
    <w:uiPriority w:val="0"/>
  </w:style>
  <w:style w:type="paragraph" w:customStyle="1" w:styleId="42">
    <w:name w:val="xl24"/>
    <w:basedOn w:val="1"/>
    <w:qFormat/>
    <w:uiPriority w:val="0"/>
    <w:pPr>
      <w:widowControl/>
      <w:pBdr>
        <w:right w:val="single" w:color="auto" w:sz="4" w:space="0"/>
      </w:pBdr>
      <w:spacing w:before="100" w:after="100"/>
      <w:jc w:val="center"/>
    </w:pPr>
    <w:rPr>
      <w:rFonts w:ascii="Arial Unicode MS" w:hAnsi="Arial Unicode MS" w:eastAsia="Arial Unicode MS"/>
      <w:kern w:val="0"/>
      <w:sz w:val="24"/>
      <w:szCs w:val="20"/>
    </w:rPr>
  </w:style>
  <w:style w:type="paragraph" w:customStyle="1" w:styleId="43">
    <w:name w:val="Table Text"/>
    <w:qFormat/>
    <w:uiPriority w:val="0"/>
    <w:rPr>
      <w:rFonts w:ascii="Arial" w:hAnsi="Arial" w:eastAsia="宋体" w:cs="Times New Roman"/>
      <w:snapToGrid w:val="0"/>
      <w:color w:val="000000"/>
      <w:lang w:val="en-US" w:eastAsia="en-US" w:bidi="ar-SA"/>
    </w:rPr>
  </w:style>
  <w:style w:type="table" w:customStyle="1" w:styleId="44">
    <w:name w:val="网格型1"/>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45">
    <w:name w:val="FA"/>
    <w:qFormat/>
    <w:uiPriority w:val="0"/>
    <w:pPr>
      <w:spacing w:line="240" w:lineRule="atLeast"/>
      <w:ind w:left="709" w:hanging="709"/>
      <w:jc w:val="both"/>
    </w:pPr>
    <w:rPr>
      <w:rFonts w:ascii="Times" w:hAnsi="Times" w:eastAsia="宋体" w:cs="Times New Roman"/>
      <w:sz w:val="22"/>
      <w:u w:val="single"/>
      <w:lang w:val="fr-FR" w:eastAsia="en-US" w:bidi="ar-SA"/>
    </w:rPr>
  </w:style>
  <w:style w:type="paragraph" w:customStyle="1" w:styleId="46">
    <w:name w:val="Text:1"/>
    <w:basedOn w:val="1"/>
    <w:qFormat/>
    <w:uiPriority w:val="0"/>
    <w:pPr>
      <w:widowControl/>
      <w:tabs>
        <w:tab w:val="left" w:pos="-720"/>
        <w:tab w:val="left" w:pos="0"/>
      </w:tabs>
      <w:suppressAutoHyphens/>
      <w:spacing w:before="120" w:after="60"/>
      <w:ind w:left="720"/>
    </w:pPr>
    <w:rPr>
      <w:rFonts w:ascii="Arial" w:hAnsi="Arial" w:eastAsia="Times New Roman"/>
      <w:spacing w:val="-3"/>
      <w:kern w:val="0"/>
      <w:sz w:val="22"/>
      <w:szCs w:val="20"/>
      <w:lang w:eastAsia="en-US"/>
    </w:rPr>
  </w:style>
  <w:style w:type="paragraph" w:customStyle="1" w:styleId="47">
    <w:name w:val="Char1"/>
    <w:basedOn w:val="1"/>
    <w:qFormat/>
    <w:uiPriority w:val="0"/>
    <w:pPr>
      <w:adjustRightInd w:val="0"/>
      <w:spacing w:line="360" w:lineRule="auto"/>
    </w:pPr>
    <w:rPr>
      <w:kern w:val="0"/>
      <w:sz w:val="24"/>
      <w:szCs w:val="20"/>
    </w:rPr>
  </w:style>
  <w:style w:type="paragraph" w:customStyle="1" w:styleId="48">
    <w:name w:val="标题2A"/>
    <w:basedOn w:val="4"/>
    <w:qFormat/>
    <w:uiPriority w:val="0"/>
    <w:pPr>
      <w:numPr>
        <w:ilvl w:val="0"/>
        <w:numId w:val="3"/>
      </w:numPr>
      <w:spacing w:before="360" w:after="360" w:line="578" w:lineRule="auto"/>
      <w:jc w:val="center"/>
    </w:pPr>
    <w:rPr>
      <w:rFonts w:eastAsia="宋体"/>
      <w:sz w:val="24"/>
    </w:rPr>
  </w:style>
  <w:style w:type="character" w:customStyle="1" w:styleId="49">
    <w:name w:val="样式2A Char"/>
    <w:basedOn w:val="34"/>
    <w:qFormat/>
    <w:uiPriority w:val="0"/>
    <w:rPr>
      <w:rFonts w:ascii="Arial" w:hAnsi="Arial" w:eastAsia="宋体"/>
      <w:b/>
      <w:bCs/>
      <w:kern w:val="2"/>
      <w:sz w:val="24"/>
      <w:szCs w:val="32"/>
      <w:lang w:val="en-US" w:eastAsia="zh-CN" w:bidi="ar-SA"/>
    </w:rPr>
  </w:style>
  <w:style w:type="character" w:customStyle="1" w:styleId="50">
    <w:name w:val="DeltaView Insertion"/>
    <w:qFormat/>
    <w:uiPriority w:val="0"/>
    <w:rPr>
      <w:color w:val="0000FF"/>
      <w:spacing w:val="0"/>
      <w:u w:val="double"/>
    </w:rPr>
  </w:style>
  <w:style w:type="character" w:customStyle="1" w:styleId="51">
    <w:name w:val="标题 Char"/>
    <w:basedOn w:val="34"/>
    <w:link w:val="30"/>
    <w:qFormat/>
    <w:uiPriority w:val="0"/>
    <w:rPr>
      <w:rFonts w:ascii="Cambria" w:hAnsi="Cambria"/>
      <w:b/>
      <w:bCs/>
      <w:kern w:val="2"/>
      <w:sz w:val="32"/>
      <w:szCs w:val="32"/>
    </w:rPr>
  </w:style>
  <w:style w:type="character" w:customStyle="1" w:styleId="52">
    <w:name w:val="页脚 Char"/>
    <w:basedOn w:val="34"/>
    <w:link w:val="2"/>
    <w:qFormat/>
    <w:uiPriority w:val="99"/>
    <w:rPr>
      <w:kern w:val="2"/>
      <w:sz w:val="18"/>
      <w:szCs w:val="18"/>
    </w:rPr>
  </w:style>
  <w:style w:type="paragraph" w:customStyle="1" w:styleId="53">
    <w:name w:val="TOC Heading"/>
    <w:basedOn w:val="3"/>
    <w:next w:val="1"/>
    <w:unhideWhenUsed/>
    <w:qFormat/>
    <w:uiPriority w:val="39"/>
    <w:pPr>
      <w:widowControl/>
      <w:spacing w:before="480" w:after="0" w:line="276" w:lineRule="auto"/>
      <w:jc w:val="left"/>
      <w:outlineLvl w:val="9"/>
    </w:pPr>
    <w:rPr>
      <w:rFonts w:ascii="Cambria" w:hAnsi="Cambria" w:cs="Times New Roman"/>
      <w:color w:val="365F91"/>
      <w:sz w:val="28"/>
      <w:szCs w:val="28"/>
      <w:lang w:val="en-US"/>
    </w:rPr>
  </w:style>
  <w:style w:type="paragraph" w:customStyle="1" w:styleId="54">
    <w:name w:val="正文文本缩进1"/>
    <w:basedOn w:val="1"/>
    <w:qFormat/>
    <w:uiPriority w:val="0"/>
    <w:pPr>
      <w:spacing w:line="360" w:lineRule="auto"/>
      <w:ind w:firstLine="444" w:firstLineChars="200"/>
    </w:pPr>
    <w:rPr>
      <w:rFonts w:ascii="宋体"/>
      <w:sz w:val="24"/>
    </w:rPr>
  </w:style>
  <w:style w:type="character" w:customStyle="1" w:styleId="55">
    <w:name w:val="批注文字 Char"/>
    <w:basedOn w:val="34"/>
    <w:link w:val="9"/>
    <w:qFormat/>
    <w:uiPriority w:val="99"/>
    <w:rPr>
      <w:kern w:val="2"/>
      <w:sz w:val="21"/>
      <w:szCs w:val="24"/>
    </w:rPr>
  </w:style>
  <w:style w:type="paragraph" w:customStyle="1" w:styleId="56">
    <w:name w:val="Revision"/>
    <w:hidden/>
    <w:semiHidden/>
    <w:qFormat/>
    <w:uiPriority w:val="99"/>
    <w:rPr>
      <w:rFonts w:ascii="Times New Roman" w:hAnsi="Times New Roman" w:eastAsia="宋体" w:cs="Times New Roman"/>
      <w:kern w:val="2"/>
      <w:sz w:val="21"/>
      <w:szCs w:val="24"/>
      <w:lang w:val="en-US" w:eastAsia="zh-CN" w:bidi="ar-SA"/>
    </w:rPr>
  </w:style>
  <w:style w:type="paragraph" w:styleId="57">
    <w:name w:val="List Paragraph"/>
    <w:basedOn w:val="1"/>
    <w:qFormat/>
    <w:uiPriority w:val="34"/>
    <w:pPr>
      <w:ind w:firstLine="420" w:firstLineChars="200"/>
    </w:pPr>
  </w:style>
  <w:style w:type="character" w:customStyle="1" w:styleId="58">
    <w:name w:val="页眉 Char"/>
    <w:basedOn w:val="34"/>
    <w:link w:val="19"/>
    <w:qFormat/>
    <w:uiPriority w:val="0"/>
    <w:rPr>
      <w:kern w:val="2"/>
      <w:sz w:val="18"/>
      <w:szCs w:val="18"/>
    </w:rPr>
  </w:style>
  <w:style w:type="character" w:customStyle="1" w:styleId="59">
    <w:name w:val="正文文本缩进 Char"/>
    <w:basedOn w:val="34"/>
    <w:link w:val="12"/>
    <w:qFormat/>
    <w:uiPriority w:val="0"/>
    <w:rPr>
      <w:rFonts w:ascii="仿宋_GB2312" w:eastAsia="仿宋_GB2312"/>
      <w:color w:val="000000"/>
      <w:kern w:val="2"/>
      <w:sz w:val="28"/>
      <w:szCs w:val="24"/>
    </w:rPr>
  </w:style>
  <w:style w:type="character" w:customStyle="1" w:styleId="60">
    <w:name w:val="正文文本 3 Char"/>
    <w:basedOn w:val="34"/>
    <w:link w:val="10"/>
    <w:semiHidden/>
    <w:qFormat/>
    <w:uiPriority w:val="99"/>
    <w:rPr>
      <w:kern w:val="2"/>
      <w:sz w:val="16"/>
      <w:szCs w:val="16"/>
    </w:rPr>
  </w:style>
  <w:style w:type="character" w:customStyle="1" w:styleId="61">
    <w:name w:val="正文文本缩进 2 Char"/>
    <w:basedOn w:val="34"/>
    <w:link w:val="17"/>
    <w:qFormat/>
    <w:uiPriority w:val="99"/>
    <w:rPr>
      <w:rFonts w:ascii="新宋体" w:hAnsi="新宋体" w:eastAsia="新宋体"/>
      <w:spacing w:val="10"/>
      <w:kern w:val="2"/>
      <w:sz w:val="28"/>
    </w:rPr>
  </w:style>
  <w:style w:type="character" w:customStyle="1" w:styleId="62">
    <w:name w:val="标题 2 Char"/>
    <w:basedOn w:val="34"/>
    <w:link w:val="4"/>
    <w:qFormat/>
    <w:uiPriority w:val="9"/>
    <w:rPr>
      <w:rFonts w:ascii="Arial" w:hAnsi="Arial" w:eastAsia="黑体"/>
      <w:b/>
      <w:bCs/>
      <w:kern w:val="2"/>
      <w:sz w:val="32"/>
      <w:szCs w:val="32"/>
    </w:rPr>
  </w:style>
  <w:style w:type="character" w:customStyle="1" w:styleId="63">
    <w:name w:val="标题 3 Char"/>
    <w:basedOn w:val="34"/>
    <w:link w:val="5"/>
    <w:qFormat/>
    <w:uiPriority w:val="9"/>
    <w:rPr>
      <w:b/>
      <w:bCs/>
      <w:kern w:val="2"/>
      <w:sz w:val="30"/>
      <w:szCs w:val="32"/>
    </w:rPr>
  </w:style>
  <w:style w:type="character" w:customStyle="1" w:styleId="64">
    <w:name w:val="标题 1 Char"/>
    <w:basedOn w:val="34"/>
    <w:link w:val="3"/>
    <w:qFormat/>
    <w:uiPriority w:val="9"/>
    <w:rPr>
      <w:rFonts w:ascii="宋体" w:hAnsi="宋体" w:cs="宋体"/>
      <w:b/>
      <w:bCs/>
      <w:sz w:val="24"/>
      <w:szCs w:val="24"/>
      <w:lang w:val="zh-CN"/>
    </w:rPr>
  </w:style>
  <w:style w:type="character" w:customStyle="1" w:styleId="65">
    <w:name w:val="副标题 Char"/>
    <w:basedOn w:val="34"/>
    <w:link w:val="22"/>
    <w:qFormat/>
    <w:uiPriority w:val="11"/>
    <w:rPr>
      <w:rFonts w:asciiTheme="majorHAnsi" w:hAnsiTheme="majorHAnsi" w:cstheme="majorBidi"/>
      <w:b/>
      <w:bCs/>
      <w:kern w:val="28"/>
      <w:sz w:val="32"/>
      <w:szCs w:val="32"/>
    </w:rPr>
  </w:style>
  <w:style w:type="character" w:customStyle="1" w:styleId="66">
    <w:name w:val="日期 Char"/>
    <w:basedOn w:val="34"/>
    <w:link w:val="16"/>
    <w:qFormat/>
    <w:uiPriority w:val="99"/>
    <w:rPr>
      <w:rFonts w:ascii="宋体"/>
      <w:sz w:val="28"/>
    </w:rPr>
  </w:style>
  <w:style w:type="paragraph" w:customStyle="1" w:styleId="67">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68">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9">
    <w:name w:val="批注框文本 Char"/>
    <w:basedOn w:val="34"/>
    <w:link w:val="18"/>
    <w:semiHidden/>
    <w:qFormat/>
    <w:uiPriority w:val="99"/>
    <w:rPr>
      <w:kern w:val="2"/>
      <w:sz w:val="18"/>
      <w:szCs w:val="18"/>
    </w:rPr>
  </w:style>
  <w:style w:type="paragraph" w:customStyle="1" w:styleId="70">
    <w:name w:val="列出段落1"/>
    <w:basedOn w:val="1"/>
    <w:qFormat/>
    <w:uiPriority w:val="34"/>
    <w:pPr>
      <w:ind w:firstLine="420" w:firstLineChars="200"/>
    </w:pPr>
    <w:rPr>
      <w:rFonts w:asciiTheme="minorHAnsi" w:hAnsiTheme="minorHAnsi" w:eastAsiaTheme="minorEastAsia" w:cstheme="minorBidi"/>
      <w:szCs w:val="22"/>
    </w:rPr>
  </w:style>
  <w:style w:type="character" w:customStyle="1" w:styleId="71">
    <w:name w:val="msonormal"/>
    <w:qFormat/>
    <w:uiPriority w:val="0"/>
  </w:style>
  <w:style w:type="table" w:customStyle="1" w:styleId="72">
    <w:name w:val="网格型2"/>
    <w:basedOn w:val="32"/>
    <w:qFormat/>
    <w:uiPriority w:val="59"/>
    <w:rPr>
      <w:rFonts w:ascii="宋体" w:hAnsi="宋体"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3">
    <w:name w:val="font51"/>
    <w:qFormat/>
    <w:uiPriority w:val="0"/>
    <w:rPr>
      <w:rFonts w:hint="eastAsia" w:ascii="宋体" w:hAnsi="宋体" w:eastAsia="宋体" w:cs="宋体"/>
      <w:color w:val="000000"/>
      <w:sz w:val="24"/>
      <w:szCs w:val="24"/>
      <w:u w:val="none"/>
    </w:rPr>
  </w:style>
  <w:style w:type="character" w:customStyle="1" w:styleId="74">
    <w:name w:val="font61"/>
    <w:qFormat/>
    <w:uiPriority w:val="0"/>
    <w:rPr>
      <w:rFonts w:hint="default" w:ascii="Times New Roman" w:hAnsi="Times New Roman" w:eastAsia="宋体" w:cs="Times New Roman"/>
      <w:color w:val="000000"/>
      <w:sz w:val="20"/>
      <w:szCs w:val="20"/>
      <w:u w:val="none"/>
    </w:rPr>
  </w:style>
  <w:style w:type="character" w:customStyle="1" w:styleId="75">
    <w:name w:val="font131"/>
    <w:qFormat/>
    <w:uiPriority w:val="0"/>
    <w:rPr>
      <w:rFonts w:hint="eastAsia" w:ascii="宋体" w:hAnsi="宋体" w:eastAsia="宋体" w:cs="宋体"/>
      <w:color w:val="000000"/>
      <w:sz w:val="20"/>
      <w:szCs w:val="20"/>
      <w:u w:val="none"/>
    </w:rPr>
  </w:style>
  <w:style w:type="character" w:customStyle="1" w:styleId="76">
    <w:name w:val="font01"/>
    <w:qFormat/>
    <w:uiPriority w:val="0"/>
    <w:rPr>
      <w:rFonts w:hint="eastAsia" w:ascii="宋体" w:hAnsi="宋体" w:eastAsia="宋体" w:cs="宋体"/>
      <w:color w:val="000000"/>
      <w:sz w:val="20"/>
      <w:szCs w:val="20"/>
      <w:u w:val="none"/>
    </w:rPr>
  </w:style>
  <w:style w:type="character" w:customStyle="1" w:styleId="77">
    <w:name w:val="font21"/>
    <w:basedOn w:val="34"/>
    <w:qFormat/>
    <w:uiPriority w:val="0"/>
    <w:rPr>
      <w:rFonts w:ascii="Microsoft JhengHei" w:hAnsi="Microsoft JhengHei" w:eastAsia="Microsoft JhengHei" w:cs="Microsoft JhengHei"/>
      <w:color w:val="000000"/>
      <w:sz w:val="21"/>
      <w:szCs w:val="21"/>
      <w:u w:val="none"/>
    </w:rPr>
  </w:style>
  <w:style w:type="paragraph" w:customStyle="1" w:styleId="78">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9">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0">
    <w:name w:val="font41"/>
    <w:basedOn w:val="34"/>
    <w:qFormat/>
    <w:uiPriority w:val="0"/>
    <w:rPr>
      <w:rFonts w:hint="eastAsia" w:ascii="宋体" w:hAnsi="宋体" w:eastAsia="宋体" w:cs="宋体"/>
      <w:color w:val="000000"/>
      <w:sz w:val="20"/>
      <w:szCs w:val="20"/>
      <w:u w:val="none"/>
    </w:rPr>
  </w:style>
  <w:style w:type="paragraph" w:customStyle="1" w:styleId="81">
    <w:name w:val="Normal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EAA519F8-294D-40DC-A8E0-751D65993FB0}">
  <ds:schemaRefs/>
</ds:datastoreItem>
</file>

<file path=docProps/app.xml><?xml version="1.0" encoding="utf-8"?>
<Properties xmlns="http://schemas.openxmlformats.org/officeDocument/2006/extended-properties" xmlns:vt="http://schemas.openxmlformats.org/officeDocument/2006/docPropsVTypes">
  <Template>Normal</Template>
  <Company>cnooc</Company>
  <Pages>7</Pages>
  <Words>74</Words>
  <Characters>82</Characters>
  <Lines>196</Lines>
  <Paragraphs>55</Paragraphs>
  <TotalTime>3</TotalTime>
  <ScaleCrop>false</ScaleCrop>
  <LinksUpToDate>false</LinksUpToDate>
  <CharactersWithSpaces>181</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2019-02-04T10:41:00Z</dcterms:created>
  <dc:creator>zhaogang</dc:creator>
  <cp:lastModifiedBy>greatwall</cp:lastModifiedBy>
  <cp:lastPrinted>2022-10-16T11:35:00Z</cp:lastPrinted>
  <dcterms:modified xsi:type="dcterms:W3CDTF">2026-06-04T14:25:58Z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kDAAvqO96NBIl6EpaarR5oEhV3FXFEUOQg9HZFKPntTdk00Q/ukPrS+u8rha/OBXLmrgCu8KhIFJSgt5_x000d_
04xZz+9kKIvUdzF0PlK59WhjLfeqm1UiS9vbtbkp46Gc00xUBeJea70Mxy9S9KfOai98Fetniquq_x000d_
BnbIfpGf6JkWbLeWIizG5jHibrVhbR4t8m8xxdch+8MaZmZlx4o7FAOM5vJR0bfTMs/M1G1T</vt:lpwstr>
  </property>
  <property fmtid="{D5CDD505-2E9C-101B-9397-08002B2CF9AE}" pid="3" name="RESPONSE_SENDER_NAME">
    <vt:lpwstr>sAAA4E8dREqJqIpJ1wlte7eKmzMuwHqPUWWCiHg/BcC21wA=</vt:lpwstr>
  </property>
  <property fmtid="{D5CDD505-2E9C-101B-9397-08002B2CF9AE}" pid="4" name="EMAIL_OWNER_ADDRESS">
    <vt:lpwstr>sAAAUYtyAkeNWR4Cs093IjBAP6ZiOSZfXNOZlMTrenbnt1o=</vt:lpwstr>
  </property>
  <property fmtid="{D5CDD505-2E9C-101B-9397-08002B2CF9AE}" pid="5" name="KSOProductBuildVer">
    <vt:lpwstr>2052-11.8.2.12313</vt:lpwstr>
  </property>
  <property fmtid="{D5CDD505-2E9C-101B-9397-08002B2CF9AE}" pid="6" name="ICV">
    <vt:lpwstr>792A8867831B45D4A28C27B6B4271FD7</vt:lpwstr>
  </property>
  <property fmtid="{D5CDD505-2E9C-101B-9397-08002B2CF9AE}" pid="7" name="KSOTemplateDocerSaveRecord">
    <vt:lpwstr>eyJoZGlkIjoiOTJhYzdmNDhmMTQwMDYwMTY2ZWVhYTUxYjg1ZmE2OWMiLCJ1c2VySWQiOiI2MjkzNzA4MjkifQ==</vt:lpwstr>
  </property>
</Properties>
</file>