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before="120" w:after="120"/>
        <w:ind w:right="-20"/>
        <w:jc w:val="center"/>
        <w:rPr>
          <w:rFonts w:ascii="Arial Unicode MS" w:eastAsia="Arial Unicode MS" w:cs="Arial Unicode MS"/>
          <w:b/>
          <w:spacing w:val="2"/>
          <w:w w:val="99"/>
          <w:sz w:val="52"/>
          <w:szCs w:val="52"/>
        </w:rPr>
      </w:pPr>
      <w:r>
        <w:rPr>
          <w:rFonts w:ascii="Arial Unicode MS" w:eastAsia="Arial Unicode MS" w:cs="Arial Unicode MS"/>
          <w:b/>
          <w:spacing w:val="2"/>
          <w:w w:val="99"/>
          <w:sz w:val="52"/>
          <w:szCs w:val="52"/>
          <w:lang w:eastAsia="zh-CN"/>
        </w:rPr>
        <w:drawing>
          <wp:anchor distT="0" distB="0" distL="114300" distR="114300" simplePos="0" relativeHeight="251659264" behindDoc="1" locked="0" layoutInCell="1" allowOverlap="1">
            <wp:simplePos x="0" y="0"/>
            <wp:positionH relativeFrom="column">
              <wp:posOffset>2009140</wp:posOffset>
            </wp:positionH>
            <wp:positionV relativeFrom="paragraph">
              <wp:posOffset>20320</wp:posOffset>
            </wp:positionV>
            <wp:extent cx="1596390" cy="1438275"/>
            <wp:effectExtent l="0" t="0" r="0" b="0"/>
            <wp:wrapTight wrapText="bothSides">
              <wp:wrapPolygon>
                <wp:start x="7475" y="0"/>
                <wp:lineTo x="2320" y="4577"/>
                <wp:lineTo x="1289" y="6008"/>
                <wp:lineTo x="0" y="8583"/>
                <wp:lineTo x="0" y="15163"/>
                <wp:lineTo x="1289" y="18310"/>
                <wp:lineTo x="1289" y="18882"/>
                <wp:lineTo x="5155" y="21457"/>
                <wp:lineTo x="5928" y="21457"/>
                <wp:lineTo x="11084" y="21457"/>
                <wp:lineTo x="11857" y="21457"/>
                <wp:lineTo x="15465" y="18882"/>
                <wp:lineTo x="15723" y="18310"/>
                <wp:lineTo x="17527" y="13732"/>
                <wp:lineTo x="21394" y="12016"/>
                <wp:lineTo x="21394" y="8869"/>
                <wp:lineTo x="14692" y="4577"/>
                <wp:lineTo x="9537" y="0"/>
                <wp:lineTo x="7475"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96390" cy="1438275"/>
                    </a:xfrm>
                    <a:prstGeom prst="rect">
                      <a:avLst/>
                    </a:prstGeom>
                  </pic:spPr>
                </pic:pic>
              </a:graphicData>
            </a:graphic>
          </wp:anchor>
        </w:drawing>
      </w:r>
    </w:p>
    <w:p>
      <w:pPr>
        <w:autoSpaceDE w:val="0"/>
        <w:autoSpaceDN w:val="0"/>
        <w:spacing w:before="120" w:after="120"/>
        <w:ind w:right="-20"/>
        <w:jc w:val="center"/>
        <w:rPr>
          <w:rFonts w:ascii="Arial Unicode MS" w:eastAsia="Arial Unicode MS" w:cs="Arial Unicode MS"/>
          <w:b/>
          <w:spacing w:val="2"/>
          <w:w w:val="99"/>
          <w:sz w:val="52"/>
          <w:szCs w:val="52"/>
        </w:rPr>
      </w:pPr>
    </w:p>
    <w:p>
      <w:pPr>
        <w:autoSpaceDE w:val="0"/>
        <w:autoSpaceDN w:val="0"/>
        <w:spacing w:before="120" w:after="120"/>
        <w:ind w:right="-20"/>
        <w:jc w:val="center"/>
        <w:rPr>
          <w:rFonts w:ascii="微软雅黑" w:hAnsi="微软雅黑" w:eastAsia="微软雅黑" w:cs="Arial Unicode MS"/>
          <w:b/>
          <w:spacing w:val="2"/>
          <w:w w:val="99"/>
          <w:sz w:val="52"/>
          <w:szCs w:val="52"/>
        </w:rPr>
      </w:pPr>
    </w:p>
    <w:p>
      <w:pPr>
        <w:spacing w:line="240" w:lineRule="auto"/>
        <w:ind w:firstLine="0" w:firstLineChars="0"/>
        <w:jc w:val="center"/>
        <w:rPr>
          <w:rFonts w:hint="eastAsia" w:ascii="微软雅黑" w:hAnsi="微软雅黑" w:eastAsia="微软雅黑" w:cs="Arial Unicode MS"/>
          <w:color w:val="000000"/>
          <w:spacing w:val="2"/>
          <w:w w:val="99"/>
          <w:sz w:val="52"/>
          <w:szCs w:val="52"/>
          <w:lang w:val="en-US" w:eastAsia="zh-CN"/>
        </w:rPr>
      </w:pPr>
    </w:p>
    <w:p>
      <w:pPr>
        <w:spacing w:line="240" w:lineRule="auto"/>
        <w:ind w:firstLine="0" w:firstLineChars="0"/>
        <w:jc w:val="center"/>
        <w:rPr>
          <w:rFonts w:hint="default" w:ascii="微软雅黑" w:hAnsi="微软雅黑" w:eastAsia="微软雅黑" w:cs="Arial Unicode MS"/>
          <w:color w:val="000000"/>
          <w:spacing w:val="2"/>
          <w:w w:val="99"/>
          <w:sz w:val="52"/>
          <w:szCs w:val="52"/>
          <w:lang w:val="en-US" w:eastAsia="zh-CN"/>
        </w:rPr>
      </w:pPr>
      <w:r>
        <w:rPr>
          <w:rFonts w:hint="eastAsia" w:ascii="微软雅黑" w:hAnsi="微软雅黑" w:eastAsia="微软雅黑" w:cs="Arial Unicode MS"/>
          <w:color w:val="000000"/>
          <w:spacing w:val="2"/>
          <w:w w:val="99"/>
          <w:sz w:val="52"/>
          <w:szCs w:val="52"/>
          <w:lang w:val="en-US" w:eastAsia="zh-CN"/>
        </w:rPr>
        <w:t>中海油能源发展股份有限公司</w:t>
      </w:r>
    </w:p>
    <w:p>
      <w:pPr>
        <w:jc w:val="center"/>
        <w:rPr>
          <w:rFonts w:hint="eastAsia" w:ascii="微软雅黑" w:hAnsi="微软雅黑" w:eastAsia="微软雅黑" w:cs="Arial Unicode MS"/>
          <w:spacing w:val="2"/>
          <w:w w:val="99"/>
          <w:sz w:val="52"/>
          <w:szCs w:val="52"/>
          <w:highlight w:val="none"/>
          <w:u w:val="single"/>
          <w:lang w:val="en-US" w:eastAsia="zh-CN"/>
        </w:rPr>
      </w:pPr>
    </w:p>
    <w:p>
      <w:pPr>
        <w:spacing w:line="240" w:lineRule="auto"/>
        <w:ind w:firstLine="0" w:firstLineChars="0"/>
        <w:jc w:val="center"/>
        <w:rPr>
          <w:rFonts w:hint="eastAsia" w:ascii="微软雅黑" w:hAnsi="微软雅黑" w:eastAsia="微软雅黑" w:cs="Arial Unicode MS"/>
          <w:spacing w:val="2"/>
          <w:w w:val="99"/>
          <w:sz w:val="52"/>
          <w:szCs w:val="52"/>
          <w:u w:val="single"/>
          <w:lang w:val="en-US" w:eastAsia="zh-CN"/>
        </w:rPr>
      </w:pPr>
      <w:r>
        <w:rPr>
          <w:rFonts w:hint="eastAsia" w:ascii="微软雅黑" w:hAnsi="微软雅黑" w:eastAsia="微软雅黑" w:cs="Arial Unicode MS"/>
          <w:spacing w:val="2"/>
          <w:w w:val="99"/>
          <w:sz w:val="52"/>
          <w:szCs w:val="52"/>
          <w:u w:val="single"/>
          <w:lang w:val="en-US" w:eastAsia="zh-CN"/>
        </w:rPr>
        <w:t>常州院湛江中心罐体管线内喷涂、内衬特种防护服务</w:t>
      </w:r>
    </w:p>
    <w:p>
      <w:pPr>
        <w:spacing w:line="240" w:lineRule="auto"/>
        <w:ind w:firstLine="0" w:firstLineChars="0"/>
        <w:jc w:val="center"/>
        <w:rPr>
          <w:rFonts w:hint="eastAsia" w:ascii="微软雅黑" w:hAnsi="微软雅黑" w:eastAsia="微软雅黑" w:cs="Arial Unicode MS"/>
          <w:b/>
          <w:spacing w:val="2"/>
          <w:w w:val="99"/>
          <w:sz w:val="52"/>
          <w:szCs w:val="52"/>
          <w:lang w:eastAsia="zh-CN"/>
        </w:rPr>
      </w:pPr>
      <w:r>
        <w:rPr>
          <w:rFonts w:hint="eastAsia" w:ascii="微软雅黑" w:hAnsi="微软雅黑" w:eastAsia="微软雅黑" w:cs="Arial Unicode MS"/>
          <w:b/>
          <w:spacing w:val="2"/>
          <w:w w:val="99"/>
          <w:sz w:val="52"/>
          <w:szCs w:val="52"/>
          <w:lang w:eastAsia="zh-CN"/>
        </w:rPr>
        <w:t>采购技术要求书</w:t>
      </w:r>
    </w:p>
    <w:p>
      <w:pPr>
        <w:jc w:val="center"/>
        <w:rPr>
          <w:rFonts w:ascii="微软雅黑" w:hAnsi="微软雅黑" w:eastAsia="微软雅黑" w:cs="Arial Unicode MS"/>
          <w:b/>
          <w:spacing w:val="2"/>
          <w:w w:val="99"/>
          <w:sz w:val="52"/>
          <w:szCs w:val="52"/>
          <w:lang w:eastAsia="zh-CN"/>
        </w:rPr>
      </w:pPr>
    </w:p>
    <w:p>
      <w:pPr>
        <w:pStyle w:val="3"/>
        <w:rPr>
          <w:rFonts w:ascii="微软雅黑" w:hAnsi="微软雅黑" w:eastAsia="微软雅黑" w:cs="Arial Unicode MS"/>
          <w:b/>
          <w:color w:val="000000"/>
          <w:w w:val="99"/>
          <w:sz w:val="44"/>
          <w:szCs w:val="44"/>
        </w:rPr>
      </w:pPr>
    </w:p>
    <w:p>
      <w:pPr>
        <w:autoSpaceDE w:val="0"/>
        <w:autoSpaceDN w:val="0"/>
        <w:spacing w:before="120" w:after="120" w:line="720" w:lineRule="auto"/>
        <w:ind w:right="-20"/>
        <w:rPr>
          <w:rFonts w:ascii="Arial Unicode MS" w:eastAsia="Arial Unicode MS" w:cs="Arial Unicode MS"/>
          <w:spacing w:val="2"/>
          <w:w w:val="99"/>
          <w:sz w:val="36"/>
          <w:szCs w:val="36"/>
          <w:lang w:eastAsia="zh-CN"/>
        </w:rPr>
      </w:pPr>
      <w:r>
        <w:rPr>
          <w:rFonts w:hint="eastAsia" w:ascii="Arial Unicode MS" w:eastAsia="Arial Unicode MS" w:cs="Arial Unicode MS"/>
          <w:spacing w:val="2"/>
          <w:w w:val="99"/>
          <w:sz w:val="36"/>
          <w:szCs w:val="36"/>
          <w:lang w:eastAsia="zh-CN"/>
        </w:rPr>
        <w:t xml:space="preserve">         </w:t>
      </w:r>
      <w:r>
        <w:rPr>
          <w:rFonts w:hint="eastAsia" w:ascii="Arial Unicode MS" w:eastAsia="Arial Unicode MS" w:cs="Arial Unicode MS"/>
          <w:spacing w:val="2"/>
          <w:w w:val="99"/>
          <w:sz w:val="36"/>
          <w:szCs w:val="36"/>
          <w:lang w:val="en-US" w:eastAsia="zh-CN"/>
        </w:rPr>
        <w:t xml:space="preserve">  </w:t>
      </w:r>
      <w:r>
        <w:rPr>
          <w:rFonts w:hint="eastAsia" w:ascii="Arial Unicode MS" w:eastAsia="Arial Unicode MS" w:cs="Arial Unicode MS"/>
          <w:spacing w:val="2"/>
          <w:w w:val="99"/>
          <w:sz w:val="36"/>
          <w:szCs w:val="36"/>
          <w:lang w:eastAsia="zh-CN"/>
        </w:rPr>
        <w:t>编制：</w:t>
      </w:r>
      <w:r>
        <w:rPr>
          <w:rFonts w:hint="eastAsia" w:ascii="Arial Unicode MS" w:eastAsia="Arial Unicode MS" w:cs="Arial Unicode MS"/>
          <w:spacing w:val="2"/>
          <w:w w:val="99"/>
          <w:sz w:val="36"/>
          <w:szCs w:val="36"/>
          <w:u w:val="single"/>
          <w:lang w:eastAsia="zh-CN"/>
        </w:rPr>
        <w:t xml:space="preserve">                </w:t>
      </w:r>
    </w:p>
    <w:p>
      <w:pPr>
        <w:autoSpaceDE w:val="0"/>
        <w:autoSpaceDN w:val="0"/>
        <w:spacing w:before="120" w:after="120" w:line="720" w:lineRule="auto"/>
        <w:ind w:right="-20"/>
        <w:rPr>
          <w:rFonts w:ascii="Arial Unicode MS" w:eastAsia="Arial Unicode MS" w:cs="Arial Unicode MS"/>
          <w:spacing w:val="2"/>
          <w:w w:val="99"/>
          <w:sz w:val="36"/>
          <w:szCs w:val="36"/>
          <w:lang w:eastAsia="zh-CN"/>
        </w:rPr>
      </w:pPr>
      <w:r>
        <w:rPr>
          <w:rFonts w:hint="eastAsia" w:ascii="Arial Unicode MS" w:eastAsia="Arial Unicode MS" w:cs="Arial Unicode MS"/>
          <w:spacing w:val="2"/>
          <w:w w:val="99"/>
          <w:sz w:val="36"/>
          <w:szCs w:val="36"/>
          <w:lang w:eastAsia="zh-CN"/>
        </w:rPr>
        <w:t xml:space="preserve">         </w:t>
      </w:r>
      <w:r>
        <w:rPr>
          <w:rFonts w:hint="eastAsia" w:ascii="Arial Unicode MS" w:eastAsia="Arial Unicode MS" w:cs="Arial Unicode MS"/>
          <w:spacing w:val="2"/>
          <w:w w:val="99"/>
          <w:sz w:val="36"/>
          <w:szCs w:val="36"/>
          <w:lang w:val="en-US" w:eastAsia="zh-CN"/>
        </w:rPr>
        <w:t xml:space="preserve">  </w:t>
      </w:r>
      <w:r>
        <w:rPr>
          <w:rFonts w:hint="eastAsia" w:ascii="Arial Unicode MS" w:eastAsia="Arial Unicode MS" w:cs="Arial Unicode MS"/>
          <w:spacing w:val="2"/>
          <w:w w:val="99"/>
          <w:sz w:val="36"/>
          <w:szCs w:val="36"/>
          <w:lang w:eastAsia="zh-CN"/>
        </w:rPr>
        <w:t>审核：</w:t>
      </w:r>
      <w:r>
        <w:rPr>
          <w:rFonts w:hint="eastAsia" w:ascii="Arial Unicode MS" w:eastAsia="Arial Unicode MS" w:cs="Arial Unicode MS"/>
          <w:spacing w:val="2"/>
          <w:w w:val="99"/>
          <w:sz w:val="36"/>
          <w:szCs w:val="36"/>
          <w:u w:val="single"/>
          <w:lang w:eastAsia="zh-CN"/>
        </w:rPr>
        <w:t xml:space="preserve">                </w:t>
      </w:r>
    </w:p>
    <w:p>
      <w:pPr>
        <w:autoSpaceDE w:val="0"/>
        <w:autoSpaceDN w:val="0"/>
        <w:spacing w:before="120" w:after="120" w:line="720" w:lineRule="auto"/>
        <w:ind w:right="-20"/>
        <w:rPr>
          <w:rFonts w:ascii="Arial Unicode MS" w:eastAsia="Arial Unicode MS" w:cs="Arial Unicode MS"/>
          <w:spacing w:val="2"/>
          <w:w w:val="99"/>
          <w:sz w:val="36"/>
          <w:szCs w:val="36"/>
          <w:lang w:eastAsia="zh-CN"/>
        </w:rPr>
      </w:pPr>
      <w:r>
        <w:rPr>
          <w:rFonts w:hint="eastAsia" w:ascii="Arial Unicode MS" w:eastAsia="Arial Unicode MS" w:cs="Arial Unicode MS"/>
          <w:spacing w:val="2"/>
          <w:w w:val="99"/>
          <w:sz w:val="36"/>
          <w:szCs w:val="36"/>
          <w:lang w:eastAsia="zh-CN"/>
        </w:rPr>
        <w:t xml:space="preserve">         </w:t>
      </w:r>
      <w:r>
        <w:rPr>
          <w:rFonts w:hint="eastAsia" w:ascii="Arial Unicode MS" w:eastAsia="Arial Unicode MS" w:cs="Arial Unicode MS"/>
          <w:spacing w:val="2"/>
          <w:w w:val="99"/>
          <w:sz w:val="36"/>
          <w:szCs w:val="36"/>
          <w:lang w:val="en-US" w:eastAsia="zh-CN"/>
        </w:rPr>
        <w:t xml:space="preserve">  批准</w:t>
      </w:r>
      <w:r>
        <w:rPr>
          <w:rFonts w:hint="eastAsia" w:ascii="Arial Unicode MS" w:eastAsia="Arial Unicode MS" w:cs="Arial Unicode MS"/>
          <w:spacing w:val="2"/>
          <w:w w:val="99"/>
          <w:sz w:val="36"/>
          <w:szCs w:val="36"/>
          <w:lang w:eastAsia="zh-CN"/>
        </w:rPr>
        <w:t>：</w:t>
      </w:r>
      <w:r>
        <w:rPr>
          <w:rFonts w:hint="eastAsia" w:ascii="Arial Unicode MS" w:eastAsia="Arial Unicode MS" w:cs="Arial Unicode MS"/>
          <w:spacing w:val="2"/>
          <w:w w:val="99"/>
          <w:sz w:val="36"/>
          <w:szCs w:val="36"/>
          <w:u w:val="single"/>
          <w:lang w:eastAsia="zh-CN"/>
        </w:rPr>
        <w:t xml:space="preserve">                </w:t>
      </w:r>
      <w:r>
        <w:rPr>
          <w:rFonts w:hint="eastAsia" w:ascii="Arial Unicode MS" w:eastAsia="Arial Unicode MS" w:cs="Arial Unicode MS"/>
          <w:spacing w:val="2"/>
          <w:w w:val="99"/>
          <w:sz w:val="36"/>
          <w:szCs w:val="36"/>
          <w:lang w:eastAsia="zh-CN"/>
        </w:rPr>
        <w:t xml:space="preserve"> </w:t>
      </w:r>
    </w:p>
    <w:p>
      <w:pPr>
        <w:widowControl/>
        <w:rPr>
          <w:rFonts w:ascii="宋体" w:eastAsia="宋体" w:cs="宋体"/>
          <w:b/>
          <w:color w:val="000000"/>
          <w:sz w:val="32"/>
          <w:szCs w:val="32"/>
          <w:lang w:eastAsia="zh-CN"/>
        </w:rPr>
      </w:pPr>
      <w:r>
        <w:rPr>
          <w:b/>
          <w:sz w:val="32"/>
          <w:szCs w:val="32"/>
          <w:lang w:eastAsia="zh-CN"/>
        </w:rPr>
        <w:br w:type="page"/>
      </w:r>
    </w:p>
    <w:p>
      <w:pPr>
        <w:bidi w:val="0"/>
        <w:spacing w:line="360" w:lineRule="auto"/>
        <w:ind w:left="0" w:leftChars="0" w:firstLine="0" w:firstLineChars="0"/>
        <w:rPr>
          <w:rFonts w:hint="default" w:ascii="微软雅黑" w:hAnsi="微软雅黑" w:eastAsia="微软雅黑"/>
          <w:b w:val="0"/>
          <w:bCs/>
          <w:sz w:val="10"/>
          <w:szCs w:val="10"/>
          <w:lang w:val="en-US" w:eastAsia="zh-CN"/>
        </w:rPr>
      </w:pPr>
      <w:bookmarkStart w:id="0" w:name="_Toc13249324"/>
      <w:bookmarkStart w:id="1" w:name="_Toc13248927"/>
      <w:r>
        <w:rPr>
          <w:rFonts w:hint="eastAsia" w:ascii="微软雅黑" w:hAnsi="微软雅黑" w:eastAsia="微软雅黑" w:cs="微软雅黑"/>
          <w:b w:val="0"/>
          <w:bCs/>
          <w:sz w:val="28"/>
          <w:szCs w:val="28"/>
        </w:rPr>
        <w:t>一、</w:t>
      </w:r>
      <w:bookmarkEnd w:id="0"/>
      <w:bookmarkEnd w:id="1"/>
      <w:r>
        <w:rPr>
          <w:rFonts w:hint="eastAsia" w:ascii="微软雅黑" w:hAnsi="微软雅黑" w:eastAsia="微软雅黑" w:cs="微软雅黑"/>
          <w:b w:val="0"/>
          <w:bCs/>
          <w:sz w:val="28"/>
          <w:szCs w:val="28"/>
          <w:lang w:val="en-US" w:eastAsia="zh-CN"/>
        </w:rPr>
        <w:t>需求概况</w:t>
      </w:r>
    </w:p>
    <w:p>
      <w:pPr>
        <w:bidi w:val="0"/>
        <w:spacing w:line="360" w:lineRule="auto"/>
        <w:rPr>
          <w:rFonts w:hint="eastAsia" w:ascii="微软雅黑" w:hAnsi="微软雅黑" w:eastAsia="微软雅黑" w:cs="微软雅黑"/>
          <w:sz w:val="21"/>
          <w:szCs w:val="21"/>
          <w:highlight w:val="none"/>
          <w:lang w:val="en-US" w:eastAsia="zh-CN"/>
        </w:rPr>
      </w:pPr>
      <w:bookmarkStart w:id="2" w:name="_Toc13248928"/>
      <w:bookmarkStart w:id="3" w:name="_Toc13249325"/>
      <w:r>
        <w:rPr>
          <w:rFonts w:hint="eastAsia" w:ascii="微软雅黑" w:hAnsi="微软雅黑" w:eastAsia="微软雅黑" w:cs="微软雅黑"/>
          <w:sz w:val="21"/>
          <w:szCs w:val="21"/>
          <w:highlight w:val="none"/>
          <w:lang w:val="en-US" w:eastAsia="zh-CN"/>
        </w:rPr>
        <w:t>目前南海西部区域压力管道、压力容器等相关附属设施等高频率、高强度的使用，致使相关设备需要进行防护作业。</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甲方要求我单位提供相关专业化防护作业服务。为提供更专业、更好的防腐服务，现需采购相关专业技术服务对我单位的专业化特种化防腐进行相关专业服务支持，特此申请立项。</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标准应用情况概述：本次需求完全引用（标准号：SY/T0319-2021）《钢质储罐防腐层技术规范》相关标准和规范。</w:t>
      </w:r>
    </w:p>
    <w:p>
      <w:pPr>
        <w:bidi w:val="0"/>
        <w:spacing w:line="360" w:lineRule="auto"/>
        <w:ind w:left="0" w:leftChars="0" w:firstLine="0" w:firstLineChars="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二、服务内容和范围</w:t>
      </w:r>
      <w:bookmarkEnd w:id="2"/>
      <w:bookmarkEnd w:id="3"/>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2.1、服务内容</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根据甲方的服务需求提供相关专业的服务支持。主要包含压力容器焊缝补充防护服务、压力管道焊缝补充防护服务、压力容器内衬防护服务、压力管道涂覆服务、压力容器与压力管道附属件杂项防护服务、压力容器与压力管道常规防护服务、其他承压设备设施常规防护服务等。</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2.2、工作量清单</w:t>
      </w:r>
    </w:p>
    <w:p>
      <w:pPr>
        <w:bidi w:val="0"/>
        <w:spacing w:line="360" w:lineRule="auto"/>
        <w:jc w:val="center"/>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主要服务内容工作量清单</w:t>
      </w:r>
    </w:p>
    <w:tbl>
      <w:tblPr>
        <w:tblStyle w:val="14"/>
        <w:tblpPr w:leftFromText="180" w:rightFromText="180" w:vertAnchor="text" w:horzAnchor="page" w:tblpX="640" w:tblpY="629"/>
        <w:tblOverlap w:val="never"/>
        <w:tblW w:w="580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64"/>
        <w:gridCol w:w="2123"/>
        <w:gridCol w:w="2615"/>
        <w:gridCol w:w="912"/>
        <w:gridCol w:w="1068"/>
        <w:gridCol w:w="2316"/>
      </w:tblGrid>
      <w:tr>
        <w:tblPrEx>
          <w:tblCellMar>
            <w:top w:w="0" w:type="dxa"/>
            <w:left w:w="108" w:type="dxa"/>
            <w:bottom w:w="0" w:type="dxa"/>
            <w:right w:w="108" w:type="dxa"/>
          </w:tblCellMar>
        </w:tblPrEx>
        <w:trPr>
          <w:trHeight w:val="888"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序号</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名称</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工作要求</w:t>
            </w:r>
          </w:p>
        </w:tc>
        <w:tc>
          <w:tcPr>
            <w:tcW w:w="46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单位</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数量</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一</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压力容器焊缝补充防护服务</w:t>
            </w:r>
          </w:p>
        </w:tc>
        <w:tc>
          <w:tcPr>
            <w:tcW w:w="3491" w:type="pct"/>
            <w:gridSpan w:val="4"/>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提供相关耗材。含现场整理恢复。（具体施工工序将结合甲方要求与现场实际情况综合确定）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1.1</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循环喷砂系统Sa2.5表面处理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1、采用循环喷砂设备对焊缝区域进行喷砂处理，达到Sa2.5级清洁度。</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2、喷砂后表面粗糙度应达到85μm以上，无油污、锈蚀、氧化皮等残留。</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3、清理喷砂残留物，确保表面清洁干燥。</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1.2</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动力工具精细除锈</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1、使用角磨机、钢丝刷等动力工具对喷砂后焊缝及周边区域进行精细处理。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2、去除焊接飞溅、毛刺及局部未清理干净的锈蚀。</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3、处理后的表面应达到St3级清洁度标准。</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1.3</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底漆涂层施工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1、使用指定配套底漆，喷涂或刷涂于处理后的焊缝表面。</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2、涂层均匀、无流挂、漏涂，干膜厚度符合设计要求。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3、施工环境湿度、温度应符合涂料技术规范要求。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1.4</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中间漆涂层施工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1、底漆完全干燥后，按配套要求施工中间漆。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2、涂层均匀、无气泡、针孔，干膜厚度符合设计要求。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3、每道涂层施工间隔时间应符合涂料技术规范。</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1.5</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面漆涂层施工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1、中间漆完全干燥后，施工指定面漆。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2、涂层颜色均匀、光泽一致，无流挂、橘皮等缺陷。</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3、涂层总厚度符合设计要求。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1.6</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焊缝处局部加强涂覆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1、在焊缝及其热影响区额外增加一道涂层，增强防腐性能。</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2、涂层均匀、无漏涂，覆盖宽度符合设计要求。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1.7</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涂层厚度与附着力检测</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1、使用涂层测厚仪检测干膜厚度，每10平方米测15点。</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2、按ASTM D4541进行拉拔附着力测试，测试后恢复涂层。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3、按NACE RP-0188进行露点测试，确保施工环境符合要求。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二</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压力管道焊缝补充防护服务</w:t>
            </w:r>
          </w:p>
        </w:tc>
        <w:tc>
          <w:tcPr>
            <w:tcW w:w="3491" w:type="pct"/>
            <w:gridSpan w:val="4"/>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提供相关耗材。含现场整理恢复。（具体施工工序将结合甲方要求与现场实际情况综合确定）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2.1</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循环喷砂系统Sa2.5表面处理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1、采用循环喷砂设备对焊缝区域进行喷砂处理，达到Sa2.5级清洁度。</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2、喷砂后表面粗糙度应达到85μm以上，无油污、锈蚀、氧化皮等残留。</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3、清理喷砂残留物，确保表面清洁干燥。</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2.2</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动力工具精细除锈</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1、使用角磨机、钢丝刷等动力工具对喷砂后焊缝及周边区域进行精细处理。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2、去除焊接飞溅、毛刺及局部未清理干净的锈蚀。</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3、处理后的表面应达到St3级清洁度标准。</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2.3</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底漆涂层施工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1、使用指定配套底漆，喷涂或刷涂于处理后的焊缝表面。</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2、涂层均匀、无流挂、漏涂，干膜厚度符合设计要求。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3、施工环境湿度、温度应符合涂料技术规范要求。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2.4</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中间漆涂层施工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1、底漆完全干燥后，按配套要求施工中间漆。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2、涂层均匀、无气泡、针孔，干膜厚度符合设计要求。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3、每道涂层施工间隔时间应符合涂料技术规范。</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2.5</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面漆涂层施工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1、中间漆完全干燥后，施工指定面漆。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2、涂层颜色均匀、光泽一致，无流挂、橘皮等缺陷。</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3、涂层总厚度符合设计要求。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2.6</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焊缝处局部加强涂覆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1、在焊缝及其热影响区额外增加一道涂层，增强防腐性能。</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2、涂层均匀、无漏涂，覆盖宽度符合设计要求。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2.7</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涂层厚度与附着力检测</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1、使用涂层测厚仪检测干膜厚度，每10平方米测15点。</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2、按ASTM D4541进行拉拔附着力测试，测试后恢复涂层。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3、按NACE RP-0188进行露点测试，确保施工环境符合要求。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三</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b/>
                <w:bCs/>
                <w:sz w:val="21"/>
                <w:szCs w:val="21"/>
                <w:highlight w:val="none"/>
                <w:lang w:val="en-US" w:eastAsia="zh-CN"/>
              </w:rPr>
              <w:t>压力容器内衬防护服务</w:t>
            </w:r>
          </w:p>
        </w:tc>
        <w:tc>
          <w:tcPr>
            <w:tcW w:w="3491" w:type="pct"/>
            <w:gridSpan w:val="4"/>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提供相关耗材。含现场整理恢复。（具体施工工序将结合甲方要求与现场实际情况综合确定）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3.1</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喷砂Sa2.5表面处理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1、对容器进行喷砂处理，达到Sa2.5级清洁度。</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2、表面粗糙度达到85μm以上，无油污、锈蚀、旧涂层残留。</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3、清理喷砂残留物，确保内壁清洁干燥。</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3.2</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HDPE内衬材料裁剪、铺设、焊接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1、根据容器尺寸裁剪HDPE板材，确保贴合内壁。</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2、使用热风焊枪或挤出焊机进行焊接，焊缝平整、无气泡、无虚焊。</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3、焊接后采用电火花检测仪进行焊缝完整性检测。</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3.3</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内衬层厚度检测与气密性试验</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1、使用超声波测厚仪检测内衬层厚度，每10平方米测10点。</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2、进行气密性试验，试验压力符合设计要求，保压无泄漏。</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3.4</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边缘密封与固定</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1、对容器开口、接管等边缘部位进行密封处理，防止介质渗透。</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2、使用不锈钢压条或螺栓固定边缘，确保内衬层稳固。</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处</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单次最小工作量5处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四</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压力管道涂覆服务</w:t>
            </w:r>
          </w:p>
        </w:tc>
        <w:tc>
          <w:tcPr>
            <w:tcW w:w="3491" w:type="pct"/>
            <w:gridSpan w:val="4"/>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提供相关耗材。含现场整理恢复。（具体施工工序将结合甲方要求与现场实际情况综合确定）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4.1</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喷砂Sa2.5表面处理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1、对管道进行喷砂处理，达到Sa2.5级清洁度。</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2、表面粗糙度达到85μm以上，无油污、锈蚀、旧涂层残留。</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3、清理喷砂残留物，确保内壁清洁干燥。</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3LPE（三层聚乙烯）涂覆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 1、按3LPE涂覆工艺要求，依次涂覆环氧底漆、胶粘剂、聚乙烯层。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2、各层厚度均匀、无气泡、无剥离，总厚度符合设计要求。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3、涂覆后采用电火花检测仪进行漏点检测。</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4.3</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涂层厚度、漏点、附着力检测</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1、使用涂层测厚仪检测总厚度，每10平方米测15点。</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2、按ASTM D4541进行拉拔附着力测试。</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3、按NACE RP-0188进行漏点检测，发现问题及时修复。</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4.4</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端部处理与标识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1、对管道端部进行坡口处理，便于后续焊接或连接。</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2、在管道外壁喷涂或粘贴标识，注明材质、规格、防腐等级等信息。</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处</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单次最小工作量5处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五</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压力容器与压力管道附属件杂项防护服务</w:t>
            </w:r>
          </w:p>
        </w:tc>
        <w:tc>
          <w:tcPr>
            <w:tcW w:w="3491" w:type="pct"/>
            <w:gridSpan w:val="4"/>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jc w:val="center"/>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提供相关耗材。含现场整理恢复。（具体施工工序将结合甲方要求与现场实际情况综合确定）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5.1</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动力工具除锈至St3 </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1、使用角磨机、钢丝刷等工具对螺栓、法兰、支架等附属件进行除锈。</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2、表面清洁度达到St3级，无锈蚀、油污、旧涂层残留。</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5.2</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底漆涂层施工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1、使用指定配套底漆，喷涂或刷涂于处理后的焊缝表面。</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2、涂层均匀、无流挂、漏涂，干膜厚度符合设计要求。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3、施工环境湿度、温度应符合涂料技术规范要求。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5.3</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中间漆涂层施工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1、底漆完全干燥后，按配套要求施工中间漆。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2、涂层均匀、无气泡、针孔，干膜厚度符合设计要求。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3、每道涂层施工间隔时间应符合涂料技术规范。</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5.4</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面漆涂层施工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1、中间漆完全干燥后，施工指定面漆。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2、涂层颜色均匀、光泽一致，无流挂、橘皮等缺陷。</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3、涂层总厚度符合设计要求。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5.5</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螺栓、法兰、支架等附属结构件涂覆或包覆</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1、对不规则部位采用刷涂或包覆方式施工。</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2、涂层均匀、无漏涂，包覆材料贴合紧密、无空隙。</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7000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5.6</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涂层外观与厚度检测</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1、目视检查涂层外观，无流挂、气泡、剥落等缺陷。</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2、使用涂层测厚仪检测关键部位厚度，每件测3点。</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b/>
                <w:bCs/>
                <w:sz w:val="21"/>
                <w:szCs w:val="21"/>
                <w:highlight w:val="none"/>
                <w:lang w:val="en-US" w:eastAsia="zh-CN"/>
              </w:rPr>
              <w:t>六</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压力容器与压力管道常规防护服务</w:t>
            </w:r>
          </w:p>
        </w:tc>
        <w:tc>
          <w:tcPr>
            <w:tcW w:w="3491" w:type="pct"/>
            <w:gridSpan w:val="4"/>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b/>
                <w:bCs/>
                <w:sz w:val="21"/>
                <w:szCs w:val="21"/>
                <w:highlight w:val="none"/>
                <w:lang w:val="en-US" w:eastAsia="zh-CN"/>
              </w:rPr>
            </w:pPr>
            <w:r>
              <w:rPr>
                <w:rFonts w:hint="eastAsia" w:ascii="微软雅黑" w:hAnsi="微软雅黑" w:eastAsia="微软雅黑" w:cs="微软雅黑"/>
                <w:b/>
                <w:bCs/>
                <w:sz w:val="21"/>
                <w:szCs w:val="21"/>
                <w:highlight w:val="none"/>
                <w:lang w:val="en-US" w:eastAsia="zh-CN"/>
              </w:rPr>
              <w:t>提供相关耗材。含现场整理恢复。（具体施工工序将结合甲方要求与现场实际情况综合确定）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6.1</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喷砂或动力工具除锈（视部位与工艺要求）</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1、根据部位和工艺要求选择喷砂或动力工具除锈。</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2、表面清洁度达到Sa2.5或St3级，粗糙度符合涂层要求。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6.2</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底漆涂层施工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1、使用指定配套底漆，喷涂或刷涂于处理后的焊缝表面。</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2、涂层均匀、无流挂、漏涂，干膜厚度符合设计要求。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3、施工环境湿度、温度应符合涂料技术规范要求。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6.3</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中间漆涂层施工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1、底漆完全干燥后，按配套要求施工中间漆。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2、涂层均匀、无气泡、针孔，干膜厚度符合设计要求。</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3、每道涂层施工间隔时间应符合涂料技术规范。</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6.4</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面漆涂层施工</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1、中间漆完全干燥后，施工指定面漆。</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2、涂层颜色均匀、光泽一致，无流挂、橘皮等缺陷。</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3、涂层总厚度符合设计要求。</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6.5</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涂层系统厚度、附着力、外观检验</w:t>
            </w:r>
          </w:p>
        </w:tc>
        <w:tc>
          <w:tcPr>
            <w:tcW w:w="1320"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1、涂层总厚度符合设计要求，每10平方米测15点。</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2、按ASTM D4541进行附着力测试。</w:t>
            </w:r>
            <w:r>
              <w:rPr>
                <w:rFonts w:hint="eastAsia" w:ascii="微软雅黑" w:hAnsi="微软雅黑" w:eastAsia="微软雅黑" w:cs="微软雅黑"/>
                <w:sz w:val="21"/>
                <w:szCs w:val="21"/>
                <w:highlight w:val="none"/>
                <w:lang w:val="en-US" w:eastAsia="zh-CN"/>
              </w:rPr>
              <w:br w:type="textWrapping"/>
            </w:r>
            <w:r>
              <w:rPr>
                <w:rFonts w:hint="eastAsia" w:ascii="微软雅黑" w:hAnsi="微软雅黑" w:eastAsia="微软雅黑" w:cs="微软雅黑"/>
                <w:sz w:val="21"/>
                <w:szCs w:val="21"/>
                <w:highlight w:val="none"/>
                <w:lang w:val="en-US" w:eastAsia="zh-CN"/>
              </w:rPr>
              <w:t>3、外观检查无缺陷，颜色均匀、光泽一致。</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5000</w:t>
            </w:r>
          </w:p>
        </w:tc>
        <w:tc>
          <w:tcPr>
            <w:tcW w:w="1169"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七</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其他承压设备设施零星焊接服务</w:t>
            </w:r>
          </w:p>
        </w:tc>
        <w:tc>
          <w:tcPr>
            <w:tcW w:w="349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根据甲方现场实际需求，对承压设备及其附属结构（如支架、法兰、接管、局部锈蚀部位等）进行零星焊接作业，包括但不限于局部修复焊接、开孔补强、焊缝补焊、连接件焊接等。焊接工艺应符合相关标准（如GB/T 12467、AWS D1.1），焊材与母材匹配，焊后需进行清理、打磨，并根据防腐要求进行表面处理和涂层恢复。焊接过程应记录工艺参数与焊工信息，焊后进行外观检查，必要时进行无损检测。</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4000</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36"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八</w:t>
            </w:r>
          </w:p>
        </w:tc>
        <w:tc>
          <w:tcPr>
            <w:tcW w:w="1072"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其他承压设备设施常规防护服务</w:t>
            </w:r>
          </w:p>
        </w:tc>
        <w:tc>
          <w:tcPr>
            <w:tcW w:w="3491" w:type="pct"/>
            <w:tcBorders>
              <w:top w:val="single" w:color="000000" w:sz="4" w:space="0"/>
              <w:left w:val="single" w:color="000000" w:sz="4" w:space="0"/>
              <w:bottom w:val="single" w:color="000000" w:sz="4" w:space="0"/>
              <w:right w:val="single" w:color="000000" w:sz="4" w:space="0"/>
            </w:tcBorders>
            <w:noWrap w:val="0"/>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对设备设施等进行打磨（St3或者Sa2.5），刷涂三层油漆涂层，底中面漆分别为75um，150um，75um（油漆甲供）</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平方米</w:t>
            </w:r>
          </w:p>
        </w:tc>
        <w:tc>
          <w:tcPr>
            <w:tcW w:w="1068" w:type="dxa"/>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3000</w:t>
            </w:r>
          </w:p>
        </w:tc>
        <w:tc>
          <w:tcPr>
            <w:tcW w:w="460" w:type="pct"/>
            <w:tcBorders>
              <w:top w:val="single" w:color="000000" w:sz="4" w:space="0"/>
              <w:left w:val="single" w:color="000000" w:sz="4" w:space="0"/>
              <w:bottom w:val="single" w:color="000000" w:sz="4" w:space="0"/>
              <w:right w:val="single" w:color="000000" w:sz="4" w:space="0"/>
            </w:tcBorders>
            <w:noWrap/>
            <w:vAlign w:val="center"/>
          </w:tcPr>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单次最小工作量10平方米</w:t>
            </w:r>
          </w:p>
        </w:tc>
      </w:tr>
    </w:tbl>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2.3、服务地点</w:t>
      </w:r>
    </w:p>
    <w:p>
      <w:pPr>
        <w:pStyle w:val="7"/>
        <w:spacing w:line="257" w:lineRule="auto"/>
        <w:ind w:left="0" w:leftChars="0" w:right="122" w:firstLine="440" w:firstLineChars="0"/>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服务</w:t>
      </w:r>
      <w:r>
        <w:rPr>
          <w:rFonts w:hint="eastAsia" w:ascii="微软雅黑" w:hAnsi="微软雅黑" w:eastAsia="微软雅黑" w:cs="微软雅黑"/>
          <w:kern w:val="0"/>
          <w:sz w:val="21"/>
          <w:szCs w:val="21"/>
          <w:highlight w:val="none"/>
          <w:lang w:val="en-US" w:eastAsia="zh-CN" w:bidi="ar-SA"/>
        </w:rPr>
        <w:t>地点：湛江区域海域海上平台或者陆地终端厂</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2.4、服务期限</w:t>
      </w:r>
    </w:p>
    <w:p>
      <w:pPr>
        <w:bidi w:val="0"/>
        <w:spacing w:line="360" w:lineRule="auto"/>
        <w:jc w:val="left"/>
        <w:rPr>
          <w:rFonts w:hint="eastAsia" w:ascii="微软雅黑" w:hAnsi="微软雅黑" w:eastAsia="微软雅黑" w:cs="微软雅黑"/>
          <w:sz w:val="21"/>
          <w:szCs w:val="21"/>
          <w:highlight w:val="none"/>
          <w:lang w:val="en-US" w:eastAsia="zh-CN"/>
        </w:rPr>
      </w:pPr>
      <w:bookmarkStart w:id="4" w:name="_Toc13249326"/>
      <w:bookmarkStart w:id="5" w:name="_Toc13248929"/>
      <w:r>
        <w:rPr>
          <w:rFonts w:hint="eastAsia" w:ascii="微软雅黑" w:hAnsi="微软雅黑" w:eastAsia="微软雅黑" w:cs="微软雅黑"/>
          <w:sz w:val="21"/>
          <w:szCs w:val="21"/>
          <w:highlight w:val="none"/>
          <w:lang w:val="en-US" w:eastAsia="zh-CN"/>
        </w:rPr>
        <w:t>自合同签订之日起，有效期三年。在合同执行阶段采用“1+1+1”的模式，即合同届满1年，若甲乙双方对合同条款及合同价格均无异议，继续沿用1年。，若无法达成一致，则合同自动终止。协议期满后，如有未执行完毕的订单，该订单应履行完毕。具体服务项目内容和服务时间由服务委托单要求确定。</w:t>
      </w:r>
    </w:p>
    <w:p>
      <w:pPr>
        <w:bidi w:val="0"/>
        <w:spacing w:line="360" w:lineRule="auto"/>
        <w:ind w:left="0" w:leftChars="0" w:firstLine="0" w:firstLineChars="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lang w:val="en-US" w:eastAsia="zh-CN"/>
        </w:rPr>
        <w:t>三、</w:t>
      </w:r>
      <w:r>
        <w:rPr>
          <w:rFonts w:hint="eastAsia" w:ascii="微软雅黑" w:hAnsi="微软雅黑" w:eastAsia="微软雅黑" w:cs="微软雅黑"/>
          <w:b w:val="0"/>
          <w:bCs/>
          <w:sz w:val="28"/>
          <w:szCs w:val="28"/>
        </w:rPr>
        <w:t>执行标准/规范</w:t>
      </w:r>
    </w:p>
    <w:p>
      <w:pPr>
        <w:bidi w:val="0"/>
        <w:spacing w:line="360" w:lineRule="auto"/>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3.1、SY/T6560-2003《海上石油设施电气安全操作规程》;</w:t>
      </w:r>
    </w:p>
    <w:p>
      <w:pPr>
        <w:bidi w:val="0"/>
        <w:spacing w:line="360" w:lineRule="auto"/>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3.2、SY/T6524-2002《石油工业作业场所劳动防护用具配备要求》;</w:t>
      </w:r>
    </w:p>
    <w:p>
      <w:pPr>
        <w:bidi w:val="0"/>
        <w:spacing w:line="360" w:lineRule="auto"/>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3.3、SY/T0319-2021《钢质储罐防腐层技术规范》</w:t>
      </w:r>
    </w:p>
    <w:p>
      <w:pPr>
        <w:bidi w:val="0"/>
        <w:spacing w:line="360" w:lineRule="auto"/>
        <w:ind w:left="0" w:leftChars="0" w:firstLine="0" w:firstLineChars="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四、服务要求</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根据防护技术服务制定相关方案，根据方案对相关专业进行防腐施工。</w:t>
      </w:r>
    </w:p>
    <w:p>
      <w:pPr>
        <w:bidi w:val="0"/>
        <w:spacing w:line="360" w:lineRule="auto"/>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各专业防护技术服务制定相关施工技术服务方案，经甲方认可开始施工。施工所有人员工种须经陆地培训合格达标，具体培训要求如下：</w:t>
      </w:r>
      <w:r>
        <w:rPr>
          <w:rFonts w:hint="eastAsia" w:ascii="微软雅黑" w:hAnsi="微软雅黑" w:eastAsia="微软雅黑" w:cs="微软雅黑"/>
          <w:kern w:val="0"/>
          <w:sz w:val="21"/>
          <w:szCs w:val="21"/>
          <w:highlight w:val="none"/>
          <w:lang w:val="en-US" w:eastAsia="zh-CN" w:bidi="ar-SA"/>
        </w:rPr>
        <w:t>乙方的技术培训人员必须具备中国及中国海油要求的出海相关证书。出海证书办理可在中标后联系甲方，由甲方提供办理方法。或乙方自行联系中中海油能源发展股份有限公司安全环保分公司培训中心工作人员，完成取证工作，培训时长约30天，培训费用约7000元/人，以上费用均由乙方自行承担）。</w:t>
      </w:r>
    </w:p>
    <w:p>
      <w:pPr>
        <w:bidi w:val="0"/>
        <w:spacing w:line="360" w:lineRule="auto"/>
        <w:rPr>
          <w:rFonts w:hint="eastAsia" w:ascii="微软雅黑" w:hAnsi="微软雅黑" w:eastAsia="微软雅黑" w:cs="微软雅黑"/>
          <w:b w:val="0"/>
          <w:bCs/>
          <w:sz w:val="28"/>
          <w:szCs w:val="28"/>
        </w:rPr>
      </w:pPr>
      <w:r>
        <w:rPr>
          <w:rFonts w:hint="eastAsia" w:ascii="微软雅黑" w:hAnsi="微软雅黑" w:eastAsia="微软雅黑" w:cs="微软雅黑"/>
          <w:sz w:val="21"/>
          <w:szCs w:val="21"/>
          <w:highlight w:val="none"/>
          <w:lang w:val="en-US" w:eastAsia="zh-CN"/>
        </w:rPr>
        <w:t>施工检验节点做好相关记录备查，施工完成定期检验效果，并协助甲方做好后期的维保回访记录，同时要登记在册。</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4.1、设计/施工方案要求：</w:t>
      </w:r>
    </w:p>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4.1.1、压力容器焊缝补充</w:t>
      </w:r>
      <w:r>
        <w:rPr>
          <w:rFonts w:hint="eastAsia" w:ascii="微软雅黑" w:hAnsi="微软雅黑" w:eastAsia="微软雅黑" w:cs="微软雅黑"/>
          <w:sz w:val="21"/>
          <w:szCs w:val="21"/>
          <w:lang w:val="en-US" w:eastAsia="zh-CN"/>
        </w:rPr>
        <w:t>防护</w:t>
      </w:r>
      <w:r>
        <w:rPr>
          <w:rFonts w:hint="eastAsia" w:ascii="微软雅黑" w:hAnsi="微软雅黑" w:eastAsia="微软雅黑" w:cs="微软雅黑"/>
          <w:sz w:val="21"/>
          <w:szCs w:val="21"/>
          <w:highlight w:val="none"/>
          <w:lang w:val="en-US" w:eastAsia="zh-CN"/>
        </w:rPr>
        <w:t>服务</w:t>
      </w:r>
    </w:p>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4.1.2、压力管道焊缝补充防护服务</w:t>
      </w:r>
    </w:p>
    <w:p>
      <w:pPr>
        <w:tabs>
          <w:tab w:val="left" w:pos="1377"/>
        </w:tabs>
        <w:bidi w:val="0"/>
        <w:spacing w:line="360" w:lineRule="auto"/>
        <w:ind w:left="0" w:leftChars="0" w:firstLine="0" w:firstLineChars="0"/>
        <w:jc w:val="left"/>
        <w:rPr>
          <w:rFonts w:hint="eastAsia"/>
          <w:lang w:val="en-US" w:eastAsia="zh-CN"/>
        </w:rPr>
      </w:pPr>
      <w:r>
        <w:rPr>
          <w:rFonts w:hint="eastAsia" w:eastAsia="华文仿宋" w:asciiTheme="minorAscii"/>
          <w:lang w:val="en-US" w:eastAsia="zh-CN"/>
        </w:rPr>
        <w:t>4.1.3</w:t>
      </w:r>
      <w:r>
        <w:rPr>
          <w:rFonts w:hint="eastAsia" w:ascii="微软雅黑" w:hAnsi="微软雅黑" w:eastAsia="微软雅黑" w:cs="微软雅黑"/>
          <w:sz w:val="21"/>
          <w:szCs w:val="21"/>
          <w:highlight w:val="none"/>
          <w:lang w:val="en-US" w:eastAsia="zh-CN"/>
        </w:rPr>
        <w:t>压力容器内衬防护服务</w:t>
      </w:r>
    </w:p>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4.1.4、压力管道涂覆服务</w:t>
      </w:r>
    </w:p>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4.1.5、压力容器与压力管道附属件杂项防护服务</w:t>
      </w:r>
    </w:p>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4.1.6、压力容器与压力管道常规防护服务</w:t>
      </w:r>
    </w:p>
    <w:p>
      <w:pPr>
        <w:bidi w:val="0"/>
        <w:spacing w:line="360" w:lineRule="auto"/>
        <w:ind w:left="0" w:leftChars="0" w:firstLine="0" w:firstLineChars="0"/>
        <w:jc w:val="left"/>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4.1.7、其他承压设备设施常规防护服务</w:t>
      </w:r>
    </w:p>
    <w:p>
      <w:pPr>
        <w:bidi w:val="0"/>
        <w:spacing w:line="360" w:lineRule="auto"/>
        <w:ind w:left="0" w:leftChars="0" w:firstLine="420" w:firstLineChars="200"/>
        <w:jc w:val="lef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防护施工及质量检验标准如下：（完全引用）以下为压力容器、管道焊缝补充防护服务要求引用（标准号：SY/T0319-2021）《钢质储罐防腐层技术规范》正文中的6、7、8、9、10服务相关要求：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6防腐施工</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6.1表面处理</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1.1对于不规则的部位如不进行预处理，很难达到涂敷对表面的要求。对于焊缝、尖锐棱</w:t>
            </w:r>
            <w:r>
              <w:rPr>
                <w:rFonts w:hint="eastAsia" w:ascii="微软雅黑" w:hAnsi="微软雅黑" w:eastAsia="微软雅黑"/>
                <w:sz w:val="21"/>
                <w:highlight w:val="none"/>
                <w:lang w:val="en-US" w:eastAsia="zh-CN"/>
              </w:rPr>
              <w:t>角</w:t>
            </w:r>
            <w:r>
              <w:rPr>
                <w:rFonts w:hint="eastAsia" w:ascii="微软雅黑" w:hAnsi="微软雅黑" w:eastAsia="微软雅黑"/>
                <w:sz w:val="21"/>
                <w:highlight w:val="none"/>
              </w:rPr>
              <w:t>、非圆弧拐</w:t>
            </w:r>
            <w:r>
              <w:rPr>
                <w:rFonts w:hint="eastAsia" w:ascii="微软雅黑" w:hAnsi="微软雅黑" w:eastAsia="微软雅黑"/>
                <w:sz w:val="21"/>
                <w:highlight w:val="none"/>
                <w:lang w:val="en-US" w:eastAsia="zh-CN"/>
              </w:rPr>
              <w:t>角</w:t>
            </w:r>
            <w:r>
              <w:rPr>
                <w:rFonts w:hint="eastAsia" w:ascii="微软雅黑" w:hAnsi="微软雅黑" w:eastAsia="微软雅黑"/>
                <w:sz w:val="21"/>
                <w:highlight w:val="none"/>
              </w:rPr>
              <w:t>、异常尖锐的裂片及随之而生的缝隙等部位要进行打磨。</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1.4储罐内介质腐蚀性一般高于罐外环境，因此内壁基材表面处理对可溶性氯化物残留量控制更严格。</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1.6钢质储罐除锈所用的磨料有钢丸、钢砂、钢丝段、铜矿砂、石英砂等。无论用何种磨料，除锈后都会在钢材表面上粘有一层细小粉尘，这些粉尘不清除干净将会严重影响防腐层和钢材表面的附着力，所以除锈后，立即用清洁、干燥、无油的压缩空气吹扫钢材表面。</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1.7使用低表面处理环氧涂料时，可以不采用彻底的喷射处理，但需彻底清除待涂表面附着不牢固的锈层、氧化皮和油脂类污染物。</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2涂装作业</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.2.</w:t>
            </w:r>
            <w:r>
              <w:rPr>
                <w:rFonts w:hint="eastAsia" w:ascii="微软雅黑" w:hAnsi="微软雅黑" w:eastAsia="微软雅黑"/>
                <w:sz w:val="21"/>
                <w:highlight w:val="none"/>
              </w:rPr>
              <w:t>2涂装作业一般在表面处理完成后4h内进行，在沿海等潮湿环境，适当缩短间隔时间，防止涂装前出现锈蚀。</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4为确保特殊部位涂层厚度，对边角、焊缝、凹角等受空间限制处进行预涂，以确保防腐层使用寿命。</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5初期每喷涂10</w:t>
            </w:r>
            <w:r>
              <w:rPr>
                <w:rFonts w:hint="eastAsia" w:ascii="微软雅黑" w:hAnsi="微软雅黑" w:eastAsia="微软雅黑"/>
                <w:sz w:val="21"/>
                <w:highlight w:val="none"/>
                <w:lang w:val="en-US" w:eastAsia="zh-CN"/>
              </w:rPr>
              <w:t>平方米</w:t>
            </w:r>
            <w:r>
              <w:rPr>
                <w:rFonts w:hint="eastAsia" w:ascii="微软雅黑" w:hAnsi="微软雅黑" w:eastAsia="微软雅黑"/>
                <w:sz w:val="21"/>
                <w:highlight w:val="none"/>
              </w:rPr>
              <w:t>面积检测一次湿膜厚度，并及时对涂料黏度、喷涂压力、喷嘴规格、喷涂速度等进行调整，施工过程中当涂料黏度、喷涂参数发生变化时，亦需进行小面积喷涂测试，以确定新的喷涂施工工艺参数。</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7再次涂敷间隔超过涂料使用说明书规定时，视上道涂层固化干燥情况决定处理方式，采用的方式有溶剂擦洗、砂布打毛等方法，目的在于提高层间附着力。</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9在涂装作业环境方面，增加了水性涂料的施工温度要求，水性涂料施工时，环境温度不低于10℃。低表面处理环氧涂料施工时，不受环境相对湿度的限制。</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3罐底板边缘防护</w:t>
            </w:r>
          </w:p>
          <w:p>
            <w:pPr>
              <w:spacing w:line="360" w:lineRule="auto"/>
              <w:jc w:val="left"/>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rPr>
              <w:t>6</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3</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3罐底板边缘防护层施工时，重点关注边缘板与基础之间的缝隙填充处理效果，填充处理需密实。</w:t>
            </w:r>
          </w:p>
          <w:p>
            <w:pPr>
              <w:spacing w:line="360" w:lineRule="auto"/>
              <w:ind w:firstLine="0" w:firstLineChars="0"/>
              <w:jc w:val="left"/>
              <w:rPr>
                <w:rFonts w:hint="eastAsia" w:ascii="微软雅黑" w:hAnsi="微软雅黑" w:eastAsia="微软雅黑"/>
                <w:sz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质量检验</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1一般规定</w:t>
            </w:r>
          </w:p>
          <w:p>
            <w:pPr>
              <w:spacing w:line="360" w:lineRule="auto"/>
              <w:ind w:left="0" w:leftChars="0" w:firstLine="420" w:firstLineChars="20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1.1防腐层施工应进行过程质量检验及最终质量检验，应保留检验结果及检验记录。</w:t>
            </w:r>
          </w:p>
          <w:p>
            <w:pPr>
              <w:spacing w:line="360" w:lineRule="auto"/>
              <w:ind w:left="0" w:leftChars="0" w:firstLine="420" w:firstLineChars="20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1.2质量检验所用仪器应经计量部门检定合格并在有效期内。</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2施工过程质量检验</w:t>
            </w:r>
          </w:p>
          <w:p>
            <w:pPr>
              <w:spacing w:line="360" w:lineRule="auto"/>
              <w:ind w:left="0" w:leftChars="0" w:firstLine="420" w:firstLineChars="20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2.1表面预处理后，应按以下要求检测缺陷的处理等级和可溶性氯化物残留量：</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rPr>
            </w:pPr>
            <w:r>
              <w:rPr>
                <w:rFonts w:hint="eastAsia" w:ascii="微软雅黑" w:hAnsi="微软雅黑" w:eastAsia="微软雅黑"/>
                <w:sz w:val="21"/>
                <w:highlight w:val="none"/>
              </w:rPr>
              <w:t>1</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缺陷处理等级应按照现行国家标准《涂覆涂料前钢材表面处理表面清洁度的目视评定第3部分：焊缝、边缘和其他区域的表面缺陷的处理等级》GB/T8923．3的规定进行目视检测，所有缺陷处理等级应不低于</w:t>
            </w:r>
            <w:r>
              <w:rPr>
                <w:rFonts w:hint="eastAsia" w:ascii="微软雅黑" w:hAnsi="微软雅黑" w:eastAsia="微软雅黑"/>
                <w:sz w:val="21"/>
                <w:highlight w:val="none"/>
                <w:lang w:val="en-US" w:eastAsia="zh-CN"/>
              </w:rPr>
              <w:t>P2级</w:t>
            </w:r>
            <w:r>
              <w:rPr>
                <w:rFonts w:hint="eastAsia" w:ascii="微软雅黑" w:hAnsi="微软雅黑" w:eastAsia="微软雅黑"/>
                <w:sz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rPr>
              <w:t>2</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可溶性氯化物残留量应按照现行国家标准《涂覆涂料前钢材表面处理表面清洁度的评定试验第5部分：涂覆涂料前钢材表面的氯化物测定（离子探测管法）》GB/T18570．5的规定对钢板表面进行检测，储罐内壁不应高于30mg／m2，储罐外壁不应高于50mg/m</w:t>
            </w:r>
            <w:r>
              <w:rPr>
                <w:rFonts w:hint="eastAsia" w:ascii="微软雅黑" w:hAnsi="微软雅黑" w:eastAsia="微软雅黑"/>
                <w:sz w:val="21"/>
                <w:highlight w:val="none"/>
                <w:vertAlign w:val="superscript"/>
                <w:lang w:val="en-US" w:eastAsia="zh-CN"/>
              </w:rPr>
              <w:t>2</w:t>
            </w:r>
          </w:p>
          <w:p>
            <w:pPr>
              <w:spacing w:line="360" w:lineRule="auto"/>
              <w:ind w:left="0" w:leftChars="0" w:firstLine="420" w:firstLineChars="20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2</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2表面除锈处理后，应按以下要求检测除锈等级、灰尘数量等级和灰尘尺寸等级、锚纹深度：</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rPr>
            </w:pPr>
            <w:r>
              <w:rPr>
                <w:rFonts w:hint="eastAsia" w:ascii="微软雅黑" w:hAnsi="微软雅黑" w:eastAsia="微软雅黑"/>
                <w:sz w:val="21"/>
                <w:highlight w:val="none"/>
              </w:rPr>
              <w:t>1</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除锈等级应按照现行国家标准《涂覆涂料前钢材表面处理表面清洁度的目视评定第1部分：未涂覆过的钢材表面和全面清除原有涂层后的钢材表面的锈蚀等级和处理等级》GB/T8923．1的规定进行目视检测，喷射处理的表面除锈等级应达到</w:t>
            </w:r>
            <w:r>
              <w:rPr>
                <w:rFonts w:hint="eastAsia" w:ascii="微软雅黑" w:hAnsi="微软雅黑" w:eastAsia="微软雅黑"/>
                <w:sz w:val="21"/>
                <w:highlight w:val="none"/>
                <w:lang w:eastAsia="zh-CN"/>
              </w:rPr>
              <w:t>Sa2.5</w:t>
            </w:r>
            <w:r>
              <w:rPr>
                <w:rFonts w:hint="eastAsia" w:ascii="微软雅黑" w:hAnsi="微软雅黑" w:eastAsia="微软雅黑"/>
                <w:sz w:val="21"/>
                <w:highlight w:val="none"/>
              </w:rPr>
              <w:t>级，动力或手工工具处理的表面除锈等级应达到St3级。</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rPr>
            </w:pPr>
            <w:r>
              <w:rPr>
                <w:rFonts w:hint="eastAsia" w:ascii="微软雅黑" w:hAnsi="微软雅黑" w:eastAsia="微软雅黑"/>
                <w:sz w:val="21"/>
                <w:highlight w:val="none"/>
              </w:rPr>
              <w:t>2</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灰尘数量和灰尘尺寸应按照现行国家标准《涂覆涂料前钢材表面处理 表面清洁度的评定试验 第3部分</w:t>
            </w:r>
            <w:r>
              <w:rPr>
                <w:rFonts w:hint="eastAsia" w:ascii="微软雅黑" w:hAnsi="微软雅黑" w:eastAsia="微软雅黑"/>
                <w:sz w:val="21"/>
                <w:highlight w:val="none"/>
                <w:lang w:eastAsia="zh-CN"/>
              </w:rPr>
              <w:t>：</w:t>
            </w:r>
            <w:r>
              <w:rPr>
                <w:rFonts w:hint="eastAsia" w:ascii="微软雅黑" w:hAnsi="微软雅黑" w:eastAsia="微软雅黑"/>
                <w:sz w:val="21"/>
                <w:highlight w:val="none"/>
              </w:rPr>
              <w:t>涂覆涂料前钢材表面的灰尘评定(压敏粘带法)》GB/T18570.3的规定对待涂钢板表面进行检测，灰尘数量等级和灰尘尺寸应满足2级及以上要求。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3.锚纹深度应按照现行国家标准《涂覆涂料前钢材表面处理 喷射清理后的钢材表面粗糙度特性 第4部分：ISO表面粗糙度比较样块的校准和表面粗糙度的测定方法 触针法》GB/T13288.4或《涂覆涂料前钢材表面处理 喷射清理后的钢材表面粗糙度特性 第5部分：表面粗糙度的测定方法 复制带法》GB/T13288.5的规定对待涂钢板表面进行检测，锚纹深度宜达到40μm~80μm。</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4.应按表7.2.2规定的检测点数及分布要求对储罐表面罐底、罐壁、罐顶和附件四个部位进行检测，各部位检测点应均匀分布。</w:t>
            </w:r>
          </w:p>
          <w:p>
            <w:pPr>
              <w:jc w:val="center"/>
              <w:rPr>
                <w:highlight w:val="none"/>
              </w:rPr>
            </w:pPr>
            <w:r>
              <w:rPr>
                <w:rFonts w:hint="eastAsia" w:eastAsia="微软雅黑"/>
                <w:b/>
                <w:sz w:val="21"/>
                <w:highlight w:val="none"/>
              </w:rPr>
              <w:t>表7.2.2 储罐表面检测部位及点数分布</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466"/>
              <w:gridCol w:w="1455"/>
              <w:gridCol w:w="1460"/>
              <w:gridCol w:w="1460"/>
              <w:gridCol w:w="14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Merge w:val="restart"/>
                  <w:vAlign w:val="center"/>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储罐容积(m³)</w:t>
                  </w:r>
                </w:p>
              </w:tc>
              <w:tc>
                <w:tcPr>
                  <w:tcW w:w="5988" w:type="dxa"/>
                  <w:gridSpan w:val="4"/>
                  <w:vAlign w:val="center"/>
                </w:tcPr>
                <w:p>
                  <w:pPr>
                    <w:ind w:left="0" w:leftChars="0" w:firstLine="0" w:firstLineChars="0"/>
                    <w:jc w:val="center"/>
                    <w:rPr>
                      <w:rFonts w:hint="default" w:ascii="微软雅黑" w:hAnsi="微软雅黑" w:eastAsia="微软雅黑"/>
                      <w:sz w:val="21"/>
                      <w:highlight w:val="none"/>
                      <w:lang w:val="en-US" w:eastAsia="zh-CN"/>
                    </w:rPr>
                  </w:pPr>
                  <w:r>
                    <w:rPr>
                      <w:rFonts w:hint="eastAsia" w:ascii="微软雅黑" w:eastAsia="微软雅黑"/>
                      <w:sz w:val="20"/>
                      <w:highlight w:val="none"/>
                      <w:lang w:val="en-US" w:eastAsia="zh-CN"/>
                    </w:rPr>
                    <w:t>检测点数（个）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Merge w:val="continue"/>
                  <w:vAlign w:val="center"/>
                </w:tcPr>
                <w:p>
                  <w:pPr>
                    <w:ind w:left="0" w:leftChars="0" w:firstLine="0" w:firstLineChars="0"/>
                    <w:jc w:val="center"/>
                    <w:rPr>
                      <w:rFonts w:hint="eastAsia" w:ascii="微软雅黑" w:eastAsia="微软雅黑"/>
                      <w:sz w:val="20"/>
                      <w:highlight w:val="none"/>
                    </w:rPr>
                  </w:pPr>
                </w:p>
              </w:tc>
              <w:tc>
                <w:tcPr>
                  <w:tcW w:w="1497" w:type="dxa"/>
                  <w:vAlign w:val="center"/>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罐底</w:t>
                  </w:r>
                </w:p>
              </w:tc>
              <w:tc>
                <w:tcPr>
                  <w:tcW w:w="1497" w:type="dxa"/>
                  <w:vAlign w:val="center"/>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罐壁</w:t>
                  </w:r>
                </w:p>
              </w:tc>
              <w:tc>
                <w:tcPr>
                  <w:tcW w:w="1497" w:type="dxa"/>
                  <w:vAlign w:val="center"/>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罐顶</w:t>
                  </w:r>
                </w:p>
              </w:tc>
              <w:tc>
                <w:tcPr>
                  <w:tcW w:w="1497" w:type="dxa"/>
                  <w:vAlign w:val="center"/>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附件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Align w:val="center"/>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&lt;1000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10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20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10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Align w:val="center"/>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1000~&lt;5000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16</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40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16</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Align w:val="center"/>
                </w:tcPr>
                <w:p>
                  <w:pPr>
                    <w:ind w:left="0" w:leftChars="0" w:firstLine="0" w:firstLineChars="0"/>
                    <w:jc w:val="center"/>
                    <w:rPr>
                      <w:rFonts w:hint="eastAsia" w:ascii="微软雅黑" w:eastAsia="微软雅黑"/>
                      <w:sz w:val="20"/>
                      <w:highlight w:val="none"/>
                      <w:lang w:val="en-US" w:eastAsia="zh-CN"/>
                    </w:rPr>
                  </w:pPr>
                  <w:r>
                    <w:rPr>
                      <w:rFonts w:hint="eastAsia" w:ascii="微软雅黑" w:eastAsia="微软雅黑"/>
                      <w:sz w:val="20"/>
                      <w:highlight w:val="none"/>
                    </w:rPr>
                    <w:t>500</w:t>
                  </w:r>
                  <w:r>
                    <w:rPr>
                      <w:rFonts w:hint="eastAsia" w:ascii="微软雅黑" w:eastAsia="微软雅黑"/>
                      <w:sz w:val="20"/>
                      <w:highlight w:val="none"/>
                      <w:lang w:val="en-US" w:eastAsia="zh-CN"/>
                    </w:rPr>
                    <w:t>0</w:t>
                  </w:r>
                  <w:r>
                    <w:rPr>
                      <w:rFonts w:hint="eastAsia" w:ascii="微软雅黑" w:eastAsia="微软雅黑"/>
                      <w:sz w:val="20"/>
                      <w:highlight w:val="none"/>
                    </w:rPr>
                    <w:t>~&lt;1000</w:t>
                  </w:r>
                  <w:r>
                    <w:rPr>
                      <w:rFonts w:hint="eastAsia" w:ascii="微软雅黑" w:eastAsia="微软雅黑"/>
                      <w:sz w:val="20"/>
                      <w:highlight w:val="none"/>
                      <w:lang w:val="en-US" w:eastAsia="zh-CN"/>
                    </w:rPr>
                    <w:t>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20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60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28</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Align w:val="center"/>
                </w:tcPr>
                <w:p>
                  <w:pPr>
                    <w:ind w:left="0" w:leftChars="0" w:firstLine="0" w:firstLineChars="0"/>
                    <w:jc w:val="center"/>
                    <w:rPr>
                      <w:rFonts w:hint="eastAsia" w:ascii="微软雅黑" w:eastAsia="微软雅黑"/>
                      <w:sz w:val="20"/>
                      <w:highlight w:val="none"/>
                      <w:lang w:val="en-US" w:eastAsia="zh-CN"/>
                    </w:rPr>
                  </w:pPr>
                  <w:r>
                    <w:rPr>
                      <w:rFonts w:hint="eastAsia" w:ascii="微软雅黑" w:eastAsia="微软雅黑"/>
                      <w:sz w:val="20"/>
                      <w:highlight w:val="none"/>
                    </w:rPr>
                    <w:t>1000</w:t>
                  </w:r>
                  <w:r>
                    <w:rPr>
                      <w:rFonts w:hint="eastAsia" w:ascii="微软雅黑" w:eastAsia="微软雅黑"/>
                      <w:sz w:val="20"/>
                      <w:highlight w:val="none"/>
                      <w:lang w:val="en-US" w:eastAsia="zh-CN"/>
                    </w:rPr>
                    <w:t>0</w:t>
                  </w:r>
                  <w:r>
                    <w:rPr>
                      <w:rFonts w:hint="eastAsia" w:ascii="微软雅黑" w:eastAsia="微软雅黑"/>
                      <w:sz w:val="20"/>
                      <w:highlight w:val="none"/>
                    </w:rPr>
                    <w:t>~&lt;3000</w:t>
                  </w:r>
                  <w:r>
                    <w:rPr>
                      <w:rFonts w:hint="eastAsia" w:ascii="微软雅黑" w:eastAsia="微软雅黑"/>
                      <w:sz w:val="20"/>
                      <w:highlight w:val="none"/>
                      <w:lang w:val="en-US" w:eastAsia="zh-CN"/>
                    </w:rPr>
                    <w:t>0</w:t>
                  </w:r>
                </w:p>
              </w:tc>
              <w:tc>
                <w:tcPr>
                  <w:tcW w:w="1497" w:type="dxa"/>
                </w:tcPr>
                <w:p>
                  <w:pPr>
                    <w:ind w:left="0" w:leftChars="0" w:firstLine="0" w:firstLineChars="0"/>
                    <w:jc w:val="center"/>
                    <w:rPr>
                      <w:rFonts w:hint="eastAsia" w:ascii="微软雅黑" w:eastAsia="微软雅黑"/>
                      <w:sz w:val="20"/>
                      <w:highlight w:val="none"/>
                      <w:lang w:eastAsia="zh-CN"/>
                    </w:rPr>
                  </w:pPr>
                  <w:r>
                    <w:rPr>
                      <w:rFonts w:hint="eastAsia" w:ascii="微软雅黑" w:eastAsia="微软雅黑"/>
                      <w:sz w:val="20"/>
                      <w:highlight w:val="none"/>
                    </w:rPr>
                    <w:t>2</w:t>
                  </w:r>
                  <w:r>
                    <w:rPr>
                      <w:rFonts w:hint="eastAsia" w:ascii="微软雅黑" w:eastAsia="微软雅黑"/>
                      <w:sz w:val="20"/>
                      <w:highlight w:val="none"/>
                      <w:lang w:val="en-US" w:eastAsia="zh-CN"/>
                    </w:rPr>
                    <w:t>8</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80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40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Align w:val="center"/>
                </w:tcPr>
                <w:p>
                  <w:pPr>
                    <w:ind w:left="0" w:leftChars="0" w:firstLine="0" w:firstLineChars="0"/>
                    <w:jc w:val="center"/>
                    <w:rPr>
                      <w:rFonts w:hint="eastAsia" w:ascii="微软雅黑" w:eastAsia="微软雅黑"/>
                      <w:sz w:val="20"/>
                      <w:highlight w:val="none"/>
                      <w:lang w:val="en-US" w:eastAsia="zh-CN"/>
                    </w:rPr>
                  </w:pPr>
                  <w:r>
                    <w:rPr>
                      <w:rFonts w:hint="eastAsia" w:ascii="微软雅黑" w:eastAsia="微软雅黑"/>
                      <w:sz w:val="20"/>
                      <w:highlight w:val="none"/>
                    </w:rPr>
                    <w:t>3000</w:t>
                  </w:r>
                  <w:r>
                    <w:rPr>
                      <w:rFonts w:hint="eastAsia" w:ascii="微软雅黑" w:eastAsia="微软雅黑"/>
                      <w:sz w:val="20"/>
                      <w:highlight w:val="none"/>
                      <w:lang w:val="en-US" w:eastAsia="zh-CN"/>
                    </w:rPr>
                    <w:t>0</w:t>
                  </w:r>
                  <w:r>
                    <w:rPr>
                      <w:rFonts w:hint="eastAsia" w:ascii="微软雅黑" w:eastAsia="微软雅黑"/>
                      <w:sz w:val="20"/>
                      <w:highlight w:val="none"/>
                    </w:rPr>
                    <w:t>~&lt;5000</w:t>
                  </w:r>
                  <w:r>
                    <w:rPr>
                      <w:rFonts w:hint="eastAsia" w:ascii="微软雅黑" w:eastAsia="微软雅黑"/>
                      <w:sz w:val="20"/>
                      <w:highlight w:val="none"/>
                      <w:lang w:val="en-US" w:eastAsia="zh-CN"/>
                    </w:rPr>
                    <w:t>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40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100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60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Align w:val="center"/>
                </w:tcPr>
                <w:p>
                  <w:pPr>
                    <w:ind w:left="0" w:leftChars="0" w:firstLine="0" w:firstLineChars="0"/>
                    <w:jc w:val="center"/>
                    <w:rPr>
                      <w:rFonts w:hint="eastAsia" w:ascii="微软雅黑" w:eastAsia="微软雅黑"/>
                      <w:sz w:val="20"/>
                      <w:highlight w:val="none"/>
                      <w:lang w:val="en-US" w:eastAsia="zh-CN"/>
                    </w:rPr>
                  </w:pPr>
                  <w:r>
                    <w:rPr>
                      <w:rFonts w:hint="eastAsia" w:ascii="微软雅黑" w:eastAsia="微软雅黑"/>
                      <w:sz w:val="20"/>
                      <w:highlight w:val="none"/>
                    </w:rPr>
                    <w:t>5000</w:t>
                  </w:r>
                  <w:r>
                    <w:rPr>
                      <w:rFonts w:hint="eastAsia" w:ascii="微软雅黑" w:eastAsia="微软雅黑"/>
                      <w:sz w:val="20"/>
                      <w:highlight w:val="none"/>
                      <w:lang w:val="en-US" w:eastAsia="zh-CN"/>
                    </w:rPr>
                    <w:t>0</w:t>
                  </w:r>
                  <w:r>
                    <w:rPr>
                      <w:rFonts w:hint="eastAsia" w:ascii="微软雅黑" w:eastAsia="微软雅黑"/>
                      <w:sz w:val="20"/>
                      <w:highlight w:val="none"/>
                    </w:rPr>
                    <w:t>~ &lt;10000</w:t>
                  </w:r>
                  <w:r>
                    <w:rPr>
                      <w:rFonts w:hint="eastAsia" w:ascii="微软雅黑" w:eastAsia="微软雅黑"/>
                      <w:sz w:val="20"/>
                      <w:highlight w:val="none"/>
                      <w:lang w:val="en-US" w:eastAsia="zh-CN"/>
                    </w:rPr>
                    <w:t>0</w:t>
                  </w:r>
                </w:p>
              </w:tc>
              <w:tc>
                <w:tcPr>
                  <w:tcW w:w="1497" w:type="dxa"/>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lang w:val="en-US" w:eastAsia="zh-CN"/>
                    </w:rPr>
                    <w:t>6</w:t>
                  </w:r>
                  <w:r>
                    <w:rPr>
                      <w:rFonts w:hint="eastAsia" w:ascii="微软雅黑" w:eastAsia="微软雅黑"/>
                      <w:sz w:val="20"/>
                      <w:highlight w:val="none"/>
                    </w:rPr>
                    <w:t>0</w:t>
                  </w:r>
                </w:p>
              </w:tc>
              <w:tc>
                <w:tcPr>
                  <w:tcW w:w="1497" w:type="dxa"/>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140</w:t>
                  </w:r>
                </w:p>
              </w:tc>
              <w:tc>
                <w:tcPr>
                  <w:tcW w:w="1497" w:type="dxa"/>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80</w:t>
                  </w:r>
                </w:p>
              </w:tc>
              <w:tc>
                <w:tcPr>
                  <w:tcW w:w="1497" w:type="dxa"/>
                </w:tcPr>
                <w:p>
                  <w:pPr>
                    <w:ind w:left="0" w:leftChars="0" w:firstLine="0" w:firstLineChars="0"/>
                    <w:jc w:val="center"/>
                    <w:rPr>
                      <w:rFonts w:hint="default" w:ascii="微软雅黑" w:eastAsia="微软雅黑"/>
                      <w:sz w:val="20"/>
                      <w:highlight w:val="none"/>
                      <w:lang w:val="en-US" w:eastAsia="zh-CN"/>
                    </w:rPr>
                  </w:pPr>
                  <w:r>
                    <w:rPr>
                      <w:rFonts w:hint="eastAsia" w:ascii="微软雅黑" w:eastAsia="微软雅黑"/>
                      <w:sz w:val="20"/>
                      <w:highlight w:val="none"/>
                      <w:lang w:val="en-US" w:eastAsia="zh-CN"/>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dxa"/>
                  <w:vAlign w:val="center"/>
                </w:tcPr>
                <w:p>
                  <w:pPr>
                    <w:ind w:left="0" w:leftChars="0" w:firstLine="0" w:firstLineChars="0"/>
                    <w:jc w:val="center"/>
                    <w:rPr>
                      <w:rFonts w:hint="eastAsia" w:ascii="微软雅黑" w:eastAsia="微软雅黑"/>
                      <w:sz w:val="20"/>
                      <w:highlight w:val="none"/>
                      <w:lang w:val="en-US" w:eastAsia="zh-CN"/>
                    </w:rPr>
                  </w:pPr>
                  <w:r>
                    <w:rPr>
                      <w:rFonts w:hint="eastAsia" w:ascii="微软雅黑" w:eastAsia="微软雅黑"/>
                      <w:sz w:val="20"/>
                      <w:highlight w:val="none"/>
                    </w:rPr>
                    <w:t>&gt;10000</w:t>
                  </w:r>
                  <w:r>
                    <w:rPr>
                      <w:rFonts w:hint="eastAsia" w:ascii="微软雅黑" w:eastAsia="微软雅黑"/>
                      <w:sz w:val="20"/>
                      <w:highlight w:val="none"/>
                      <w:lang w:val="en-US" w:eastAsia="zh-CN"/>
                    </w:rPr>
                    <w:t>0</w:t>
                  </w:r>
                </w:p>
              </w:tc>
              <w:tc>
                <w:tcPr>
                  <w:tcW w:w="1497" w:type="dxa"/>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80</w:t>
                  </w:r>
                </w:p>
              </w:tc>
              <w:tc>
                <w:tcPr>
                  <w:tcW w:w="1497" w:type="dxa"/>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lang w:val="en-US" w:eastAsia="zh-CN"/>
                    </w:rPr>
                    <w:t>160</w:t>
                  </w:r>
                </w:p>
              </w:tc>
              <w:tc>
                <w:tcPr>
                  <w:tcW w:w="1497" w:type="dxa"/>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100</w:t>
                  </w:r>
                </w:p>
              </w:tc>
              <w:tc>
                <w:tcPr>
                  <w:tcW w:w="1497" w:type="dxa"/>
                  <w:vAlign w:val="center"/>
                </w:tcPr>
                <w:p>
                  <w:pPr>
                    <w:ind w:left="0" w:leftChars="0" w:firstLine="0" w:firstLineChars="0"/>
                    <w:jc w:val="center"/>
                    <w:rPr>
                      <w:rFonts w:hint="eastAsia" w:ascii="微软雅黑" w:eastAsia="微软雅黑"/>
                      <w:sz w:val="20"/>
                      <w:highlight w:val="none"/>
                    </w:rPr>
                  </w:pPr>
                  <w:r>
                    <w:rPr>
                      <w:rFonts w:hint="eastAsia" w:ascii="微软雅黑" w:eastAsia="微软雅黑"/>
                      <w:sz w:val="20"/>
                      <w:highlight w:val="none"/>
                    </w:rPr>
                    <w:t>40</w:t>
                  </w:r>
                </w:p>
              </w:tc>
            </w:tr>
          </w:tbl>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2.3每一道涂层表干后，应进行目测检查，涂层不应有起泡、分层起皮、流挂、漏涂等缺陷。</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3防腐层质量检验</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3</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1防腐层固化后，应检测防腐层外观、厚度、漏点和附着力，检测结果应做好记录。</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3</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2外观检测应符合下列规定：</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1.储罐内表面及附件、储罐外表面及附件的防腐层应全部目测检查。</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2.防腐层表面应平整连续、光滑，不应有未固化、起泡、分层起皮、流挂、漏涂等缺陷。</w:t>
            </w:r>
          </w:p>
          <w:p>
            <w:pPr>
              <w:spacing w:line="360" w:lineRule="auto"/>
              <w:jc w:val="left"/>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7.3.3防腐层厚度检测应符合下列规定：</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1.应按照现行国家标准《色漆和清漆漆膜厚度的测定》GB/T13452．2规定的方法采用磁性测厚仪检测防腐层厚度。</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2.储罐表面罐底、罐壁、罐顶和咐件四个部位应按本规范表7.2.2规定的检测点数及分布要求进行防腐层厚度检测，焊缝处的检测点数不应少于总检测点数的20%。</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3.合格应为每一检测点的读数不低于规定值。</w:t>
            </w:r>
          </w:p>
          <w:p>
            <w:pPr>
              <w:spacing w:line="360" w:lineRule="auto"/>
              <w:jc w:val="left"/>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7.3.4漏点检测应符合下列规定：</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1.应采用电火花检漏仪或低压检漏仪对储罐内外壁及附件的全部防腐层进行漏点检测。</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2.厚度大于200μm的绝缘型防腐层应采用电火花检漏仪进行检测，检漏电压应为5V/μm；导静电型防腐层和厚度不超过的绝缘型防腐层应采用低压检漏仪进行检漏，合格应为无漏点。</w:t>
            </w:r>
          </w:p>
          <w:p>
            <w:pPr>
              <w:spacing w:line="360" w:lineRule="auto"/>
              <w:jc w:val="left"/>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7.3.5附着力检测应符合下列规定：</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宜按照现行国家标准《色漆与清漆拉开法附着力试验》GB/T5210规定的方法在喷涂的试件或储罐上进行附着力检测，单组分涂料形成的防腐层附着力应&gt;3MPa，双组分涂料形成的防腐层附着力应≥5MPa防腐层厚度≤250μm时，可按照现行国家标准《色漆和清漆漆膜的划格试验》GB/T9286规定的方法进行附着力检测，附着力等级应≤1级。</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制作试件检测时，应在相同施工条件下同时处理和涂敷钢板试件，试件材质、表面处理等级和防腐层厚度应与储罐相同，试件尺寸宜不小于200mmx200mmx4mm；每种防腐层结构平行试件不应少于3件；试件检测有1件不合格应判定储罐该部分防腐层为不合格。</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7.</w:t>
            </w:r>
            <w:r>
              <w:rPr>
                <w:rFonts w:hint="eastAsia" w:ascii="微软雅黑" w:hAnsi="微软雅黑" w:eastAsia="微软雅黑"/>
                <w:sz w:val="21"/>
                <w:highlight w:val="none"/>
              </w:rPr>
              <w:t>4罐底板边缘防护层质量检验</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7.4.1罐底板边缘防护区域及尺寸应满足本规范第4．4节的要求。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7.4.2罐底板边缘防护层的施工完成后应对所有防护区域的外观进行目测检测，表面应平整连续、无皱褶、无鼓包、无空鼓，接缝处搭接均匀、结合紧密。</w:t>
            </w:r>
          </w:p>
          <w:p>
            <w:pPr>
              <w:spacing w:line="360" w:lineRule="auto"/>
              <w:jc w:val="left"/>
              <w:rPr>
                <w:rFonts w:hint="eastAsia" w:ascii="微软雅黑" w:hAnsi="微软雅黑" w:eastAsia="微软雅黑"/>
                <w:sz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8</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修补、复涂及重涂</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8.0</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1存在以下情况时应对防腐层进行修补、复涂及重涂：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1.防腐层外观存在缺陷或机械损伤时，应根据缺陷状况进行修补、复涂或重涂；防腐层不平整时应进行复涂，防腐层未固化、分层起皮时应进行重涂。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防腐层厚度不满足规定要求时，应进行局部复涂或整体复涂；不合格点数不超过该部分总检测点数的5％时，应按本规范第8．0．3条的规定进行局部复涂直至合格；不合格点数超过5％时，应在相同部分内再次进行检测，检测点数量应与上次检测数量相同，检测位置应与上次检测位置不同，再次检测出的不合格点数仍超过5％时，检测部分的防腐层厚度应为不合格，应进行整体复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3.每一部分防腐层漏点数每平方米不超过1个时，应对漏点处进行修补；该部分防腐层漏点数每平方米超过1个时，应先对漏点修补后再进行全面复涂。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4.因附着力检测损坏的防腐层应进行修补，附着力检测不合格的防腐层应进行重涂。</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8.0</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2防腐层的修补宜符合下列规定：</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1.修补使用的涂料宜与原防腐层相同。</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2.修补时应将损坏的防腐层清理干净，已露基材时，应将基材除锈至St3级。</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3.修补处附近的防腐层应进行打毛后修补涂敷，修补层和原防腐层的搭接宽度应不小于50mm</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4.修补防腐层固化后，应进行防腐层厚度和漏点检查，检验结果应满足规定要求。</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8</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0</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3防腐层的复涂应符合下列规定：</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1.应将防腐层打毛至表面粗糙、平整，并清理干净。</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2.应按本规范的规定涂敷至防腐层达到规定厚度。</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3.局部复涂时，应与复涂区域外的防腐层搭接，搭接宽度应不小于50mm</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4.复涂防腐层固化后，应进行质量检验，检验结果应满足规定要求。</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8</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0</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4防腐层的重涂应符合下列规定：</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1.应清除原防腐层。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2.应按本规范的规定进行表面处理和防腐层涂敷。</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3.应按本规范的规定进行质量检验，检验结果应满足规定要求。</w:t>
            </w:r>
          </w:p>
          <w:p>
            <w:pPr>
              <w:spacing w:line="360" w:lineRule="auto"/>
              <w:jc w:val="left"/>
              <w:rPr>
                <w:rFonts w:hint="eastAsia" w:ascii="微软雅黑" w:hAnsi="微软雅黑" w:eastAsia="微软雅黑"/>
                <w:sz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防腐层修复</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1一般规定</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1.1储罐运行期间，宜定期检查储罐防腐层状况，应评价防腐层状况，并应分析防腐层出现损坏或失效的原因，作出是否修复的判断。</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1.2需要修复时，应编制修复方案，修复方案的编制应结合原设计方案、施工资料和修复记录，考虑原防腐层损坏及失效状态、所选涂料与原防腐层匹配性等因素。</w:t>
            </w:r>
          </w:p>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9·2防腐层检查评价</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.2.</w:t>
            </w:r>
            <w:r>
              <w:rPr>
                <w:rFonts w:hint="eastAsia" w:ascii="微软雅黑" w:hAnsi="微软雅黑" w:eastAsia="微软雅黑"/>
                <w:sz w:val="21"/>
                <w:highlight w:val="none"/>
              </w:rPr>
              <w:t>1储罐外防腐层检查评价应包括防腐层厚度、起泡、开裂、粉化、剥落等项目;储罐内防腐层检查评价应包括防腐层厚度、起泡、开裂、剥落等项目。</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9.2.2防腐层损坏或失效原因的分析应考虑正常老化、防腐层结构选择、服役环境、施工等因素。</w:t>
            </w:r>
          </w:p>
          <w:p>
            <w:pPr>
              <w:spacing w:line="360" w:lineRule="auto"/>
              <w:jc w:val="left"/>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9.2.3防腐层状况宜按照现行国家标准《色漆和清漆 涂层老化的评级方法》GB/T1766进行评级，并应根据评级结果确定修复方案。</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1.储罐内防腐层综合老化性能等级评定为4级以下时，宜进行局部修补或部分重涂。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2.储罐内防腐层综合老化性能等级评定为4级及以上时，应进行整体重涂。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3.储罐外防腐层无起泡、无开裂、无剥落、无生锈，粉化为3级及以上时，宜去除粉化防腐层，重新涂装。</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4.储罐外防腐层综合老化性能等级评定为4级以下时，宜进行局部修补或部分重涂。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5.储罐外防腐层综合老化性能等级评定为4级及以上时，应进行整体重涂。</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4防腐层状况评估应出具报告，报告应包括以下内容：</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1.防腐层服役环境。</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2.检查部位及范围。</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3.防腐层状态及综合老化性能等级。</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4.损坏及失效防腐层的面积及分布，原因分析。</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5.修复建议。</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3防腐层修复作业</w:t>
            </w:r>
          </w:p>
          <w:p>
            <w:pPr>
              <w:spacing w:line="360" w:lineRule="auto"/>
              <w:ind w:firstLine="840" w:firstLineChars="400"/>
              <w:jc w:val="left"/>
              <w:rPr>
                <w:rFonts w:hint="eastAsia" w:ascii="微软雅黑" w:hAnsi="微软雅黑" w:eastAsia="微软雅黑"/>
                <w:sz w:val="21"/>
                <w:highlight w:val="none"/>
              </w:rPr>
            </w:pPr>
            <w:r>
              <w:rPr>
                <w:rFonts w:hint="eastAsia" w:ascii="微软雅黑" w:hAnsi="微软雅黑" w:eastAsia="微软雅黑"/>
                <w:sz w:val="21"/>
                <w:highlight w:val="none"/>
                <w:lang w:val="en-US" w:eastAsia="zh-CN"/>
              </w:rPr>
              <w:t>9.3.1</w:t>
            </w:r>
            <w:r>
              <w:rPr>
                <w:rFonts w:hint="eastAsia" w:ascii="微软雅黑" w:hAnsi="微软雅黑" w:eastAsia="微软雅黑"/>
                <w:sz w:val="21"/>
                <w:highlight w:val="none"/>
              </w:rPr>
              <w:t>防腐层修补及重涂宜采用储罐原防腐层结构，修补及部分重涂宜采用与原防腐层相同或匹配的材料；当基体表面处理受限时，宜采用低表面处理环氧涂料。</w:t>
            </w:r>
          </w:p>
          <w:p>
            <w:pPr>
              <w:spacing w:line="360" w:lineRule="auto"/>
              <w:ind w:firstLine="840" w:firstLineChars="400"/>
              <w:jc w:val="left"/>
              <w:rPr>
                <w:rFonts w:hint="eastAsia" w:ascii="微软雅黑" w:hAnsi="微软雅黑" w:eastAsia="微软雅黑"/>
                <w:sz w:val="21"/>
                <w:highlight w:val="none"/>
              </w:rPr>
            </w:pPr>
            <w:r>
              <w:rPr>
                <w:rFonts w:hint="eastAsia" w:ascii="微软雅黑" w:hAnsi="微软雅黑" w:eastAsia="微软雅黑"/>
                <w:sz w:val="21"/>
                <w:highlight w:val="none"/>
              </w:rPr>
              <w:t>9.3.2防腐层修补采用与原防腐层不同的涂料时，应按下列要求验证所选涂料与原防腐层匹配性：</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1.在原防腐层表面涂刷一道修复涂料，涂层表面应平整，无咬底、起皱等缺陷。</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宜按照现行国家标准《色漆与清漆拉开法附着力试验》GB/T5210规定的方法进行附着力检测，单组分涂料形成的防腐层附着力应&gt;3MPa，双组分涂料形成的防腐层附着力应大于或等于5MPa防腐层厚度小于或等于250μm时，可按照现行国家标准《色漆和清漆漆膜的划格试验》GB/T9286规定的方法进行检测，附着力等级应小于或等于1级。</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3·3防腐层修补及重涂的表面处理应符合下列要求：</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1.宜采用磨料喷射、手工或动力工具、高压水射流等方式进行处理，储罐运行期间及处于严禁动火区域时，应采用湿喷砂、高压水射流、手工或动力铜刷工具等处理方式。</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2.防腐层修补及部分重涂时，处理等级应达到现行国家标准《涂覆涂料前钢材表面处理表面清洁度的目视评定第2部分：已涂覆过的钢材表面局部清除原有防腐层后的处理等级》GB/T8923．2规定的PSt3级或PSa2.5级。</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3.采用低表面处理环氧涂料时，处理等级应达到现行国家标准《涂覆涂料前钢材表面处理表面清洁度的目视评定第2部分：己涂覆过的钢材表面局部清除原有防腐层后的处理等级》GB/T8923．2规定的PSt2级或PSa2级。</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防腐层整体重涂时，处理等级应达到现行国家标准《涂覆涂料前钢材表面处理表面清洁度的目视评定第1部分：未涂覆过的钢材表面和全面清除原有涂层后的钢材表面的锈蚀等级和处理等级》GB/T8923．1规定的Sa2.5级或Sa3级。</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9</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3</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4修补及重涂防腐层的涂敷及检验应符合本规范的要求。</w:t>
            </w:r>
          </w:p>
          <w:p>
            <w:pPr>
              <w:spacing w:line="360" w:lineRule="auto"/>
              <w:jc w:val="left"/>
              <w:rPr>
                <w:rFonts w:hint="eastAsia" w:ascii="微软雅黑" w:hAnsi="微软雅黑" w:eastAsia="微软雅黑"/>
                <w:sz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360" w:lineRule="auto"/>
              <w:ind w:left="0" w:leftChars="0" w:firstLine="0" w:firstLineChars="0"/>
              <w:jc w:val="left"/>
              <w:rPr>
                <w:rFonts w:hint="eastAsia" w:ascii="微软雅黑" w:hAnsi="微软雅黑" w:eastAsia="微软雅黑"/>
                <w:sz w:val="21"/>
                <w:highlight w:val="none"/>
              </w:rPr>
            </w:pPr>
            <w:r>
              <w:rPr>
                <w:rFonts w:hint="eastAsia" w:ascii="微软雅黑" w:hAnsi="微软雅黑" w:eastAsia="微软雅黑"/>
                <w:sz w:val="21"/>
                <w:highlight w:val="none"/>
              </w:rPr>
              <w:t>10交工资料与修复记录</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10</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1储罐防腐施工结束后，应提供以下文件：</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1.防腐蚀设计文件及变更文件。</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2.涂料及其他防腐材料出厂合格证、性能检验报告等质量证明文件。</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3.防腐层施工方案和施工记录。</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4.防腐层质量检验报告。</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5.修补、复涂及重涂记录，包括位置、原因、方法、数量及检验结果。</w:t>
            </w:r>
          </w:p>
          <w:p>
            <w:pPr>
              <w:spacing w:line="360" w:lineRule="auto"/>
              <w:jc w:val="left"/>
              <w:rPr>
                <w:rFonts w:hint="eastAsia" w:ascii="微软雅黑" w:hAnsi="微软雅黑" w:eastAsia="微软雅黑"/>
                <w:sz w:val="21"/>
                <w:highlight w:val="none"/>
              </w:rPr>
            </w:pPr>
            <w:r>
              <w:rPr>
                <w:rFonts w:hint="eastAsia" w:ascii="微软雅黑" w:hAnsi="微软雅黑" w:eastAsia="微软雅黑"/>
                <w:sz w:val="21"/>
                <w:highlight w:val="none"/>
              </w:rPr>
              <w:t>10</w:t>
            </w:r>
            <w:r>
              <w:rPr>
                <w:rFonts w:hint="eastAsia" w:ascii="微软雅黑" w:hAnsi="微软雅黑" w:eastAsia="微软雅黑"/>
                <w:sz w:val="21"/>
                <w:highlight w:val="none"/>
                <w:lang w:val="en-US" w:eastAsia="zh-CN"/>
              </w:rPr>
              <w:t>.</w:t>
            </w:r>
            <w:r>
              <w:rPr>
                <w:rFonts w:hint="eastAsia" w:ascii="微软雅黑" w:hAnsi="微软雅黑" w:eastAsia="微软雅黑"/>
                <w:sz w:val="21"/>
                <w:highlight w:val="none"/>
              </w:rPr>
              <w:t>2储罐防腐层修复完成后，应提供以下文件：</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1.防腐层状况检查评估报告。</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2.涂料及其他防腐材料出厂合格证、性能检验报告等质量证明文件。</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3.防腐层修复方案和施工记录。</w:t>
            </w:r>
          </w:p>
          <w:p>
            <w:pPr>
              <w:keepNext w:val="0"/>
              <w:keepLines w:val="0"/>
              <w:pageBreakBefore w:val="0"/>
              <w:widowControl w:val="0"/>
              <w:kinsoku/>
              <w:wordWrap/>
              <w:overflowPunct/>
              <w:topLinePunct w:val="0"/>
              <w:autoSpaceDE/>
              <w:autoSpaceDN/>
              <w:bidi w:val="0"/>
              <w:adjustRightInd/>
              <w:snapToGrid/>
              <w:spacing w:line="360" w:lineRule="auto"/>
              <w:ind w:left="418" w:leftChars="174" w:firstLine="0" w:firstLineChars="0"/>
              <w:jc w:val="left"/>
              <w:textAlignment w:val="auto"/>
              <w:rPr>
                <w:rFonts w:hint="eastAsia" w:ascii="微软雅黑" w:hAnsi="微软雅黑" w:eastAsia="微软雅黑"/>
                <w:sz w:val="21"/>
                <w:highlight w:val="none"/>
                <w:lang w:val="en-US" w:eastAsia="zh-CN"/>
              </w:rPr>
            </w:pPr>
            <w:r>
              <w:rPr>
                <w:rFonts w:hint="eastAsia" w:ascii="微软雅黑" w:hAnsi="微软雅黑" w:eastAsia="微软雅黑"/>
                <w:sz w:val="21"/>
                <w:highlight w:val="none"/>
                <w:lang w:val="en-US" w:eastAsia="zh-CN"/>
              </w:rPr>
              <w:t>4.防腐层质量检验报告。</w:t>
            </w:r>
          </w:p>
          <w:p>
            <w:pPr>
              <w:spacing w:line="360" w:lineRule="auto"/>
              <w:jc w:val="left"/>
              <w:rPr>
                <w:rFonts w:hint="eastAsia" w:ascii="微软雅黑" w:hAnsi="微软雅黑" w:eastAsia="微软雅黑"/>
                <w:sz w:val="21"/>
                <w:highlight w:val="none"/>
                <w:vertAlign w:val="baseline"/>
              </w:rPr>
            </w:pPr>
          </w:p>
        </w:tc>
      </w:tr>
    </w:tbl>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4.2、服务具体要求：</w:t>
      </w:r>
    </w:p>
    <w:p>
      <w:pPr>
        <w:bidi w:val="0"/>
        <w:spacing w:line="360" w:lineRule="auto"/>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4.2.1乙方承诺响应内容：</w:t>
      </w:r>
    </w:p>
    <w:p>
      <w:pPr>
        <w:bidi w:val="0"/>
        <w:spacing w:line="360" w:lineRule="auto"/>
        <w:ind w:firstLine="840" w:firstLineChars="400"/>
        <w:rPr>
          <w:rFonts w:hint="eastAsia" w:ascii="微软雅黑" w:hAnsi="微软雅黑" w:eastAsia="微软雅黑" w:cs="微软雅黑"/>
          <w:sz w:val="21"/>
          <w:szCs w:val="21"/>
          <w:highlight w:val="none"/>
          <w:lang w:val="en-US" w:eastAsia="en-US"/>
        </w:rPr>
      </w:pPr>
      <w:bookmarkStart w:id="6" w:name="_Toc31054"/>
      <w:bookmarkStart w:id="7" w:name="OLE_LINK5"/>
      <w:bookmarkStart w:id="8" w:name="_Hlk116718847"/>
      <w:r>
        <w:rPr>
          <w:rFonts w:hint="eastAsia" w:ascii="微软雅黑" w:hAnsi="微软雅黑" w:eastAsia="微软雅黑" w:cs="微软雅黑"/>
          <w:sz w:val="21"/>
          <w:szCs w:val="21"/>
          <w:highlight w:val="none"/>
          <w:lang w:val="en-US" w:eastAsia="zh-CN"/>
        </w:rPr>
        <w:t>4.2.1.1、乙方承诺响应：</w:t>
      </w:r>
      <w:r>
        <w:rPr>
          <w:rFonts w:hint="eastAsia" w:ascii="微软雅黑" w:hAnsi="微软雅黑" w:eastAsia="微软雅黑" w:cs="微软雅黑"/>
          <w:sz w:val="21"/>
          <w:szCs w:val="21"/>
          <w:highlight w:val="none"/>
          <w:lang w:val="en-US" w:eastAsia="en-US"/>
        </w:rPr>
        <w:t>承诺中标后提供</w:t>
      </w:r>
      <w:r>
        <w:rPr>
          <w:rFonts w:hint="eastAsia" w:ascii="微软雅黑" w:hAnsi="微软雅黑" w:eastAsia="微软雅黑" w:cs="微软雅黑"/>
          <w:sz w:val="21"/>
          <w:szCs w:val="21"/>
          <w:highlight w:val="none"/>
          <w:lang w:val="en-US" w:eastAsia="zh-CN"/>
        </w:rPr>
        <w:t>20</w:t>
      </w:r>
      <w:r>
        <w:rPr>
          <w:rFonts w:hint="eastAsia" w:ascii="微软雅黑" w:hAnsi="微软雅黑" w:eastAsia="微软雅黑" w:cs="微软雅黑"/>
          <w:sz w:val="21"/>
          <w:szCs w:val="21"/>
          <w:highlight w:val="none"/>
          <w:lang w:val="en-US" w:eastAsia="en-US"/>
        </w:rPr>
        <w:t>万</w:t>
      </w:r>
      <w:r>
        <w:rPr>
          <w:rFonts w:hint="eastAsia" w:ascii="微软雅黑" w:hAnsi="微软雅黑" w:eastAsia="微软雅黑" w:cs="微软雅黑"/>
          <w:sz w:val="21"/>
          <w:szCs w:val="21"/>
          <w:highlight w:val="none"/>
          <w:lang w:val="en-US" w:eastAsia="zh-CN"/>
        </w:rPr>
        <w:t>作为</w:t>
      </w:r>
      <w:r>
        <w:rPr>
          <w:rFonts w:hint="eastAsia" w:ascii="微软雅黑" w:hAnsi="微软雅黑" w:eastAsia="微软雅黑" w:cs="微软雅黑"/>
          <w:sz w:val="21"/>
          <w:szCs w:val="21"/>
          <w:highlight w:val="none"/>
          <w:lang w:val="en-US" w:eastAsia="en-US"/>
        </w:rPr>
        <w:t>履约保证金，并在合同签署前1</w:t>
      </w:r>
      <w:r>
        <w:rPr>
          <w:rFonts w:hint="eastAsia" w:ascii="微软雅黑" w:hAnsi="微软雅黑" w:eastAsia="微软雅黑" w:cs="微软雅黑"/>
          <w:sz w:val="21"/>
          <w:szCs w:val="21"/>
          <w:highlight w:val="none"/>
          <w:lang w:val="en-US" w:eastAsia="zh-CN"/>
        </w:rPr>
        <w:t>周</w:t>
      </w:r>
      <w:r>
        <w:rPr>
          <w:rFonts w:hint="eastAsia" w:ascii="微软雅黑" w:hAnsi="微软雅黑" w:eastAsia="微软雅黑" w:cs="微软雅黑"/>
          <w:sz w:val="21"/>
          <w:szCs w:val="21"/>
          <w:highlight w:val="none"/>
          <w:lang w:val="en-US" w:eastAsia="en-US"/>
        </w:rPr>
        <w:t>内汇至</w:t>
      </w:r>
      <w:r>
        <w:rPr>
          <w:rFonts w:hint="eastAsia" w:ascii="微软雅黑" w:hAnsi="微软雅黑" w:eastAsia="微软雅黑" w:cs="微软雅黑"/>
          <w:sz w:val="21"/>
          <w:szCs w:val="21"/>
          <w:highlight w:val="none"/>
          <w:lang w:val="en-US" w:eastAsia="zh-CN"/>
        </w:rPr>
        <w:t>甲方</w:t>
      </w:r>
      <w:r>
        <w:rPr>
          <w:rFonts w:hint="eastAsia" w:ascii="微软雅黑" w:hAnsi="微软雅黑" w:eastAsia="微软雅黑" w:cs="微软雅黑"/>
          <w:sz w:val="21"/>
          <w:szCs w:val="21"/>
          <w:highlight w:val="none"/>
          <w:lang w:val="en-US" w:eastAsia="en-US"/>
        </w:rPr>
        <w:t>公司账户，合同履行完毕后，未出现质量问题2个月后退回</w:t>
      </w:r>
      <w:r>
        <w:rPr>
          <w:rFonts w:hint="eastAsia" w:ascii="微软雅黑" w:hAnsi="微软雅黑" w:eastAsia="微软雅黑" w:cs="微软雅黑"/>
          <w:sz w:val="21"/>
          <w:szCs w:val="21"/>
          <w:highlight w:val="none"/>
          <w:lang w:val="en-US" w:eastAsia="zh-CN"/>
        </w:rPr>
        <w:t>乙方</w:t>
      </w:r>
      <w:r>
        <w:rPr>
          <w:rFonts w:hint="eastAsia" w:ascii="微软雅黑" w:hAnsi="微软雅黑" w:eastAsia="微软雅黑" w:cs="微软雅黑"/>
          <w:sz w:val="21"/>
          <w:szCs w:val="21"/>
          <w:highlight w:val="none"/>
          <w:lang w:val="en-US" w:eastAsia="en-US"/>
        </w:rPr>
        <w:t>。由于</w:t>
      </w:r>
      <w:r>
        <w:rPr>
          <w:rFonts w:hint="eastAsia" w:ascii="微软雅黑" w:hAnsi="微软雅黑" w:eastAsia="微软雅黑" w:cs="微软雅黑"/>
          <w:sz w:val="21"/>
          <w:szCs w:val="21"/>
          <w:highlight w:val="none"/>
          <w:lang w:val="en-US" w:eastAsia="zh-CN"/>
        </w:rPr>
        <w:t>乙方</w:t>
      </w:r>
      <w:r>
        <w:rPr>
          <w:rFonts w:hint="eastAsia" w:ascii="微软雅黑" w:hAnsi="微软雅黑" w:eastAsia="微软雅黑" w:cs="微软雅黑"/>
          <w:sz w:val="21"/>
          <w:szCs w:val="21"/>
          <w:highlight w:val="none"/>
          <w:lang w:val="en-US" w:eastAsia="en-US"/>
        </w:rPr>
        <w:t>履约问题，导致履约保证金扣款比例超80%，项目合同自动终止。</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4.2.1.2、乙方承诺响应：涂层检测评估服务包含涂层测厚、失效分析、和质量评估，服务需提供NACE资质人员出具的整体评估报告、涂层勘验报告或者具有相关资质的单位出具平台或者陆岸终端整体评估报告和涂层勘验报告（报告需包含整体腐蚀概况分析、防腐建议与计划等）。</w:t>
      </w:r>
    </w:p>
    <w:p>
      <w:pPr>
        <w:bidi w:val="0"/>
        <w:spacing w:line="360" w:lineRule="auto"/>
        <w:ind w:firstLine="840" w:firstLineChars="400"/>
        <w:rPr>
          <w:rFonts w:hint="eastAsia" w:ascii="微软雅黑" w:hAnsi="微软雅黑" w:eastAsia="微软雅黑" w:cs="微软雅黑"/>
          <w:sz w:val="21"/>
          <w:szCs w:val="21"/>
          <w:highlight w:val="none"/>
          <w:lang w:val="en-US" w:eastAsia="en-US"/>
        </w:rPr>
      </w:pPr>
      <w:r>
        <w:rPr>
          <w:rFonts w:hint="eastAsia" w:ascii="微软雅黑" w:hAnsi="微软雅黑" w:eastAsia="微软雅黑" w:cs="微软雅黑"/>
          <w:sz w:val="21"/>
          <w:szCs w:val="21"/>
          <w:highlight w:val="none"/>
          <w:lang w:val="en-US" w:eastAsia="zh-CN"/>
        </w:rPr>
        <w:t>4.2.1.3、乙方</w:t>
      </w:r>
      <w:r>
        <w:rPr>
          <w:rFonts w:hint="eastAsia" w:ascii="微软雅黑" w:hAnsi="微软雅黑" w:eastAsia="微软雅黑" w:cs="微软雅黑"/>
          <w:sz w:val="21"/>
          <w:szCs w:val="21"/>
          <w:highlight w:val="none"/>
          <w:lang w:val="en-US" w:eastAsia="en-US"/>
        </w:rPr>
        <w:t>承诺具有成熟的</w:t>
      </w:r>
      <w:r>
        <w:rPr>
          <w:rFonts w:hint="eastAsia" w:ascii="微软雅黑" w:hAnsi="微软雅黑" w:eastAsia="微软雅黑" w:cs="微软雅黑"/>
          <w:sz w:val="21"/>
          <w:szCs w:val="21"/>
          <w:highlight w:val="none"/>
          <w:lang w:val="en-US" w:eastAsia="zh-CN"/>
        </w:rPr>
        <w:t>压力管道、压力容器防腐防护等</w:t>
      </w:r>
      <w:r>
        <w:rPr>
          <w:rFonts w:hint="eastAsia" w:ascii="微软雅黑" w:hAnsi="微软雅黑" w:eastAsia="微软雅黑" w:cs="微软雅黑"/>
          <w:sz w:val="21"/>
          <w:szCs w:val="21"/>
          <w:highlight w:val="none"/>
          <w:lang w:val="en-US" w:eastAsia="en-US"/>
        </w:rPr>
        <w:t>施工团队，能够正常按照招标要求的防腐标准完成相关</w:t>
      </w:r>
      <w:r>
        <w:rPr>
          <w:rFonts w:hint="eastAsia" w:ascii="微软雅黑" w:hAnsi="微软雅黑" w:eastAsia="微软雅黑" w:cs="微软雅黑"/>
          <w:sz w:val="21"/>
          <w:szCs w:val="21"/>
          <w:highlight w:val="none"/>
          <w:lang w:val="en-US" w:eastAsia="zh-CN"/>
        </w:rPr>
        <w:t>防腐防护</w:t>
      </w:r>
      <w:r>
        <w:rPr>
          <w:rFonts w:hint="eastAsia" w:ascii="微软雅黑" w:hAnsi="微软雅黑" w:eastAsia="微软雅黑" w:cs="微软雅黑"/>
          <w:sz w:val="21"/>
          <w:szCs w:val="21"/>
          <w:highlight w:val="none"/>
          <w:lang w:val="en-US" w:eastAsia="en-US"/>
        </w:rPr>
        <w:t>服务。</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4.2.1.5、乙方承诺响应：接到服务通知单后</w:t>
      </w:r>
      <w:r>
        <w:rPr>
          <w:rFonts w:hint="default" w:ascii="微软雅黑" w:hAnsi="微软雅黑" w:eastAsia="微软雅黑" w:cs="微软雅黑"/>
          <w:sz w:val="21"/>
          <w:szCs w:val="21"/>
          <w:highlight w:val="none"/>
          <w:lang w:val="en-US" w:eastAsia="zh-CN"/>
        </w:rPr>
        <w:t>24</w:t>
      </w:r>
      <w:r>
        <w:rPr>
          <w:rFonts w:hint="eastAsia" w:ascii="微软雅黑" w:hAnsi="微软雅黑" w:eastAsia="微软雅黑" w:cs="微软雅黑"/>
          <w:sz w:val="21"/>
          <w:szCs w:val="21"/>
          <w:highlight w:val="none"/>
          <w:lang w:val="en-US" w:eastAsia="zh-CN"/>
        </w:rPr>
        <w:t>小时响应服务情况，提供符合能力要求的作业人员进行服务，超过</w:t>
      </w:r>
      <w:r>
        <w:rPr>
          <w:rFonts w:hint="default" w:ascii="微软雅黑" w:hAnsi="微软雅黑" w:eastAsia="微软雅黑" w:cs="微软雅黑"/>
          <w:sz w:val="21"/>
          <w:szCs w:val="21"/>
          <w:highlight w:val="none"/>
          <w:lang w:val="en-US" w:eastAsia="zh-CN"/>
        </w:rPr>
        <w:t>48</w:t>
      </w:r>
      <w:r>
        <w:rPr>
          <w:rFonts w:hint="eastAsia" w:ascii="微软雅黑" w:hAnsi="微软雅黑" w:eastAsia="微软雅黑" w:cs="微软雅黑"/>
          <w:sz w:val="21"/>
          <w:szCs w:val="21"/>
          <w:highlight w:val="none"/>
          <w:lang w:val="en-US" w:eastAsia="zh-CN"/>
        </w:rPr>
        <w:t>小时无响应三次或者不响应订单及时动员三次以上甲方有权取消合同并根据合同要求进行相应惩罚。</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4.2.1.6、乙方承诺响应：乙方</w:t>
      </w:r>
      <w:r>
        <w:rPr>
          <w:rFonts w:hint="eastAsia" w:ascii="微软雅黑" w:hAnsi="微软雅黑" w:eastAsia="微软雅黑" w:cs="微软雅黑"/>
          <w:sz w:val="21"/>
          <w:szCs w:val="21"/>
          <w:highlight w:val="none"/>
          <w:lang w:val="en-US" w:eastAsia="en-US"/>
        </w:rPr>
        <w:t>应该根据甲方指定的步骤工艺完成相关工作量，当甲方要求的工艺稍做调整变动的应按照甲方要求的工艺完成工作量。</w:t>
      </w:r>
      <w:r>
        <w:rPr>
          <w:rFonts w:hint="eastAsia" w:ascii="微软雅黑" w:hAnsi="微软雅黑" w:eastAsia="微软雅黑" w:cs="微软雅黑"/>
          <w:sz w:val="21"/>
          <w:szCs w:val="21"/>
          <w:highlight w:val="none"/>
          <w:lang w:val="en-US" w:eastAsia="zh-CN"/>
        </w:rPr>
        <w:t>乙方</w:t>
      </w:r>
      <w:r>
        <w:rPr>
          <w:rFonts w:hint="eastAsia" w:ascii="微软雅黑" w:hAnsi="微软雅黑" w:eastAsia="微软雅黑" w:cs="微软雅黑"/>
          <w:sz w:val="21"/>
          <w:szCs w:val="21"/>
          <w:highlight w:val="none"/>
          <w:lang w:val="en-US" w:eastAsia="en-US"/>
        </w:rPr>
        <w:t>不可以细节不符合为理由拒不履行协议或者以异议为理由推迟动员。</w:t>
      </w:r>
    </w:p>
    <w:bookmarkEnd w:id="6"/>
    <w:bookmarkEnd w:id="7"/>
    <w:bookmarkEnd w:id="8"/>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4.2.2现场管理要求：</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4.2.2.1、根据已制定的施工计划进行施工。施工组织的各级负责人，由甲方项目经理、各部门经理到施工各班组及所属全体成员组成项目实施的完整的组织体系。</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4.2.2.2、在项目施工过程中，如有某些因素影响施工进度，应及时对施工计划进行修正，以保证不拖延整体施工工期。</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4.2.2.3、施工过程中各种机械设备备件齐全，加强施工机械的检查保养，确保作业时间内工作性能良好。</w:t>
      </w:r>
    </w:p>
    <w:p>
      <w:pPr>
        <w:bidi w:val="0"/>
        <w:spacing w:line="360" w:lineRule="auto"/>
        <w:ind w:left="0" w:leftChars="0"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4.2.2.4施工各部门对每天的计划完成情况进行汇总、讨论，发现问题及时处理，确保在规定工期内完成施工。</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4.2.2.5布置好施工现场的防雨、防汛、防暑措施。</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4.2.2.6加强与相关施工单位及业主方的协调联系，保证工程顺利进行。</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4.2.2.7开工前根据工程项目的具体情况尽可能考虑各种因素的影响，制定本项目的施工计划。</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4.2.3质量要求：</w:t>
      </w:r>
    </w:p>
    <w:p>
      <w:pPr>
        <w:bidi w:val="0"/>
        <w:spacing w:line="360" w:lineRule="auto"/>
        <w:ind w:firstLine="840" w:firstLineChars="400"/>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4.2.3.1、按照防护标准的质量要求施工。</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4.2.4HSE要求：</w:t>
      </w:r>
    </w:p>
    <w:p>
      <w:pPr>
        <w:bidi w:val="0"/>
        <w:spacing w:line="360" w:lineRule="auto"/>
        <w:ind w:firstLine="840" w:firstLineChars="4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4.2.4.1、制定HSE管理计划大纲，投标时提供项目HSE概况。近三年无相关HSE事故。</w:t>
      </w:r>
    </w:p>
    <w:p>
      <w:pPr>
        <w:bidi w:val="0"/>
        <w:spacing w:line="360" w:lineRule="auto"/>
        <w:ind w:left="0" w:leftChars="0" w:firstLine="0" w:firstLineChars="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sz w:val="21"/>
          <w:szCs w:val="21"/>
          <w:highlight w:val="none"/>
          <w:lang w:val="en-US" w:eastAsia="zh-CN"/>
        </w:rPr>
        <w:t>4.</w:t>
      </w:r>
      <w:r>
        <w:rPr>
          <w:rFonts w:hint="eastAsia" w:ascii="微软雅黑" w:hAnsi="微软雅黑" w:eastAsia="微软雅黑" w:cs="微软雅黑"/>
          <w:b w:val="0"/>
          <w:bCs/>
          <w:spacing w:val="0"/>
          <w:kern w:val="0"/>
          <w:sz w:val="24"/>
          <w:szCs w:val="24"/>
          <w:lang w:val="en-US" w:eastAsia="zh-CN" w:bidi="ar-SA"/>
        </w:rPr>
        <w:t>3、工作界面要求：</w:t>
      </w:r>
    </w:p>
    <w:p>
      <w:pPr>
        <w:bidi w:val="0"/>
        <w:spacing w:line="360" w:lineRule="auto"/>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4.3.1、防护专业所用到的施工机具，由甲方提供。施工所需涂料由甲方提供。</w:t>
      </w:r>
    </w:p>
    <w:p>
      <w:pPr>
        <w:pStyle w:val="26"/>
        <w:spacing w:before="120" w:after="120"/>
        <w:ind w:firstLine="420" w:firstLineChars="200"/>
        <w:outlineLvl w:val="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4.3.2、由于局部区域腐蚀严重、空间狭小、有部分结构及管线、设备夹缝、等施工盲区。人工打磨除锈不彻底无法满足要求。乙方必须使用专业方案处理（如高压水除锈等），并同步提交专业施工方案，</w:t>
      </w:r>
      <w:r>
        <w:rPr>
          <w:rFonts w:hint="eastAsia" w:ascii="微软雅黑" w:hAnsi="微软雅黑" w:eastAsia="微软雅黑"/>
          <w:sz w:val="21"/>
          <w:szCs w:val="21"/>
        </w:rPr>
        <w:t>并承诺</w:t>
      </w:r>
      <w:r>
        <w:rPr>
          <w:rFonts w:hint="eastAsia" w:ascii="微软雅黑" w:hAnsi="微软雅黑" w:eastAsia="微软雅黑"/>
          <w:sz w:val="21"/>
          <w:szCs w:val="21"/>
          <w:lang w:val="en-US" w:eastAsia="zh-CN"/>
        </w:rPr>
        <w:t>方案</w:t>
      </w:r>
      <w:r>
        <w:rPr>
          <w:rFonts w:hint="eastAsia" w:ascii="微软雅黑" w:hAnsi="微软雅黑" w:eastAsia="微软雅黑"/>
          <w:sz w:val="21"/>
          <w:szCs w:val="21"/>
        </w:rPr>
        <w:t>符合招标方验收标准</w:t>
      </w:r>
      <w:r>
        <w:rPr>
          <w:rFonts w:hint="eastAsia" w:ascii="微软雅黑" w:hAnsi="微软雅黑" w:eastAsia="微软雅黑"/>
          <w:sz w:val="21"/>
          <w:szCs w:val="21"/>
          <w:lang w:eastAsia="zh-CN"/>
        </w:rPr>
        <w:t>。</w:t>
      </w:r>
    </w:p>
    <w:p>
      <w:pPr>
        <w:bidi w:val="0"/>
        <w:spacing w:line="360" w:lineRule="auto"/>
        <w:ind w:left="0" w:leftChars="0" w:firstLine="420" w:firstLineChars="200"/>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4.3.3、防腐专业所用到的耗材如（喷砂磨料、磨片，喷砂用的砂子等）均由乙方提供。喷砂磨料（石英砂）符合施工环境的环保要求。无颜色污染、颗粒均匀、无杂质、干湿度达标。喷砂作业完成后乙方负责废弃喷砂磨料清理、收集、回收工作。</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4.3.4、在机械喷砂和油漆喷涂施工时，用于对周围设施保护的耗材如（帆布、塑料布、胶带，无纺布等）均由乙方提供。</w:t>
      </w:r>
    </w:p>
    <w:p>
      <w:pPr>
        <w:bidi w:val="0"/>
        <w:spacing w:line="360" w:lineRule="auto"/>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4.3.5、施工单位必须为所有施工人员提供符合国家相关标准要求的个人劳保防护用品（PPE）（安全帽、工作服、劳保鞋、防护眼镜、防护面罩、口罩、安全带）等,并提供有效的合格证书。</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4.4、保密要求：</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4.4.1、本项目中涉及的合同商务文件、图纸资料、设计方案、施工过程文件等，未经甲方书面允许，乙方不可披露、使用、转让、复制或允许第三方使用上述信息或者资料。</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4.5、培训要求：</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4.5.1、乙方应根据该项目向其操作人员提供相应培训服务，其相关费用已经包含在项目总价内。</w:t>
      </w:r>
    </w:p>
    <w:p>
      <w:pPr>
        <w:bidi w:val="0"/>
        <w:spacing w:line="360" w:lineRule="auto"/>
        <w:ind w:left="0" w:leftChars="0" w:firstLine="0" w:firstLineChars="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五、配备资源要求</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5.1、机具要求</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机具由甲方负责提供。</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5.2、材料要求</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乙方工作所需要的耗材，数量保证满足项目正常服务要求（不含涂料和大宗量施工材料）。</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每8人队伍配置耗材清单如下（如果低于或者超过8人的应按照相关比例折算）：</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5"/>
        <w:gridCol w:w="1918"/>
        <w:gridCol w:w="2879"/>
        <w:gridCol w:w="815"/>
        <w:gridCol w:w="827"/>
        <w:gridCol w:w="12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序号</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设备名称</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设备型号</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单位</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数量</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防护眼镜</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盒</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警示带</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卷</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10</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毛刷</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20</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劳保服</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件</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8</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活性炭口罩</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盒</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百页轮砂轮片</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4寸，加厚型</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片</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600</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7</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铁丝</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14#</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KG</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40</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8</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除锈钢丝轮</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10</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9</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美纹纸</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卷</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50</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10</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抹布</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包</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11</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油漆滚筒</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个</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200</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12</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油漆刷</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把</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300</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1" w:hRule="atLeast"/>
        </w:trPr>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13</w:t>
            </w:r>
          </w:p>
        </w:tc>
        <w:tc>
          <w:tcPr>
            <w:tcW w:w="11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喷砂服</w:t>
            </w:r>
          </w:p>
        </w:tc>
        <w:tc>
          <w:tcPr>
            <w:tcW w:w="1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w:t>
            </w:r>
          </w:p>
        </w:tc>
        <w:tc>
          <w:tcPr>
            <w:tcW w:w="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件</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8</w:t>
            </w:r>
          </w:p>
        </w:tc>
        <w:tc>
          <w:tcPr>
            <w:tcW w:w="7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ascii="微软雅黑" w:hAnsi="微软雅黑" w:eastAsia="微软雅黑" w:cs="微软雅黑"/>
                <w:sz w:val="21"/>
                <w:szCs w:val="21"/>
                <w:highlight w:val="none"/>
                <w:lang w:val="en-US" w:eastAsia="zh-CN"/>
              </w:rPr>
            </w:pPr>
          </w:p>
        </w:tc>
      </w:tr>
    </w:tbl>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5.3、人员要求</w:t>
      </w:r>
    </w:p>
    <w:p>
      <w:pPr>
        <w:pStyle w:val="7"/>
        <w:spacing w:line="257" w:lineRule="auto"/>
        <w:ind w:left="220" w:right="122" w:firstLine="420"/>
        <w:rPr>
          <w:rFonts w:hint="eastAsia" w:ascii="微软雅黑" w:hAnsi="微软雅黑" w:eastAsia="微软雅黑" w:cs="微软雅黑"/>
          <w:kern w:val="0"/>
          <w:sz w:val="21"/>
          <w:szCs w:val="21"/>
          <w:highlight w:val="none"/>
          <w:lang w:val="en-US" w:eastAsia="zh-CN" w:bidi="ar-SA"/>
        </w:rPr>
      </w:pPr>
      <w:r>
        <w:rPr>
          <w:rFonts w:hint="eastAsia" w:ascii="微软雅黑" w:hAnsi="微软雅黑" w:eastAsia="微软雅黑" w:cs="微软雅黑"/>
          <w:kern w:val="0"/>
          <w:sz w:val="21"/>
          <w:szCs w:val="21"/>
          <w:highlight w:val="none"/>
          <w:lang w:val="en-US" w:eastAsia="zh-CN" w:bidi="ar-SA"/>
        </w:rPr>
        <w:t>根据专业服务内容配置相关工作所需要工种人员。施工服务人员需要对腐蚀防护有丰富的工作经验，需要承诺提供腐蚀防护专业技术报告并承诺符合甲方验收标准。</w:t>
      </w:r>
    </w:p>
    <w:p>
      <w:pPr>
        <w:pStyle w:val="7"/>
        <w:spacing w:line="257" w:lineRule="auto"/>
        <w:ind w:right="122"/>
        <w:rPr>
          <w:rFonts w:hint="eastAsia" w:ascii="微软雅黑" w:hAnsi="微软雅黑" w:eastAsia="微软雅黑" w:cs="微软雅黑"/>
          <w:b w:val="0"/>
          <w:bCs w:val="0"/>
          <w:kern w:val="0"/>
          <w:sz w:val="21"/>
          <w:szCs w:val="21"/>
          <w:highlight w:val="none"/>
          <w:lang w:val="en-US" w:eastAsia="zh-CN" w:bidi="ar-SA"/>
        </w:rPr>
      </w:pPr>
      <w:r>
        <w:rPr>
          <w:rFonts w:hint="eastAsia" w:ascii="微软雅黑" w:hAnsi="微软雅黑" w:eastAsia="微软雅黑"/>
          <w:sz w:val="32"/>
          <w:szCs w:val="32"/>
          <w:lang w:eastAsia="zh-CN"/>
        </w:rPr>
        <w:t>★</w:t>
      </w:r>
      <w:r>
        <w:rPr>
          <w:rFonts w:hint="eastAsia" w:ascii="微软雅黑" w:hAnsi="微软雅黑" w:eastAsia="微软雅黑" w:cs="微软雅黑"/>
          <w:kern w:val="0"/>
          <w:sz w:val="21"/>
          <w:szCs w:val="21"/>
          <w:highlight w:val="none"/>
          <w:lang w:val="en-US" w:eastAsia="zh-CN" w:bidi="ar-SA"/>
        </w:rPr>
        <w:t>5</w:t>
      </w:r>
      <w:r>
        <w:rPr>
          <w:rFonts w:hint="eastAsia" w:ascii="微软雅黑" w:hAnsi="微软雅黑" w:eastAsia="微软雅黑" w:cs="微软雅黑"/>
          <w:b w:val="0"/>
          <w:bCs w:val="0"/>
          <w:kern w:val="0"/>
          <w:sz w:val="21"/>
          <w:szCs w:val="21"/>
          <w:highlight w:val="none"/>
          <w:lang w:val="en-US" w:eastAsia="zh-CN" w:bidi="ar-SA"/>
        </w:rPr>
        <w:t>.3.1（领队要求）：</w:t>
      </w:r>
    </w:p>
    <w:p>
      <w:pPr>
        <w:pStyle w:val="7"/>
        <w:spacing w:line="257" w:lineRule="auto"/>
        <w:ind w:left="220" w:right="122" w:firstLine="420"/>
        <w:rPr>
          <w:rFonts w:hint="default" w:ascii="微软雅黑" w:hAnsi="微软雅黑" w:eastAsia="微软雅黑" w:cs="微软雅黑"/>
          <w:kern w:val="0"/>
          <w:sz w:val="21"/>
          <w:szCs w:val="21"/>
          <w:highlight w:val="none"/>
          <w:lang w:val="en-US" w:eastAsia="zh-CN" w:bidi="ar-SA"/>
        </w:rPr>
      </w:pPr>
      <w:r>
        <w:rPr>
          <w:rFonts w:hint="eastAsia" w:ascii="微软雅黑" w:hAnsi="微软雅黑" w:eastAsia="微软雅黑" w:cs="微软雅黑"/>
          <w:kern w:val="0"/>
          <w:sz w:val="21"/>
          <w:szCs w:val="21"/>
          <w:highlight w:val="none"/>
          <w:lang w:val="en-US" w:eastAsia="zh-CN" w:bidi="ar-SA"/>
        </w:rPr>
        <w:t>1）投标时乙方需提供</w:t>
      </w:r>
      <w:r>
        <w:rPr>
          <w:rFonts w:hint="eastAsia" w:ascii="微软雅黑" w:hAnsi="微软雅黑" w:eastAsia="微软雅黑" w:cs="微软雅黑"/>
          <w:b w:val="0"/>
          <w:bCs w:val="0"/>
          <w:kern w:val="0"/>
          <w:sz w:val="21"/>
          <w:szCs w:val="21"/>
          <w:highlight w:val="none"/>
          <w:lang w:val="en-US" w:eastAsia="zh-CN" w:bidi="ar-SA"/>
        </w:rPr>
        <w:t>至少3名领队，领队具有1年及以上现场施工服务领队经历（投标时提供简历，须体现1年及以上现场施工服务领队经历），在本项目中负责现场施工的管理、现场安全管理、设备物料管理与申报、负责好作业点的人员协调、倒班安排等工作。</w:t>
      </w:r>
      <w:r>
        <w:rPr>
          <w:rFonts w:hint="eastAsia" w:ascii="微软雅黑" w:hAnsi="微软雅黑" w:eastAsia="微软雅黑" w:cs="微软雅黑"/>
          <w:kern w:val="0"/>
          <w:sz w:val="21"/>
          <w:szCs w:val="21"/>
          <w:highlight w:val="none"/>
          <w:lang w:val="en-US" w:eastAsia="zh-CN" w:bidi="ar-SA"/>
        </w:rPr>
        <w:t>并</w:t>
      </w:r>
      <w:r>
        <w:rPr>
          <w:rFonts w:hint="eastAsia" w:ascii="微软雅黑" w:hAnsi="微软雅黑" w:eastAsia="微软雅黑" w:cs="微软雅黑"/>
          <w:kern w:val="0"/>
          <w:sz w:val="21"/>
          <w:szCs w:val="21"/>
          <w:highlight w:val="none"/>
          <w:lang w:val="en-US" w:eastAsia="en-US" w:bidi="ar-SA"/>
        </w:rPr>
        <w:t>承诺</w:t>
      </w:r>
      <w:r>
        <w:rPr>
          <w:rFonts w:hint="eastAsia" w:ascii="微软雅黑" w:hAnsi="微软雅黑" w:eastAsia="微软雅黑" w:cs="微软雅黑"/>
          <w:kern w:val="0"/>
          <w:sz w:val="21"/>
          <w:szCs w:val="21"/>
          <w:highlight w:val="none"/>
          <w:lang w:val="en-US" w:eastAsia="zh-CN" w:bidi="ar-SA"/>
        </w:rPr>
        <w:t>需在收到中标通知后 30 天内取</w:t>
      </w:r>
      <w:r>
        <w:rPr>
          <w:rFonts w:hint="default" w:ascii="微软雅黑" w:hAnsi="微软雅黑" w:eastAsia="微软雅黑" w:cs="微软雅黑"/>
          <w:kern w:val="0"/>
          <w:sz w:val="21"/>
          <w:szCs w:val="21"/>
          <w:highlight w:val="none"/>
          <w:lang w:val="en-US" w:eastAsia="zh-CN" w:bidi="ar-SA"/>
        </w:rPr>
        <w:t>得领队人员的班组长安全技能提升专项培训合格证。</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720" w:firstLineChars="225"/>
        <w:textAlignment w:val="auto"/>
        <w:rPr>
          <w:rFonts w:hint="eastAsia" w:ascii="微软雅黑" w:hAnsi="微软雅黑" w:eastAsia="微软雅黑" w:cs="微软雅黑"/>
          <w:kern w:val="0"/>
          <w:sz w:val="21"/>
          <w:szCs w:val="21"/>
          <w:highlight w:val="none"/>
          <w:lang w:val="en-US" w:eastAsia="zh-CN" w:bidi="ar-SA"/>
        </w:rPr>
      </w:pPr>
      <w:r>
        <w:rPr>
          <w:rFonts w:hint="eastAsia" w:ascii="微软雅黑" w:hAnsi="微软雅黑" w:eastAsia="微软雅黑" w:cstheme="minorBidi"/>
          <w:kern w:val="0"/>
          <w:sz w:val="32"/>
          <w:szCs w:val="32"/>
          <w:lang w:val="en-US" w:eastAsia="zh-CN" w:bidi="ar-SA"/>
        </w:rPr>
        <w:t>★</w:t>
      </w:r>
      <w:r>
        <w:rPr>
          <w:rFonts w:hint="eastAsia" w:ascii="微软雅黑" w:hAnsi="微软雅黑" w:eastAsia="微软雅黑" w:cs="微软雅黑"/>
          <w:kern w:val="0"/>
          <w:sz w:val="21"/>
          <w:szCs w:val="21"/>
          <w:highlight w:val="none"/>
          <w:lang w:val="en-US" w:eastAsia="zh-CN" w:bidi="ar-SA"/>
        </w:rPr>
        <w:t>5.3.2（安全人员要求）：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718" w:firstLineChars="342"/>
        <w:textAlignment w:val="auto"/>
        <w:rPr>
          <w:rFonts w:hint="eastAsia" w:ascii="微软雅黑" w:hAnsi="微软雅黑" w:eastAsia="微软雅黑" w:cs="微软雅黑"/>
          <w:kern w:val="0"/>
          <w:sz w:val="21"/>
          <w:szCs w:val="21"/>
          <w:highlight w:val="none"/>
          <w:lang w:val="en-US" w:eastAsia="zh-CN" w:bidi="ar-SA"/>
        </w:rPr>
      </w:pPr>
      <w:r>
        <w:rPr>
          <w:rFonts w:hint="eastAsia" w:ascii="微软雅黑" w:hAnsi="微软雅黑" w:eastAsia="微软雅黑" w:cs="微软雅黑"/>
          <w:kern w:val="0"/>
          <w:sz w:val="21"/>
          <w:szCs w:val="21"/>
          <w:highlight w:val="none"/>
          <w:lang w:val="en-US" w:eastAsia="zh-CN" w:bidi="ar-SA"/>
        </w:rPr>
        <w:t>1）投标时乙方需提供专职安全生产管理人员2名。持证要求：安全人员须具备以下任意一种证书：a）由国家或省级住房和城乡建设部（厅）或省级建设委员会颁发的安全生产考核人员合格证书（C证或B证或A证）；b）国家安全生产监督管理总局或应急管理部颁发的安全生产管理人员资格证（或考核合格证）；c）国家安全生产监督管理总局或应急管理部颁发的注册安全工程师执业（或职业）证书或注册安全工程师注册证书（初级及以上）。</w:t>
      </w:r>
    </w:p>
    <w:p>
      <w:pPr>
        <w:pStyle w:val="7"/>
        <w:spacing w:line="257" w:lineRule="auto"/>
        <w:ind w:right="122"/>
        <w:rPr>
          <w:rFonts w:hint="eastAsia" w:ascii="微软雅黑" w:hAnsi="微软雅黑" w:eastAsia="微软雅黑" w:cs="微软雅黑"/>
          <w:kern w:val="0"/>
          <w:sz w:val="21"/>
          <w:szCs w:val="21"/>
          <w:highlight w:val="none"/>
          <w:lang w:val="en-US" w:eastAsia="zh-CN" w:bidi="ar-SA"/>
        </w:rPr>
      </w:pPr>
      <w:r>
        <w:rPr>
          <w:rFonts w:hint="eastAsia" w:ascii="微软雅黑" w:hAnsi="微软雅黑" w:eastAsia="微软雅黑"/>
          <w:sz w:val="32"/>
          <w:szCs w:val="32"/>
          <w:lang w:eastAsia="zh-CN"/>
        </w:rPr>
        <w:t>★</w:t>
      </w:r>
      <w:r>
        <w:rPr>
          <w:rFonts w:hint="eastAsia" w:ascii="微软雅黑" w:hAnsi="微软雅黑" w:eastAsia="微软雅黑" w:cs="微软雅黑"/>
          <w:kern w:val="0"/>
          <w:sz w:val="21"/>
          <w:szCs w:val="21"/>
          <w:highlight w:val="none"/>
          <w:lang w:val="en-US" w:eastAsia="zh-CN" w:bidi="ar-SA"/>
        </w:rPr>
        <w:t>5.3.3（焊工要求）</w:t>
      </w:r>
    </w:p>
    <w:p>
      <w:pPr>
        <w:pStyle w:val="7"/>
        <w:spacing w:line="257" w:lineRule="auto"/>
        <w:ind w:left="220" w:right="122" w:firstLine="420"/>
        <w:rPr>
          <w:rFonts w:hint="eastAsia" w:ascii="微软雅黑" w:hAnsi="微软雅黑" w:eastAsia="微软雅黑" w:cs="微软雅黑"/>
          <w:kern w:val="0"/>
          <w:sz w:val="21"/>
          <w:szCs w:val="21"/>
          <w:highlight w:val="none"/>
          <w:lang w:val="en-US" w:eastAsia="zh-CN" w:bidi="ar-SA"/>
        </w:rPr>
      </w:pPr>
      <w:r>
        <w:rPr>
          <w:rFonts w:hint="eastAsia" w:ascii="微软雅黑" w:hAnsi="微软雅黑" w:eastAsia="微软雅黑" w:cs="微软雅黑"/>
          <w:kern w:val="0"/>
          <w:sz w:val="21"/>
          <w:szCs w:val="21"/>
          <w:highlight w:val="none"/>
          <w:lang w:val="en-US" w:eastAsia="zh-CN" w:bidi="ar-SA"/>
        </w:rPr>
        <w:t>1）投标时乙方需提供至少3名持证焊工，证件要求为：须提供在有效期内的中华人民共和国特种作业操作证原件扫描件，证件作业类别为“焊接与热切割作业”，操作项目为“熔化焊接与热切割作业”。上述证件信息应能在特种作业操作证及安全生产知识和管理能力考核合格信息查询平台（</w:t>
      </w:r>
      <w:r>
        <w:rPr>
          <w:rFonts w:hint="default" w:ascii="微软雅黑" w:hAnsi="微软雅黑" w:eastAsia="微软雅黑" w:cs="微软雅黑"/>
          <w:kern w:val="0"/>
          <w:sz w:val="21"/>
          <w:szCs w:val="21"/>
          <w:highlight w:val="none"/>
          <w:lang w:val="en-US" w:eastAsia="zh-CN" w:bidi="ar-SA"/>
        </w:rPr>
        <w:fldChar w:fldCharType="begin"/>
      </w:r>
      <w:r>
        <w:rPr>
          <w:rFonts w:hint="default" w:ascii="微软雅黑" w:hAnsi="微软雅黑" w:eastAsia="微软雅黑" w:cs="微软雅黑"/>
          <w:kern w:val="0"/>
          <w:sz w:val="21"/>
          <w:szCs w:val="21"/>
          <w:highlight w:val="none"/>
          <w:lang w:val="en-US" w:eastAsia="zh-CN" w:bidi="ar-SA"/>
        </w:rPr>
        <w:instrText xml:space="preserve"> HYPERLINK "https://cx.mem.gov.cn/special?index=0" \t "https://chat.deepseek.com/a/chat/s/_blank" </w:instrText>
      </w:r>
      <w:r>
        <w:rPr>
          <w:rFonts w:hint="default" w:ascii="微软雅黑" w:hAnsi="微软雅黑" w:eastAsia="微软雅黑" w:cs="微软雅黑"/>
          <w:kern w:val="0"/>
          <w:sz w:val="21"/>
          <w:szCs w:val="21"/>
          <w:highlight w:val="none"/>
          <w:lang w:val="en-US" w:eastAsia="zh-CN" w:bidi="ar-SA"/>
        </w:rPr>
        <w:fldChar w:fldCharType="separate"/>
      </w:r>
      <w:r>
        <w:rPr>
          <w:rFonts w:hint="default" w:ascii="微软雅黑" w:hAnsi="微软雅黑" w:eastAsia="微软雅黑" w:cs="微软雅黑"/>
          <w:kern w:val="0"/>
          <w:sz w:val="21"/>
          <w:szCs w:val="21"/>
          <w:highlight w:val="none"/>
          <w:lang w:val="en-US" w:eastAsia="zh-CN" w:bidi="ar-SA"/>
        </w:rPr>
        <w:t>https</w:t>
      </w:r>
      <w:r>
        <w:rPr>
          <w:rFonts w:hint="eastAsia" w:ascii="微软雅黑" w:hAnsi="微软雅黑" w:eastAsia="微软雅黑" w:cs="微软雅黑"/>
          <w:kern w:val="0"/>
          <w:sz w:val="21"/>
          <w:szCs w:val="21"/>
          <w:highlight w:val="none"/>
          <w:lang w:val="en-US" w:eastAsia="zh-CN" w:bidi="ar-SA"/>
        </w:rPr>
        <w:t>:</w:t>
      </w:r>
      <w:r>
        <w:rPr>
          <w:rFonts w:hint="default" w:ascii="微软雅黑" w:hAnsi="微软雅黑" w:eastAsia="微软雅黑" w:cs="微软雅黑"/>
          <w:kern w:val="0"/>
          <w:sz w:val="21"/>
          <w:szCs w:val="21"/>
          <w:highlight w:val="none"/>
          <w:lang w:val="en-US" w:eastAsia="zh-CN" w:bidi="ar-SA"/>
        </w:rPr>
        <w:t>//cx.mem.gov.cn/special?index=0</w:t>
      </w:r>
      <w:r>
        <w:rPr>
          <w:rFonts w:hint="default" w:ascii="微软雅黑" w:hAnsi="微软雅黑" w:eastAsia="微软雅黑" w:cs="微软雅黑"/>
          <w:kern w:val="0"/>
          <w:sz w:val="21"/>
          <w:szCs w:val="21"/>
          <w:highlight w:val="none"/>
          <w:lang w:val="en-US" w:eastAsia="zh-CN" w:bidi="ar-SA"/>
        </w:rPr>
        <w:fldChar w:fldCharType="end"/>
      </w:r>
      <w:r>
        <w:rPr>
          <w:rFonts w:hint="default" w:ascii="微软雅黑" w:hAnsi="微软雅黑" w:eastAsia="微软雅黑" w:cs="微软雅黑"/>
          <w:kern w:val="0"/>
          <w:sz w:val="21"/>
          <w:szCs w:val="21"/>
          <w:highlight w:val="none"/>
          <w:lang w:val="en-US" w:eastAsia="zh-CN" w:bidi="ar-SA"/>
        </w:rPr>
        <w:t>）中查询核实；如证件需通过其他政府官方机构网站查询，</w:t>
      </w:r>
      <w:r>
        <w:rPr>
          <w:rFonts w:hint="eastAsia" w:ascii="微软雅黑" w:hAnsi="微软雅黑" w:eastAsia="微软雅黑" w:cs="微软雅黑"/>
          <w:kern w:val="0"/>
          <w:sz w:val="21"/>
          <w:szCs w:val="21"/>
          <w:highlight w:val="none"/>
          <w:lang w:val="en-US" w:eastAsia="zh-CN" w:bidi="ar-SA"/>
        </w:rPr>
        <w:t>乙方</w:t>
      </w:r>
      <w:r>
        <w:rPr>
          <w:rFonts w:hint="default" w:ascii="微软雅黑" w:hAnsi="微软雅黑" w:eastAsia="微软雅黑" w:cs="微软雅黑"/>
          <w:kern w:val="0"/>
          <w:sz w:val="21"/>
          <w:szCs w:val="21"/>
          <w:highlight w:val="none"/>
          <w:lang w:val="en-US" w:eastAsia="zh-CN" w:bidi="ar-SA"/>
        </w:rPr>
        <w:t>须在投标时一并提供有效查询网址。</w:t>
      </w:r>
    </w:p>
    <w:p>
      <w:pPr>
        <w:pStyle w:val="7"/>
        <w:spacing w:line="257" w:lineRule="auto"/>
        <w:ind w:left="220" w:right="122" w:firstLine="420"/>
        <w:rPr>
          <w:rFonts w:hint="eastAsia" w:ascii="微软雅黑" w:hAnsi="微软雅黑" w:eastAsia="微软雅黑" w:cs="微软雅黑"/>
          <w:kern w:val="0"/>
          <w:sz w:val="21"/>
          <w:szCs w:val="21"/>
          <w:highlight w:val="none"/>
          <w:lang w:val="en-US" w:eastAsia="zh-CN" w:bidi="ar-SA"/>
        </w:rPr>
      </w:pPr>
      <w:r>
        <w:rPr>
          <w:rFonts w:hint="eastAsia" w:ascii="微软雅黑" w:hAnsi="微软雅黑" w:eastAsia="微软雅黑"/>
          <w:sz w:val="32"/>
          <w:szCs w:val="32"/>
          <w:lang w:eastAsia="zh-CN"/>
        </w:rPr>
        <w:t>★</w:t>
      </w:r>
      <w:r>
        <w:rPr>
          <w:rFonts w:hint="eastAsia" w:ascii="微软雅黑" w:hAnsi="微软雅黑" w:eastAsia="微软雅黑" w:cs="微软雅黑"/>
          <w:kern w:val="0"/>
          <w:sz w:val="21"/>
          <w:szCs w:val="21"/>
          <w:highlight w:val="none"/>
          <w:lang w:val="en-US" w:eastAsia="zh-CN" w:bidi="ar-SA"/>
        </w:rPr>
        <w:t>5.3.4领队、安全人员、焊工不得互相兼任，投标时须提供以上所有人员投标前半年的的社保缴费证明，社保缴费证明必须由社保部门开具的或从社保网站打印的证明（证明中参保单位名称须与乙方单位名称一致），参保单位为乙方分公司的，视同为参保单位名称与乙方单位名称一致。</w:t>
      </w:r>
    </w:p>
    <w:p>
      <w:pPr>
        <w:bidi w:val="0"/>
        <w:spacing w:line="360" w:lineRule="auto"/>
        <w:ind w:left="0" w:leftChars="0" w:firstLine="0" w:firstLineChars="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六、服务进度跟踪</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乙方应据总工期进行进度计划进行后续作业安排和工期的控制，并在甲方要求工期内准备好人员、材料等提供技术支持。须服从甲方的床位管理制度安排，如：甲方其他紧急作业、台风、床位管理协调等情况。（以上所述因素引起的其他费用均由乙方承担）</w:t>
      </w:r>
    </w:p>
    <w:p>
      <w:pPr>
        <w:pStyle w:val="7"/>
        <w:spacing w:line="257" w:lineRule="auto"/>
        <w:ind w:firstLine="420"/>
        <w:rPr>
          <w:rFonts w:hint="eastAsia" w:ascii="微软雅黑" w:hAnsi="微软雅黑" w:eastAsia="微软雅黑" w:cs="微软雅黑"/>
          <w:sz w:val="21"/>
          <w:szCs w:val="21"/>
          <w:highlight w:val="none"/>
          <w:lang w:val="en-US" w:eastAsia="zh-CN"/>
        </w:rPr>
      </w:pPr>
      <w:r>
        <w:rPr>
          <w:rFonts w:hint="eastAsia" w:ascii="微软雅黑" w:hAnsi="微软雅黑" w:eastAsia="微软雅黑"/>
          <w:lang w:eastAsia="zh-CN"/>
        </w:rPr>
        <w:t>随时满足</w:t>
      </w:r>
      <w:r>
        <w:rPr>
          <w:rFonts w:hint="eastAsia" w:ascii="微软雅黑" w:hAnsi="微软雅黑" w:eastAsia="微软雅黑"/>
          <w:lang w:val="en-US" w:eastAsia="zh-CN"/>
        </w:rPr>
        <w:t>甲方</w:t>
      </w:r>
      <w:r>
        <w:rPr>
          <w:rFonts w:ascii="微软雅黑" w:hAnsi="微软雅黑" w:eastAsia="微软雅黑"/>
          <w:lang w:eastAsia="zh-CN"/>
        </w:rPr>
        <w:t>要求，</w:t>
      </w:r>
      <w:r>
        <w:rPr>
          <w:rFonts w:hint="eastAsia" w:ascii="微软雅黑" w:hAnsi="微软雅黑" w:eastAsia="微软雅黑"/>
          <w:lang w:eastAsia="zh-CN"/>
        </w:rPr>
        <w:t>需提前准备</w:t>
      </w:r>
      <w:r>
        <w:rPr>
          <w:rFonts w:hint="eastAsia" w:ascii="微软雅黑" w:hAnsi="微软雅黑" w:eastAsia="微软雅黑"/>
          <w:lang w:val="en-US" w:eastAsia="zh-CN"/>
        </w:rPr>
        <w:t>服务</w:t>
      </w:r>
      <w:r>
        <w:rPr>
          <w:rFonts w:hint="eastAsia" w:ascii="微软雅黑" w:hAnsi="微软雅黑" w:eastAsia="微软雅黑"/>
          <w:lang w:eastAsia="zh-CN"/>
        </w:rPr>
        <w:t>人员证件更新及相关</w:t>
      </w:r>
      <w:r>
        <w:rPr>
          <w:rFonts w:hint="eastAsia" w:ascii="微软雅黑" w:hAnsi="微软雅黑" w:eastAsia="微软雅黑"/>
          <w:lang w:val="en-US" w:eastAsia="zh-CN"/>
        </w:rPr>
        <w:t>劳保、设备</w:t>
      </w:r>
      <w:r>
        <w:rPr>
          <w:rFonts w:hint="eastAsia" w:ascii="微软雅黑" w:hAnsi="微软雅黑" w:eastAsia="微软雅黑"/>
          <w:lang w:eastAsia="zh-CN"/>
        </w:rPr>
        <w:t>校验维护工作，自</w:t>
      </w:r>
      <w:r>
        <w:rPr>
          <w:rFonts w:hint="eastAsia" w:ascii="微软雅黑" w:hAnsi="微软雅黑" w:eastAsia="微软雅黑"/>
          <w:lang w:val="en-US" w:eastAsia="zh-CN"/>
        </w:rPr>
        <w:t>甲方</w:t>
      </w:r>
      <w:r>
        <w:rPr>
          <w:rFonts w:ascii="微软雅黑" w:hAnsi="微软雅黑" w:eastAsia="微软雅黑"/>
          <w:lang w:eastAsia="zh-CN"/>
        </w:rPr>
        <w:t>提出要求</w:t>
      </w:r>
      <w:r>
        <w:rPr>
          <w:rFonts w:hint="eastAsia" w:ascii="微软雅黑" w:hAnsi="微软雅黑" w:eastAsia="微软雅黑"/>
          <w:lang w:eastAsia="zh-CN"/>
        </w:rPr>
        <w:t>后3天</w:t>
      </w:r>
      <w:r>
        <w:rPr>
          <w:rFonts w:ascii="微软雅黑" w:hAnsi="微软雅黑" w:eastAsia="微软雅黑"/>
          <w:lang w:eastAsia="zh-CN"/>
        </w:rPr>
        <w:t>内</w:t>
      </w:r>
      <w:r>
        <w:rPr>
          <w:rFonts w:hint="eastAsia" w:ascii="微软雅黑" w:hAnsi="微软雅黑" w:eastAsia="微软雅黑"/>
          <w:lang w:eastAsia="zh-CN"/>
        </w:rPr>
        <w:t>准备好相关符合条件服务人员。</w:t>
      </w:r>
    </w:p>
    <w:p>
      <w:pPr>
        <w:pStyle w:val="6"/>
        <w:rPr>
          <w:rFonts w:hint="eastAsia" w:ascii="微软雅黑" w:hAnsi="微软雅黑" w:eastAsia="微软雅黑" w:cs="微软雅黑"/>
          <w:sz w:val="21"/>
          <w:szCs w:val="21"/>
          <w:highlight w:val="none"/>
          <w:lang w:val="en-US" w:eastAsia="zh-CN"/>
        </w:rPr>
      </w:pPr>
      <w:r>
        <w:rPr>
          <w:rFonts w:hint="eastAsia" w:ascii="微软雅黑" w:hAnsi="微软雅黑" w:eastAsia="微软雅黑"/>
          <w:sz w:val="32"/>
          <w:szCs w:val="32"/>
          <w:lang w:eastAsia="zh-CN"/>
        </w:rPr>
        <w:t>★</w:t>
      </w:r>
      <w:r>
        <w:rPr>
          <w:rFonts w:hint="eastAsia" w:ascii="微软雅黑" w:hAnsi="微软雅黑" w:eastAsia="微软雅黑" w:cs="微软雅黑"/>
          <w:sz w:val="21"/>
          <w:szCs w:val="21"/>
          <w:highlight w:val="none"/>
          <w:lang w:val="en-US" w:eastAsia="zh-CN"/>
        </w:rPr>
        <w:t>合同签订之日起</w:t>
      </w:r>
      <w:r>
        <w:rPr>
          <w:rFonts w:hint="eastAsia" w:ascii="微软雅黑" w:hAnsi="微软雅黑" w:eastAsia="微软雅黑" w:cs="微软雅黑"/>
          <w:sz w:val="21"/>
          <w:szCs w:val="21"/>
          <w:highlight w:val="none"/>
          <w:lang w:val="en-US" w:eastAsia="zh-CN"/>
        </w:rPr>
        <w:t>在授标后成立专项服务工作组，并定期向甲方进行汇报服务工作进度及后续工期计划，每周向各设施所在作业区责任人汇报该设施的技术服务进度及后续工作计划（汇报形式包括但不限于日报、月报、邮件联系或会议，汇报形式及要求根据项目实际实行情况为准</w:t>
      </w:r>
      <w:bookmarkStart w:id="9" w:name="_GoBack"/>
      <w:bookmarkEnd w:id="9"/>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），直到服务单设施完工验收。</w:t>
      </w:r>
      <w:r>
        <w:rPr>
          <w:rFonts w:hint="eastAsia" w:ascii="微软雅黑" w:hAnsi="微软雅黑" w:eastAsia="微软雅黑" w:cs="微软雅黑"/>
          <w:kern w:val="0"/>
          <w:sz w:val="21"/>
          <w:szCs w:val="21"/>
          <w:highlight w:val="none"/>
          <w:lang w:val="en-US" w:eastAsia="zh-CN" w:bidi="ar-SA"/>
        </w:rPr>
        <w:t>如无法满足，甲方</w:t>
      </w:r>
      <w:r>
        <w:rPr>
          <w:rFonts w:hint="default" w:ascii="微软雅黑" w:hAnsi="微软雅黑" w:eastAsia="微软雅黑" w:cs="微软雅黑"/>
          <w:kern w:val="0"/>
          <w:sz w:val="21"/>
          <w:szCs w:val="21"/>
          <w:highlight w:val="none"/>
          <w:lang w:val="en-US" w:eastAsia="zh-CN" w:bidi="ar-SA"/>
        </w:rPr>
        <w:t>有权终止合同，投标需根据合同规定支付违约金并按照《供应商风险情形和处理标准》进行处理。</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甲方下达人员动员通知后，乙方应在3天内组织安排人员抵达施工现场。如不能及时安排人员抵达现场，将按违约处理，详见违约责任要求；如有多次违约，甲方有权取消合同，并追究其责任。</w:t>
      </w:r>
    </w:p>
    <w:p>
      <w:pPr>
        <w:bidi w:val="0"/>
        <w:spacing w:line="360" w:lineRule="auto"/>
        <w:ind w:left="0" w:leftChars="0" w:firstLine="0" w:firstLineChars="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七、服务及验收标准</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7.1、验收形式：</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验收形式为组织甲方或者监理方现场验收。根据订单内容确定一次性验收或者分阶段验收。根据施工现场的实际情况确定验收时间节点以及验收地点。</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7.2、验收标准：</w:t>
      </w:r>
    </w:p>
    <w:p>
      <w:pPr>
        <w:bidi w:val="0"/>
        <w:spacing w:line="360" w:lineRule="auto"/>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按照防腐涂装技术标准的分步步骤验收标准进行验收，见本文4.1部分</w:t>
      </w:r>
    </w:p>
    <w:p>
      <w:pPr>
        <w:pStyle w:val="3"/>
        <w:bidi w:val="0"/>
        <w:ind w:firstLine="480" w:firstLineChars="20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完工资料：</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提供完整的施工相关记录，检验记录、甲方要求的完整的完工报告。</w:t>
      </w:r>
    </w:p>
    <w:p>
      <w:pPr>
        <w:bidi w:val="0"/>
        <w:spacing w:line="360" w:lineRule="auto"/>
        <w:ind w:left="0" w:leftChars="0" w:firstLine="0" w:firstLineChars="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八、质量保证</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乙方须承诺中标后将完全按照甲方的要求提供履约担保，履约担保的形式：履约保证金。</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履约担保的金额：</w:t>
      </w:r>
      <w:r>
        <w:rPr>
          <w:rFonts w:hint="eastAsia" w:ascii="微软雅黑" w:hAnsi="微软雅黑" w:eastAsia="微软雅黑" w:cs="微软雅黑"/>
          <w:sz w:val="21"/>
          <w:szCs w:val="21"/>
          <w:highlight w:val="none"/>
          <w:lang w:val="en-US" w:eastAsia="en-US"/>
        </w:rPr>
        <w:t>承诺中标后提供</w:t>
      </w:r>
      <w:r>
        <w:rPr>
          <w:rFonts w:hint="eastAsia" w:ascii="微软雅黑" w:hAnsi="微软雅黑" w:eastAsia="微软雅黑" w:cs="微软雅黑"/>
          <w:sz w:val="21"/>
          <w:szCs w:val="21"/>
          <w:highlight w:val="none"/>
          <w:lang w:val="en-US" w:eastAsia="zh-CN"/>
        </w:rPr>
        <w:t>20</w:t>
      </w:r>
      <w:r>
        <w:rPr>
          <w:rFonts w:hint="eastAsia" w:ascii="微软雅黑" w:hAnsi="微软雅黑" w:eastAsia="微软雅黑" w:cs="微软雅黑"/>
          <w:sz w:val="21"/>
          <w:szCs w:val="21"/>
          <w:highlight w:val="none"/>
          <w:lang w:val="en-US" w:eastAsia="en-US"/>
        </w:rPr>
        <w:t>万做为履约保证金，并在合同签署前1个星期内汇至</w:t>
      </w:r>
      <w:r>
        <w:rPr>
          <w:rFonts w:hint="eastAsia" w:ascii="微软雅黑" w:hAnsi="微软雅黑" w:eastAsia="微软雅黑" w:cs="微软雅黑"/>
          <w:sz w:val="21"/>
          <w:szCs w:val="21"/>
          <w:highlight w:val="none"/>
          <w:lang w:val="en-US" w:eastAsia="zh-CN"/>
        </w:rPr>
        <w:t>甲方</w:t>
      </w:r>
      <w:r>
        <w:rPr>
          <w:rFonts w:hint="eastAsia" w:ascii="微软雅黑" w:hAnsi="微软雅黑" w:eastAsia="微软雅黑" w:cs="微软雅黑"/>
          <w:sz w:val="21"/>
          <w:szCs w:val="21"/>
          <w:highlight w:val="none"/>
          <w:lang w:val="en-US" w:eastAsia="en-US"/>
        </w:rPr>
        <w:t>公司账户，合同履行完毕后，未出现质量问题2个月后退回</w:t>
      </w:r>
      <w:r>
        <w:rPr>
          <w:rFonts w:hint="eastAsia" w:ascii="微软雅黑" w:hAnsi="微软雅黑" w:eastAsia="微软雅黑" w:cs="微软雅黑"/>
          <w:sz w:val="21"/>
          <w:szCs w:val="21"/>
          <w:highlight w:val="none"/>
          <w:lang w:val="en-US" w:eastAsia="zh-CN"/>
        </w:rPr>
        <w:t>乙方</w:t>
      </w:r>
      <w:r>
        <w:rPr>
          <w:rFonts w:hint="eastAsia" w:ascii="微软雅黑" w:hAnsi="微软雅黑" w:eastAsia="微软雅黑" w:cs="微软雅黑"/>
          <w:sz w:val="21"/>
          <w:szCs w:val="21"/>
          <w:highlight w:val="none"/>
          <w:lang w:val="en-US" w:eastAsia="en-US"/>
        </w:rPr>
        <w:t>。由于</w:t>
      </w:r>
      <w:r>
        <w:rPr>
          <w:rFonts w:hint="eastAsia" w:ascii="微软雅黑" w:hAnsi="微软雅黑" w:eastAsia="微软雅黑" w:cs="微软雅黑"/>
          <w:sz w:val="21"/>
          <w:szCs w:val="21"/>
          <w:highlight w:val="none"/>
          <w:lang w:val="en-US" w:eastAsia="zh-CN"/>
        </w:rPr>
        <w:t>乙方</w:t>
      </w:r>
      <w:r>
        <w:rPr>
          <w:rFonts w:hint="eastAsia" w:ascii="微软雅黑" w:hAnsi="微软雅黑" w:eastAsia="微软雅黑" w:cs="微软雅黑"/>
          <w:sz w:val="21"/>
          <w:szCs w:val="21"/>
          <w:highlight w:val="none"/>
          <w:lang w:val="en-US" w:eastAsia="en-US"/>
        </w:rPr>
        <w:t>履约问题，导致履约保证金扣款比例超80%，项目合同自动终止。</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8.1、质量问题内甲、乙方各自具体责任：</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1、质保期时间、质保金要求；</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质保时间为相关服务委托书施工验收合格后一年。特殊要求的质保时间将根据甲方的要求执行。无质保金要求。</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2、质保期内甲乙方各自具体责任；</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如因乙方工作成果存在缺陷或违反质保承诺，乙方应承担质保责任，采取修复措施或重新提供相关工作，直至消除该等缺陷。</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如乙方施工出现质量问题，甲方应及时通知乙方，并在甲方要求的合理时间内进行修复或重新提供相关工作。如乙方人员未能按时实施整改工作，甲方有权委托第三方执行该等工作，因此发生的费用，全部由中标方承担。</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3、质保期内出现问题处理方案；</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由施工引起的质量问题，由乙方负责提供设备、机具、人员及材料，对质量失效部位进行返工及修复。</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4、违约责任要求；</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（1）如果乙方不按合同规定的技术要求履行，乙方应负责返工至符合同规定的技术要求，项目完工日期以乙方返工重做至符合同规定的技术要求之日为准。</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（2）乙方施工出现质量问题，需要在合理时间内进行修复或重新提供相关工作。如乙方人员未能按时实施整改工作，甲方有权委托第三方执行该等工作，因此发生的费用，全部由乙方承担。</w:t>
      </w:r>
    </w:p>
    <w:p>
      <w:pPr>
        <w:pStyle w:val="3"/>
        <w:bidi w:val="0"/>
        <w:rPr>
          <w:rFonts w:hint="eastAsia" w:ascii="微软雅黑" w:hAnsi="微软雅黑" w:eastAsia="微软雅黑" w:cs="微软雅黑"/>
          <w:b w:val="0"/>
          <w:bCs/>
          <w:spacing w:val="0"/>
          <w:kern w:val="0"/>
          <w:sz w:val="24"/>
          <w:szCs w:val="24"/>
          <w:lang w:val="en-US" w:eastAsia="zh-CN" w:bidi="ar-SA"/>
        </w:rPr>
      </w:pPr>
      <w:r>
        <w:rPr>
          <w:rFonts w:hint="eastAsia" w:ascii="微软雅黑" w:hAnsi="微软雅黑" w:eastAsia="微软雅黑" w:cs="微软雅黑"/>
          <w:b w:val="0"/>
          <w:bCs/>
          <w:spacing w:val="0"/>
          <w:kern w:val="0"/>
          <w:sz w:val="24"/>
          <w:szCs w:val="24"/>
          <w:lang w:val="en-US" w:eastAsia="zh-CN" w:bidi="ar-SA"/>
        </w:rPr>
        <w:t>8.2、质量问题处理方案：</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由施工引起的质量问题，由乙方负责提供设备、机具、人员及材料，对质量失效部位进行返工及修复。</w:t>
      </w:r>
    </w:p>
    <w:p>
      <w:pPr>
        <w:bidi w:val="0"/>
        <w:spacing w:line="360" w:lineRule="auto"/>
        <w:ind w:left="0" w:leftChars="0" w:firstLine="0" w:firstLineChars="0"/>
        <w:rPr>
          <w:rFonts w:hint="eastAsia" w:ascii="微软雅黑" w:hAnsi="微软雅黑" w:eastAsia="微软雅黑" w:cs="微软雅黑"/>
          <w:b w:val="0"/>
          <w:bCs/>
          <w:sz w:val="28"/>
          <w:szCs w:val="28"/>
        </w:rPr>
      </w:pPr>
      <w:r>
        <w:rPr>
          <w:rFonts w:hint="eastAsia" w:ascii="微软雅黑" w:hAnsi="微软雅黑" w:eastAsia="微软雅黑" w:cs="微软雅黑"/>
          <w:b w:val="0"/>
          <w:bCs/>
          <w:sz w:val="28"/>
          <w:szCs w:val="28"/>
        </w:rPr>
        <w:t>九、其他要求</w:t>
      </w:r>
    </w:p>
    <w:bookmarkEnd w:id="4"/>
    <w:bookmarkEnd w:id="5"/>
    <w:p>
      <w:pPr>
        <w:bidi w:val="0"/>
        <w:spacing w:line="360" w:lineRule="auto"/>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1、技术联系人：王博   18820639678   ex_wangbo10@cnooc.com.cn</w:t>
      </w:r>
    </w:p>
    <w:p>
      <w:pPr>
        <w:bidi w:val="0"/>
        <w:spacing w:line="360" w:lineRule="auto"/>
        <w:rPr>
          <w:rFonts w:hint="eastAsia"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2、其他特殊要求：无</w:t>
      </w:r>
    </w:p>
    <w:p>
      <w:pPr>
        <w:pStyle w:val="7"/>
        <w:spacing w:line="257" w:lineRule="auto"/>
        <w:ind w:right="132" w:rightChars="55" w:firstLine="210" w:firstLineChars="100"/>
        <w:rPr>
          <w:rFonts w:hint="eastAsia"/>
          <w:color w:val="C00000"/>
          <w:lang w:eastAsia="zh-CN"/>
        </w:rPr>
      </w:pPr>
    </w:p>
    <w:p>
      <w:pPr>
        <w:rPr>
          <w:rFonts w:hint="default"/>
          <w:color w:val="C00000"/>
          <w:lang w:val="en-US" w:eastAsia="zh-CN"/>
        </w:rPr>
      </w:pPr>
      <w:r>
        <w:rPr>
          <w:rFonts w:hint="default"/>
          <w:color w:val="C00000"/>
          <w:lang w:val="en-US" w:eastAsia="zh-CN"/>
        </w:rPr>
        <w:br w:type="page"/>
      </w:r>
    </w:p>
    <w:p>
      <w:pPr>
        <w:ind w:left="0" w:leftChars="0" w:firstLine="0" w:firstLineChars="0"/>
        <w:rPr>
          <w:rFonts w:hint="default"/>
          <w:color w:val="C00000"/>
          <w:lang w:val="en-US" w:eastAsia="zh-CN"/>
        </w:rPr>
      </w:pPr>
    </w:p>
    <w:p>
      <w:pPr>
        <w:pStyle w:val="7"/>
        <w:widowControl w:val="0"/>
        <w:numPr>
          <w:ilvl w:val="0"/>
          <w:numId w:val="0"/>
        </w:numPr>
        <w:spacing w:line="257" w:lineRule="auto"/>
        <w:ind w:right="122" w:rightChars="0"/>
        <w:jc w:val="center"/>
        <w:rPr>
          <w:rFonts w:hint="default" w:ascii="宋体" w:hAnsi="宋体" w:eastAsia="宋体" w:cs="宋体"/>
          <w:snapToGrid w:val="0"/>
          <w:color w:val="000000"/>
          <w:spacing w:val="-2"/>
          <w:kern w:val="0"/>
          <w:sz w:val="36"/>
          <w:szCs w:val="36"/>
          <w:lang w:val="en-US" w:eastAsia="zh-CN" w:bidi="ar-SA"/>
        </w:rPr>
      </w:pPr>
      <w:r>
        <w:rPr>
          <w:rFonts w:hint="default" w:ascii="宋体" w:hAnsi="宋体" w:eastAsia="宋体" w:cs="宋体"/>
          <w:snapToGrid w:val="0"/>
          <w:color w:val="000000"/>
          <w:spacing w:val="-2"/>
          <w:kern w:val="0"/>
          <w:sz w:val="36"/>
          <w:szCs w:val="36"/>
          <w:lang w:val="en-US" w:eastAsia="zh-CN" w:bidi="ar-SA"/>
        </w:rPr>
        <w:t>农民工工资支付承诺函</w:t>
      </w:r>
    </w:p>
    <w:p>
      <w:pPr>
        <w:pStyle w:val="7"/>
        <w:widowControl w:val="0"/>
        <w:numPr>
          <w:ilvl w:val="0"/>
          <w:numId w:val="0"/>
        </w:numPr>
        <w:spacing w:line="257" w:lineRule="auto"/>
        <w:ind w:right="122" w:rightChars="0"/>
        <w:jc w:val="both"/>
        <w:rPr>
          <w:rFonts w:hint="default"/>
          <w:lang w:val="en-US" w:eastAsia="zh-CN"/>
        </w:rPr>
      </w:pPr>
      <w:r>
        <w:rPr>
          <w:rFonts w:hint="default"/>
          <w:lang w:val="en-US" w:eastAsia="zh-CN"/>
        </w:rPr>
        <w:t>致【                     】</w:t>
      </w:r>
      <w:r>
        <w:rPr>
          <w:rFonts w:hint="eastAsia"/>
          <w:lang w:val="en-US" w:eastAsia="zh-CN"/>
        </w:rPr>
        <w:t>：</w:t>
      </w:r>
    </w:p>
    <w:p>
      <w:pPr>
        <w:pStyle w:val="7"/>
        <w:widowControl w:val="0"/>
        <w:numPr>
          <w:ilvl w:val="0"/>
          <w:numId w:val="0"/>
        </w:numPr>
        <w:spacing w:line="257" w:lineRule="auto"/>
        <w:ind w:right="122" w:rightChars="0"/>
        <w:jc w:val="both"/>
        <w:rPr>
          <w:rFonts w:hint="default"/>
          <w:lang w:val="en-US" w:eastAsia="zh-CN"/>
        </w:rPr>
      </w:pPr>
      <w:r>
        <w:rPr>
          <w:rFonts w:hint="default"/>
          <w:lang w:val="en-US" w:eastAsia="zh-CN"/>
        </w:rPr>
        <w:t>根据《中华人民共和国民法典》《保障农民工工资支付条例》(国务院令第724号)等有关规定，为保证主合同服务项目的顺利进行，确保本项目服务质量和进度，我单位向贵司承诺：</w:t>
      </w:r>
    </w:p>
    <w:p>
      <w:pPr>
        <w:pStyle w:val="7"/>
        <w:widowControl w:val="0"/>
        <w:numPr>
          <w:ilvl w:val="0"/>
          <w:numId w:val="0"/>
        </w:numPr>
        <w:spacing w:line="257" w:lineRule="auto"/>
        <w:ind w:right="122" w:rightChars="0"/>
        <w:jc w:val="both"/>
        <w:rPr>
          <w:rFonts w:hint="default"/>
          <w:lang w:val="en-US" w:eastAsia="zh-CN"/>
        </w:rPr>
      </w:pPr>
      <w:r>
        <w:rPr>
          <w:rFonts w:hint="default"/>
          <w:lang w:val="en-US" w:eastAsia="zh-CN"/>
        </w:rPr>
        <w:t>1、按照《中华人民共和国劳动合同法》相关规定，与农民工签订劳动合同，及时、足额发放工资、缴纳社会保险费用。工资将以货币形式直接发给农民工本人，严禁发放给不具备用工主体资格的组织和个人。我单位承诺，一旦发生拖欠农民工工资的情况，我单位将无条件接受贵司代扣本服务项目的进度款直接支付给农民工的决定，并对由此造成的一 切后果承担全部责任。</w:t>
      </w:r>
    </w:p>
    <w:p>
      <w:pPr>
        <w:pStyle w:val="7"/>
        <w:widowControl w:val="0"/>
        <w:numPr>
          <w:ilvl w:val="0"/>
          <w:numId w:val="0"/>
        </w:numPr>
        <w:spacing w:line="257" w:lineRule="auto"/>
        <w:ind w:right="122" w:rightChars="0"/>
        <w:jc w:val="both"/>
        <w:rPr>
          <w:rFonts w:hint="default"/>
          <w:lang w:val="en-US" w:eastAsia="zh-CN"/>
        </w:rPr>
      </w:pPr>
      <w:r>
        <w:rPr>
          <w:rFonts w:hint="default"/>
          <w:lang w:val="en-US" w:eastAsia="zh-CN"/>
        </w:rPr>
        <w:t>2、本项目协作单位雇用农民工的，我单位将要求协作单位按照与贵司签署的《农民工工资支付协议》第二条规定与农民工签订劳动合同，并负责督促其遵守《保障农民工工资支付条例》等相关规定，及时结付农民工工资。如协作单位拖欠农民工工资的，将由我单位 先行清偿。如贵司因协作单位未能及时支付农民工工资而遭受任何直接或间接损失，本单位将承担赔偿责任。</w:t>
      </w:r>
    </w:p>
    <w:p>
      <w:pPr>
        <w:pStyle w:val="7"/>
        <w:widowControl w:val="0"/>
        <w:numPr>
          <w:ilvl w:val="0"/>
          <w:numId w:val="0"/>
        </w:numPr>
        <w:spacing w:line="257" w:lineRule="auto"/>
        <w:ind w:right="122" w:rightChars="0"/>
        <w:jc w:val="both"/>
        <w:rPr>
          <w:rFonts w:hint="default"/>
          <w:lang w:val="en-US" w:eastAsia="zh-CN"/>
        </w:rPr>
        <w:sectPr>
          <w:pgSz w:w="11906" w:h="16838"/>
          <w:pgMar w:top="1440" w:right="1800" w:bottom="1440" w:left="1800" w:header="851" w:footer="992" w:gutter="0"/>
          <w:cols w:space="425" w:num="1"/>
          <w:docGrid w:type="lines" w:linePitch="312" w:charSpace="0"/>
        </w:sectPr>
      </w:pPr>
      <w:r>
        <w:rPr>
          <w:rFonts w:hint="default"/>
          <w:lang w:val="en-US" w:eastAsia="zh-CN"/>
        </w:rPr>
        <w:t>3、本单位承诺，如发生违反法律法规规定拖欠或克扣农民工工资行为，本单位将无条件向贵司承担违约</w:t>
      </w:r>
    </w:p>
    <w:tbl>
      <w:tblPr>
        <w:tblStyle w:val="14"/>
        <w:tblpPr w:leftFromText="180" w:rightFromText="180" w:vertAnchor="page" w:horzAnchor="page" w:tblpX="1889" w:tblpY="2305"/>
        <w:tblOverlap w:val="never"/>
        <w:tblW w:w="13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1548"/>
        <w:gridCol w:w="788"/>
        <w:gridCol w:w="883"/>
        <w:gridCol w:w="1183"/>
        <w:gridCol w:w="950"/>
        <w:gridCol w:w="462"/>
        <w:gridCol w:w="1788"/>
        <w:gridCol w:w="1512"/>
        <w:gridCol w:w="1788"/>
        <w:gridCol w:w="1200"/>
        <w:gridCol w:w="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名称</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关键人员/设备名称</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人员职位名称</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人员证件名称/设备品牌型号</w:t>
            </w:r>
          </w:p>
        </w:tc>
        <w:tc>
          <w:tcPr>
            <w:tcW w:w="14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关键人员社保缴纳单位</w:t>
            </w:r>
          </w:p>
        </w:tc>
        <w:tc>
          <w:tcPr>
            <w:tcW w:w="1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关键人员社保缴纳起始时间</w:t>
            </w: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是否在应答文件或合同信息中提供该人员/设备信息</w:t>
            </w:r>
          </w:p>
        </w:tc>
        <w:tc>
          <w:tcPr>
            <w:tcW w:w="178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人员资质/设备品牌型号信息是否与应答文件或合同信息中一致</w:t>
            </w:r>
          </w:p>
        </w:tc>
        <w:tc>
          <w:tcPr>
            <w:tcW w:w="120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该人员/设备是否投入该项目</w:t>
            </w:r>
          </w:p>
        </w:tc>
        <w:tc>
          <w:tcPr>
            <w:tcW w:w="642"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656"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1</w:t>
            </w:r>
          </w:p>
        </w:tc>
        <w:tc>
          <w:tcPr>
            <w:tcW w:w="154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关键人员信息</w:t>
            </w:r>
          </w:p>
        </w:tc>
        <w:tc>
          <w:tcPr>
            <w:tcW w:w="78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张三</w:t>
            </w:r>
          </w:p>
        </w:tc>
        <w:tc>
          <w:tcPr>
            <w:tcW w:w="883"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项目经理</w:t>
            </w:r>
          </w:p>
        </w:tc>
        <w:tc>
          <w:tcPr>
            <w:tcW w:w="1183"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PMP证书</w:t>
            </w:r>
          </w:p>
        </w:tc>
        <w:tc>
          <w:tcPr>
            <w:tcW w:w="1412" w:type="dxa"/>
            <w:gridSpan w:val="2"/>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天津***公司</w:t>
            </w:r>
          </w:p>
        </w:tc>
        <w:tc>
          <w:tcPr>
            <w:tcW w:w="178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2018年1月1日</w:t>
            </w:r>
          </w:p>
        </w:tc>
        <w:tc>
          <w:tcPr>
            <w:tcW w:w="1512"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178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1200"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642"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 w:hRule="atLeast"/>
        </w:trPr>
        <w:tc>
          <w:tcPr>
            <w:tcW w:w="656"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2</w:t>
            </w:r>
          </w:p>
        </w:tc>
        <w:tc>
          <w:tcPr>
            <w:tcW w:w="1548"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关键人员信息</w:t>
            </w:r>
          </w:p>
        </w:tc>
        <w:tc>
          <w:tcPr>
            <w:tcW w:w="788"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李四</w:t>
            </w:r>
          </w:p>
        </w:tc>
        <w:tc>
          <w:tcPr>
            <w:tcW w:w="883"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技术负责人</w:t>
            </w:r>
          </w:p>
        </w:tc>
        <w:tc>
          <w:tcPr>
            <w:tcW w:w="1183"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default"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一级建造师</w:t>
            </w:r>
          </w:p>
        </w:tc>
        <w:tc>
          <w:tcPr>
            <w:tcW w:w="1412" w:type="dxa"/>
            <w:gridSpan w:val="2"/>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天津***公司</w:t>
            </w:r>
          </w:p>
        </w:tc>
        <w:tc>
          <w:tcPr>
            <w:tcW w:w="178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2018年1月1日</w:t>
            </w:r>
          </w:p>
        </w:tc>
        <w:tc>
          <w:tcPr>
            <w:tcW w:w="1512"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178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1200"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642"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56"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3</w:t>
            </w:r>
          </w:p>
        </w:tc>
        <w:tc>
          <w:tcPr>
            <w:tcW w:w="154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关键设备信息</w:t>
            </w:r>
          </w:p>
        </w:tc>
        <w:tc>
          <w:tcPr>
            <w:tcW w:w="78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空压机</w:t>
            </w:r>
          </w:p>
        </w:tc>
        <w:tc>
          <w:tcPr>
            <w:tcW w:w="883"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p>
        </w:tc>
        <w:tc>
          <w:tcPr>
            <w:tcW w:w="1183"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阿特拉斯*****</w:t>
            </w:r>
          </w:p>
        </w:tc>
        <w:tc>
          <w:tcPr>
            <w:tcW w:w="1412" w:type="dxa"/>
            <w:gridSpan w:val="2"/>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p>
        </w:tc>
        <w:tc>
          <w:tcPr>
            <w:tcW w:w="178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p>
        </w:tc>
        <w:tc>
          <w:tcPr>
            <w:tcW w:w="1512"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1788"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1200"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r>
              <w:rPr>
                <w:rFonts w:hint="eastAsia" w:ascii="宋体" w:hAnsi="宋体" w:eastAsia="宋体" w:cs="宋体"/>
                <w:i/>
                <w:iCs/>
                <w:color w:val="FF0000"/>
                <w:kern w:val="0"/>
                <w:sz w:val="21"/>
                <w:szCs w:val="21"/>
                <w:u w:val="none"/>
                <w:lang w:val="en-US" w:eastAsia="zh-CN" w:bidi="ar"/>
              </w:rPr>
              <w:t>是</w:t>
            </w:r>
          </w:p>
        </w:tc>
        <w:tc>
          <w:tcPr>
            <w:tcW w:w="642" w:type="dxa"/>
            <w:tcBorders>
              <w:top w:val="single" w:color="000000" w:sz="4" w:space="0"/>
              <w:left w:val="single" w:color="000000" w:sz="4" w:space="0"/>
              <w:bottom w:val="single" w:color="000000" w:sz="4" w:space="0"/>
              <w:right w:val="single" w:color="000000" w:sz="4" w:space="0"/>
            </w:tcBorders>
            <w:shd w:val="clear" w:color="B4C6E7" w:fill="FFFFFF"/>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i/>
                <w:iCs/>
                <w:color w:val="FF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6"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1548"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788"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883"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1183"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1412" w:type="dxa"/>
            <w:gridSpan w:val="2"/>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1788"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1512"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1788"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1200"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c>
          <w:tcPr>
            <w:tcW w:w="642" w:type="dxa"/>
            <w:tcBorders>
              <w:top w:val="single" w:color="000000" w:sz="4" w:space="0"/>
              <w:left w:val="single" w:color="000000" w:sz="4" w:space="0"/>
              <w:bottom w:val="single" w:color="000000" w:sz="4" w:space="0"/>
              <w:right w:val="single" w:color="000000" w:sz="4" w:space="0"/>
            </w:tcBorders>
            <w:shd w:val="clear" w:color="D9E1F2" w:fill="FFFFFF"/>
            <w:vAlign w:val="center"/>
          </w:tcPr>
          <w:p>
            <w:pPr>
              <w:rPr>
                <w:rFonts w:hint="eastAsia" w:ascii="宋体" w:hAnsi="宋体" w:eastAsia="宋体" w:cs="宋体"/>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2204" w:type="dxa"/>
            <w:gridSpan w:val="2"/>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left"/>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关键人员/设备信息复核存在问题和改进意见</w:t>
            </w:r>
          </w:p>
        </w:tc>
        <w:tc>
          <w:tcPr>
            <w:tcW w:w="11196"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val="0"/>
                <w:bCs w:val="0"/>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4" w:hRule="atLeast"/>
        </w:trPr>
        <w:tc>
          <w:tcPr>
            <w:tcW w:w="22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复核最终结果</w:t>
            </w:r>
          </w:p>
        </w:tc>
        <w:tc>
          <w:tcPr>
            <w:tcW w:w="11196"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关键人员/设备信息复是否与投标文件一致：是□  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22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编制人签字</w:t>
            </w:r>
          </w:p>
        </w:tc>
        <w:tc>
          <w:tcPr>
            <w:tcW w:w="3804" w:type="dxa"/>
            <w:gridSpan w:val="4"/>
            <w:tcBorders>
              <w:top w:val="single" w:color="000000" w:sz="4" w:space="0"/>
              <w:left w:val="single" w:color="000000" w:sz="4" w:space="0"/>
              <w:bottom w:val="single" w:color="000000" w:sz="4" w:space="0"/>
              <w:right w:val="nil"/>
            </w:tcBorders>
            <w:shd w:val="clear" w:color="auto" w:fill="auto"/>
            <w:noWrap/>
            <w:vAlign w:val="center"/>
          </w:tcPr>
          <w:p>
            <w:pPr>
              <w:rPr>
                <w:rFonts w:hint="eastAsia" w:ascii="宋体" w:hAnsi="宋体" w:eastAsia="宋体" w:cs="宋体"/>
                <w:b w:val="0"/>
                <w:bCs w:val="0"/>
                <w:i w:val="0"/>
                <w:iCs w:val="0"/>
                <w:color w:val="000000"/>
                <w:sz w:val="21"/>
                <w:szCs w:val="21"/>
                <w:u w:val="none"/>
              </w:rPr>
            </w:pPr>
          </w:p>
        </w:tc>
        <w:tc>
          <w:tcPr>
            <w:tcW w:w="376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审核人签字</w:t>
            </w:r>
          </w:p>
        </w:tc>
        <w:tc>
          <w:tcPr>
            <w:tcW w:w="36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val="0"/>
                <w:bCs w:val="0"/>
                <w:i w:val="0"/>
                <w:iCs w:val="0"/>
                <w:color w:val="000000"/>
                <w:sz w:val="21"/>
                <w:szCs w:val="21"/>
                <w:u w:val="none"/>
              </w:rPr>
            </w:pPr>
          </w:p>
        </w:tc>
      </w:tr>
    </w:tbl>
    <w:p>
      <w:pPr>
        <w:spacing w:before="0" w:line="360" w:lineRule="auto"/>
      </w:pP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A7AC4B15-640B-450A-8237-7FA1DEDB22CE}"/>
  </w:font>
  <w:font w:name="华文仿宋">
    <w:panose1 w:val="02010600040101010101"/>
    <w:charset w:val="86"/>
    <w:family w:val="auto"/>
    <w:pitch w:val="default"/>
    <w:sig w:usb0="00000287" w:usb1="080F0000" w:usb2="00000000" w:usb3="00000000" w:csb0="0004009F" w:csb1="DFD70000"/>
    <w:embedRegular r:id="rId2" w:fontKey="{5E728AEB-45F2-4464-88C1-9CBDE90FF35C}"/>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7FFAEFF" w:usb1="F9DFFFFF" w:usb2="0000007F" w:usb3="00000000" w:csb0="203F01FF" w:csb1="DFFF0000"/>
    <w:embedRegular r:id="rId3" w:fontKey="{52569369-8C16-4AA1-B6C0-CF61166007F6}"/>
  </w:font>
  <w:font w:name="微软雅黑">
    <w:panose1 w:val="020B0503020204020204"/>
    <w:charset w:val="86"/>
    <w:family w:val="swiss"/>
    <w:pitch w:val="default"/>
    <w:sig w:usb0="80000287" w:usb1="2ACF3C50" w:usb2="00000016" w:usb3="00000000" w:csb0="0004001F" w:csb1="00000000"/>
    <w:embedRegular r:id="rId4" w:fontKey="{5CB2669C-518E-4537-8228-59E0A405610A}"/>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lNGRjZWY2NzA3MzgyYzZmMjBhNzI3ZTYzNDI5NTMifQ=="/>
  </w:docVars>
  <w:rsids>
    <w:rsidRoot w:val="00172A27"/>
    <w:rsid w:val="00033D12"/>
    <w:rsid w:val="00045459"/>
    <w:rsid w:val="00070B36"/>
    <w:rsid w:val="00077362"/>
    <w:rsid w:val="000C3CDF"/>
    <w:rsid w:val="000D43A5"/>
    <w:rsid w:val="00110ABB"/>
    <w:rsid w:val="00136D1F"/>
    <w:rsid w:val="001644CF"/>
    <w:rsid w:val="001B3054"/>
    <w:rsid w:val="002217C9"/>
    <w:rsid w:val="00224AFF"/>
    <w:rsid w:val="002979DA"/>
    <w:rsid w:val="002B756F"/>
    <w:rsid w:val="002C7E23"/>
    <w:rsid w:val="002F6F29"/>
    <w:rsid w:val="003E6CBC"/>
    <w:rsid w:val="003F0E35"/>
    <w:rsid w:val="003F3035"/>
    <w:rsid w:val="00434AB2"/>
    <w:rsid w:val="004356C7"/>
    <w:rsid w:val="004A3192"/>
    <w:rsid w:val="00504168"/>
    <w:rsid w:val="005560B6"/>
    <w:rsid w:val="00571B42"/>
    <w:rsid w:val="006C2FB3"/>
    <w:rsid w:val="00723A5A"/>
    <w:rsid w:val="007E114E"/>
    <w:rsid w:val="0081241A"/>
    <w:rsid w:val="00834BD4"/>
    <w:rsid w:val="008951A5"/>
    <w:rsid w:val="008D6E2A"/>
    <w:rsid w:val="009A2D10"/>
    <w:rsid w:val="009B442A"/>
    <w:rsid w:val="009C2FD5"/>
    <w:rsid w:val="00A22D39"/>
    <w:rsid w:val="00AB5566"/>
    <w:rsid w:val="00AF7529"/>
    <w:rsid w:val="00B15418"/>
    <w:rsid w:val="00B34B78"/>
    <w:rsid w:val="00B46A5C"/>
    <w:rsid w:val="00B71963"/>
    <w:rsid w:val="00B82355"/>
    <w:rsid w:val="00BC2863"/>
    <w:rsid w:val="00BE4441"/>
    <w:rsid w:val="00C855ED"/>
    <w:rsid w:val="00CB4728"/>
    <w:rsid w:val="00CF3B48"/>
    <w:rsid w:val="00CF7FFB"/>
    <w:rsid w:val="00D23243"/>
    <w:rsid w:val="00D42B37"/>
    <w:rsid w:val="00D75ECA"/>
    <w:rsid w:val="00DA6F48"/>
    <w:rsid w:val="00DD112D"/>
    <w:rsid w:val="00DD495F"/>
    <w:rsid w:val="00DD75E0"/>
    <w:rsid w:val="00E53CCA"/>
    <w:rsid w:val="00E93769"/>
    <w:rsid w:val="00EE6793"/>
    <w:rsid w:val="00F84DC2"/>
    <w:rsid w:val="03367419"/>
    <w:rsid w:val="033A2BDB"/>
    <w:rsid w:val="0578079B"/>
    <w:rsid w:val="0630252B"/>
    <w:rsid w:val="06363AD1"/>
    <w:rsid w:val="067363F9"/>
    <w:rsid w:val="067E6F4C"/>
    <w:rsid w:val="068F25CD"/>
    <w:rsid w:val="07995D3A"/>
    <w:rsid w:val="07CD23F3"/>
    <w:rsid w:val="08D972DA"/>
    <w:rsid w:val="093F19D9"/>
    <w:rsid w:val="095549AB"/>
    <w:rsid w:val="095D585F"/>
    <w:rsid w:val="09A400B5"/>
    <w:rsid w:val="0A316927"/>
    <w:rsid w:val="0B7A5BFB"/>
    <w:rsid w:val="0BAA38E5"/>
    <w:rsid w:val="0C735142"/>
    <w:rsid w:val="0C7B1F3B"/>
    <w:rsid w:val="0C7E7098"/>
    <w:rsid w:val="0CC76F56"/>
    <w:rsid w:val="0D6B035F"/>
    <w:rsid w:val="0D964254"/>
    <w:rsid w:val="0D9F512A"/>
    <w:rsid w:val="0DCE4D21"/>
    <w:rsid w:val="0E054A35"/>
    <w:rsid w:val="0EA058A2"/>
    <w:rsid w:val="108C7436"/>
    <w:rsid w:val="11854C7F"/>
    <w:rsid w:val="11A430AD"/>
    <w:rsid w:val="129A2D33"/>
    <w:rsid w:val="12F14908"/>
    <w:rsid w:val="131E7F5A"/>
    <w:rsid w:val="143C4A75"/>
    <w:rsid w:val="149B66DD"/>
    <w:rsid w:val="14B675F6"/>
    <w:rsid w:val="1508064B"/>
    <w:rsid w:val="15316332"/>
    <w:rsid w:val="15B35F1C"/>
    <w:rsid w:val="17711974"/>
    <w:rsid w:val="17AE2B89"/>
    <w:rsid w:val="18904ABA"/>
    <w:rsid w:val="19726FF6"/>
    <w:rsid w:val="19846B91"/>
    <w:rsid w:val="19D52A8D"/>
    <w:rsid w:val="1A3460CE"/>
    <w:rsid w:val="1AF02853"/>
    <w:rsid w:val="1B9674AB"/>
    <w:rsid w:val="1C603517"/>
    <w:rsid w:val="1C6B16C2"/>
    <w:rsid w:val="1DD216B6"/>
    <w:rsid w:val="1EB67D41"/>
    <w:rsid w:val="1EF672BB"/>
    <w:rsid w:val="1F5C1516"/>
    <w:rsid w:val="1F704CBB"/>
    <w:rsid w:val="1FCF6EB9"/>
    <w:rsid w:val="200C1B94"/>
    <w:rsid w:val="20480702"/>
    <w:rsid w:val="207D68CF"/>
    <w:rsid w:val="20AD3F70"/>
    <w:rsid w:val="219230D2"/>
    <w:rsid w:val="22030053"/>
    <w:rsid w:val="222E63A6"/>
    <w:rsid w:val="23EB5B21"/>
    <w:rsid w:val="24BF7DEE"/>
    <w:rsid w:val="25C07357"/>
    <w:rsid w:val="25CE3990"/>
    <w:rsid w:val="26333A57"/>
    <w:rsid w:val="26A42AB9"/>
    <w:rsid w:val="26BD17BC"/>
    <w:rsid w:val="272F07AA"/>
    <w:rsid w:val="27681F59"/>
    <w:rsid w:val="280664CF"/>
    <w:rsid w:val="281C6C7D"/>
    <w:rsid w:val="28B0522D"/>
    <w:rsid w:val="28CA4565"/>
    <w:rsid w:val="291D28E4"/>
    <w:rsid w:val="29BF1D06"/>
    <w:rsid w:val="29C52CAD"/>
    <w:rsid w:val="2A117C0F"/>
    <w:rsid w:val="2A390A3F"/>
    <w:rsid w:val="2A6577B2"/>
    <w:rsid w:val="2A914FB0"/>
    <w:rsid w:val="2AB5254E"/>
    <w:rsid w:val="2AC87B05"/>
    <w:rsid w:val="2ADB953B"/>
    <w:rsid w:val="2C464019"/>
    <w:rsid w:val="2C9B213D"/>
    <w:rsid w:val="2D09381B"/>
    <w:rsid w:val="2E39539E"/>
    <w:rsid w:val="2E793BC1"/>
    <w:rsid w:val="2FC802C2"/>
    <w:rsid w:val="2FF96CC5"/>
    <w:rsid w:val="30637D1C"/>
    <w:rsid w:val="30EF7A96"/>
    <w:rsid w:val="311C32C7"/>
    <w:rsid w:val="316B1CC9"/>
    <w:rsid w:val="321A3146"/>
    <w:rsid w:val="329D40C2"/>
    <w:rsid w:val="334D79E8"/>
    <w:rsid w:val="343E1A7A"/>
    <w:rsid w:val="34543D47"/>
    <w:rsid w:val="34856CE1"/>
    <w:rsid w:val="35F2311B"/>
    <w:rsid w:val="377D5486"/>
    <w:rsid w:val="37CD5EFE"/>
    <w:rsid w:val="37F6615A"/>
    <w:rsid w:val="38186219"/>
    <w:rsid w:val="38371348"/>
    <w:rsid w:val="38E74E70"/>
    <w:rsid w:val="391A4F16"/>
    <w:rsid w:val="391D677C"/>
    <w:rsid w:val="3A904906"/>
    <w:rsid w:val="3AC5032E"/>
    <w:rsid w:val="3BC37E40"/>
    <w:rsid w:val="3C822F4C"/>
    <w:rsid w:val="3DB067C8"/>
    <w:rsid w:val="3DBE146D"/>
    <w:rsid w:val="3E1852F4"/>
    <w:rsid w:val="3E75342E"/>
    <w:rsid w:val="3EBB1A66"/>
    <w:rsid w:val="3F4E6B50"/>
    <w:rsid w:val="3FB7203F"/>
    <w:rsid w:val="40435CF0"/>
    <w:rsid w:val="409E4CE0"/>
    <w:rsid w:val="415E645F"/>
    <w:rsid w:val="415E6960"/>
    <w:rsid w:val="41CD5F70"/>
    <w:rsid w:val="41E735A9"/>
    <w:rsid w:val="42584940"/>
    <w:rsid w:val="4268268D"/>
    <w:rsid w:val="427F6CF2"/>
    <w:rsid w:val="428312B6"/>
    <w:rsid w:val="42AF59A6"/>
    <w:rsid w:val="436D5ED7"/>
    <w:rsid w:val="43885D84"/>
    <w:rsid w:val="43A11042"/>
    <w:rsid w:val="43DE35A3"/>
    <w:rsid w:val="44093361"/>
    <w:rsid w:val="445453AE"/>
    <w:rsid w:val="45886FF9"/>
    <w:rsid w:val="461A5919"/>
    <w:rsid w:val="48313F2B"/>
    <w:rsid w:val="49BD1807"/>
    <w:rsid w:val="4A033995"/>
    <w:rsid w:val="4A6F2A98"/>
    <w:rsid w:val="4C26578A"/>
    <w:rsid w:val="4D4D6085"/>
    <w:rsid w:val="4DDE5653"/>
    <w:rsid w:val="4F055245"/>
    <w:rsid w:val="4FF75FCA"/>
    <w:rsid w:val="50293D4A"/>
    <w:rsid w:val="503877BF"/>
    <w:rsid w:val="507C18DD"/>
    <w:rsid w:val="509E06E9"/>
    <w:rsid w:val="50E13B9B"/>
    <w:rsid w:val="51905BBE"/>
    <w:rsid w:val="527435F2"/>
    <w:rsid w:val="52767DC4"/>
    <w:rsid w:val="5287356A"/>
    <w:rsid w:val="5292398A"/>
    <w:rsid w:val="540B5FD5"/>
    <w:rsid w:val="549024B5"/>
    <w:rsid w:val="54B65D32"/>
    <w:rsid w:val="54E709C4"/>
    <w:rsid w:val="54F00165"/>
    <w:rsid w:val="55C92A24"/>
    <w:rsid w:val="5600573E"/>
    <w:rsid w:val="564546C7"/>
    <w:rsid w:val="57EA6FFE"/>
    <w:rsid w:val="581B73FB"/>
    <w:rsid w:val="58371319"/>
    <w:rsid w:val="587B2596"/>
    <w:rsid w:val="59193038"/>
    <w:rsid w:val="59FC2EF9"/>
    <w:rsid w:val="5AC60E9A"/>
    <w:rsid w:val="5ADC1C9D"/>
    <w:rsid w:val="5AFB103A"/>
    <w:rsid w:val="5B690192"/>
    <w:rsid w:val="5B7705A7"/>
    <w:rsid w:val="5BCC54DD"/>
    <w:rsid w:val="5C052CF9"/>
    <w:rsid w:val="5C5C72A6"/>
    <w:rsid w:val="5C7834CB"/>
    <w:rsid w:val="5CED2410"/>
    <w:rsid w:val="5CF9063D"/>
    <w:rsid w:val="5D1E0C31"/>
    <w:rsid w:val="5DEB7E94"/>
    <w:rsid w:val="5DEDB550"/>
    <w:rsid w:val="5EC65130"/>
    <w:rsid w:val="5F4D24DA"/>
    <w:rsid w:val="61577197"/>
    <w:rsid w:val="628971A5"/>
    <w:rsid w:val="62CE2FEA"/>
    <w:rsid w:val="62F73A74"/>
    <w:rsid w:val="64954583"/>
    <w:rsid w:val="64F46263"/>
    <w:rsid w:val="653427F9"/>
    <w:rsid w:val="669073F2"/>
    <w:rsid w:val="670B7F6B"/>
    <w:rsid w:val="672E0AC4"/>
    <w:rsid w:val="679C37D2"/>
    <w:rsid w:val="67CB1E0C"/>
    <w:rsid w:val="681B79E8"/>
    <w:rsid w:val="695754E3"/>
    <w:rsid w:val="696D209D"/>
    <w:rsid w:val="69DA1EB8"/>
    <w:rsid w:val="6AF80C95"/>
    <w:rsid w:val="6B9E055B"/>
    <w:rsid w:val="6C8E2171"/>
    <w:rsid w:val="6E6214F5"/>
    <w:rsid w:val="6E7926F7"/>
    <w:rsid w:val="6E9053DC"/>
    <w:rsid w:val="6EC91D31"/>
    <w:rsid w:val="6F4440CD"/>
    <w:rsid w:val="6FFF0765"/>
    <w:rsid w:val="71507206"/>
    <w:rsid w:val="71791D68"/>
    <w:rsid w:val="717B5AE0"/>
    <w:rsid w:val="71BE0321"/>
    <w:rsid w:val="721F77A6"/>
    <w:rsid w:val="73F73C38"/>
    <w:rsid w:val="74512B28"/>
    <w:rsid w:val="75487668"/>
    <w:rsid w:val="754D110B"/>
    <w:rsid w:val="75A76C2B"/>
    <w:rsid w:val="767F2F4A"/>
    <w:rsid w:val="76BE66FB"/>
    <w:rsid w:val="78371A05"/>
    <w:rsid w:val="7883070B"/>
    <w:rsid w:val="78BE5D96"/>
    <w:rsid w:val="78D2461B"/>
    <w:rsid w:val="790E7239"/>
    <w:rsid w:val="79924F72"/>
    <w:rsid w:val="7A1E4D15"/>
    <w:rsid w:val="7A513087"/>
    <w:rsid w:val="7A923A2C"/>
    <w:rsid w:val="7A9600CE"/>
    <w:rsid w:val="7AA678C6"/>
    <w:rsid w:val="7B4927DD"/>
    <w:rsid w:val="7BB97BB0"/>
    <w:rsid w:val="7BEB5D4D"/>
    <w:rsid w:val="7C97365C"/>
    <w:rsid w:val="7CCC778A"/>
    <w:rsid w:val="7D2D5778"/>
    <w:rsid w:val="7D687926"/>
    <w:rsid w:val="7D8A7F68"/>
    <w:rsid w:val="7DA205D5"/>
    <w:rsid w:val="7DC84B99"/>
    <w:rsid w:val="7E090587"/>
    <w:rsid w:val="7E5F3BEA"/>
    <w:rsid w:val="7F13443F"/>
    <w:rsid w:val="7F7C39FB"/>
    <w:rsid w:val="F7B1E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1"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line="440" w:lineRule="exact"/>
      <w:ind w:firstLine="1036" w:firstLineChars="200"/>
    </w:pPr>
    <w:rPr>
      <w:rFonts w:eastAsia="华文仿宋" w:asciiTheme="minorAscii" w:hAnsiTheme="minorAscii" w:cstheme="minorBidi"/>
      <w:kern w:val="0"/>
      <w:sz w:val="24"/>
      <w:szCs w:val="22"/>
      <w:lang w:val="en-US" w:eastAsia="en-US" w:bidi="ar-SA"/>
    </w:rPr>
  </w:style>
  <w:style w:type="paragraph" w:styleId="2">
    <w:name w:val="heading 1"/>
    <w:basedOn w:val="1"/>
    <w:next w:val="1"/>
    <w:qFormat/>
    <w:uiPriority w:val="9"/>
    <w:pPr>
      <w:keepNext/>
      <w:keepLines/>
      <w:spacing w:before="300" w:beforeLines="0" w:beforeAutospacing="0" w:after="100" w:afterLines="0" w:afterAutospacing="0" w:line="240" w:lineRule="auto"/>
      <w:ind w:firstLine="0" w:firstLineChars="0"/>
      <w:outlineLvl w:val="0"/>
    </w:pPr>
    <w:rPr>
      <w:b/>
      <w:kern w:val="44"/>
      <w:sz w:val="32"/>
    </w:rPr>
  </w:style>
  <w:style w:type="paragraph" w:styleId="3">
    <w:name w:val="heading 2"/>
    <w:basedOn w:val="1"/>
    <w:next w:val="1"/>
    <w:link w:val="19"/>
    <w:qFormat/>
    <w:uiPriority w:val="1"/>
    <w:pPr>
      <w:spacing w:before="200" w:after="100" w:line="240" w:lineRule="auto"/>
      <w:ind w:firstLine="0" w:firstLineChars="0"/>
      <w:outlineLvl w:val="1"/>
    </w:pPr>
    <w:rPr>
      <w:rFonts w:ascii="Microsoft YaHei UI" w:hAnsi="Microsoft YaHei UI"/>
      <w:b/>
      <w:spacing w:val="2"/>
      <w:sz w:val="30"/>
      <w:szCs w:val="32"/>
      <w:lang w:eastAsia="zh-CN"/>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ind w:firstLine="420" w:firstLineChars="200"/>
      <w:jc w:val="both"/>
    </w:pPr>
    <w:rPr>
      <w:rFonts w:ascii="Times New Roman" w:hAnsi="Times New Roman" w:cs="Times New Roman"/>
      <w:kern w:val="2"/>
      <w:sz w:val="21"/>
      <w:szCs w:val="24"/>
      <w:lang w:eastAsia="zh-CN"/>
    </w:rPr>
  </w:style>
  <w:style w:type="paragraph" w:styleId="6">
    <w:name w:val="annotation text"/>
    <w:basedOn w:val="1"/>
    <w:semiHidden/>
    <w:unhideWhenUsed/>
    <w:qFormat/>
    <w:uiPriority w:val="99"/>
    <w:pPr>
      <w:jc w:val="left"/>
    </w:pPr>
  </w:style>
  <w:style w:type="paragraph" w:styleId="7">
    <w:name w:val="Body Text"/>
    <w:basedOn w:val="1"/>
    <w:link w:val="23"/>
    <w:qFormat/>
    <w:uiPriority w:val="1"/>
    <w:pPr>
      <w:ind w:firstLine="200" w:firstLineChars="200"/>
      <w:jc w:val="both"/>
    </w:pPr>
    <w:rPr>
      <w:rFonts w:ascii="Microsoft YaHei UI" w:hAnsi="Microsoft YaHei UI" w:eastAsia="Microsoft YaHei UI"/>
      <w:sz w:val="21"/>
      <w:szCs w:val="21"/>
    </w:rPr>
  </w:style>
  <w:style w:type="paragraph" w:styleId="8">
    <w:name w:val="toc 3"/>
    <w:basedOn w:val="1"/>
    <w:next w:val="1"/>
    <w:unhideWhenUsed/>
    <w:qFormat/>
    <w:uiPriority w:val="39"/>
    <w:pPr>
      <w:widowControl/>
      <w:spacing w:after="100" w:line="259" w:lineRule="auto"/>
      <w:ind w:left="440"/>
    </w:pPr>
    <w:rPr>
      <w:rFonts w:cs="Times New Roman"/>
      <w:lang w:eastAsia="zh-CN"/>
    </w:rPr>
  </w:style>
  <w:style w:type="paragraph" w:styleId="9">
    <w:name w:val="footer"/>
    <w:basedOn w:val="1"/>
    <w:link w:val="28"/>
    <w:unhideWhenUsed/>
    <w:qFormat/>
    <w:uiPriority w:val="99"/>
    <w:pPr>
      <w:tabs>
        <w:tab w:val="center" w:pos="4153"/>
        <w:tab w:val="right" w:pos="8306"/>
      </w:tabs>
      <w:snapToGrid w:val="0"/>
    </w:pPr>
    <w:rPr>
      <w:sz w:val="18"/>
      <w:szCs w:val="18"/>
    </w:rPr>
  </w:style>
  <w:style w:type="paragraph" w:styleId="10">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spacing w:after="100" w:line="259" w:lineRule="auto"/>
    </w:pPr>
    <w:rPr>
      <w:rFonts w:cs="Times New Roman"/>
      <w:lang w:eastAsia="zh-CN"/>
    </w:rPr>
  </w:style>
  <w:style w:type="paragraph" w:styleId="12">
    <w:name w:val="toc 2"/>
    <w:basedOn w:val="1"/>
    <w:next w:val="1"/>
    <w:semiHidden/>
    <w:unhideWhenUsed/>
    <w:qFormat/>
    <w:uiPriority w:val="39"/>
    <w:pPr>
      <w:ind w:left="420" w:leftChars="200"/>
    </w:pPr>
  </w:style>
  <w:style w:type="paragraph" w:styleId="13">
    <w:name w:val="Normal (Web)"/>
    <w:basedOn w:val="1"/>
    <w:semiHidden/>
    <w:unhideWhenUsed/>
    <w:qFormat/>
    <w:uiPriority w:val="99"/>
    <w:rPr>
      <w:sz w:val="24"/>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99"/>
    <w:rPr>
      <w:rFonts w:cs="宋体"/>
      <w:b/>
      <w:bCs/>
    </w:rPr>
  </w:style>
  <w:style w:type="character" w:styleId="18">
    <w:name w:val="Hyperlink"/>
    <w:basedOn w:val="16"/>
    <w:semiHidden/>
    <w:unhideWhenUsed/>
    <w:qFormat/>
    <w:uiPriority w:val="99"/>
    <w:rPr>
      <w:color w:val="0000FF"/>
      <w:u w:val="single"/>
    </w:rPr>
  </w:style>
  <w:style w:type="character" w:customStyle="1" w:styleId="19">
    <w:name w:val="标题 2 字符"/>
    <w:basedOn w:val="16"/>
    <w:link w:val="3"/>
    <w:qFormat/>
    <w:uiPriority w:val="1"/>
    <w:rPr>
      <w:rFonts w:ascii="Microsoft YaHei UI" w:hAnsi="Microsoft YaHei UI" w:eastAsia="华文仿宋"/>
      <w:b/>
      <w:spacing w:val="2"/>
      <w:kern w:val="0"/>
      <w:sz w:val="30"/>
      <w:szCs w:val="32"/>
    </w:rPr>
  </w:style>
  <w:style w:type="paragraph" w:customStyle="1" w:styleId="20">
    <w:name w:val="默认段落字体 Para Char"/>
    <w:basedOn w:val="21"/>
    <w:next w:val="1"/>
    <w:qFormat/>
    <w:uiPriority w:val="0"/>
    <w:pPr>
      <w:tabs>
        <w:tab w:val="left" w:pos="360"/>
        <w:tab w:val="left" w:pos="1008"/>
      </w:tabs>
      <w:ind w:left="420" w:hanging="420"/>
    </w:pPr>
  </w:style>
  <w:style w:type="paragraph" w:customStyle="1" w:styleId="21">
    <w:name w:val="Normal_1"/>
    <w:next w:val="20"/>
    <w:qFormat/>
    <w:uiPriority w:val="0"/>
    <w:rPr>
      <w:rFonts w:ascii="Times New Roman" w:hAnsi="Times New Roman" w:eastAsia="Times New Roman" w:cs="Times New Roman"/>
      <w:sz w:val="24"/>
      <w:szCs w:val="24"/>
      <w:lang w:val="en-US" w:eastAsia="zh-CN" w:bidi="ar-SA"/>
    </w:rPr>
  </w:style>
  <w:style w:type="table" w:customStyle="1" w:styleId="22">
    <w:name w:val="Table Normal"/>
    <w:semiHidden/>
    <w:unhideWhenUsed/>
    <w:qFormat/>
    <w:uiPriority w:val="2"/>
    <w:pPr>
      <w:widowControl w:val="0"/>
    </w:pPr>
    <w:rPr>
      <w:kern w:val="0"/>
      <w:sz w:val="22"/>
      <w:lang w:eastAsia="en-US"/>
    </w:rPr>
    <w:tblPr>
      <w:tblCellMar>
        <w:top w:w="0" w:type="dxa"/>
        <w:left w:w="0" w:type="dxa"/>
        <w:bottom w:w="0" w:type="dxa"/>
        <w:right w:w="0" w:type="dxa"/>
      </w:tblCellMar>
    </w:tblPr>
  </w:style>
  <w:style w:type="character" w:customStyle="1" w:styleId="23">
    <w:name w:val="正文文本 字符"/>
    <w:basedOn w:val="16"/>
    <w:link w:val="7"/>
    <w:qFormat/>
    <w:uiPriority w:val="1"/>
    <w:rPr>
      <w:rFonts w:ascii="Microsoft YaHei UI" w:hAnsi="Microsoft YaHei UI" w:eastAsia="Microsoft YaHei UI"/>
      <w:kern w:val="0"/>
      <w:szCs w:val="21"/>
      <w:lang w:eastAsia="en-US"/>
    </w:rPr>
  </w:style>
  <w:style w:type="paragraph" w:customStyle="1" w:styleId="24">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
    <w:name w:val="Table Paragraph"/>
    <w:basedOn w:val="1"/>
    <w:qFormat/>
    <w:uiPriority w:val="1"/>
  </w:style>
  <w:style w:type="paragraph" w:customStyle="1" w:styleId="26">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27">
    <w:name w:val="页眉 字符"/>
    <w:basedOn w:val="16"/>
    <w:link w:val="10"/>
    <w:qFormat/>
    <w:uiPriority w:val="99"/>
    <w:rPr>
      <w:kern w:val="0"/>
      <w:sz w:val="18"/>
      <w:szCs w:val="18"/>
      <w:lang w:eastAsia="en-US"/>
    </w:rPr>
  </w:style>
  <w:style w:type="character" w:customStyle="1" w:styleId="28">
    <w:name w:val="页脚 字符"/>
    <w:basedOn w:val="16"/>
    <w:link w:val="9"/>
    <w:qFormat/>
    <w:uiPriority w:val="99"/>
    <w:rPr>
      <w:kern w:val="0"/>
      <w:sz w:val="18"/>
      <w:szCs w:val="18"/>
      <w:lang w:eastAsia="en-US"/>
    </w:rPr>
  </w:style>
  <w:style w:type="paragraph" w:styleId="29">
    <w:name w:val="List Paragraph"/>
    <w:basedOn w:val="1"/>
    <w:qFormat/>
    <w:uiPriority w:val="34"/>
    <w:pPr>
      <w:ind w:firstLine="420" w:firstLineChars="200"/>
      <w:jc w:val="both"/>
    </w:pPr>
    <w:rPr>
      <w:kern w:val="2"/>
      <w:sz w:val="21"/>
      <w:lang w:eastAsia="zh-CN"/>
    </w:rPr>
  </w:style>
  <w:style w:type="character" w:customStyle="1" w:styleId="30">
    <w:name w:val="样式 楷体_GB2312 黑色"/>
    <w:qFormat/>
    <w:uiPriority w:val="0"/>
    <w:rPr>
      <w:rFonts w:ascii="楷体_GB2312" w:hAnsi="楷体_GB2312" w:eastAsia="楷体_GB2312"/>
      <w:color w:val="000000"/>
    </w:rPr>
  </w:style>
  <w:style w:type="character" w:customStyle="1" w:styleId="31">
    <w:name w:val="font71"/>
    <w:basedOn w:val="16"/>
    <w:qFormat/>
    <w:uiPriority w:val="0"/>
    <w:rPr>
      <w:rFonts w:ascii="Calibri" w:hAnsi="Calibri" w:cs="Calibri"/>
      <w:color w:val="auto"/>
      <w:sz w:val="24"/>
      <w:szCs w:val="24"/>
      <w:u w:val="none"/>
    </w:rPr>
  </w:style>
  <w:style w:type="character" w:customStyle="1" w:styleId="32">
    <w:name w:val="font61"/>
    <w:basedOn w:val="16"/>
    <w:qFormat/>
    <w:uiPriority w:val="0"/>
    <w:rPr>
      <w:rFonts w:hint="eastAsia" w:ascii="宋体" w:hAnsi="宋体" w:eastAsia="宋体" w:cs="宋体"/>
      <w:color w:val="auto"/>
      <w:sz w:val="24"/>
      <w:szCs w:val="24"/>
      <w:u w:val="none"/>
    </w:rPr>
  </w:style>
  <w:style w:type="character" w:customStyle="1" w:styleId="33">
    <w:name w:val="font111"/>
    <w:basedOn w:val="16"/>
    <w:qFormat/>
    <w:uiPriority w:val="0"/>
    <w:rPr>
      <w:rFonts w:hint="eastAsia" w:ascii="宋体" w:hAnsi="宋体" w:eastAsia="宋体" w:cs="宋体"/>
      <w:color w:val="auto"/>
      <w:sz w:val="21"/>
      <w:szCs w:val="21"/>
      <w:u w:val="none"/>
    </w:rPr>
  </w:style>
  <w:style w:type="character" w:customStyle="1" w:styleId="34">
    <w:name w:val="font161"/>
    <w:basedOn w:val="16"/>
    <w:qFormat/>
    <w:uiPriority w:val="0"/>
    <w:rPr>
      <w:rFonts w:hint="eastAsia" w:ascii="等线" w:hAnsi="等线" w:eastAsia="等线" w:cs="等线"/>
      <w:color w:val="000000"/>
      <w:sz w:val="22"/>
      <w:szCs w:val="22"/>
      <w:u w:val="none"/>
    </w:rPr>
  </w:style>
  <w:style w:type="character" w:customStyle="1" w:styleId="35">
    <w:name w:val="font121"/>
    <w:basedOn w:val="16"/>
    <w:qFormat/>
    <w:uiPriority w:val="0"/>
    <w:rPr>
      <w:rFonts w:hint="default" w:ascii="Times New Roman" w:hAnsi="Times New Roman" w:cs="Times New Roman"/>
      <w:color w:val="auto"/>
      <w:sz w:val="21"/>
      <w:szCs w:val="21"/>
      <w:u w:val="none"/>
    </w:rPr>
  </w:style>
  <w:style w:type="character" w:customStyle="1" w:styleId="36">
    <w:name w:val="font141"/>
    <w:basedOn w:val="16"/>
    <w:qFormat/>
    <w:uiPriority w:val="0"/>
    <w:rPr>
      <w:rFonts w:ascii="Calibri" w:hAnsi="Calibri" w:cs="Calibri"/>
      <w:color w:val="auto"/>
      <w:sz w:val="21"/>
      <w:szCs w:val="21"/>
      <w:u w:val="none"/>
    </w:rPr>
  </w:style>
  <w:style w:type="character" w:customStyle="1" w:styleId="37">
    <w:name w:val="font171"/>
    <w:basedOn w:val="16"/>
    <w:qFormat/>
    <w:uiPriority w:val="0"/>
    <w:rPr>
      <w:rFonts w:hint="eastAsia" w:ascii="等线" w:hAnsi="等线" w:eastAsia="等线" w:cs="等线"/>
      <w:color w:val="000000"/>
      <w:sz w:val="22"/>
      <w:szCs w:val="22"/>
      <w:u w:val="none"/>
    </w:rPr>
  </w:style>
  <w:style w:type="character" w:customStyle="1" w:styleId="38">
    <w:name w:val="font101"/>
    <w:basedOn w:val="16"/>
    <w:qFormat/>
    <w:uiPriority w:val="0"/>
    <w:rPr>
      <w:rFonts w:hint="eastAsia" w:ascii="宋体" w:hAnsi="宋体" w:eastAsia="宋体" w:cs="宋体"/>
      <w:color w:val="000000"/>
      <w:sz w:val="22"/>
      <w:szCs w:val="22"/>
      <w:u w:val="none"/>
    </w:rPr>
  </w:style>
  <w:style w:type="character" w:customStyle="1" w:styleId="39">
    <w:name w:val="font131"/>
    <w:basedOn w:val="16"/>
    <w:qFormat/>
    <w:uiPriority w:val="0"/>
    <w:rPr>
      <w:rFonts w:hint="eastAsia" w:ascii="宋体" w:hAnsi="宋体" w:eastAsia="宋体" w:cs="宋体"/>
      <w:color w:val="auto"/>
      <w:sz w:val="22"/>
      <w:szCs w:val="22"/>
      <w:u w:val="none"/>
    </w:rPr>
  </w:style>
  <w:style w:type="character" w:customStyle="1" w:styleId="40">
    <w:name w:val="font91"/>
    <w:basedOn w:val="16"/>
    <w:qFormat/>
    <w:uiPriority w:val="0"/>
    <w:rPr>
      <w:rFonts w:hint="default" w:ascii="Calibri" w:hAnsi="Calibri" w:cs="Calibri"/>
      <w:color w:val="000000"/>
      <w:sz w:val="22"/>
      <w:szCs w:val="22"/>
      <w:u w:val="none"/>
    </w:rPr>
  </w:style>
  <w:style w:type="character" w:customStyle="1" w:styleId="41">
    <w:name w:val="font81"/>
    <w:basedOn w:val="16"/>
    <w:qFormat/>
    <w:uiPriority w:val="0"/>
    <w:rPr>
      <w:rFonts w:hint="eastAsia" w:ascii="等线" w:hAnsi="等线" w:eastAsia="等线" w:cs="等线"/>
      <w:color w:val="000000"/>
      <w:sz w:val="22"/>
      <w:szCs w:val="22"/>
      <w:u w:val="none"/>
    </w:rPr>
  </w:style>
  <w:style w:type="character" w:customStyle="1" w:styleId="42">
    <w:name w:val="font151"/>
    <w:basedOn w:val="16"/>
    <w:qFormat/>
    <w:uiPriority w:val="0"/>
    <w:rPr>
      <w:rFonts w:hint="eastAsia" w:ascii="等线" w:hAnsi="等线" w:eastAsia="等线" w:cs="等线"/>
      <w:color w:val="auto"/>
      <w:sz w:val="21"/>
      <w:szCs w:val="21"/>
      <w:u w:val="none"/>
    </w:rPr>
  </w:style>
  <w:style w:type="character" w:customStyle="1" w:styleId="43">
    <w:name w:val="font01"/>
    <w:basedOn w:val="16"/>
    <w:qFormat/>
    <w:uiPriority w:val="0"/>
    <w:rPr>
      <w:rFonts w:hint="eastAsia" w:ascii="宋体" w:hAnsi="宋体" w:eastAsia="宋体" w:cs="宋体"/>
      <w:color w:val="000000"/>
      <w:sz w:val="21"/>
      <w:szCs w:val="21"/>
      <w:u w:val="none"/>
    </w:rPr>
  </w:style>
  <w:style w:type="character" w:customStyle="1" w:styleId="44">
    <w:name w:val="font51"/>
    <w:basedOn w:val="16"/>
    <w:qFormat/>
    <w:uiPriority w:val="0"/>
    <w:rPr>
      <w:rFonts w:hint="eastAsia" w:ascii="等线" w:hAnsi="等线" w:eastAsia="等线" w:cs="等线"/>
      <w:color w:val="000000"/>
      <w:sz w:val="22"/>
      <w:szCs w:val="22"/>
      <w:u w:val="none"/>
    </w:rPr>
  </w:style>
  <w:style w:type="character" w:customStyle="1" w:styleId="45">
    <w:name w:val="font41"/>
    <w:basedOn w:val="16"/>
    <w:qFormat/>
    <w:uiPriority w:val="0"/>
    <w:rPr>
      <w:rFonts w:ascii="Calibri" w:hAnsi="Calibri" w:cs="Calibri"/>
      <w:color w:val="000000"/>
      <w:sz w:val="21"/>
      <w:szCs w:val="21"/>
      <w:u w:val="none"/>
    </w:rPr>
  </w:style>
  <w:style w:type="character" w:customStyle="1" w:styleId="46">
    <w:name w:val="font112"/>
    <w:basedOn w:val="16"/>
    <w:qFormat/>
    <w:uiPriority w:val="0"/>
    <w:rPr>
      <w:rFonts w:hint="eastAsia" w:ascii="宋体" w:hAnsi="宋体" w:eastAsia="宋体" w:cs="宋体"/>
      <w:color w:val="000000"/>
      <w:sz w:val="22"/>
      <w:szCs w:val="22"/>
      <w:u w:val="none"/>
    </w:rPr>
  </w:style>
  <w:style w:type="character" w:customStyle="1" w:styleId="47">
    <w:name w:val="font31"/>
    <w:basedOn w:val="16"/>
    <w:qFormat/>
    <w:uiPriority w:val="0"/>
    <w:rPr>
      <w:rFonts w:hint="eastAsia" w:ascii="宋体" w:hAnsi="宋体" w:eastAsia="宋体" w:cs="宋体"/>
      <w:color w:val="000000"/>
      <w:sz w:val="22"/>
      <w:szCs w:val="22"/>
      <w:u w:val="none"/>
    </w:rPr>
  </w:style>
  <w:style w:type="character" w:customStyle="1" w:styleId="48">
    <w:name w:val="font21"/>
    <w:basedOn w:val="16"/>
    <w:qFormat/>
    <w:uiPriority w:val="0"/>
    <w:rPr>
      <w:rFonts w:hint="eastAsia" w:ascii="等线" w:hAnsi="等线" w:eastAsia="等线" w:cs="等线"/>
      <w:color w:val="000000"/>
      <w:sz w:val="22"/>
      <w:szCs w:val="22"/>
      <w:u w:val="none"/>
    </w:rPr>
  </w:style>
  <w:style w:type="character" w:customStyle="1" w:styleId="49">
    <w:name w:val="font122"/>
    <w:basedOn w:val="16"/>
    <w:qFormat/>
    <w:uiPriority w:val="0"/>
    <w:rPr>
      <w:rFonts w:hint="eastAsia" w:ascii="宋体" w:hAnsi="宋体" w:eastAsia="宋体" w:cs="宋体"/>
      <w:color w:val="000000"/>
      <w:sz w:val="22"/>
      <w:szCs w:val="22"/>
      <w:u w:val="none"/>
    </w:rPr>
  </w:style>
  <w:style w:type="character" w:customStyle="1" w:styleId="50">
    <w:name w:val="font12"/>
    <w:basedOn w:val="16"/>
    <w:qFormat/>
    <w:uiPriority w:val="0"/>
    <w:rPr>
      <w:rFonts w:hint="eastAsia" w:ascii="等线" w:hAnsi="等线" w:eastAsia="等线" w:cs="等线"/>
      <w:color w:val="000000"/>
      <w:sz w:val="21"/>
      <w:szCs w:val="21"/>
      <w:u w:val="none"/>
    </w:rPr>
  </w:style>
  <w:style w:type="paragraph" w:customStyle="1" w:styleId="51">
    <w:name w:val="标题 21"/>
    <w:basedOn w:val="52"/>
    <w:next w:val="52"/>
    <w:qFormat/>
    <w:uiPriority w:val="1"/>
    <w:pPr>
      <w:spacing w:line="479" w:lineRule="exact"/>
      <w:outlineLvl w:val="1"/>
    </w:pPr>
    <w:rPr>
      <w:rFonts w:ascii="Microsoft YaHei UI" w:hAnsi="Microsoft YaHei UI" w:eastAsia="Microsoft YaHei UI"/>
      <w:spacing w:val="2"/>
      <w:sz w:val="32"/>
      <w:szCs w:val="32"/>
      <w:lang w:eastAsia="zh-CN"/>
    </w:rPr>
  </w:style>
  <w:style w:type="paragraph" w:customStyle="1" w:styleId="52">
    <w:name w:val="正文1"/>
    <w:qFormat/>
    <w:uiPriority w:val="1"/>
    <w:pPr>
      <w:widowControl w:val="0"/>
    </w:pPr>
    <w:rPr>
      <w:rFonts w:asciiTheme="minorHAnsi" w:hAnsiTheme="minorHAnsi" w:eastAsiaTheme="minorEastAsia" w:cstheme="minorBidi"/>
      <w:sz w:val="22"/>
      <w:szCs w:val="22"/>
      <w:lang w:val="en-US" w:eastAsia="en-US" w:bidi="ar-SA"/>
    </w:rPr>
  </w:style>
  <w:style w:type="character" w:customStyle="1" w:styleId="53">
    <w:name w:val="font11"/>
    <w:basedOn w:val="1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33</Pages>
  <Words>6985</Words>
  <Characters>7830</Characters>
  <Lines>8</Lines>
  <Paragraphs>2</Paragraphs>
  <TotalTime>1</TotalTime>
  <ScaleCrop>false</ScaleCrop>
  <LinksUpToDate>false</LinksUpToDate>
  <CharactersWithSpaces>7933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2019-09-25T03:31:00Z</dcterms:created>
  <dc:creator>王琴</dc:creator>
  <cp:lastModifiedBy>Admin</cp:lastModifiedBy>
  <cp:lastPrinted>2025-10-29T02:33:00Z</cp:lastPrinted>
  <dcterms:modified xsi:type="dcterms:W3CDTF">2026-06-29T03:04:59Z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B1DF00A8A4D24D2F8840CD7A3798E4C6</vt:lpwstr>
  </property>
  <property fmtid="{D5CDD505-2E9C-101B-9397-08002B2CF9AE}" pid="4" name="KSOTemplateDocerSaveRecord">
    <vt:lpwstr>eyJoZGlkIjoiYmEyZDMxNWRkYmY5MjE3NjUxYTk3ZDA1NDUyNmVkYWEiLCJ1c2VySWQiOiIzOTg0NTYyMTgifQ==</vt:lpwstr>
  </property>
</Properties>
</file>