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autoSpaceDE w:val="0"/>
        <w:autoSpaceDN w:val="0"/>
        <w:bidi w:val="0"/>
        <w:spacing w:before="120" w:after="120" w:line="360" w:lineRule="auto"/>
        <w:ind w:right="-20"/>
        <w:jc w:val="center"/>
        <w:rPr>
          <w:rFonts w:hint="eastAsia" w:asciiTheme="minorEastAsia" w:hAnsiTheme="minorEastAsia" w:eastAsiaTheme="minorEastAsia" w:cstheme="minorEastAsia"/>
          <w:b/>
          <w:spacing w:val="2"/>
          <w:w w:val="99"/>
          <w:kern w:val="0"/>
          <w:sz w:val="24"/>
          <w:szCs w:val="24"/>
        </w:rPr>
      </w:pPr>
    </w:p>
    <w:p>
      <w:pPr>
        <w:kinsoku/>
        <w:wordWrap/>
        <w:overflowPunct/>
        <w:topLinePunct w:val="0"/>
        <w:autoSpaceDE w:val="0"/>
        <w:autoSpaceDN w:val="0"/>
        <w:bidi w:val="0"/>
        <w:spacing w:before="120" w:after="120" w:line="360" w:lineRule="auto"/>
        <w:ind w:right="-20"/>
        <w:jc w:val="center"/>
        <w:rPr>
          <w:rFonts w:hint="eastAsia" w:asciiTheme="minorEastAsia" w:hAnsiTheme="minorEastAsia" w:eastAsiaTheme="minorEastAsia" w:cstheme="minorEastAsia"/>
          <w:b/>
          <w:spacing w:val="2"/>
          <w:w w:val="99"/>
          <w:kern w:val="0"/>
          <w:sz w:val="24"/>
          <w:szCs w:val="24"/>
        </w:rPr>
      </w:pPr>
    </w:p>
    <w:p>
      <w:pPr>
        <w:pStyle w:val="5"/>
        <w:rPr>
          <w:rFonts w:hint="eastAsia" w:asciiTheme="minorEastAsia" w:hAnsiTheme="minorEastAsia" w:eastAsiaTheme="minorEastAsia" w:cstheme="minorEastAsia"/>
          <w:b/>
          <w:spacing w:val="2"/>
          <w:w w:val="99"/>
          <w:kern w:val="0"/>
          <w:sz w:val="24"/>
          <w:szCs w:val="24"/>
        </w:rPr>
      </w:pPr>
    </w:p>
    <w:p>
      <w:pPr>
        <w:pStyle w:val="5"/>
        <w:rPr>
          <w:rFonts w:hint="eastAsia" w:asciiTheme="minorEastAsia" w:hAnsiTheme="minorEastAsia" w:eastAsiaTheme="minorEastAsia" w:cstheme="minorEastAsia"/>
          <w:b/>
          <w:spacing w:val="2"/>
          <w:w w:val="99"/>
          <w:kern w:val="0"/>
          <w:sz w:val="24"/>
          <w:szCs w:val="24"/>
        </w:rPr>
      </w:pPr>
    </w:p>
    <w:p>
      <w:pPr>
        <w:kinsoku/>
        <w:wordWrap/>
        <w:overflowPunct/>
        <w:topLinePunct w:val="0"/>
        <w:autoSpaceDE w:val="0"/>
        <w:autoSpaceDN w:val="0"/>
        <w:bidi w:val="0"/>
        <w:spacing w:before="120" w:after="120" w:line="360" w:lineRule="auto"/>
        <w:ind w:right="-20"/>
        <w:jc w:val="center"/>
        <w:rPr>
          <w:rFonts w:cs="Arial Unicode MS" w:asciiTheme="minorEastAsia" w:hAnsiTheme="minorEastAsia"/>
          <w:b/>
          <w:spacing w:val="2"/>
          <w:w w:val="99"/>
          <w:sz w:val="52"/>
          <w:szCs w:val="52"/>
          <w:lang w:eastAsia="zh-CN"/>
        </w:rPr>
      </w:pPr>
      <w:r>
        <w:rPr>
          <w:rFonts w:cs="Arial Unicode MS" w:asciiTheme="minorEastAsia" w:hAnsiTheme="minorEastAsia"/>
          <w:b/>
          <w:spacing w:val="2"/>
          <w:w w:val="99"/>
          <w:sz w:val="52"/>
          <w:szCs w:val="52"/>
          <w:lang w:eastAsia="zh-CN"/>
        </w:rPr>
        <w:drawing>
          <wp:inline distT="0" distB="0" distL="0" distR="0">
            <wp:extent cx="1799590" cy="1619885"/>
            <wp:effectExtent l="0" t="0" r="10160" b="1841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1620000"/>
                    </a:xfrm>
                    <a:prstGeom prst="rect">
                      <a:avLst/>
                    </a:prstGeom>
                  </pic:spPr>
                </pic:pic>
              </a:graphicData>
            </a:graphic>
          </wp:inline>
        </w:drawing>
      </w:r>
    </w:p>
    <w:p>
      <w:pPr>
        <w:pStyle w:val="5"/>
        <w:rPr>
          <w:rFonts w:cs="Arial Unicode MS" w:asciiTheme="minorEastAsia" w:hAnsiTheme="minorEastAsia"/>
          <w:b/>
          <w:spacing w:val="2"/>
          <w:w w:val="99"/>
          <w:sz w:val="52"/>
          <w:szCs w:val="52"/>
          <w:lang w:eastAsia="zh-CN"/>
        </w:rPr>
      </w:pPr>
    </w:p>
    <w:p>
      <w:pPr>
        <w:pStyle w:val="5"/>
        <w:rPr>
          <w:rFonts w:hint="eastAsia" w:cs="Arial Unicode MS" w:asciiTheme="minorEastAsia" w:hAnsiTheme="minorEastAsia"/>
          <w:b/>
          <w:spacing w:val="2"/>
          <w:w w:val="99"/>
          <w:sz w:val="52"/>
          <w:szCs w:val="52"/>
          <w:lang w:eastAsia="zh-CN"/>
        </w:rPr>
      </w:pPr>
    </w:p>
    <w:p>
      <w:pPr>
        <w:kinsoku/>
        <w:wordWrap/>
        <w:overflowPunct/>
        <w:topLinePunct w:val="0"/>
        <w:autoSpaceDE w:val="0"/>
        <w:autoSpaceDN w:val="0"/>
        <w:bidi w:val="0"/>
        <w:spacing w:before="120" w:after="120" w:line="360" w:lineRule="auto"/>
        <w:ind w:right="-20"/>
        <w:rPr>
          <w:rFonts w:hint="eastAsia" w:asciiTheme="minorEastAsia" w:hAnsiTheme="minorEastAsia" w:eastAsiaTheme="minorEastAsia" w:cstheme="minorEastAsia"/>
          <w:b/>
          <w:spacing w:val="2"/>
          <w:w w:val="99"/>
          <w:kern w:val="0"/>
          <w:sz w:val="24"/>
          <w:szCs w:val="24"/>
        </w:rPr>
      </w:pPr>
    </w:p>
    <w:p>
      <w:pPr>
        <w:jc w:val="center"/>
        <w:rPr>
          <w:rFonts w:hint="eastAsia" w:ascii="微软雅黑" w:hAnsi="微软雅黑" w:eastAsia="微软雅黑" w:cs="Arial Unicode MS"/>
          <w:b/>
          <w:color w:val="000000"/>
          <w:spacing w:val="2"/>
          <w:w w:val="99"/>
          <w:kern w:val="0"/>
          <w:sz w:val="52"/>
          <w:szCs w:val="52"/>
          <w:lang w:eastAsia="zh-CN"/>
        </w:rPr>
      </w:pPr>
      <w:r>
        <w:rPr>
          <w:rFonts w:hint="eastAsia" w:ascii="微软雅黑" w:hAnsi="微软雅黑" w:eastAsia="微软雅黑" w:cs="Arial Unicode MS"/>
          <w:b/>
          <w:color w:val="000000"/>
          <w:spacing w:val="2"/>
          <w:w w:val="99"/>
          <w:kern w:val="0"/>
          <w:sz w:val="52"/>
          <w:szCs w:val="52"/>
          <w:lang w:eastAsia="zh-CN"/>
        </w:rPr>
        <w:t>中海油能源发展股份有限公司</w:t>
      </w:r>
    </w:p>
    <w:p>
      <w:pPr>
        <w:pStyle w:val="4"/>
        <w:ind w:left="0" w:leftChars="0" w:firstLine="0" w:firstLineChars="0"/>
        <w:rPr>
          <w:rFonts w:hint="eastAsia" w:ascii="宋体" w:hAnsi="宋体" w:eastAsia="宋体" w:cs="宋体"/>
          <w:spacing w:val="2"/>
          <w:w w:val="99"/>
          <w:sz w:val="48"/>
          <w:szCs w:val="48"/>
          <w:highlight w:val="none"/>
          <w:u w:val="single"/>
          <w:lang w:eastAsia="zh-CN"/>
        </w:rPr>
      </w:pPr>
    </w:p>
    <w:p>
      <w:pPr>
        <w:pStyle w:val="5"/>
        <w:jc w:val="center"/>
        <w:rPr>
          <w:rFonts w:hint="eastAsia" w:ascii="宋体" w:hAnsi="宋体" w:eastAsia="宋体" w:cs="宋体"/>
          <w:spacing w:val="2"/>
          <w:w w:val="99"/>
          <w:sz w:val="48"/>
          <w:szCs w:val="48"/>
          <w:highlight w:val="none"/>
          <w:u w:val="single"/>
          <w:lang w:eastAsia="zh-CN"/>
        </w:rPr>
      </w:pPr>
      <w:r>
        <w:rPr>
          <w:rFonts w:hint="eastAsia" w:ascii="宋体" w:hAnsi="宋体" w:eastAsia="宋体" w:cs="宋体"/>
          <w:spacing w:val="2"/>
          <w:w w:val="99"/>
          <w:sz w:val="48"/>
          <w:szCs w:val="48"/>
          <w:highlight w:val="none"/>
          <w:u w:val="single"/>
          <w:lang w:eastAsia="zh-CN"/>
        </w:rPr>
        <w:t>南海东部海上平台防火涂料采购</w:t>
      </w:r>
    </w:p>
    <w:p>
      <w:pPr>
        <w:pStyle w:val="5"/>
        <w:jc w:val="center"/>
        <w:rPr>
          <w:rFonts w:hint="eastAsia" w:ascii="宋体" w:hAnsi="宋体" w:eastAsia="宋体" w:cs="宋体"/>
          <w:spacing w:val="2"/>
          <w:w w:val="99"/>
          <w:sz w:val="48"/>
          <w:szCs w:val="48"/>
          <w:highlight w:val="none"/>
          <w:u w:val="single"/>
          <w:lang w:val="en-US" w:eastAsia="zh-CN"/>
        </w:rPr>
      </w:pPr>
    </w:p>
    <w:p>
      <w:pPr>
        <w:pStyle w:val="5"/>
        <w:jc w:val="center"/>
        <w:rPr>
          <w:rFonts w:hint="default" w:ascii="微软雅黑" w:hAnsi="微软雅黑" w:eastAsia="微软雅黑" w:cs="Arial Unicode MS"/>
          <w:b/>
          <w:color w:val="000000"/>
          <w:spacing w:val="2"/>
          <w:w w:val="99"/>
          <w:kern w:val="0"/>
          <w:sz w:val="52"/>
          <w:szCs w:val="52"/>
          <w:lang w:val="en-US" w:eastAsia="zh-CN" w:bidi="ar-SA"/>
        </w:rPr>
      </w:pPr>
      <w:r>
        <w:rPr>
          <w:rFonts w:hint="eastAsia" w:ascii="微软雅黑" w:hAnsi="微软雅黑" w:eastAsia="微软雅黑" w:cs="Arial Unicode MS"/>
          <w:b/>
          <w:color w:val="000000"/>
          <w:spacing w:val="2"/>
          <w:w w:val="99"/>
          <w:kern w:val="0"/>
          <w:sz w:val="52"/>
          <w:szCs w:val="52"/>
          <w:lang w:val="en-US" w:eastAsia="zh-CN"/>
        </w:rPr>
        <w:t>采购商务建议书</w:t>
      </w:r>
    </w:p>
    <w:p>
      <w:pPr>
        <w:pStyle w:val="5"/>
        <w:jc w:val="center"/>
        <w:rPr>
          <w:rFonts w:hint="eastAsia" w:ascii="微软雅黑" w:hAnsi="微软雅黑" w:eastAsia="微软雅黑" w:cs="Arial Unicode MS"/>
          <w:b/>
          <w:color w:val="000000"/>
          <w:spacing w:val="2"/>
          <w:w w:val="99"/>
          <w:kern w:val="0"/>
          <w:sz w:val="52"/>
          <w:szCs w:val="52"/>
          <w:lang w:val="en-US" w:eastAsia="zh-CN" w:bidi="ar-SA"/>
        </w:rPr>
      </w:pPr>
    </w:p>
    <w:p>
      <w:pPr>
        <w:pStyle w:val="5"/>
        <w:jc w:val="center"/>
        <w:rPr>
          <w:rFonts w:hint="eastAsia" w:ascii="微软雅黑" w:hAnsi="微软雅黑" w:eastAsia="微软雅黑" w:cs="Arial Unicode MS"/>
          <w:b/>
          <w:color w:val="000000"/>
          <w:spacing w:val="2"/>
          <w:w w:val="99"/>
          <w:kern w:val="0"/>
          <w:sz w:val="52"/>
          <w:szCs w:val="52"/>
          <w:lang w:val="en-US" w:eastAsia="zh-CN" w:bidi="ar-SA"/>
        </w:rPr>
      </w:pPr>
    </w:p>
    <w:p>
      <w:pPr>
        <w:pStyle w:val="5"/>
        <w:jc w:val="both"/>
        <w:rPr>
          <w:rFonts w:hint="eastAsia" w:ascii="微软雅黑" w:hAnsi="微软雅黑" w:eastAsia="微软雅黑" w:cs="Arial Unicode MS"/>
          <w:b/>
          <w:color w:val="000000"/>
          <w:spacing w:val="2"/>
          <w:w w:val="99"/>
          <w:kern w:val="0"/>
          <w:sz w:val="52"/>
          <w:szCs w:val="52"/>
          <w:lang w:val="en-US" w:eastAsia="zh-CN" w:bidi="ar-SA"/>
        </w:rPr>
      </w:pPr>
    </w:p>
    <w:p>
      <w:pPr>
        <w:pStyle w:val="5"/>
        <w:jc w:val="center"/>
        <w:rPr>
          <w:rFonts w:hint="eastAsia" w:ascii="黑体" w:hAnsi="黑体" w:eastAsia="黑体" w:cstheme="majorBidi"/>
          <w:color w:val="auto"/>
          <w:kern w:val="0"/>
          <w:sz w:val="32"/>
          <w:szCs w:val="32"/>
          <w:highlight w:val="none"/>
          <w:lang w:val="zh-CN" w:eastAsia="zh-CN" w:bidi="ar-SA"/>
        </w:rPr>
      </w:pPr>
    </w:p>
    <w:p>
      <w:pPr>
        <w:numPr>
          <w:ilvl w:val="0"/>
          <w:numId w:val="1"/>
        </w:num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引用已建设商务标准</w:t>
      </w:r>
    </w:p>
    <w:p>
      <w:pPr>
        <w:pStyle w:val="5"/>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如引用已建设的商务标准，描述规则是：已引用该商务标准对应品类的名称。</w:t>
      </w:r>
    </w:p>
    <w:p>
      <w:pPr>
        <w:spacing w:before="312" w:beforeLines="100" w:after="312" w:afterLines="100" w:line="240" w:lineRule="auto"/>
        <w:jc w:val="both"/>
        <w:outlineLvl w:val="0"/>
        <w:rPr>
          <w:rFonts w:hint="eastAsia" w:ascii="宋体" w:hAnsi="宋体" w:cs="宋体" w:eastAsiaTheme="minorEastAsia"/>
          <w:b w:val="0"/>
          <w:bCs w:val="0"/>
          <w:color w:val="auto"/>
          <w:kern w:val="44"/>
          <w:sz w:val="24"/>
          <w:szCs w:val="24"/>
          <w:highlight w:val="none"/>
          <w:lang w:val="en-US" w:eastAsia="zh-CN"/>
        </w:rPr>
      </w:pPr>
      <w:r>
        <w:rPr>
          <w:rFonts w:hint="eastAsia"/>
          <w:lang w:val="en-US" w:eastAsia="zh-CN"/>
        </w:rPr>
        <w:t xml:space="preserve"> 无</w:t>
      </w:r>
    </w:p>
    <w:p>
      <w:p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如未建设商务标准或已发布的标准不可用时，商务要求建议如下：</w:t>
      </w:r>
    </w:p>
    <w:p>
      <w:pPr>
        <w:numPr>
          <w:ilvl w:val="0"/>
          <w:numId w:val="2"/>
        </w:num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商务资质要求</w:t>
      </w:r>
    </w:p>
    <w:p>
      <w:p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1）投标方须是中华人民共和国境内具有独立承担民事责任能力的法人，或具备国家认可经营资格的其他组织。</w:t>
      </w:r>
    </w:p>
    <w:p>
      <w:p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2）投标方为企业的，应具有合法有效的企业法人营业执照、税务登记证及组织机构代码证或证照合一的营业执照；</w:t>
      </w:r>
    </w:p>
    <w:p>
      <w:p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3）投标方为分公司的，应具有合法有效的营业执照、税务登记证及组织机构代码证或证照合一的营业执照和母公司合法授权书。总公司与分支机构只可一家参与投标，同时参与投标视为投标无效。</w:t>
      </w:r>
    </w:p>
    <w:p>
      <w:pPr>
        <w:pStyle w:val="4"/>
        <w:ind w:left="0" w:leftChars="0" w:firstLine="0" w:firstLineChars="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4）投标人自2021年1月1日起至投标截止时间止，投标人或其法定代表人、拟委任的</w:t>
      </w:r>
    </w:p>
    <w:p>
      <w:pPr>
        <w:pStyle w:val="4"/>
        <w:ind w:left="0" w:leftChars="0" w:firstLine="0" w:firstLineChars="0"/>
        <w:rPr>
          <w:rFonts w:hint="eastAsia"/>
          <w:sz w:val="24"/>
          <w:szCs w:val="24"/>
          <w:lang w:val="en-US" w:eastAsia="zh-CN"/>
        </w:rPr>
      </w:pPr>
      <w:r>
        <w:rPr>
          <w:rFonts w:hint="eastAsia" w:ascii="宋体" w:hAnsi="宋体" w:eastAsia="宋体" w:cs="宋体"/>
          <w:b w:val="0"/>
          <w:bCs w:val="0"/>
          <w:color w:val="auto"/>
          <w:kern w:val="44"/>
          <w:sz w:val="24"/>
          <w:szCs w:val="24"/>
          <w:highlight w:val="none"/>
          <w:lang w:val="en-US" w:eastAsia="zh-CN"/>
        </w:rPr>
        <w:t>项目负责人不得有行贿犯罪行为。为便于招标人复核，投标人应自行到中国裁判文书网；（http://wenshu.court.gov.cn）查询本单位及其法定代表人、拟委任的项目负责人的行贿犯罪信息，确认没有行贿犯罪。 2.投标人承诺：中国海油在职员工（不含正式派出的）未有在投标人单位担任股东、法人代表、董事、监事和其他任职。</w:t>
      </w:r>
    </w:p>
    <w:p>
      <w:p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2、资格条件要求</w:t>
      </w:r>
    </w:p>
    <w:p>
      <w:pPr>
        <w:pStyle w:val="4"/>
        <w:numPr>
          <w:ilvl w:val="0"/>
          <w:numId w:val="0"/>
        </w:numPr>
        <w:spacing w:line="360" w:lineRule="auto"/>
        <w:ind w:left="220" w:leftChars="0" w:right="121" w:rightChars="55"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2.1、提供公司工商营业执照；</w:t>
      </w:r>
    </w:p>
    <w:p>
      <w:pPr>
        <w:pStyle w:val="4"/>
        <w:numPr>
          <w:ilvl w:val="0"/>
          <w:numId w:val="0"/>
        </w:numPr>
        <w:spacing w:line="360" w:lineRule="auto"/>
        <w:ind w:left="220" w:leftChars="0" w:right="121" w:rightChars="55"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2.2、投标人应提供危险化学品安全生产许可证或危险化学品经营许可证；</w:t>
      </w:r>
    </w:p>
    <w:p>
      <w:pPr>
        <w:pStyle w:val="4"/>
        <w:numPr>
          <w:ilvl w:val="0"/>
          <w:numId w:val="0"/>
        </w:numPr>
        <w:spacing w:line="360" w:lineRule="auto"/>
        <w:ind w:left="220" w:leftChars="0" w:right="121" w:rightChars="55"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2.3、投标人具有合法有效的企业法人营业执照、税务登记证及组织机构代码证或三证合一的营业执照。</w:t>
      </w:r>
    </w:p>
    <w:p>
      <w:p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b w:val="0"/>
          <w:bCs w:val="0"/>
          <w:color w:val="auto"/>
          <w:kern w:val="44"/>
          <w:sz w:val="24"/>
          <w:szCs w:val="24"/>
          <w:highlight w:val="none"/>
          <w:lang w:val="en-US" w:eastAsia="zh-CN"/>
        </w:rPr>
        <w:t>业绩条件要求</w:t>
      </w:r>
    </w:p>
    <w:p>
      <w:pPr>
        <w:pStyle w:val="4"/>
        <w:keepNext w:val="0"/>
        <w:keepLines w:val="0"/>
        <w:pageBreakBefore w:val="0"/>
        <w:widowControl w:val="0"/>
        <w:kinsoku/>
        <w:wordWrap/>
        <w:overflowPunct/>
        <w:topLinePunct w:val="0"/>
        <w:autoSpaceDE/>
        <w:autoSpaceDN/>
        <w:bidi w:val="0"/>
        <w:adjustRightInd/>
        <w:snapToGrid/>
        <w:spacing w:line="360" w:lineRule="auto"/>
        <w:ind w:right="121" w:rightChars="55"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sz w:val="24"/>
          <w:szCs w:val="24"/>
          <w:highlight w:val="none"/>
          <w:lang w:eastAsia="zh-CN"/>
        </w:rPr>
        <w:t>(1)业绩要求：投标人在20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年1月1日至投标截止日，投标人应具有并提供至少1个的下述任意一种的业绩：</w:t>
      </w:r>
    </w:p>
    <w:p>
      <w:pPr>
        <w:pStyle w:val="4"/>
        <w:keepNext w:val="0"/>
        <w:keepLines w:val="0"/>
        <w:pageBreakBefore w:val="0"/>
        <w:widowControl w:val="0"/>
        <w:kinsoku/>
        <w:wordWrap/>
        <w:overflowPunct/>
        <w:topLinePunct w:val="0"/>
        <w:autoSpaceDE/>
        <w:autoSpaceDN/>
        <w:bidi w:val="0"/>
        <w:adjustRightInd/>
        <w:snapToGrid/>
        <w:spacing w:line="360" w:lineRule="auto"/>
        <w:ind w:right="121" w:rightChars="55"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提供1项防火涂料供货业绩</w:t>
      </w:r>
      <w:r>
        <w:rPr>
          <w:rFonts w:hint="eastAsia" w:ascii="宋体" w:hAnsi="宋体" w:eastAsia="宋体" w:cs="宋体"/>
          <w:color w:val="auto"/>
          <w:sz w:val="24"/>
          <w:szCs w:val="24"/>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line="360" w:lineRule="auto"/>
        <w:ind w:right="121" w:rightChars="55"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注：若分公司以自己名义参与投标需提供分公司的业绩。接受正在进行的年度协议业绩。</w:t>
      </w:r>
    </w:p>
    <w:p>
      <w:pPr>
        <w:pStyle w:val="4"/>
        <w:keepNext w:val="0"/>
        <w:keepLines w:val="0"/>
        <w:pageBreakBefore w:val="0"/>
        <w:widowControl w:val="0"/>
        <w:kinsoku/>
        <w:wordWrap/>
        <w:overflowPunct/>
        <w:topLinePunct w:val="0"/>
        <w:autoSpaceDE/>
        <w:autoSpaceDN/>
        <w:bidi w:val="0"/>
        <w:adjustRightInd/>
        <w:snapToGrid/>
        <w:spacing w:line="360" w:lineRule="auto"/>
        <w:ind w:right="121" w:rightChars="55"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）业绩证明文件至少包括合同首页、服务内容、签字盖章页、验收证明文件或甲乙双方确认文件或（财务）结算清单或结算发票。</w:t>
      </w:r>
    </w:p>
    <w:p>
      <w:pPr>
        <w:pStyle w:val="5"/>
        <w:ind w:firstLine="240" w:firstLineChars="100"/>
        <w:jc w:val="left"/>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）未提交业绩证明文件，或所提供的业绩证明文件未体现上述信息的，均视为无效</w:t>
      </w:r>
    </w:p>
    <w:p>
      <w:pPr>
        <w:numPr>
          <w:ilvl w:val="0"/>
          <w:numId w:val="3"/>
        </w:num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财务条件要求</w:t>
      </w:r>
    </w:p>
    <w:p>
      <w:pPr>
        <w:pStyle w:val="2"/>
        <w:rPr>
          <w:rFonts w:hint="eastAsia" w:ascii="宋体" w:hAnsi="宋体" w:eastAsia="宋体" w:cs="宋体"/>
          <w:b w:val="0"/>
          <w:bCs w:val="0"/>
          <w:color w:val="auto"/>
          <w:kern w:val="44"/>
          <w:sz w:val="24"/>
          <w:szCs w:val="24"/>
          <w:highlight w:val="none"/>
          <w:lang w:val="en-US" w:eastAsia="zh-CN" w:bidi="ar-SA"/>
        </w:rPr>
      </w:pPr>
      <w:r>
        <w:rPr>
          <w:rFonts w:hint="eastAsia"/>
          <w:b w:val="0"/>
          <w:bCs w:val="0"/>
          <w:sz w:val="24"/>
          <w:szCs w:val="24"/>
          <w:lang w:val="en-US" w:eastAsia="zh-CN"/>
        </w:rPr>
        <w:t>无</w:t>
      </w:r>
    </w:p>
    <w:p>
      <w:pPr>
        <w:pStyle w:val="5"/>
        <w:widowControl w:val="0"/>
        <w:numPr>
          <w:ilvl w:val="0"/>
          <w:numId w:val="4"/>
        </w:numPr>
        <w:snapToGrid w:val="0"/>
        <w:rPr>
          <w:rFonts w:hint="eastAsia" w:ascii="宋体" w:hAnsi="宋体" w:eastAsia="宋体" w:cs="宋体"/>
          <w:b w:val="0"/>
          <w:bCs w:val="0"/>
          <w:color w:val="auto"/>
          <w:kern w:val="44"/>
          <w:sz w:val="24"/>
          <w:szCs w:val="24"/>
          <w:highlight w:val="none"/>
          <w:lang w:val="en-US" w:eastAsia="zh-CN" w:bidi="ar-SA"/>
        </w:rPr>
      </w:pPr>
      <w:r>
        <w:rPr>
          <w:rFonts w:hint="eastAsia" w:ascii="宋体" w:hAnsi="宋体" w:eastAsia="宋体" w:cs="宋体"/>
          <w:b w:val="0"/>
          <w:bCs w:val="0"/>
          <w:color w:val="auto"/>
          <w:kern w:val="44"/>
          <w:sz w:val="24"/>
          <w:szCs w:val="24"/>
          <w:highlight w:val="none"/>
          <w:lang w:val="en-US" w:eastAsia="zh-CN" w:bidi="ar-SA"/>
        </w:rPr>
        <w:t>其他</w:t>
      </w:r>
    </w:p>
    <w:p>
      <w:pPr>
        <w:pStyle w:val="5"/>
        <w:widowControl w:val="0"/>
        <w:numPr>
          <w:ilvl w:val="0"/>
          <w:numId w:val="0"/>
        </w:numPr>
        <w:snapToGrid w:val="0"/>
        <w:rPr>
          <w:rFonts w:hint="eastAsia" w:ascii="宋体" w:hAnsi="宋体" w:eastAsia="宋体" w:cs="宋体"/>
          <w:b w:val="0"/>
          <w:bCs w:val="0"/>
          <w:color w:val="auto"/>
          <w:kern w:val="44"/>
          <w:sz w:val="24"/>
          <w:szCs w:val="24"/>
          <w:highlight w:val="none"/>
          <w:lang w:val="en-US" w:eastAsia="zh-CN" w:bidi="ar-SA"/>
        </w:rPr>
      </w:pPr>
    </w:p>
    <w:p>
      <w:pPr>
        <w:pStyle w:val="4"/>
        <w:keepNext w:val="0"/>
        <w:keepLines w:val="0"/>
        <w:pageBreakBefore w:val="0"/>
        <w:kinsoku/>
        <w:wordWrap/>
        <w:topLinePunct w:val="0"/>
        <w:bidi w:val="0"/>
        <w:snapToGrid/>
        <w:spacing w:line="360" w:lineRule="auto"/>
        <w:ind w:right="121" w:rightChars="55" w:firstLine="228" w:firstLineChars="95"/>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、付款方式：银行电汇</w:t>
      </w:r>
    </w:p>
    <w:p>
      <w:pPr>
        <w:pStyle w:val="4"/>
        <w:keepNext w:val="0"/>
        <w:keepLines w:val="0"/>
        <w:pageBreakBefore w:val="0"/>
        <w:kinsoku/>
        <w:wordWrap/>
        <w:topLinePunct w:val="0"/>
        <w:bidi w:val="0"/>
        <w:snapToGrid/>
        <w:spacing w:line="360" w:lineRule="auto"/>
        <w:ind w:right="121" w:rightChars="55" w:firstLine="228" w:firstLineChars="9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、付款周期要求：接到发票45天内付款。</w:t>
      </w:r>
      <w:r>
        <w:rPr>
          <w:rFonts w:hint="eastAsia" w:ascii="宋体" w:hAnsi="宋体" w:eastAsia="宋体" w:cs="宋体"/>
          <w:sz w:val="24"/>
          <w:szCs w:val="24"/>
          <w:lang w:val="en-US" w:eastAsia="zh-CN"/>
        </w:rPr>
        <w:t>如付款到期日为非银行工作日，则付款到期日顺延至下一个银行工作日。</w:t>
      </w:r>
    </w:p>
    <w:p>
      <w:pPr>
        <w:pStyle w:val="4"/>
        <w:keepNext w:val="0"/>
        <w:keepLines w:val="0"/>
        <w:pageBreakBefore w:val="0"/>
        <w:kinsoku/>
        <w:wordWrap/>
        <w:topLinePunct w:val="0"/>
        <w:bidi w:val="0"/>
        <w:snapToGrid/>
        <w:spacing w:line="360" w:lineRule="auto"/>
        <w:ind w:right="121" w:rightChars="55" w:firstLine="228" w:firstLineChars="9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、结算方式：</w:t>
      </w:r>
      <w:r>
        <w:rPr>
          <w:rFonts w:hint="eastAsia" w:ascii="宋体" w:hAnsi="宋体" w:eastAsia="宋体" w:cs="宋体"/>
          <w:sz w:val="24"/>
          <w:szCs w:val="24"/>
          <w:lang w:val="en-US" w:eastAsia="zh-CN"/>
        </w:rPr>
        <w:t>全部到货后按</w:t>
      </w:r>
      <w:bookmarkStart w:id="0" w:name="_GoBack"/>
      <w:bookmarkEnd w:id="0"/>
      <w:r>
        <w:rPr>
          <w:rFonts w:hint="eastAsia" w:ascii="宋体" w:hAnsi="宋体" w:eastAsia="宋体" w:cs="宋体"/>
          <w:sz w:val="24"/>
          <w:szCs w:val="24"/>
          <w:lang w:eastAsia="zh-CN"/>
        </w:rPr>
        <w:t>实际供货量（L）进行送货量统计（如提供包装为质量单位，送货时按开桶实际体积或密度换算体积进行数量验收）；按订单实际供货至现场施工涂装完成后，现场附着力测试合格（</w:t>
      </w:r>
      <w:r>
        <w:rPr>
          <w:rFonts w:hint="eastAsia" w:ascii="宋体" w:hAnsi="宋体" w:eastAsia="宋体" w:cs="宋体"/>
          <w:sz w:val="24"/>
          <w:szCs w:val="24"/>
          <w:lang w:val="en-US" w:eastAsia="zh-CN"/>
        </w:rPr>
        <w:t>船级社检验</w:t>
      </w:r>
      <w:r>
        <w:rPr>
          <w:rFonts w:hint="eastAsia" w:ascii="宋体" w:hAnsi="宋体" w:eastAsia="宋体" w:cs="宋体"/>
          <w:sz w:val="24"/>
          <w:szCs w:val="24"/>
          <w:lang w:eastAsia="zh-CN"/>
        </w:rPr>
        <w:t>）后进行质量验收并结算。</w:t>
      </w:r>
    </w:p>
    <w:p>
      <w:pPr>
        <w:pStyle w:val="4"/>
        <w:keepNext w:val="0"/>
        <w:keepLines w:val="0"/>
        <w:pageBreakBefore w:val="0"/>
        <w:kinsoku/>
        <w:wordWrap/>
        <w:topLinePunct w:val="0"/>
        <w:bidi w:val="0"/>
        <w:snapToGrid/>
        <w:spacing w:line="360" w:lineRule="auto"/>
        <w:ind w:right="121" w:rightChars="55" w:firstLine="588" w:firstLineChars="245"/>
        <w:rPr>
          <w:rFonts w:hint="eastAsia" w:ascii="宋体" w:hAnsi="宋体" w:eastAsia="宋体" w:cs="宋体"/>
          <w:sz w:val="24"/>
          <w:szCs w:val="24"/>
          <w:lang w:val="en-US" w:eastAsia="zh-CN"/>
        </w:rPr>
      </w:pPr>
    </w:p>
    <w:p>
      <w:pPr>
        <w:pStyle w:val="4"/>
        <w:keepNext w:val="0"/>
        <w:keepLines w:val="0"/>
        <w:pageBreakBefore w:val="0"/>
        <w:kinsoku/>
        <w:wordWrap/>
        <w:topLinePunct w:val="0"/>
        <w:bidi w:val="0"/>
        <w:snapToGrid/>
        <w:spacing w:line="360" w:lineRule="auto"/>
        <w:ind w:right="121" w:rightChars="55" w:firstLine="240" w:firstLineChars="100"/>
        <w:rPr>
          <w:rFonts w:hint="eastAsia" w:ascii="宋体" w:hAnsi="宋体" w:eastAsia="宋体" w:cs="宋体"/>
          <w:sz w:val="24"/>
          <w:szCs w:val="24"/>
          <w:lang w:eastAsia="zh-CN"/>
        </w:rPr>
      </w:pPr>
    </w:p>
    <w:p>
      <w:pPr>
        <w:pStyle w:val="5"/>
        <w:widowControl w:val="0"/>
        <w:numPr>
          <w:ilvl w:val="0"/>
          <w:numId w:val="0"/>
        </w:numPr>
        <w:snapToGrid w:val="0"/>
        <w:rPr>
          <w:rFonts w:hint="default" w:ascii="宋体" w:hAnsi="宋体" w:eastAsia="宋体" w:cs="宋体"/>
          <w:b w:val="0"/>
          <w:bCs w:val="0"/>
          <w:color w:val="auto"/>
          <w:kern w:val="44"/>
          <w:sz w:val="24"/>
          <w:szCs w:val="24"/>
          <w:highlight w:val="none"/>
          <w:lang w:val="en-US" w:eastAsia="zh-CN" w:bidi="ar-SA"/>
        </w:rPr>
      </w:pPr>
    </w:p>
    <w:p>
      <w:pPr>
        <w:pStyle w:val="5"/>
        <w:widowControl w:val="0"/>
        <w:numPr>
          <w:ilvl w:val="0"/>
          <w:numId w:val="0"/>
        </w:numPr>
        <w:snapToGrid w:val="0"/>
        <w:rPr>
          <w:rFonts w:hint="default" w:ascii="宋体" w:hAnsi="宋体" w:eastAsia="宋体" w:cs="宋体"/>
          <w:b w:val="0"/>
          <w:bCs w:val="0"/>
          <w:color w:val="auto"/>
          <w:kern w:val="44"/>
          <w:sz w:val="24"/>
          <w:szCs w:val="24"/>
          <w:highlight w:val="none"/>
          <w:lang w:val="en-US" w:eastAsia="zh-CN" w:bidi="ar-SA"/>
        </w:rPr>
      </w:pPr>
    </w:p>
    <w:p>
      <w:pPr>
        <w:pStyle w:val="5"/>
        <w:widowControl w:val="0"/>
        <w:numPr>
          <w:ilvl w:val="0"/>
          <w:numId w:val="0"/>
        </w:numPr>
        <w:snapToGrid w:val="0"/>
        <w:spacing w:line="480" w:lineRule="auto"/>
        <w:rPr>
          <w:rFonts w:hint="default" w:ascii="宋体" w:hAnsi="宋体" w:eastAsia="宋体" w:cs="宋体"/>
          <w:b w:val="0"/>
          <w:bCs w:val="0"/>
          <w:color w:val="auto"/>
          <w:kern w:val="44"/>
          <w:sz w:val="24"/>
          <w:szCs w:val="24"/>
          <w:highlight w:val="none"/>
          <w:lang w:val="en-US" w:eastAsia="zh-CN" w:bidi="ar-SA"/>
        </w:rPr>
      </w:pPr>
    </w:p>
    <w:p>
      <w:pPr>
        <w:pStyle w:val="5"/>
        <w:widowControl w:val="0"/>
        <w:numPr>
          <w:ilvl w:val="0"/>
          <w:numId w:val="0"/>
        </w:numPr>
        <w:snapToGrid w:val="0"/>
        <w:spacing w:line="480" w:lineRule="auto"/>
        <w:jc w:val="center"/>
        <w:rPr>
          <w:rFonts w:hint="eastAsia" w:ascii="宋体" w:hAnsi="宋体" w:eastAsia="宋体" w:cs="宋体"/>
          <w:b w:val="0"/>
          <w:bCs w:val="0"/>
          <w:color w:val="auto"/>
          <w:kern w:val="44"/>
          <w:sz w:val="24"/>
          <w:szCs w:val="24"/>
          <w:highlight w:val="none"/>
          <w:lang w:val="en-US" w:eastAsia="zh-CN" w:bidi="ar-SA"/>
        </w:rPr>
      </w:pPr>
      <w:r>
        <w:rPr>
          <w:rFonts w:hint="eastAsia" w:ascii="宋体" w:hAnsi="宋体" w:eastAsia="宋体" w:cs="宋体"/>
          <w:b w:val="0"/>
          <w:bCs w:val="0"/>
          <w:color w:val="auto"/>
          <w:kern w:val="44"/>
          <w:sz w:val="24"/>
          <w:szCs w:val="24"/>
          <w:highlight w:val="none"/>
          <w:lang w:val="en-US" w:eastAsia="zh-CN" w:bidi="ar-SA"/>
        </w:rPr>
        <w:t xml:space="preserve">                              编制人：</w:t>
      </w:r>
    </w:p>
    <w:p>
      <w:pPr>
        <w:pStyle w:val="5"/>
        <w:widowControl w:val="0"/>
        <w:numPr>
          <w:ilvl w:val="0"/>
          <w:numId w:val="0"/>
        </w:numPr>
        <w:snapToGrid w:val="0"/>
        <w:spacing w:line="480" w:lineRule="auto"/>
        <w:jc w:val="center"/>
        <w:rPr>
          <w:rFonts w:hint="eastAsia" w:ascii="宋体" w:hAnsi="宋体" w:eastAsia="宋体" w:cs="宋体"/>
          <w:b w:val="0"/>
          <w:bCs w:val="0"/>
          <w:color w:val="auto"/>
          <w:kern w:val="44"/>
          <w:sz w:val="24"/>
          <w:szCs w:val="24"/>
          <w:highlight w:val="none"/>
          <w:lang w:val="en-US" w:eastAsia="zh-CN" w:bidi="ar-SA"/>
        </w:rPr>
      </w:pPr>
    </w:p>
    <w:p>
      <w:pPr>
        <w:pStyle w:val="5"/>
        <w:widowControl w:val="0"/>
        <w:numPr>
          <w:ilvl w:val="0"/>
          <w:numId w:val="0"/>
        </w:numPr>
        <w:wordWrap w:val="0"/>
        <w:snapToGrid w:val="0"/>
        <w:spacing w:line="480" w:lineRule="auto"/>
        <w:jc w:val="center"/>
        <w:rPr>
          <w:rFonts w:hint="default" w:ascii="宋体" w:hAnsi="宋体" w:eastAsia="宋体" w:cs="宋体"/>
          <w:b w:val="0"/>
          <w:bCs w:val="0"/>
          <w:color w:val="auto"/>
          <w:kern w:val="44"/>
          <w:sz w:val="24"/>
          <w:szCs w:val="24"/>
          <w:highlight w:val="none"/>
          <w:lang w:val="en-US" w:eastAsia="zh-CN" w:bidi="ar-SA"/>
        </w:rPr>
      </w:pPr>
      <w:r>
        <w:rPr>
          <w:rFonts w:hint="eastAsia" w:ascii="宋体" w:hAnsi="宋体" w:eastAsia="宋体" w:cs="宋体"/>
          <w:b w:val="0"/>
          <w:bCs w:val="0"/>
          <w:color w:val="auto"/>
          <w:kern w:val="44"/>
          <w:sz w:val="24"/>
          <w:szCs w:val="24"/>
          <w:highlight w:val="none"/>
          <w:lang w:val="en-US" w:eastAsia="zh-CN" w:bidi="ar-SA"/>
        </w:rPr>
        <w:t xml:space="preserve">                                         审核人：           </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3</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3</w:t>
                    </w:r>
                    <w: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8F0DF"/>
    <w:multiLevelType w:val="singleLevel"/>
    <w:tmpl w:val="B008F0DF"/>
    <w:lvl w:ilvl="0" w:tentative="0">
      <w:start w:val="1"/>
      <w:numFmt w:val="decimal"/>
      <w:suff w:val="nothing"/>
      <w:lvlText w:val="%1、"/>
      <w:lvlJc w:val="left"/>
    </w:lvl>
  </w:abstractNum>
  <w:abstractNum w:abstractNumId="1">
    <w:nsid w:val="E395B0C6"/>
    <w:multiLevelType w:val="singleLevel"/>
    <w:tmpl w:val="E395B0C6"/>
    <w:lvl w:ilvl="0" w:tentative="0">
      <w:start w:val="1"/>
      <w:numFmt w:val="decimal"/>
      <w:suff w:val="nothing"/>
      <w:lvlText w:val="%1、"/>
      <w:lvlJc w:val="left"/>
    </w:lvl>
  </w:abstractNum>
  <w:abstractNum w:abstractNumId="2">
    <w:nsid w:val="EFAD03C7"/>
    <w:multiLevelType w:val="singleLevel"/>
    <w:tmpl w:val="EFAD03C7"/>
    <w:lvl w:ilvl="0" w:tentative="0">
      <w:start w:val="4"/>
      <w:numFmt w:val="decimal"/>
      <w:suff w:val="nothing"/>
      <w:lvlText w:val="%1、"/>
      <w:lvlJc w:val="left"/>
    </w:lvl>
  </w:abstractNum>
  <w:abstractNum w:abstractNumId="3">
    <w:nsid w:val="FF5E82E9"/>
    <w:multiLevelType w:val="singleLevel"/>
    <w:tmpl w:val="FF5E82E9"/>
    <w:lvl w:ilvl="0" w:tentative="0">
      <w:start w:val="5"/>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A2985"/>
    <w:rsid w:val="02BA64F9"/>
    <w:rsid w:val="0482158B"/>
    <w:rsid w:val="08FC60F3"/>
    <w:rsid w:val="0F5B5DBD"/>
    <w:rsid w:val="15262A88"/>
    <w:rsid w:val="1FC05F60"/>
    <w:rsid w:val="231D0753"/>
    <w:rsid w:val="24E707BB"/>
    <w:rsid w:val="29087430"/>
    <w:rsid w:val="2D531483"/>
    <w:rsid w:val="31182667"/>
    <w:rsid w:val="391A2985"/>
    <w:rsid w:val="3A4152B6"/>
    <w:rsid w:val="3C492B9E"/>
    <w:rsid w:val="3FA023A7"/>
    <w:rsid w:val="4B3C3F80"/>
    <w:rsid w:val="4BF26251"/>
    <w:rsid w:val="588D4E4E"/>
    <w:rsid w:val="5B78387C"/>
    <w:rsid w:val="5C812BF2"/>
    <w:rsid w:val="5D1742B2"/>
    <w:rsid w:val="5F1C1909"/>
    <w:rsid w:val="61E239A6"/>
    <w:rsid w:val="668478F0"/>
    <w:rsid w:val="6827036C"/>
    <w:rsid w:val="6AE94463"/>
    <w:rsid w:val="6D036AD3"/>
    <w:rsid w:val="705630FF"/>
    <w:rsid w:val="7A44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kern w:val="0"/>
      <w:sz w:val="22"/>
      <w:szCs w:val="22"/>
      <w:lang w:val="en-US" w:eastAsia="en-US" w:bidi="ar-SA"/>
    </w:rPr>
  </w:style>
  <w:style w:type="paragraph" w:styleId="2">
    <w:name w:val="heading 1"/>
    <w:basedOn w:val="1"/>
    <w:next w:val="1"/>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lang w:val="zh-CN"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1"/>
    <w:qFormat/>
    <w:uiPriority w:val="1"/>
    <w:pPr>
      <w:ind w:firstLine="200" w:firstLineChars="200"/>
      <w:jc w:val="both"/>
    </w:pPr>
    <w:rPr>
      <w:rFonts w:ascii="Microsoft YaHei UI" w:hAnsi="Microsoft YaHei UI" w:eastAsia="Microsoft YaHei UI"/>
      <w:sz w:val="21"/>
      <w:szCs w:val="21"/>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WPSOffice手动目录 1"/>
    <w:qFormat/>
    <w:uiPriority w:val="0"/>
    <w:rPr>
      <w:rFonts w:asciiTheme="minorHAnsi" w:hAnsiTheme="minorHAnsi" w:eastAsiaTheme="minorEastAsia" w:cstheme="minorBidi"/>
      <w:lang w:val="en-US" w:eastAsia="zh-CN" w:bidi="ar-SA"/>
    </w:rPr>
  </w:style>
  <w:style w:type="paragraph" w:customStyle="1" w:styleId="11">
    <w:name w:val="前言、引言标题"/>
    <w:next w:val="1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608</Words>
  <Characters>620</Characters>
  <Lines>0</Lines>
  <Paragraphs>0</Paragraphs>
  <TotalTime>2</TotalTime>
  <ScaleCrop>false</ScaleCrop>
  <LinksUpToDate>false</LinksUpToDate>
  <CharactersWithSpaces>704</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2024-04-23T01:38:00Z</dcterms:created>
  <dc:creator>辛俊</dc:creator>
  <cp:lastModifiedBy>ex_wangbo</cp:lastModifiedBy>
  <cp:lastPrinted>2025-02-05T06:46:00Z</cp:lastPrinted>
  <dcterms:modified xsi:type="dcterms:W3CDTF">2025-02-18T02:07:07Z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C8A97B004A73422C827B1813D80A8A70_13</vt:lpwstr>
  </property>
  <property fmtid="{D5CDD505-2E9C-101B-9397-08002B2CF9AE}" pid="4" name="KSOTemplateDocerSaveRecord">
    <vt:lpwstr>eyJoZGlkIjoiOTg3NjFlNjVlYmEzZDQxZGUwMmM0NmVjMDZiNzAzNWEifQ==</vt:lpwstr>
  </property>
</Properties>
</file>