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line="560" w:lineRule="exact"/>
        <w:jc w:val="center"/>
        <w:outlineLvl w:val="0"/>
        <w:rPr>
          <w:rFonts w:hint="eastAsia" w:ascii="Times New Roman" w:hAnsi="Times New Roman" w:eastAsia="方正小标宋简体" w:cs="Times New Roman"/>
          <w:bCs/>
          <w:color w:val="auto"/>
          <w:kern w:val="44"/>
          <w:sz w:val="44"/>
          <w:szCs w:val="44"/>
          <w:lang w:eastAsia="zh-CN"/>
        </w:rPr>
      </w:pPr>
      <w:bookmarkStart w:id="0" w:name="OLE_LINK1"/>
      <w:r>
        <w:rPr>
          <w:rFonts w:ascii="Times New Roman" w:hAnsi="Times New Roman" w:eastAsia="方正小标宋简体" w:cs="Times New Roman"/>
          <w:bCs/>
          <w:color w:val="auto"/>
          <w:kern w:val="44"/>
          <w:sz w:val="44"/>
          <w:szCs w:val="44"/>
        </w:rPr>
        <w:t>采办计划公告</w:t>
      </w:r>
    </w:p>
    <w:p>
      <w:pPr>
        <w:numPr>
          <w:ilvl w:val="0"/>
          <w:numId w:val="0"/>
        </w:numPr>
        <w:tabs>
          <w:tab w:val="left" w:pos="993"/>
          <w:tab w:val="left" w:pos="1134"/>
          <w:tab w:val="left" w:pos="1418"/>
        </w:tabs>
        <w:spacing w:line="56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采办包名称：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海油发展-化工品类部-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海油发展2026-2029年天津地区2-膦酸基-1,2,4-三羧酸基丁烷(PBTC)采购通用协议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采办计划公开如下：</w:t>
      </w:r>
    </w:p>
    <w:tbl>
      <w:tblPr>
        <w:tblStyle w:val="19"/>
        <w:tblW w:w="933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700"/>
        <w:gridCol w:w="1998"/>
        <w:gridCol w:w="1569"/>
        <w:gridCol w:w="1718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采办包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19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采购范围与主要技术指标</w:t>
            </w:r>
          </w:p>
        </w:tc>
        <w:tc>
          <w:tcPr>
            <w:tcW w:w="15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预计发标时间</w:t>
            </w:r>
          </w:p>
        </w:tc>
        <w:tc>
          <w:tcPr>
            <w:tcW w:w="17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供应商资质基本要求</w:t>
            </w:r>
          </w:p>
        </w:tc>
        <w:tc>
          <w:tcPr>
            <w:tcW w:w="7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7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海油发展2026-2029年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天津地区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2-膦酸基-1,2,4-三羧酸基丁烷(PBTC)采购通用协议</w:t>
            </w:r>
          </w:p>
        </w:tc>
        <w:tc>
          <w:tcPr>
            <w:tcW w:w="19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见附件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</w:rPr>
              <w:t>月</w:t>
            </w:r>
          </w:p>
        </w:tc>
        <w:tc>
          <w:tcPr>
            <w:tcW w:w="17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eastAsia="zh-CN"/>
              </w:rPr>
              <w:t>见附件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12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color w:val="auto"/>
                <w:kern w:val="0"/>
                <w:sz w:val="28"/>
                <w:szCs w:val="28"/>
                <w:u w:val="single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本次公开的采办计划是本项目采办工作的初步安排，实际采购应以相关采购公告和采购文件为准，所有提供和反馈的信息只作为项目采办参考。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本次公告有效期是（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2026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05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日）至（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2026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日）止。在此期间，有意参与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该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采办包的系统用户可在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lang w:val="en-US" w:eastAsia="zh-CN"/>
        </w:rPr>
        <w:t>中海油供应链数字化平台（https://bid.cnooc.com.cn/）—”首页—采办信息公开—采办计划公告“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中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搜索该项目，并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反馈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参标意向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yellow"/>
          <w:lang w:val="en-US" w:eastAsia="zh-CN"/>
        </w:rPr>
        <w:t>本次采办仅限2-膦酸基-1,2,4-三羧酸基丁烷(PBTC)生产商参标。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商务联系人：安宁宁022-25802270，13802162646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如对上述公开内容真实、有效性存疑，请拨打社会监督电话：022-25802262，其他事项不受理。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320" w:firstLine="840" w:firstLineChars="300"/>
        <w:jc w:val="right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中海油能源发展股份有限公司采办共享中心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ascii="Times New Roman" w:hAnsi="Times New Roman" w:eastAsia="仿宋_GB2312" w:cs="Times New Roman"/>
          <w:b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2026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05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日  </w:t>
      </w:r>
    </w:p>
    <w:bookmarkEnd w:id="0"/>
    <w:p>
      <w:pPr>
        <w:rPr>
          <w:color w:val="auto"/>
        </w:rPr>
      </w:pPr>
      <w:r>
        <w:rPr>
          <w:color w:val="auto"/>
        </w:rPr>
        <w:br w:type="page"/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outlineLvl w:val="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采购范围与主要技术指标</w:t>
      </w:r>
    </w:p>
    <w:p>
      <w:pPr>
        <w:spacing w:line="360" w:lineRule="auto"/>
        <w:ind w:firstLine="480" w:firstLineChars="200"/>
        <w:rPr>
          <w:rFonts w:hint="default" w:asciiTheme="minorEastAsia" w:hAnsiTheme="minorEastAsia"/>
          <w:sz w:val="24"/>
          <w:szCs w:val="24"/>
          <w:highlight w:val="none"/>
          <w:lang w:val="en-US" w:eastAsia="zh-CN"/>
        </w:rPr>
      </w:pPr>
      <w:bookmarkStart w:id="1" w:name="_Toc13249324"/>
      <w:bookmarkStart w:id="2" w:name="_Toc13248927"/>
    </w:p>
    <w:bookmarkEnd w:id="1"/>
    <w:bookmarkEnd w:id="2"/>
    <w:p>
      <w:pPr>
        <w:numPr>
          <w:ilvl w:val="0"/>
          <w:numId w:val="2"/>
        </w:numPr>
        <w:autoSpaceDE/>
        <w:autoSpaceDN/>
        <w:adjustRightInd/>
        <w:spacing w:before="0" w:after="0" w:line="360" w:lineRule="auto"/>
        <w:ind w:left="0" w:firstLine="0" w:firstLineChars="0"/>
        <w:jc w:val="left"/>
        <w:outlineLvl w:val="1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需求清单</w:t>
      </w:r>
    </w:p>
    <w:tbl>
      <w:tblPr>
        <w:tblStyle w:val="18"/>
        <w:tblW w:w="838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81"/>
        <w:gridCol w:w="1371"/>
        <w:gridCol w:w="1358"/>
        <w:gridCol w:w="1398"/>
        <w:gridCol w:w="1007"/>
        <w:gridCol w:w="1096"/>
        <w:gridCol w:w="8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物料编码</w:t>
            </w:r>
          </w:p>
        </w:tc>
        <w:tc>
          <w:tcPr>
            <w:tcW w:w="13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3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包装形式</w:t>
            </w: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三年预估数量（吨）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到货地址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单次最小到货数量（吨）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85252671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2-膦酸基-1,2,4-三羧酸基丁烷(PBTC)</w:t>
            </w:r>
          </w:p>
        </w:tc>
        <w:tc>
          <w:tcPr>
            <w:tcW w:w="135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符合HG/T3662-2010标准，活性组分≥50.0%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1250KG/桶（供应商提供周转吨桶）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空港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2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83837951</w:t>
            </w:r>
          </w:p>
        </w:tc>
        <w:tc>
          <w:tcPr>
            <w:tcW w:w="1371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天津南港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4320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-1"/>
          <w:numId w:val="0"/>
        </w:numPr>
        <w:autoSpaceDE/>
        <w:autoSpaceDN/>
        <w:adjustRightInd/>
        <w:spacing w:before="0" w:after="0" w:line="360" w:lineRule="auto"/>
        <w:ind w:left="0" w:firstLine="0" w:firstLineChars="0"/>
        <w:jc w:val="left"/>
        <w:outlineLvl w:val="1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/>
        <w:autoSpaceDN/>
        <w:adjustRightInd/>
        <w:spacing w:before="0" w:after="0" w:line="360" w:lineRule="auto"/>
        <w:ind w:left="0" w:firstLine="0" w:firstLineChars="0"/>
        <w:jc w:val="left"/>
        <w:outlineLvl w:val="1"/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en-US"/>
        </w:rPr>
        <w:t>执行标准/规范</w:t>
      </w:r>
    </w:p>
    <w:p>
      <w:pPr>
        <w:numPr>
          <w:ilvl w:val="-1"/>
          <w:numId w:val="0"/>
        </w:numPr>
        <w:autoSpaceDE/>
        <w:autoSpaceDN/>
        <w:adjustRightInd/>
        <w:spacing w:before="0" w:after="0" w:line="360" w:lineRule="auto"/>
        <w:ind w:left="0" w:firstLine="480" w:firstLineChars="200"/>
        <w:jc w:val="left"/>
        <w:outlineLvl w:val="9"/>
        <w:rPr>
          <w:rFonts w:hint="eastAsia" w:ascii="宋体" w:hAnsi="宋体" w:eastAsia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highlight w:val="none"/>
          <w:lang w:val="en-US" w:eastAsia="zh-CN"/>
        </w:rPr>
        <w:t>符合HG/T3662-2010标准，活性组分≥50.0%</w:t>
      </w:r>
    </w:p>
    <w:p>
      <w:pPr>
        <w:pStyle w:val="13"/>
      </w:pPr>
    </w:p>
    <w:p>
      <w:pPr>
        <w:spacing w:line="360" w:lineRule="auto"/>
        <w:jc w:val="left"/>
        <w:rPr>
          <w:rFonts w:hint="default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3、检测和试验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送货后由卖方按照“2、执行标准/规范”中的标准进行检测。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4、标识、包装、运输和存储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（1）产品标识</w:t>
      </w:r>
    </w:p>
    <w:p>
      <w:pPr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产品包装上需有产品名称、型号、生产时间、批次，保质期、毛重、净重等信息；</w:t>
      </w:r>
    </w:p>
    <w:p>
      <w:pPr>
        <w:numPr>
          <w:ilvl w:val="0"/>
          <w:numId w:val="3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产品需粘贴安全标签及简易产品说明，安全标签需符合国标GBT 17519-2013化学品安全技术说明书编写指南的要求；安全标签及简易产品说明不得使用A4纸打印，应为有塑料薄膜封装的印刷粘贴纸，不易掉色，粘贴牢靠；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（2）产品包装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桶装</w:t>
      </w:r>
      <w:r>
        <w:rPr>
          <w:rFonts w:hint="eastAsia" w:ascii="宋体" w:hAnsi="宋体" w:cs="Times New Roman"/>
          <w:kern w:val="0"/>
          <w:sz w:val="24"/>
          <w:szCs w:val="24"/>
          <w:highlight w:val="none"/>
          <w:lang w:val="en-US" w:eastAsia="zh-CN"/>
        </w:rPr>
        <w:t>（IBC吨桶）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（3）产品存储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产品储存稳定性良好，特殊存储要求应在投标时予以明确。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5、技术文件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（1）产品的MSDS需符合国标GB 15258-2009 化学品安全标签编写规定和GBT 16483-2008化学品安全技术说明书 内容和项目顺序的要求；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（2）产品使用说明书；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（3）产品的检验技术要求指标及产品的实测数据。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6、工作进度、监造和现场验收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（1）进度要求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应按照买方生产代表到货通知组织意见，按期，按量，按质实施送货，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  <w:lang w:val="en-US" w:eastAsia="zh-CN"/>
        </w:rPr>
        <w:t>产品到货周期应不超过7天，退换货周期应不超过5天。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卖方受客观因素影响无法按期到货的，应于客观因素出现后24小时内向买方通告，并书面形式明确影响程度和预计到货时间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（2）验收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送货人员必须劳保配齐（安全帽、防静电服衣服裤子、防砸鞋、手套）；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现场要求：送货人员抵厂后，应第一时间到买方门卫室登记并领取排号。现场装卸货过程需接受入厂安全培训，服从现场库管员指挥，现场管理要求。原料货物不应码放超过两层或超出叉车卸货高度，对于现场人员判定装卸货过程可能出现安全风险或隐患情况，买方可暂停作业，待卖方整改完毕后，方能继续作业活动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携带资料（包含但不限于）：送货单（送货单上要注明合同号、立项号、科研或及时结清）、物资出厂检验报告、MSDS；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桶/罐标识注明名称、生产时间、批次，保质期、毛重、净重等信息。包装桶/罐需粘贴简易MSDS、安全标签和简易使用说明书；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货物到货后，卖方人员应配合买方管理人员按规定开展到货数量、包装要求稽核工作。待上述工作通过后，买方即完成办理验收入库工作。如出现产品质量问题，卖方需根据买方指定人员通知要求意见，完成退、换货工作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满足采购合同中关于技术参数的具体检验指标要求。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7、技术服务与售后服务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产品现场应用期间，卖方技术配合响应时间不超过48小时，对于非不可抗力响应逾期的，买方有权要求终止合同。</w:t>
      </w:r>
    </w:p>
    <w:p>
      <w:pPr>
        <w:spacing w:line="360" w:lineRule="auto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8、质量保证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（1）以批次货物验收双方签字确认日期计，产品质量保证期不低于12个月；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（2）产品质量保证期内，满足存储条件下，产品和质量包装应满足验收标准，期间内不满包装和质量要求的按照退换货处理；</w:t>
      </w:r>
    </w:p>
    <w:p>
      <w:pPr>
        <w:spacing w:line="240" w:lineRule="auto"/>
        <w:ind w:firstLine="437"/>
        <w:jc w:val="both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（3）连续2批或以上质检不合格，买方有权要求终止合同；</w:t>
      </w:r>
    </w:p>
    <w:p>
      <w:pPr>
        <w:pStyle w:val="13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</w:p>
    <w:p>
      <w:pPr>
        <w:pStyle w:val="13"/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none"/>
          <w:lang w:val="en-US" w:eastAsia="zh-CN"/>
        </w:rPr>
        <w:t>定价公式：</w:t>
      </w:r>
    </w:p>
    <w:tbl>
      <w:tblPr>
        <w:tblStyle w:val="19"/>
        <w:tblW w:w="0" w:type="auto"/>
        <w:tblInd w:w="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9648" w:type="dxa"/>
          </w:tcPr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定价公式如下：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P = </w:t>
            </w:r>
            <w:r>
              <w:rPr>
                <w:rFonts w:hint="eastAsia"/>
                <w:lang w:val="en-US" w:eastAsia="zh-CN"/>
              </w:rPr>
              <w:t xml:space="preserve"> 0.165 × </w:t>
            </w:r>
            <w:r>
              <w:rPr>
                <w:rFonts w:hint="eastAsia"/>
              </w:rPr>
              <w:t>P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 xml:space="preserve">  +</w:t>
            </w:r>
            <w:r>
              <w:rPr>
                <w:rFonts w:hint="eastAsia"/>
                <w:lang w:val="en-US" w:eastAsia="zh-CN"/>
              </w:rPr>
              <w:t xml:space="preserve">  0.2 × P2  +  0.17 × P3  +  </w:t>
            </w:r>
            <w:r>
              <w:rPr>
                <w:rFonts w:hint="eastAsia"/>
              </w:rPr>
              <w:t>R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式中：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P：  </w:t>
            </w:r>
            <w:r>
              <w:rPr>
                <w:rFonts w:hint="eastAsia"/>
                <w:lang w:val="en-US" w:eastAsia="zh-CN"/>
              </w:rPr>
              <w:t>50%含量PBTC</w:t>
            </w:r>
            <w:r>
              <w:rPr>
                <w:rFonts w:hint="eastAsia"/>
              </w:rPr>
              <w:t>单价(单位：元/吨)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工业级99%亚磷酸基</w:t>
            </w:r>
            <w:r>
              <w:rPr>
                <w:rFonts w:hint="eastAsia"/>
              </w:rPr>
              <w:t>准价(单位：元/吨)。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通知</w:t>
            </w:r>
            <w:r>
              <w:rPr>
                <w:rFonts w:hint="eastAsia"/>
              </w:rPr>
              <w:t>订单前一</w:t>
            </w:r>
            <w:r>
              <w:rPr>
                <w:rFonts w:hint="eastAsia"/>
                <w:lang w:val="en-US" w:eastAsia="zh-CN"/>
              </w:rPr>
              <w:t>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lang w:val="en-US" w:eastAsia="zh-CN"/>
              </w:rPr>
              <w:t>中国</w:t>
            </w:r>
            <w:r>
              <w:rPr>
                <w:rFonts w:hint="eastAsia"/>
              </w:rPr>
              <w:t>市场价</w:t>
            </w:r>
            <w:r>
              <w:rPr>
                <w:rFonts w:hint="eastAsia"/>
                <w:lang w:val="en-US" w:eastAsia="zh-CN"/>
              </w:rPr>
              <w:t>-周</w:t>
            </w:r>
            <w:r>
              <w:rPr>
                <w:rFonts w:hint="eastAsia"/>
              </w:rPr>
              <w:t>平均价，（信息来源：卓创资讯网http://www.sci99.com/）。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rPr>
                <w:rFonts w:hint="eastAsia"/>
                <w:lang w:val="en-US" w:eastAsia="zh-CN"/>
              </w:rPr>
              <w:t>2：顺酐基</w:t>
            </w:r>
            <w:r>
              <w:rPr>
                <w:rFonts w:hint="eastAsia"/>
              </w:rPr>
              <w:t>准价(单位：元/吨)。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通知</w:t>
            </w:r>
            <w:r>
              <w:rPr>
                <w:rFonts w:hint="eastAsia"/>
              </w:rPr>
              <w:t>订单前一</w:t>
            </w:r>
            <w:r>
              <w:rPr>
                <w:rFonts w:hint="eastAsia"/>
                <w:lang w:val="en-US" w:eastAsia="zh-CN"/>
              </w:rPr>
              <w:t>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lang w:val="en-US" w:eastAsia="zh-CN"/>
              </w:rPr>
              <w:t>华北区域-河北</w:t>
            </w:r>
            <w:r>
              <w:rPr>
                <w:rFonts w:hint="eastAsia"/>
              </w:rPr>
              <w:t>市场价</w:t>
            </w:r>
            <w:r>
              <w:rPr>
                <w:rFonts w:hint="eastAsia"/>
                <w:lang w:val="en-US" w:eastAsia="zh-CN"/>
              </w:rPr>
              <w:t>-固态I型-周</w:t>
            </w:r>
            <w:r>
              <w:rPr>
                <w:rFonts w:hint="eastAsia"/>
              </w:rPr>
              <w:t>平均价，（信息来源：卓创资讯网http://www.sci99.com/）。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rPr>
                <w:rFonts w:hint="eastAsia"/>
                <w:lang w:val="en-US" w:eastAsia="zh-CN"/>
              </w:rPr>
              <w:t>3：丙烯酸甲酯基</w:t>
            </w:r>
            <w:r>
              <w:rPr>
                <w:rFonts w:hint="eastAsia"/>
              </w:rPr>
              <w:t>准价(单位：元/吨)。</w:t>
            </w:r>
          </w:p>
          <w:p>
            <w:pPr>
              <w:widowControl w:val="0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通知</w:t>
            </w:r>
            <w:r>
              <w:rPr>
                <w:rFonts w:hint="eastAsia"/>
              </w:rPr>
              <w:t>订单前一</w:t>
            </w:r>
            <w:r>
              <w:rPr>
                <w:rFonts w:hint="eastAsia"/>
                <w:lang w:val="en-US" w:eastAsia="zh-CN"/>
              </w:rPr>
              <w:t>周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lang w:val="en-US" w:eastAsia="zh-CN"/>
              </w:rPr>
              <w:t>华北区域-华北</w:t>
            </w:r>
            <w:r>
              <w:rPr>
                <w:rFonts w:hint="eastAsia"/>
              </w:rPr>
              <w:t>市场价</w:t>
            </w:r>
            <w:r>
              <w:rPr>
                <w:rFonts w:hint="eastAsia"/>
                <w:lang w:val="en-US" w:eastAsia="zh-CN"/>
              </w:rPr>
              <w:t>-周</w:t>
            </w:r>
            <w:r>
              <w:rPr>
                <w:rFonts w:hint="eastAsia"/>
              </w:rPr>
              <w:t>平均价，（信息来源：卓创资讯网http://www.sci99.com/）。</w:t>
            </w:r>
          </w:p>
          <w:p>
            <w:pPr>
              <w:widowControl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0.165：亚磷酸的吨耗，即1吨50%含量PBTC的消耗亚磷酸0.165吨。</w:t>
            </w:r>
          </w:p>
          <w:p>
            <w:pPr>
              <w:widowControl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0.2：顺酐的吨耗，即1吨50%含量PBTC的消耗顺酐0.2吨。</w:t>
            </w:r>
          </w:p>
          <w:p>
            <w:pPr>
              <w:widowControl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0.17：丙烯酸甲酯的吨耗，即1吨50%含量PBTC的消耗丙烯酸甲酯0.17吨。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R： 常数。包含供应商的利润、税费等。</w:t>
            </w:r>
            <w:bookmarkStart w:id="3" w:name="_GoBack"/>
            <w:bookmarkEnd w:id="3"/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项目联系人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商务联系人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安宁宁13802162646；022-25802270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邮  箱：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instrText xml:space="preserve"> HYPERLINK "mailto:annn@cnooc.com.cn" </w:instrTex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26"/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annn@cnooc.com.cn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end"/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outlineLvl w:val="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tabs>
          <w:tab w:val="left" w:pos="993"/>
          <w:tab w:val="left" w:pos="1134"/>
          <w:tab w:val="left" w:pos="1418"/>
        </w:tabs>
        <w:spacing w:line="560" w:lineRule="exact"/>
        <w:outlineLvl w:val="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供应商资质基本要求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tbl>
      <w:tblPr>
        <w:tblStyle w:val="18"/>
        <w:tblW w:w="5045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70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  <w:jc w:val="center"/>
        </w:trPr>
        <w:tc>
          <w:tcPr>
            <w:tcW w:w="785" w:type="pc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8"/>
              <w:spacing w:line="300" w:lineRule="exact"/>
              <w:jc w:val="center"/>
              <w:rPr>
                <w:rFonts w:hint="eastAsia" w:ascii="仿宋" w:hAnsi="仿宋" w:eastAsia="仿宋" w:cs="Calibri"/>
                <w:b/>
                <w:bCs/>
                <w:color w:val="FF0000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>资质要求</w:t>
            </w:r>
          </w:p>
          <w:p>
            <w:pPr>
              <w:pStyle w:val="48"/>
              <w:spacing w:line="300" w:lineRule="exact"/>
              <w:jc w:val="center"/>
              <w:rPr>
                <w:rFonts w:hint="eastAsia" w:ascii="仿宋" w:hAnsi="仿宋" w:eastAsia="仿宋" w:cs="Calibri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21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8"/>
              <w:numPr>
                <w:ilvl w:val="0"/>
                <w:numId w:val="6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申请人须是中华人民共和国境内注册的独立法人单位，具有合法有效的企业法人营业执照、税务登记证及组织机构代码证或证照合一的营业执照；</w:t>
            </w:r>
          </w:p>
          <w:p>
            <w:pPr>
              <w:pStyle w:val="48"/>
              <w:numPr>
                <w:ilvl w:val="0"/>
                <w:numId w:val="6"/>
              </w:numPr>
              <w:jc w:val="both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仅限生产商参标。</w:t>
            </w:r>
          </w:p>
        </w:tc>
      </w:tr>
    </w:tbl>
    <w:p>
      <w:pPr>
        <w:pStyle w:val="2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IDFont+F4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  <w:jc w:val="left"/>
      <w:rPr>
        <w:rFonts w:hint="default" w:eastAsia="宋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618E3B"/>
    <w:multiLevelType w:val="singleLevel"/>
    <w:tmpl w:val="BA618E3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135236C"/>
    <w:multiLevelType w:val="singleLevel"/>
    <w:tmpl w:val="C135236C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C2C8478E"/>
    <w:multiLevelType w:val="singleLevel"/>
    <w:tmpl w:val="C2C847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BAA8CF"/>
    <w:multiLevelType w:val="singleLevel"/>
    <w:tmpl w:val="0ABAA8C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5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53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1276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945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5">
    <w:nsid w:val="300B494B"/>
    <w:multiLevelType w:val="singleLevel"/>
    <w:tmpl w:val="300B494B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AB"/>
    <w:rsid w:val="000B4759"/>
    <w:rsid w:val="00202EC6"/>
    <w:rsid w:val="002E3C4A"/>
    <w:rsid w:val="004029A6"/>
    <w:rsid w:val="004C6673"/>
    <w:rsid w:val="00783190"/>
    <w:rsid w:val="00A04B47"/>
    <w:rsid w:val="00AE20AB"/>
    <w:rsid w:val="00BC0DA1"/>
    <w:rsid w:val="00C43A69"/>
    <w:rsid w:val="00ED277A"/>
    <w:rsid w:val="01004388"/>
    <w:rsid w:val="02727BD0"/>
    <w:rsid w:val="028A53B3"/>
    <w:rsid w:val="02C54CB2"/>
    <w:rsid w:val="03B83287"/>
    <w:rsid w:val="05F1227B"/>
    <w:rsid w:val="063C7E41"/>
    <w:rsid w:val="089C2D01"/>
    <w:rsid w:val="08EC46BE"/>
    <w:rsid w:val="0969799D"/>
    <w:rsid w:val="09E4150E"/>
    <w:rsid w:val="09F75F0F"/>
    <w:rsid w:val="0A0514CC"/>
    <w:rsid w:val="0ACC6D0D"/>
    <w:rsid w:val="0B8F0D48"/>
    <w:rsid w:val="0BFD7CEF"/>
    <w:rsid w:val="0C291ADC"/>
    <w:rsid w:val="0C8A5E98"/>
    <w:rsid w:val="0D4D5B78"/>
    <w:rsid w:val="0D714A1C"/>
    <w:rsid w:val="0D7B19C1"/>
    <w:rsid w:val="0D7E147F"/>
    <w:rsid w:val="0E967467"/>
    <w:rsid w:val="0EC8744E"/>
    <w:rsid w:val="0EE079AC"/>
    <w:rsid w:val="0F0F6DFF"/>
    <w:rsid w:val="0F1C25B0"/>
    <w:rsid w:val="0F2D5415"/>
    <w:rsid w:val="0FC270C4"/>
    <w:rsid w:val="0FF31336"/>
    <w:rsid w:val="10697A6E"/>
    <w:rsid w:val="10B434F4"/>
    <w:rsid w:val="10C2608D"/>
    <w:rsid w:val="118E7221"/>
    <w:rsid w:val="11EF2364"/>
    <w:rsid w:val="12784FB1"/>
    <w:rsid w:val="137827EB"/>
    <w:rsid w:val="137C5044"/>
    <w:rsid w:val="13862438"/>
    <w:rsid w:val="13EE4E86"/>
    <w:rsid w:val="14455E90"/>
    <w:rsid w:val="145E0C1D"/>
    <w:rsid w:val="155C28DF"/>
    <w:rsid w:val="169119AD"/>
    <w:rsid w:val="172E5757"/>
    <w:rsid w:val="17756E0B"/>
    <w:rsid w:val="19EB2E52"/>
    <w:rsid w:val="1A3034B8"/>
    <w:rsid w:val="1A49383A"/>
    <w:rsid w:val="1AA81F13"/>
    <w:rsid w:val="1AAD1325"/>
    <w:rsid w:val="1C0D5502"/>
    <w:rsid w:val="1C0F42BA"/>
    <w:rsid w:val="1D857D4A"/>
    <w:rsid w:val="1D9C1407"/>
    <w:rsid w:val="1DDE0AE1"/>
    <w:rsid w:val="1EB21562"/>
    <w:rsid w:val="1FA612BC"/>
    <w:rsid w:val="20DD5AF8"/>
    <w:rsid w:val="2101084E"/>
    <w:rsid w:val="21214E39"/>
    <w:rsid w:val="216603C4"/>
    <w:rsid w:val="218C684C"/>
    <w:rsid w:val="22693D06"/>
    <w:rsid w:val="230B4B92"/>
    <w:rsid w:val="23173B06"/>
    <w:rsid w:val="233C56B5"/>
    <w:rsid w:val="23535626"/>
    <w:rsid w:val="23722133"/>
    <w:rsid w:val="23FB5D2A"/>
    <w:rsid w:val="25272233"/>
    <w:rsid w:val="257C3CBC"/>
    <w:rsid w:val="2610638F"/>
    <w:rsid w:val="26F80AD0"/>
    <w:rsid w:val="27E22218"/>
    <w:rsid w:val="283774A3"/>
    <w:rsid w:val="28E120D3"/>
    <w:rsid w:val="296069B8"/>
    <w:rsid w:val="29873611"/>
    <w:rsid w:val="2A4F292B"/>
    <w:rsid w:val="2A863DC0"/>
    <w:rsid w:val="2A9F5B73"/>
    <w:rsid w:val="2AC563B9"/>
    <w:rsid w:val="2BA23952"/>
    <w:rsid w:val="2C1A7A08"/>
    <w:rsid w:val="2C6432F7"/>
    <w:rsid w:val="2CEB2B60"/>
    <w:rsid w:val="2CF11678"/>
    <w:rsid w:val="2D7422D9"/>
    <w:rsid w:val="2D7B5F44"/>
    <w:rsid w:val="2DCC6724"/>
    <w:rsid w:val="2DD75885"/>
    <w:rsid w:val="2E131297"/>
    <w:rsid w:val="2ED92B7B"/>
    <w:rsid w:val="2EFF5A33"/>
    <w:rsid w:val="2FC93DFE"/>
    <w:rsid w:val="315D037F"/>
    <w:rsid w:val="31666CCD"/>
    <w:rsid w:val="319D4FDD"/>
    <w:rsid w:val="31C85C3C"/>
    <w:rsid w:val="32107B2D"/>
    <w:rsid w:val="327B35FC"/>
    <w:rsid w:val="33193F76"/>
    <w:rsid w:val="33987048"/>
    <w:rsid w:val="34073BC5"/>
    <w:rsid w:val="34301D95"/>
    <w:rsid w:val="34632613"/>
    <w:rsid w:val="34A72E33"/>
    <w:rsid w:val="34C865A9"/>
    <w:rsid w:val="352E0707"/>
    <w:rsid w:val="35307FDB"/>
    <w:rsid w:val="355377B9"/>
    <w:rsid w:val="362F1587"/>
    <w:rsid w:val="368050F8"/>
    <w:rsid w:val="3713105F"/>
    <w:rsid w:val="37302AA2"/>
    <w:rsid w:val="37386FD5"/>
    <w:rsid w:val="37CF3414"/>
    <w:rsid w:val="37E66093"/>
    <w:rsid w:val="380E4447"/>
    <w:rsid w:val="38114D8C"/>
    <w:rsid w:val="38BC05E1"/>
    <w:rsid w:val="39833969"/>
    <w:rsid w:val="39F56CA1"/>
    <w:rsid w:val="3A0212AD"/>
    <w:rsid w:val="3A7C23E7"/>
    <w:rsid w:val="3A9505F0"/>
    <w:rsid w:val="3C016080"/>
    <w:rsid w:val="3C2A4B41"/>
    <w:rsid w:val="3D6054CA"/>
    <w:rsid w:val="3EC43D05"/>
    <w:rsid w:val="3F7F38B4"/>
    <w:rsid w:val="3FA257F7"/>
    <w:rsid w:val="3FC25F00"/>
    <w:rsid w:val="407E035E"/>
    <w:rsid w:val="409A276C"/>
    <w:rsid w:val="40C3472B"/>
    <w:rsid w:val="414038D6"/>
    <w:rsid w:val="415E79CC"/>
    <w:rsid w:val="42297DF9"/>
    <w:rsid w:val="425F4078"/>
    <w:rsid w:val="43336C6F"/>
    <w:rsid w:val="43B4745E"/>
    <w:rsid w:val="44273D26"/>
    <w:rsid w:val="44E275DC"/>
    <w:rsid w:val="458D669E"/>
    <w:rsid w:val="45CA7A30"/>
    <w:rsid w:val="46037C0A"/>
    <w:rsid w:val="462D2326"/>
    <w:rsid w:val="464E4D40"/>
    <w:rsid w:val="46631559"/>
    <w:rsid w:val="470C631D"/>
    <w:rsid w:val="47DC1672"/>
    <w:rsid w:val="481C418E"/>
    <w:rsid w:val="4834297E"/>
    <w:rsid w:val="48441E9E"/>
    <w:rsid w:val="497454CC"/>
    <w:rsid w:val="49A92821"/>
    <w:rsid w:val="4AD242A4"/>
    <w:rsid w:val="4AF67303"/>
    <w:rsid w:val="4BB153BE"/>
    <w:rsid w:val="4BB56CCD"/>
    <w:rsid w:val="4C2A3BE5"/>
    <w:rsid w:val="4C58511E"/>
    <w:rsid w:val="4C78482C"/>
    <w:rsid w:val="4C987581"/>
    <w:rsid w:val="4C994E5C"/>
    <w:rsid w:val="4C9B1D07"/>
    <w:rsid w:val="4D067C77"/>
    <w:rsid w:val="4D46031B"/>
    <w:rsid w:val="4D7C5695"/>
    <w:rsid w:val="4E292F25"/>
    <w:rsid w:val="4E726A98"/>
    <w:rsid w:val="4F126DCE"/>
    <w:rsid w:val="50411939"/>
    <w:rsid w:val="51E93FF6"/>
    <w:rsid w:val="521A3F45"/>
    <w:rsid w:val="52346892"/>
    <w:rsid w:val="52B65486"/>
    <w:rsid w:val="52D5535D"/>
    <w:rsid w:val="52E812BE"/>
    <w:rsid w:val="53115D09"/>
    <w:rsid w:val="531910E2"/>
    <w:rsid w:val="532037F5"/>
    <w:rsid w:val="53466A36"/>
    <w:rsid w:val="535844AE"/>
    <w:rsid w:val="53706A9F"/>
    <w:rsid w:val="53E119A7"/>
    <w:rsid w:val="544817D4"/>
    <w:rsid w:val="553E4D3F"/>
    <w:rsid w:val="55502006"/>
    <w:rsid w:val="55D5618B"/>
    <w:rsid w:val="566B1387"/>
    <w:rsid w:val="566C5220"/>
    <w:rsid w:val="57296623"/>
    <w:rsid w:val="58383E5F"/>
    <w:rsid w:val="58E44AE5"/>
    <w:rsid w:val="596912EC"/>
    <w:rsid w:val="598D6098"/>
    <w:rsid w:val="59DE0E81"/>
    <w:rsid w:val="5A9F5FAD"/>
    <w:rsid w:val="5B690CFF"/>
    <w:rsid w:val="5B6C0F43"/>
    <w:rsid w:val="5B7C65E8"/>
    <w:rsid w:val="5BB362A0"/>
    <w:rsid w:val="5BE8125C"/>
    <w:rsid w:val="5CD575BA"/>
    <w:rsid w:val="5DDC754C"/>
    <w:rsid w:val="5E7B2A0D"/>
    <w:rsid w:val="5F2B0148"/>
    <w:rsid w:val="5FA80857"/>
    <w:rsid w:val="5FE01DDB"/>
    <w:rsid w:val="612D3C5E"/>
    <w:rsid w:val="61E563A7"/>
    <w:rsid w:val="626052F2"/>
    <w:rsid w:val="63072966"/>
    <w:rsid w:val="635837C1"/>
    <w:rsid w:val="637C74FA"/>
    <w:rsid w:val="640E5419"/>
    <w:rsid w:val="644E4B1D"/>
    <w:rsid w:val="645A5BCB"/>
    <w:rsid w:val="64E23E83"/>
    <w:rsid w:val="65122045"/>
    <w:rsid w:val="65C73851"/>
    <w:rsid w:val="67056631"/>
    <w:rsid w:val="67167CE2"/>
    <w:rsid w:val="67CE3B41"/>
    <w:rsid w:val="68150760"/>
    <w:rsid w:val="687B2BC8"/>
    <w:rsid w:val="68830403"/>
    <w:rsid w:val="692D7F68"/>
    <w:rsid w:val="69634D35"/>
    <w:rsid w:val="69F77C36"/>
    <w:rsid w:val="6A630757"/>
    <w:rsid w:val="6BD4557B"/>
    <w:rsid w:val="6BE765E4"/>
    <w:rsid w:val="6BEF3A36"/>
    <w:rsid w:val="6C062C2F"/>
    <w:rsid w:val="6C707288"/>
    <w:rsid w:val="6D926B97"/>
    <w:rsid w:val="70344EA3"/>
    <w:rsid w:val="70357C2E"/>
    <w:rsid w:val="70AB23F2"/>
    <w:rsid w:val="71A9736A"/>
    <w:rsid w:val="71FD1BFA"/>
    <w:rsid w:val="729A5612"/>
    <w:rsid w:val="73117C5E"/>
    <w:rsid w:val="74283B1F"/>
    <w:rsid w:val="74386CEA"/>
    <w:rsid w:val="745C4813"/>
    <w:rsid w:val="74A40158"/>
    <w:rsid w:val="75381721"/>
    <w:rsid w:val="75592D80"/>
    <w:rsid w:val="763E0419"/>
    <w:rsid w:val="76F95CA4"/>
    <w:rsid w:val="76FD5F30"/>
    <w:rsid w:val="77053300"/>
    <w:rsid w:val="7733572E"/>
    <w:rsid w:val="775B15DF"/>
    <w:rsid w:val="77F679AF"/>
    <w:rsid w:val="78B772C6"/>
    <w:rsid w:val="78BC0A04"/>
    <w:rsid w:val="79EF4971"/>
    <w:rsid w:val="7A773AD2"/>
    <w:rsid w:val="7AC86312"/>
    <w:rsid w:val="7B081EE9"/>
    <w:rsid w:val="7B875081"/>
    <w:rsid w:val="7C1B4B19"/>
    <w:rsid w:val="7CDE711E"/>
    <w:rsid w:val="7E792440"/>
    <w:rsid w:val="7EAB0495"/>
    <w:rsid w:val="7ED00AED"/>
    <w:rsid w:val="7F0373C9"/>
    <w:rsid w:val="7F0E4BB1"/>
    <w:rsid w:val="7F0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1"/>
    <w:pPr>
      <w:spacing w:line="479" w:lineRule="exact"/>
      <w:outlineLvl w:val="1"/>
    </w:pPr>
    <w:rPr>
      <w:rFonts w:ascii="Microsoft YaHei UI" w:hAnsi="Microsoft YaHei UI" w:eastAsia="Microsoft YaHei UI"/>
      <w:spacing w:val="2"/>
      <w:sz w:val="32"/>
      <w:szCs w:val="32"/>
    </w:rPr>
  </w:style>
  <w:style w:type="paragraph" w:styleId="6">
    <w:name w:val="heading 6"/>
    <w:basedOn w:val="1"/>
    <w:next w:val="1"/>
    <w:semiHidden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567"/>
    </w:pPr>
  </w:style>
  <w:style w:type="paragraph" w:styleId="3">
    <w:name w:val="Body Text"/>
    <w:basedOn w:val="1"/>
    <w:next w:val="1"/>
    <w:qFormat/>
    <w:uiPriority w:val="1"/>
    <w:pPr>
      <w:ind w:firstLine="200" w:firstLineChars="200"/>
    </w:pPr>
    <w:rPr>
      <w:rFonts w:ascii="Microsoft YaHei UI" w:hAnsi="Microsoft YaHei UI" w:eastAsia="Microsoft YaHei UI"/>
      <w:szCs w:val="21"/>
    </w:rPr>
  </w:style>
  <w:style w:type="paragraph" w:styleId="7">
    <w:name w:val="caption"/>
    <w:basedOn w:val="1"/>
    <w:next w:val="1"/>
    <w:qFormat/>
    <w:uiPriority w:val="0"/>
    <w:pPr>
      <w:widowControl/>
    </w:pPr>
    <w:rPr>
      <w:rFonts w:ascii="Calibri" w:hAnsi="Calibri" w:eastAsia="宋体" w:cs="Times New Roman"/>
      <w:b/>
      <w:bCs/>
      <w:color w:val="2DA2BF"/>
      <w:sz w:val="18"/>
      <w:szCs w:val="18"/>
      <w:lang w:eastAsia="zh-CN"/>
    </w:rPr>
  </w:style>
  <w:style w:type="paragraph" w:styleId="8">
    <w:name w:val="annotation text"/>
    <w:basedOn w:val="1"/>
    <w:semiHidden/>
    <w:unhideWhenUsed/>
    <w:qFormat/>
    <w:uiPriority w:val="99"/>
  </w:style>
  <w:style w:type="paragraph" w:styleId="9">
    <w:name w:val="Body Text Indent"/>
    <w:basedOn w:val="1"/>
    <w:next w:val="10"/>
    <w:unhideWhenUsed/>
    <w:qFormat/>
    <w:uiPriority w:val="99"/>
    <w:pPr>
      <w:spacing w:after="120"/>
      <w:ind w:left="420"/>
    </w:pPr>
  </w:style>
  <w:style w:type="paragraph" w:styleId="10">
    <w:name w:val="envelope return"/>
    <w:basedOn w:val="1"/>
    <w:qFormat/>
    <w:uiPriority w:val="0"/>
    <w:pPr>
      <w:snapToGrid w:val="0"/>
    </w:pPr>
    <w:rPr>
      <w:rFonts w:ascii="Arial" w:hAnsi="Arial" w:eastAsia="等线" w:cs="等线"/>
    </w:rPr>
  </w:style>
  <w:style w:type="paragraph" w:styleId="11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</w:pPr>
    <w:rPr>
      <w:rFonts w:cs="Times New Roman"/>
      <w:lang w:eastAsia="zh-CN"/>
    </w:rPr>
  </w:style>
  <w:style w:type="paragraph" w:styleId="12">
    <w:name w:val="Plain Text"/>
    <w:basedOn w:val="1"/>
    <w:qFormat/>
    <w:uiPriority w:val="99"/>
    <w:rPr>
      <w:rFonts w:ascii="Times New Roman" w:hAnsi="Times New Roman" w:eastAsia="楷体_GB2312" w:cs="Times New Roman"/>
      <w:color w:val="002060"/>
      <w:kern w:val="2"/>
      <w:sz w:val="21"/>
      <w:szCs w:val="21"/>
      <w:lang w:val="zh-CN" w:eastAsia="zh-CN"/>
    </w:rPr>
  </w:style>
  <w:style w:type="paragraph" w:styleId="13">
    <w:name w:val="footer"/>
    <w:basedOn w:val="1"/>
    <w:next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4"/>
    <w:basedOn w:val="1"/>
    <w:next w:val="1"/>
    <w:unhideWhenUsed/>
    <w:qFormat/>
    <w:uiPriority w:val="39"/>
    <w:pPr>
      <w:ind w:left="630"/>
    </w:pPr>
    <w:rPr>
      <w:rFonts w:ascii="等线" w:eastAsia="等线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spacing w:beforeAutospacing="1" w:afterAutospacing="1"/>
    </w:pPr>
    <w:rPr>
      <w:rFonts w:cs="Times New Roman"/>
      <w:sz w:val="24"/>
      <w:lang w:eastAsia="zh-CN"/>
    </w:rPr>
  </w:style>
  <w:style w:type="paragraph" w:styleId="1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9">
    <w:name w:val="Table Grid"/>
    <w:basedOn w:val="18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Emphasis"/>
    <w:basedOn w:val="20"/>
    <w:qFormat/>
    <w:uiPriority w:val="20"/>
    <w:rPr>
      <w:i/>
    </w:rPr>
  </w:style>
  <w:style w:type="character" w:styleId="23">
    <w:name w:val="HTML Definition"/>
    <w:basedOn w:val="20"/>
    <w:semiHidden/>
    <w:unhideWhenUsed/>
    <w:qFormat/>
    <w:uiPriority w:val="99"/>
    <w:rPr>
      <w:i/>
    </w:rPr>
  </w:style>
  <w:style w:type="character" w:styleId="24">
    <w:name w:val="HTML Acronym"/>
    <w:basedOn w:val="20"/>
    <w:semiHidden/>
    <w:unhideWhenUsed/>
    <w:qFormat/>
    <w:uiPriority w:val="99"/>
  </w:style>
  <w:style w:type="character" w:styleId="25">
    <w:name w:val="HTML Variable"/>
    <w:basedOn w:val="20"/>
    <w:semiHidden/>
    <w:unhideWhenUsed/>
    <w:qFormat/>
    <w:uiPriority w:val="99"/>
    <w:rPr>
      <w:i/>
    </w:rPr>
  </w:style>
  <w:style w:type="character" w:styleId="26">
    <w:name w:val="Hyperlink"/>
    <w:basedOn w:val="20"/>
    <w:semiHidden/>
    <w:unhideWhenUsed/>
    <w:qFormat/>
    <w:uiPriority w:val="99"/>
    <w:rPr>
      <w:color w:val="005197"/>
      <w:u w:val="single"/>
    </w:rPr>
  </w:style>
  <w:style w:type="character" w:styleId="27">
    <w:name w:val="HTML Code"/>
    <w:basedOn w:val="20"/>
    <w:semiHidden/>
    <w:unhideWhenUsed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styleId="28">
    <w:name w:val="HTML Cite"/>
    <w:basedOn w:val="20"/>
    <w:semiHidden/>
    <w:unhideWhenUsed/>
    <w:qFormat/>
    <w:uiPriority w:val="99"/>
    <w:rPr>
      <w:i/>
    </w:rPr>
  </w:style>
  <w:style w:type="character" w:customStyle="1" w:styleId="29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30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31">
    <w:name w:val="fontstyle01"/>
    <w:basedOn w:val="20"/>
    <w:qFormat/>
    <w:uiPriority w:val="0"/>
    <w:rPr>
      <w:rFonts w:hint="default" w:ascii="CIDFont+F4" w:hAnsi="CIDFont+F4"/>
      <w:color w:val="000000"/>
      <w:sz w:val="24"/>
      <w:szCs w:val="24"/>
    </w:r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paragraph" w:customStyle="1" w:styleId="34">
    <w:name w:val="设计正文2"/>
    <w:basedOn w:val="1"/>
    <w:qFormat/>
    <w:uiPriority w:val="0"/>
    <w:pPr>
      <w:snapToGrid w:val="0"/>
      <w:spacing w:before="160" w:line="320" w:lineRule="atLeast"/>
      <w:jc w:val="both"/>
    </w:pPr>
    <w:rPr>
      <w:rFonts w:ascii="Times New Roman" w:hAnsi="Times New Roman" w:eastAsia="宋体" w:cs="Times New Roman"/>
      <w:kern w:val="2"/>
      <w:sz w:val="24"/>
      <w:szCs w:val="20"/>
      <w:lang w:eastAsia="zh-CN"/>
    </w:rPr>
  </w:style>
  <w:style w:type="paragraph" w:customStyle="1" w:styleId="35">
    <w:name w:val="正文文本1"/>
    <w:basedOn w:val="36"/>
    <w:next w:val="38"/>
    <w:qFormat/>
    <w:uiPriority w:val="0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customStyle="1" w:styleId="36">
    <w:name w:val="Normal_1"/>
    <w:next w:val="37"/>
    <w:qFormat/>
    <w:uiPriority w:val="0"/>
    <w:rPr>
      <w:rFonts w:ascii="Arial" w:hAnsi="Arial" w:eastAsia="微软雅黑" w:cs="Times New Roman"/>
      <w:sz w:val="24"/>
      <w:szCs w:val="24"/>
      <w:lang w:val="en-US" w:eastAsia="zh-CN" w:bidi="ar-SA"/>
    </w:rPr>
  </w:style>
  <w:style w:type="paragraph" w:customStyle="1" w:styleId="37">
    <w:name w:val="页脚1"/>
    <w:basedOn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38">
    <w:name w:val="目录 21"/>
    <w:basedOn w:val="36"/>
    <w:next w:val="36"/>
    <w:unhideWhenUsed/>
    <w:qFormat/>
    <w:uiPriority w:val="39"/>
    <w:pPr>
      <w:tabs>
        <w:tab w:val="left" w:pos="730"/>
        <w:tab w:val="right" w:leader="dot" w:pos="9355"/>
      </w:tabs>
      <w:ind w:left="284" w:leftChars="129" w:firstLine="154" w:firstLineChars="70"/>
    </w:pPr>
  </w:style>
  <w:style w:type="character" w:customStyle="1" w:styleId="39">
    <w:name w:val="l-btn-text"/>
    <w:basedOn w:val="20"/>
    <w:qFormat/>
    <w:uiPriority w:val="0"/>
  </w:style>
  <w:style w:type="character" w:customStyle="1" w:styleId="40">
    <w:name w:val="checkbox"/>
    <w:basedOn w:val="20"/>
    <w:qFormat/>
    <w:uiPriority w:val="0"/>
  </w:style>
  <w:style w:type="character" w:customStyle="1" w:styleId="41">
    <w:name w:val="l-btn-left"/>
    <w:basedOn w:val="20"/>
    <w:qFormat/>
    <w:uiPriority w:val="0"/>
  </w:style>
  <w:style w:type="character" w:customStyle="1" w:styleId="42">
    <w:name w:val="l-btn-left1"/>
    <w:basedOn w:val="20"/>
    <w:qFormat/>
    <w:uiPriority w:val="0"/>
  </w:style>
  <w:style w:type="character" w:customStyle="1" w:styleId="43">
    <w:name w:val="l-btn-left2"/>
    <w:basedOn w:val="20"/>
    <w:qFormat/>
    <w:uiPriority w:val="0"/>
  </w:style>
  <w:style w:type="character" w:customStyle="1" w:styleId="44">
    <w:name w:val="l-btn-left3"/>
    <w:basedOn w:val="20"/>
    <w:qFormat/>
    <w:uiPriority w:val="0"/>
  </w:style>
  <w:style w:type="character" w:customStyle="1" w:styleId="45">
    <w:name w:val="l-btn-empty"/>
    <w:basedOn w:val="20"/>
    <w:qFormat/>
    <w:uiPriority w:val="0"/>
  </w:style>
  <w:style w:type="paragraph" w:customStyle="1" w:styleId="46">
    <w:name w:val="表格"/>
    <w:basedOn w:val="17"/>
    <w:next w:val="1"/>
    <w:qFormat/>
    <w:uiPriority w:val="0"/>
    <w:pPr>
      <w:spacing w:before="0" w:after="0" w:line="360" w:lineRule="auto"/>
      <w:outlineLvl w:val="9"/>
    </w:pPr>
    <w:rPr>
      <w:rFonts w:ascii="Times New Roman" w:hAnsi="Times New Roman" w:cs="Times New Roman"/>
      <w:b w:val="0"/>
      <w:bCs w:val="0"/>
      <w:kern w:val="2"/>
      <w:sz w:val="21"/>
      <w:lang w:eastAsia="zh-CN"/>
    </w:rPr>
  </w:style>
  <w:style w:type="paragraph" w:customStyle="1" w:styleId="47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8">
    <w:name w:val="Table Paragraph"/>
    <w:basedOn w:val="1"/>
    <w:qFormat/>
    <w:uiPriority w:val="0"/>
    <w:pPr>
      <w:jc w:val="left"/>
    </w:pPr>
    <w:rPr>
      <w:kern w:val="0"/>
      <w:sz w:val="22"/>
      <w:lang w:eastAsia="en-US"/>
    </w:rPr>
  </w:style>
  <w:style w:type="table" w:customStyle="1" w:styleId="49">
    <w:name w:val="网格表 1 浅色1"/>
    <w:basedOn w:val="18"/>
    <w:qFormat/>
    <w:uiPriority w:val="46"/>
    <w:rPr>
      <w:kern w:val="2"/>
      <w:sz w:val="21"/>
      <w:szCs w:val="22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0">
    <w:name w:val="Table Normal"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customStyle="1" w:styleId="52">
    <w:name w:val="网格型3"/>
    <w:basedOn w:val="1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二级条标题"/>
    <w:basedOn w:val="54"/>
    <w:next w:val="51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54">
    <w:name w:val="一级条标题"/>
    <w:next w:val="51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55">
    <w:name w:val="列表段落1"/>
    <w:basedOn w:val="1"/>
    <w:qFormat/>
    <w:uiPriority w:val="34"/>
    <w:pPr>
      <w:ind w:firstLine="420" w:firstLineChars="200"/>
    </w:pPr>
  </w:style>
  <w:style w:type="paragraph" w:customStyle="1" w:styleId="56">
    <w:name w:val="我的正文"/>
    <w:basedOn w:val="1"/>
    <w:qFormat/>
    <w:uiPriority w:val="0"/>
    <w:pPr>
      <w:spacing w:line="400" w:lineRule="exact"/>
    </w:pPr>
    <w:rPr>
      <w:sz w:val="24"/>
    </w:rPr>
  </w:style>
  <w:style w:type="paragraph" w:customStyle="1" w:styleId="57">
    <w:name w:val="列出段落1"/>
    <w:basedOn w:val="1"/>
    <w:qFormat/>
    <w:uiPriority w:val="34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lang w:eastAsia="zh-CN"/>
    </w:rPr>
  </w:style>
  <w:style w:type="character" w:customStyle="1" w:styleId="58">
    <w:name w:val="font11"/>
    <w:basedOn w:val="20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table" w:customStyle="1" w:styleId="59">
    <w:name w:val="网格型1"/>
    <w:basedOn w:val="18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0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customStyle="1" w:styleId="61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62">
    <w:name w:val="font2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3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1851</Words>
  <Characters>1982</Characters>
  <Lines>247</Lines>
  <Paragraphs>212</Paragraphs>
  <TotalTime>0</TotalTime>
  <ScaleCrop>false</ScaleCrop>
  <LinksUpToDate>false</LinksUpToDate>
  <CharactersWithSpaces>3621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2021-05-19T09:26:00Z</dcterms:created>
  <dc:creator>季云峰/采办项目组/集团公司机关</dc:creator>
  <cp:lastModifiedBy>安宁宁</cp:lastModifiedBy>
  <dcterms:modified xsi:type="dcterms:W3CDTF">2026-06-05T02:01:45Z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ECE656037CA6426BA50E95E35E37621F</vt:lpwstr>
  </property>
</Properties>
</file>