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center" w:pos="4153"/>
          <w:tab w:val="right" w:pos="8306"/>
        </w:tabs>
        <w:snapToGrid w:val="0"/>
        <w:spacing w:after="0" w:line="240" w:lineRule="auto"/>
        <w:rPr>
          <w:rFonts w:hint="eastAsia" w:ascii="宋体" w:hAnsi="宋体" w:eastAsia="宋体" w:cs="宋体"/>
          <w:b/>
          <w:spacing w:val="2"/>
          <w:w w:val="99"/>
          <w:kern w:val="0"/>
          <w:sz w:val="24"/>
          <w:lang w:eastAsia="en-US"/>
          <w14:ligatures w14:val="none"/>
        </w:rPr>
      </w:pPr>
    </w:p>
    <w:p>
      <w:pPr>
        <w:tabs>
          <w:tab w:val="center" w:pos="4153"/>
          <w:tab w:val="right" w:pos="8306"/>
        </w:tabs>
        <w:snapToGrid w:val="0"/>
        <w:spacing w:after="0" w:line="240" w:lineRule="auto"/>
        <w:rPr>
          <w:rFonts w:hint="eastAsia" w:ascii="宋体" w:hAnsi="宋体" w:eastAsia="宋体" w:cs="宋体"/>
          <w:b/>
          <w:spacing w:val="2"/>
          <w:w w:val="99"/>
          <w:kern w:val="0"/>
          <w:sz w:val="24"/>
          <w:lang w:eastAsia="en-US"/>
          <w14:ligatures w14:val="none"/>
        </w:rPr>
      </w:pPr>
    </w:p>
    <w:p>
      <w:pPr>
        <w:autoSpaceDE w:val="0"/>
        <w:autoSpaceDN w:val="0"/>
        <w:spacing w:before="120" w:after="120" w:line="360" w:lineRule="auto"/>
        <w:ind w:right="-20"/>
        <w:jc w:val="center"/>
        <w:rPr>
          <w:rFonts w:hint="eastAsia" w:ascii="宋体" w:hAnsi="宋体" w:eastAsia="宋体" w:cs="Arial Unicode MS"/>
          <w:b/>
          <w:spacing w:val="2"/>
          <w:w w:val="99"/>
          <w:kern w:val="0"/>
          <w:sz w:val="52"/>
          <w:szCs w:val="52"/>
          <w14:ligatures w14:val="none"/>
        </w:rPr>
      </w:pPr>
      <w:r>
        <w:rPr>
          <w:rFonts w:ascii="宋体" w:hAnsi="宋体" w:eastAsia="宋体" w:cs="Arial Unicode MS"/>
          <w:b/>
          <w:spacing w:val="2"/>
          <w:w w:val="99"/>
          <w:kern w:val="0"/>
          <w:sz w:val="52"/>
          <w:szCs w:val="52"/>
          <w14:ligatures w14:val="none"/>
        </w:rPr>
        <w:drawing>
          <wp:inline distT="0" distB="0" distL="0" distR="0">
            <wp:extent cx="1800860" cy="1621155"/>
            <wp:effectExtent l="0" t="0" r="8890" b="0"/>
            <wp:docPr id="961824623" name="图片 1"/>
            <wp:cNvGraphicFramePr/>
            <a:graphic xmlns:a="http://schemas.openxmlformats.org/drawingml/2006/main">
              <a:graphicData uri="http://schemas.openxmlformats.org/drawingml/2006/picture">
                <pic:pic xmlns:pic="http://schemas.openxmlformats.org/drawingml/2006/picture">
                  <pic:nvPicPr>
                    <pic:cNvPr id="961824623" name="图片 1"/>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800860" cy="1621155"/>
                    </a:xfrm>
                    <a:prstGeom prst="rect">
                      <a:avLst/>
                    </a:prstGeom>
                    <a:noFill/>
                    <a:ln>
                      <a:noFill/>
                    </a:ln>
                  </pic:spPr>
                </pic:pic>
              </a:graphicData>
            </a:graphic>
          </wp:inline>
        </w:drawing>
      </w:r>
    </w:p>
    <w:p>
      <w:pPr>
        <w:autoSpaceDE w:val="0"/>
        <w:autoSpaceDN w:val="0"/>
        <w:spacing w:before="120" w:after="120" w:line="360" w:lineRule="auto"/>
        <w:ind w:right="-20"/>
        <w:rPr>
          <w:rFonts w:hint="eastAsia" w:ascii="宋体" w:hAnsi="宋体" w:eastAsia="宋体" w:cs="宋体"/>
          <w:b/>
          <w:spacing w:val="2"/>
          <w:w w:val="99"/>
          <w:kern w:val="0"/>
          <w:sz w:val="24"/>
          <w:lang w:eastAsia="en-US"/>
          <w14:ligatures w14:val="none"/>
        </w:rPr>
      </w:pPr>
    </w:p>
    <w:p>
      <w:pPr>
        <w:spacing w:after="0" w:line="240" w:lineRule="auto"/>
        <w:jc w:val="center"/>
        <w:rPr>
          <w:rFonts w:hint="eastAsia" w:ascii="微软雅黑" w:hAnsi="微软雅黑" w:eastAsia="微软雅黑" w:cs="Arial Unicode MS"/>
          <w:b/>
          <w:color w:val="000000"/>
          <w:spacing w:val="2"/>
          <w:w w:val="99"/>
          <w:kern w:val="0"/>
          <w:sz w:val="52"/>
          <w:szCs w:val="52"/>
          <w14:ligatures w14:val="none"/>
        </w:rPr>
      </w:pPr>
      <w:r>
        <w:rPr>
          <w:rFonts w:hint="eastAsia" w:ascii="微软雅黑" w:hAnsi="微软雅黑" w:eastAsia="微软雅黑" w:cs="Arial Unicode MS"/>
          <w:b/>
          <w:color w:val="000000"/>
          <w:spacing w:val="2"/>
          <w:w w:val="99"/>
          <w:kern w:val="0"/>
          <w:sz w:val="52"/>
          <w:szCs w:val="52"/>
          <w14:ligatures w14:val="none"/>
        </w:rPr>
        <w:t>中海油能源发展股份有限公司</w:t>
      </w:r>
    </w:p>
    <w:p>
      <w:pPr>
        <w:spacing w:after="0" w:line="240" w:lineRule="auto"/>
        <w:jc w:val="center"/>
        <w:rPr>
          <w:rFonts w:hint="eastAsia" w:ascii="微软雅黑" w:hAnsi="微软雅黑" w:eastAsia="微软雅黑" w:cs="Arial Unicode MS"/>
          <w:b/>
          <w:spacing w:val="2"/>
          <w:w w:val="99"/>
          <w:kern w:val="0"/>
          <w:sz w:val="52"/>
          <w:szCs w:val="52"/>
          <w14:ligatures w14:val="none"/>
        </w:rPr>
      </w:pPr>
      <w:bookmarkStart w:id="0" w:name="OLE_LINK2"/>
      <w:r>
        <w:rPr>
          <w:rFonts w:hint="eastAsia" w:ascii="微软雅黑" w:hAnsi="微软雅黑" w:eastAsia="微软雅黑" w:cs="Arial Unicode MS"/>
          <w:b/>
          <w:color w:val="000000"/>
          <w:spacing w:val="2"/>
          <w:w w:val="99"/>
          <w:kern w:val="0"/>
          <w:sz w:val="52"/>
          <w:szCs w:val="52"/>
          <w14:ligatures w14:val="none"/>
        </w:rPr>
        <w:t>天津院南方地区技术服务专有协议</w:t>
      </w:r>
    </w:p>
    <w:bookmarkEnd w:id="0"/>
    <w:p>
      <w:pPr>
        <w:spacing w:after="0" w:line="240" w:lineRule="auto"/>
        <w:jc w:val="center"/>
        <w:rPr>
          <w:rFonts w:hint="eastAsia" w:ascii="微软雅黑" w:hAnsi="微软雅黑" w:eastAsia="微软雅黑" w:cs="Arial Unicode MS"/>
          <w:b/>
          <w:spacing w:val="2"/>
          <w:w w:val="99"/>
          <w:kern w:val="0"/>
          <w:sz w:val="52"/>
          <w:szCs w:val="52"/>
          <w14:ligatures w14:val="none"/>
        </w:rPr>
      </w:pPr>
      <w:r>
        <w:rPr>
          <w:rFonts w:hint="eastAsia" w:ascii="微软雅黑" w:hAnsi="微软雅黑" w:eastAsia="微软雅黑" w:cs="Arial Unicode MS"/>
          <w:b/>
          <w:spacing w:val="2"/>
          <w:w w:val="99"/>
          <w:kern w:val="0"/>
          <w:sz w:val="52"/>
          <w:szCs w:val="52"/>
          <w14:ligatures w14:val="none"/>
        </w:rPr>
        <w:t>采购商务建议书</w:t>
      </w:r>
    </w:p>
    <w:p>
      <w:pPr>
        <w:spacing w:after="0" w:line="240" w:lineRule="auto"/>
        <w:ind w:firstLine="420" w:firstLineChars="200"/>
        <w:jc w:val="both"/>
        <w:rPr>
          <w:rFonts w:hint="eastAsia" w:ascii="Microsoft YaHei UI" w:hAnsi="Microsoft YaHei UI" w:eastAsia="Microsoft YaHei UI" w:cs="Times New Roman"/>
          <w:kern w:val="0"/>
          <w:sz w:val="21"/>
          <w:szCs w:val="21"/>
          <w14:ligatures w14:val="none"/>
        </w:rPr>
      </w:pPr>
    </w:p>
    <w:p>
      <w:pPr>
        <w:spacing w:after="0" w:line="479" w:lineRule="exact"/>
        <w:jc w:val="center"/>
        <w:outlineLvl w:val="1"/>
        <w:rPr>
          <w:rFonts w:hint="eastAsia" w:ascii="微软雅黑" w:hAnsi="微软雅黑" w:eastAsia="微软雅黑" w:cs="Arial Unicode MS"/>
          <w:b/>
          <w:color w:val="000000"/>
          <w:spacing w:val="2"/>
          <w:w w:val="99"/>
          <w:kern w:val="0"/>
          <w:sz w:val="44"/>
          <w:szCs w:val="44"/>
          <w:u w:val="single"/>
          <w14:ligatures w14:val="none"/>
        </w:rPr>
      </w:pPr>
    </w:p>
    <w:p>
      <w:pPr>
        <w:autoSpaceDE w:val="0"/>
        <w:autoSpaceDN w:val="0"/>
        <w:spacing w:before="120" w:after="120" w:line="720" w:lineRule="auto"/>
        <w:ind w:right="-20" w:firstLine="2160" w:firstLineChars="600"/>
        <w:rPr>
          <w:rFonts w:ascii="Arial Unicode MS" w:hAnsi="Calibri" w:eastAsia="Arial Unicode MS" w:cs="Arial Unicode MS"/>
          <w:spacing w:val="2"/>
          <w:w w:val="99"/>
          <w:kern w:val="0"/>
          <w:sz w:val="36"/>
          <w:szCs w:val="36"/>
          <w14:ligatures w14:val="none"/>
        </w:rPr>
      </w:pPr>
      <w:r>
        <w:rPr>
          <w:rFonts w:hint="eastAsia" w:ascii="宋体" w:hAnsi="宋体" w:eastAsia="宋体" w:cs="宋体"/>
          <w:spacing w:val="2"/>
          <w:w w:val="99"/>
          <w:kern w:val="0"/>
          <w:sz w:val="36"/>
          <w:szCs w:val="36"/>
          <w14:ligatures w14:val="none"/>
        </w:rPr>
        <w:t>编制：</w:t>
      </w:r>
      <w:r>
        <w:rPr>
          <w:rFonts w:hint="eastAsia" w:ascii="Arial Unicode MS" w:hAnsi="Calibri" w:eastAsia="Arial Unicode MS" w:cs="Arial Unicode MS"/>
          <w:spacing w:val="2"/>
          <w:w w:val="99"/>
          <w:kern w:val="0"/>
          <w:sz w:val="36"/>
          <w:szCs w:val="36"/>
          <w:u w:val="single"/>
          <w14:ligatures w14:val="none"/>
        </w:rPr>
        <w:t xml:space="preserve">                </w:t>
      </w:r>
    </w:p>
    <w:p>
      <w:pPr>
        <w:autoSpaceDE w:val="0"/>
        <w:autoSpaceDN w:val="0"/>
        <w:spacing w:before="120" w:after="120" w:line="720" w:lineRule="auto"/>
        <w:ind w:right="-20"/>
        <w:rPr>
          <w:rFonts w:ascii="Arial Unicode MS" w:hAnsi="Calibri" w:eastAsia="Arial Unicode MS" w:cs="Arial Unicode MS"/>
          <w:spacing w:val="2"/>
          <w:w w:val="99"/>
          <w:kern w:val="0"/>
          <w:sz w:val="36"/>
          <w:szCs w:val="36"/>
          <w14:ligatures w14:val="none"/>
        </w:rPr>
      </w:pPr>
      <w:r>
        <w:rPr>
          <w:rFonts w:hint="eastAsia" w:ascii="Arial Unicode MS" w:hAnsi="Calibri" w:eastAsia="Arial Unicode MS" w:cs="Arial Unicode MS"/>
          <w:spacing w:val="2"/>
          <w:w w:val="99"/>
          <w:kern w:val="0"/>
          <w:sz w:val="36"/>
          <w:szCs w:val="36"/>
          <w14:ligatures w14:val="none"/>
        </w:rPr>
        <w:t xml:space="preserve">          </w:t>
      </w:r>
      <w:r>
        <w:rPr>
          <w:rFonts w:hint="eastAsia" w:ascii="Arial Unicode MS" w:hAnsi="Calibri" w:cs="Arial Unicode MS"/>
          <w:spacing w:val="2"/>
          <w:w w:val="99"/>
          <w:kern w:val="0"/>
          <w:sz w:val="36"/>
          <w:szCs w:val="36"/>
          <w14:ligatures w14:val="none"/>
        </w:rPr>
        <w:t xml:space="preserve"> </w:t>
      </w:r>
      <w:r>
        <w:rPr>
          <w:rFonts w:hint="eastAsia" w:ascii="Arial Unicode MS" w:hAnsi="Calibri" w:eastAsia="Arial Unicode MS" w:cs="Arial Unicode MS"/>
          <w:spacing w:val="2"/>
          <w:w w:val="99"/>
          <w:kern w:val="0"/>
          <w:sz w:val="36"/>
          <w:szCs w:val="36"/>
          <w14:ligatures w14:val="none"/>
        </w:rPr>
        <w:t xml:space="preserve"> </w:t>
      </w:r>
      <w:r>
        <w:rPr>
          <w:rFonts w:hint="eastAsia" w:ascii="宋体" w:hAnsi="宋体" w:eastAsia="宋体" w:cs="宋体"/>
          <w:spacing w:val="2"/>
          <w:w w:val="99"/>
          <w:kern w:val="0"/>
          <w:sz w:val="36"/>
          <w:szCs w:val="36"/>
          <w14:ligatures w14:val="none"/>
        </w:rPr>
        <w:t>审核：</w:t>
      </w:r>
      <w:r>
        <w:rPr>
          <w:rFonts w:hint="eastAsia" w:ascii="Arial Unicode MS" w:hAnsi="Calibri" w:eastAsia="Arial Unicode MS" w:cs="Arial Unicode MS"/>
          <w:spacing w:val="2"/>
          <w:w w:val="99"/>
          <w:kern w:val="0"/>
          <w:sz w:val="36"/>
          <w:szCs w:val="36"/>
          <w:u w:val="single"/>
          <w14:ligatures w14:val="none"/>
        </w:rPr>
        <w:t xml:space="preserve">                </w:t>
      </w:r>
    </w:p>
    <w:p>
      <w:pPr>
        <w:autoSpaceDE w:val="0"/>
        <w:autoSpaceDN w:val="0"/>
        <w:spacing w:before="120" w:after="120" w:line="720" w:lineRule="auto"/>
        <w:ind w:right="-20"/>
        <w:rPr>
          <w:rFonts w:ascii="Arial Unicode MS" w:hAnsi="Calibri" w:eastAsia="Arial Unicode MS" w:cs="Arial Unicode MS"/>
          <w:spacing w:val="2"/>
          <w:w w:val="99"/>
          <w:kern w:val="0"/>
          <w:sz w:val="36"/>
          <w:szCs w:val="36"/>
          <w14:ligatures w14:val="none"/>
        </w:rPr>
      </w:pPr>
      <w:r>
        <w:rPr>
          <w:rFonts w:hint="eastAsia" w:ascii="Arial Unicode MS" w:hAnsi="Calibri" w:eastAsia="Arial Unicode MS" w:cs="Arial Unicode MS"/>
          <w:spacing w:val="2"/>
          <w:w w:val="99"/>
          <w:kern w:val="0"/>
          <w:sz w:val="36"/>
          <w:szCs w:val="36"/>
          <w14:ligatures w14:val="none"/>
        </w:rPr>
        <w:t xml:space="preserve">            </w:t>
      </w:r>
      <w:r>
        <w:rPr>
          <w:rFonts w:hint="eastAsia" w:ascii="宋体" w:hAnsi="宋体" w:eastAsia="宋体" w:cs="宋体"/>
          <w:spacing w:val="2"/>
          <w:w w:val="99"/>
          <w:kern w:val="0"/>
          <w:sz w:val="36"/>
          <w:szCs w:val="36"/>
          <w14:ligatures w14:val="none"/>
        </w:rPr>
        <w:t>批准：</w:t>
      </w:r>
      <w:r>
        <w:rPr>
          <w:rFonts w:hint="eastAsia" w:ascii="Arial Unicode MS" w:hAnsi="Calibri" w:eastAsia="Arial Unicode MS" w:cs="Arial Unicode MS"/>
          <w:spacing w:val="2"/>
          <w:w w:val="99"/>
          <w:kern w:val="0"/>
          <w:sz w:val="36"/>
          <w:szCs w:val="36"/>
          <w:u w:val="single"/>
          <w14:ligatures w14:val="none"/>
        </w:rPr>
        <w:t xml:space="preserve">                </w:t>
      </w:r>
      <w:r>
        <w:rPr>
          <w:rFonts w:hint="eastAsia" w:ascii="Arial Unicode MS" w:hAnsi="Calibri" w:eastAsia="Arial Unicode MS" w:cs="Arial Unicode MS"/>
          <w:spacing w:val="2"/>
          <w:w w:val="99"/>
          <w:kern w:val="0"/>
          <w:sz w:val="36"/>
          <w:szCs w:val="36"/>
          <w14:ligatures w14:val="none"/>
        </w:rPr>
        <w:t xml:space="preserve"> </w:t>
      </w:r>
    </w:p>
    <w:p>
      <w:pPr>
        <w:ind w:firstLine="2160" w:firstLineChars="600"/>
        <w:rPr>
          <w:rFonts w:ascii="Arial Unicode MS" w:hAnsi="Calibri" w:eastAsia="Arial Unicode MS" w:cs="Arial Unicode MS"/>
          <w:spacing w:val="2"/>
          <w:w w:val="99"/>
          <w:kern w:val="0"/>
          <w:sz w:val="36"/>
          <w:szCs w:val="36"/>
          <w14:ligatures w14:val="none"/>
        </w:rPr>
      </w:pPr>
      <w:r>
        <w:rPr>
          <w:rFonts w:hint="eastAsia" w:ascii="宋体" w:hAnsi="宋体" w:eastAsia="宋体" w:cs="宋体"/>
          <w:spacing w:val="2"/>
          <w:w w:val="99"/>
          <w:kern w:val="0"/>
          <w:sz w:val="36"/>
          <w:szCs w:val="36"/>
          <w14:ligatures w14:val="none"/>
        </w:rPr>
        <w:t>日期：</w:t>
      </w:r>
      <w:r>
        <w:rPr>
          <w:rFonts w:hint="eastAsia" w:ascii="Arial Unicode MS" w:hAnsi="Calibri" w:eastAsia="Arial Unicode MS" w:cs="Arial Unicode MS"/>
          <w:spacing w:val="2"/>
          <w:w w:val="99"/>
          <w:kern w:val="0"/>
          <w:sz w:val="36"/>
          <w:szCs w:val="36"/>
          <w:u w:val="single"/>
          <w14:ligatures w14:val="none"/>
        </w:rPr>
        <w:t xml:space="preserve">                </w:t>
      </w:r>
      <w:r>
        <w:rPr>
          <w:rFonts w:hint="eastAsia" w:ascii="Arial Unicode MS" w:hAnsi="Calibri" w:eastAsia="Arial Unicode MS" w:cs="Arial Unicode MS"/>
          <w:spacing w:val="2"/>
          <w:w w:val="99"/>
          <w:kern w:val="0"/>
          <w:sz w:val="36"/>
          <w:szCs w:val="36"/>
          <w14:ligatures w14:val="none"/>
        </w:rPr>
        <w:t xml:space="preserve"> </w:t>
      </w:r>
      <w:r>
        <w:rPr>
          <w:rFonts w:ascii="Arial Unicode MS" w:hAnsi="Calibri" w:eastAsia="Arial Unicode MS" w:cs="Arial Unicode MS"/>
          <w:spacing w:val="2"/>
          <w:w w:val="99"/>
          <w:kern w:val="0"/>
          <w:sz w:val="36"/>
          <w:szCs w:val="36"/>
          <w14:ligatures w14:val="none"/>
        </w:rPr>
        <w:br w:type="page"/>
      </w:r>
    </w:p>
    <w:p>
      <w:pPr>
        <w:spacing w:after="156" w:afterLines="50"/>
        <w:rPr>
          <w:rFonts w:hint="eastAsia" w:ascii="宋体" w:hAnsi="宋体" w:eastAsia="宋体"/>
          <w:sz w:val="21"/>
          <w:szCs w:val="21"/>
        </w:rPr>
      </w:pPr>
      <w:r>
        <w:rPr>
          <w:rFonts w:hint="eastAsia" w:ascii="宋体" w:hAnsi="宋体" w:eastAsia="宋体"/>
          <w:sz w:val="21"/>
          <w:szCs w:val="21"/>
        </w:rPr>
        <w:t>一、评审标准</w:t>
      </w:r>
    </w:p>
    <w:tbl>
      <w:tblPr>
        <w:tblStyle w:val="17"/>
        <w:tblW w:w="90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0"/>
        <w:gridCol w:w="1276"/>
        <w:gridCol w:w="70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0" w:type="dxa"/>
            <w:tcBorders>
              <w:right w:val="single" w:color="auto" w:sz="4" w:space="0"/>
              <w:tl2br w:val="nil"/>
              <w:tr2bl w:val="nil"/>
            </w:tcBorders>
            <w:vAlign w:val="center"/>
          </w:tcPr>
          <w:p>
            <w:pPr>
              <w:widowControl/>
              <w:spacing w:after="0" w:line="300" w:lineRule="auto"/>
              <w:jc w:val="center"/>
              <w:textAlignment w:val="center"/>
              <w:rPr>
                <w:rFonts w:ascii="Times New Roman" w:hAnsi="Times New Roman" w:eastAsia="宋体" w:cs="Times New Roman"/>
                <w:b/>
                <w:bCs/>
                <w:color w:val="000000"/>
                <w:sz w:val="21"/>
                <w:szCs w:val="21"/>
              </w:rPr>
            </w:pPr>
            <w:r>
              <w:rPr>
                <w:rFonts w:ascii="Times New Roman" w:hAnsi="Times New Roman" w:eastAsia="宋体" w:cs="Times New Roman"/>
                <w:b/>
                <w:bCs/>
                <w:color w:val="000000"/>
                <w:sz w:val="21"/>
                <w:szCs w:val="21"/>
              </w:rPr>
              <w:t>序号</w:t>
            </w:r>
          </w:p>
        </w:tc>
        <w:tc>
          <w:tcPr>
            <w:tcW w:w="1276" w:type="dxa"/>
            <w:tcBorders>
              <w:left w:val="single" w:color="auto" w:sz="4" w:space="0"/>
              <w:tl2br w:val="nil"/>
              <w:tr2bl w:val="nil"/>
            </w:tcBorders>
            <w:vAlign w:val="center"/>
          </w:tcPr>
          <w:p>
            <w:pPr>
              <w:widowControl/>
              <w:spacing w:after="0" w:line="300" w:lineRule="auto"/>
              <w:jc w:val="center"/>
              <w:textAlignment w:val="center"/>
              <w:rPr>
                <w:rFonts w:ascii="Times New Roman" w:hAnsi="Times New Roman" w:eastAsia="宋体" w:cs="Times New Roman"/>
                <w:b/>
                <w:bCs/>
                <w:color w:val="000000"/>
                <w:sz w:val="21"/>
                <w:szCs w:val="21"/>
              </w:rPr>
            </w:pPr>
            <w:r>
              <w:rPr>
                <w:rFonts w:ascii="Times New Roman" w:hAnsi="Times New Roman" w:eastAsia="宋体" w:cs="Times New Roman"/>
                <w:b/>
                <w:bCs/>
                <w:color w:val="000000"/>
                <w:kern w:val="0"/>
                <w:sz w:val="21"/>
                <w:szCs w:val="21"/>
                <w:lang w:bidi="ar"/>
              </w:rPr>
              <w:t>评审因素</w:t>
            </w:r>
          </w:p>
        </w:tc>
        <w:tc>
          <w:tcPr>
            <w:tcW w:w="7093" w:type="dxa"/>
            <w:tcBorders>
              <w:tl2br w:val="nil"/>
              <w:tr2bl w:val="nil"/>
            </w:tcBorders>
            <w:vAlign w:val="center"/>
          </w:tcPr>
          <w:p>
            <w:pPr>
              <w:widowControl/>
              <w:spacing w:after="0" w:line="300" w:lineRule="auto"/>
              <w:jc w:val="center"/>
              <w:textAlignment w:val="center"/>
              <w:rPr>
                <w:rFonts w:ascii="Times New Roman" w:hAnsi="Times New Roman" w:eastAsia="宋体" w:cs="Times New Roman"/>
                <w:b/>
                <w:bCs/>
                <w:color w:val="000000"/>
                <w:sz w:val="21"/>
                <w:szCs w:val="21"/>
              </w:rPr>
            </w:pPr>
            <w:r>
              <w:rPr>
                <w:rFonts w:ascii="Times New Roman" w:hAnsi="Times New Roman" w:eastAsia="宋体" w:cs="Times New Roman"/>
                <w:b/>
                <w:bCs/>
                <w:color w:val="000000"/>
                <w:kern w:val="0"/>
                <w:sz w:val="21"/>
                <w:szCs w:val="21"/>
                <w:lang w:bidi="ar"/>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0" w:type="dxa"/>
            <w:tcBorders>
              <w:right w:val="single" w:color="auto" w:sz="4" w:space="0"/>
              <w:tl2br w:val="nil"/>
              <w:tr2bl w:val="nil"/>
            </w:tcBorders>
            <w:vAlign w:val="center"/>
          </w:tcPr>
          <w:p>
            <w:pPr>
              <w:widowControl/>
              <w:spacing w:after="0" w:line="300" w:lineRule="auto"/>
              <w:jc w:val="center"/>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1</w:t>
            </w:r>
          </w:p>
        </w:tc>
        <w:tc>
          <w:tcPr>
            <w:tcW w:w="1276" w:type="dxa"/>
            <w:tcBorders>
              <w:left w:val="single" w:color="auto" w:sz="4" w:space="0"/>
              <w:tl2br w:val="nil"/>
              <w:tr2bl w:val="nil"/>
            </w:tcBorders>
            <w:vAlign w:val="center"/>
          </w:tcPr>
          <w:p>
            <w:pPr>
              <w:widowControl/>
              <w:spacing w:after="0" w:line="300" w:lineRule="auto"/>
              <w:jc w:val="center"/>
              <w:textAlignment w:val="center"/>
              <w:rPr>
                <w:rFonts w:ascii="Times New Roman" w:hAnsi="Times New Roman" w:eastAsia="宋体" w:cs="Times New Roman"/>
                <w:color w:val="000000"/>
                <w:kern w:val="0"/>
                <w:sz w:val="21"/>
                <w:szCs w:val="21"/>
                <w:lang w:bidi="ar"/>
              </w:rPr>
            </w:pPr>
            <w:r>
              <w:rPr>
                <w:rFonts w:ascii="Segoe UI Symbol" w:hAnsi="Segoe UI Symbol" w:eastAsia="宋体" w:cs="Segoe UI Symbol"/>
                <w:color w:val="000000"/>
                <w:kern w:val="0"/>
                <w:sz w:val="21"/>
                <w:szCs w:val="21"/>
                <w:lang w:bidi="ar"/>
              </w:rPr>
              <w:t>★</w:t>
            </w:r>
            <w:r>
              <w:rPr>
                <w:rFonts w:ascii="Times New Roman" w:hAnsi="Times New Roman" w:eastAsia="宋体" w:cs="Times New Roman"/>
                <w:color w:val="000000"/>
                <w:kern w:val="0"/>
                <w:sz w:val="21"/>
                <w:szCs w:val="21"/>
                <w:lang w:bidi="ar"/>
              </w:rPr>
              <w:t>营业执照</w:t>
            </w:r>
          </w:p>
        </w:tc>
        <w:tc>
          <w:tcPr>
            <w:tcW w:w="7093" w:type="dxa"/>
            <w:tcBorders>
              <w:tl2br w:val="nil"/>
              <w:tr2bl w:val="nil"/>
            </w:tcBorders>
            <w:vAlign w:val="center"/>
          </w:tcPr>
          <w:p>
            <w:pPr>
              <w:widowControl/>
              <w:spacing w:after="0" w:line="300" w:lineRule="auto"/>
              <w:textAlignment w:val="center"/>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投标人具有合法有效的企业法人营业执照、税务登记证及组织机构代码证或证照合一的营业执照，投标时需提供原件扫描件（原件备查）。投标人为事业单位的，应具有合法有效的事业单位法人证书，投标时需提供原件扫描件（原件备查）。投标人为分公司的，提供具有合法有效的营业执照和上级法人单位授权书（授权该分公司投标），认可该分公司和上级法人单位的资质、资格和业绩，不认可同一上级法人单位的其它分公司的资质、资格和业绩，投标时需提供原件扫描件（原件备查）。分公司与上级法人单位只可一家参与投标，同时参与投标的，投标均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0" w:type="dxa"/>
            <w:tcBorders>
              <w:right w:val="single" w:color="auto" w:sz="4" w:space="0"/>
              <w:tl2br w:val="nil"/>
              <w:tr2bl w:val="nil"/>
            </w:tcBorders>
            <w:vAlign w:val="center"/>
          </w:tcPr>
          <w:p>
            <w:pPr>
              <w:widowControl/>
              <w:spacing w:after="0" w:line="300" w:lineRule="auto"/>
              <w:jc w:val="center"/>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2</w:t>
            </w:r>
          </w:p>
        </w:tc>
        <w:tc>
          <w:tcPr>
            <w:tcW w:w="1276" w:type="dxa"/>
            <w:tcBorders>
              <w:left w:val="single" w:color="auto" w:sz="4" w:space="0"/>
              <w:tl2br w:val="nil"/>
              <w:tr2bl w:val="nil"/>
            </w:tcBorders>
            <w:vAlign w:val="center"/>
          </w:tcPr>
          <w:p>
            <w:pPr>
              <w:widowControl/>
              <w:spacing w:after="0" w:line="300" w:lineRule="auto"/>
              <w:jc w:val="center"/>
              <w:textAlignment w:val="center"/>
              <w:rPr>
                <w:rFonts w:ascii="Times New Roman" w:hAnsi="Times New Roman" w:eastAsia="宋体" w:cs="Times New Roman"/>
                <w:color w:val="000000"/>
                <w:kern w:val="0"/>
                <w:sz w:val="21"/>
                <w:szCs w:val="21"/>
                <w:lang w:bidi="ar"/>
              </w:rPr>
            </w:pPr>
            <w:r>
              <w:rPr>
                <w:rFonts w:ascii="Segoe UI Symbol" w:hAnsi="Segoe UI Symbol" w:eastAsia="宋体" w:cs="Segoe UI Symbol"/>
                <w:color w:val="000000"/>
                <w:kern w:val="0"/>
                <w:sz w:val="21"/>
                <w:szCs w:val="21"/>
                <w:lang w:bidi="ar"/>
              </w:rPr>
              <w:t>★</w:t>
            </w:r>
            <w:r>
              <w:rPr>
                <w:rFonts w:ascii="Times New Roman" w:hAnsi="Times New Roman" w:eastAsia="宋体" w:cs="Times New Roman"/>
                <w:color w:val="000000"/>
                <w:kern w:val="0"/>
                <w:sz w:val="21"/>
                <w:szCs w:val="21"/>
                <w:lang w:bidi="ar"/>
              </w:rPr>
              <w:t>业绩要求（开标时需进行信息公开）</w:t>
            </w:r>
          </w:p>
        </w:tc>
        <w:tc>
          <w:tcPr>
            <w:tcW w:w="7093" w:type="dxa"/>
            <w:tcBorders>
              <w:tl2br w:val="nil"/>
              <w:tr2bl w:val="nil"/>
            </w:tcBorders>
            <w:vAlign w:val="center"/>
          </w:tcPr>
          <w:p>
            <w:pPr>
              <w:spacing w:after="0" w:line="300" w:lineRule="auto"/>
              <w:jc w:val="both"/>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1、投标人在2023年1月1日至投标截止日（以合同签署时间为准），投标人应具有1个合同的以下服务业绩之一（合同结算金额不低于含税200万元人民币）：</w:t>
            </w:r>
            <w:r>
              <w:rPr>
                <w:rFonts w:ascii="Times New Roman" w:hAnsi="Times New Roman" w:eastAsia="宋体" w:cs="Times New Roman"/>
                <w:color w:val="000000"/>
                <w:sz w:val="21"/>
                <w:szCs w:val="21"/>
              </w:rPr>
              <w:t>1）工业水处理服务业绩2）循环水处理服务业绩3）中水处理服务业绩4）双膜处理服务业绩5）脱/除盐水处理服务业绩6）污水处理（不含市政、生活类）服务业绩。</w:t>
            </w:r>
          </w:p>
          <w:p>
            <w:pPr>
              <w:spacing w:after="0" w:line="300" w:lineRule="auto"/>
              <w:jc w:val="both"/>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2、</w:t>
            </w:r>
            <w:r>
              <w:rPr>
                <w:rFonts w:ascii="Times New Roman" w:hAnsi="Times New Roman" w:eastAsia="宋体" w:cs="Times New Roman"/>
                <w:color w:val="000000"/>
                <w:sz w:val="21"/>
                <w:szCs w:val="21"/>
              </w:rPr>
              <w:t>投标人须提交业绩表，并提交相关业绩证明文件。业绩证明文件包括：（1）若业绩合同为总价合同，需同时提供以下内容：1）合同，至少体现以下内容：合同签订日期、合同签署页（具有双方签署或盖章）、服务名称/服务内容；2）能体现服务验收金额在含税200万元以上的证明材料。（2）若业绩合同为非总价合同，需同时提供以下内容：1）合同，至少体现以下内容：合同签订日期、合同签署页（具有双方签署或盖章）、服务内容；2）与合同相关联的订单或工作量确认单；3）与上述订单或工作量确认单对应的能体验服务验收金额在含税200万元以上的证明材料。若服务验收证明材料中的相关信息能清晰证明其与合同的关联性，则无需提供上述订单或工作量确认单；4）同一个非总价合同下提供1个或以上的订单（或工作量确认单）及与订单（或工作量确认单）对应的服务验收证明材料只算为1个有效业绩</w:t>
            </w:r>
            <w:r>
              <w:rPr>
                <w:rFonts w:hint="eastAsia" w:ascii="Times New Roman" w:hAnsi="Times New Roman" w:eastAsia="宋体" w:cs="Times New Roman"/>
                <w:color w:val="000000"/>
                <w:sz w:val="21"/>
                <w:szCs w:val="21"/>
              </w:rPr>
              <w:t>。</w:t>
            </w:r>
          </w:p>
          <w:p>
            <w:pPr>
              <w:spacing w:after="0" w:line="300" w:lineRule="auto"/>
              <w:jc w:val="both"/>
              <w:rPr>
                <w:rFonts w:ascii="Times New Roman" w:hAnsi="Times New Roman" w:eastAsia="宋体" w:cs="Times New Roman"/>
                <w:color w:val="000000"/>
                <w:kern w:val="0"/>
                <w:sz w:val="21"/>
                <w:szCs w:val="21"/>
                <w:lang w:bidi="ar"/>
              </w:rPr>
            </w:pPr>
            <w:r>
              <w:rPr>
                <w:rFonts w:hint="eastAsia" w:ascii="Times New Roman" w:hAnsi="Times New Roman" w:eastAsia="宋体" w:cs="Times New Roman"/>
                <w:color w:val="000000"/>
                <w:sz w:val="21"/>
                <w:szCs w:val="21"/>
              </w:rPr>
              <w:t>3、未提交业绩证明文件，或通过所提供的业绩证明文件无法认定满足上述业绩要求的，均视为无效业绩。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0" w:type="dxa"/>
            <w:tcBorders>
              <w:right w:val="single" w:color="auto" w:sz="4" w:space="0"/>
              <w:tl2br w:val="nil"/>
              <w:tr2bl w:val="nil"/>
            </w:tcBorders>
            <w:vAlign w:val="center"/>
          </w:tcPr>
          <w:p>
            <w:pPr>
              <w:widowControl/>
              <w:spacing w:after="0" w:line="300" w:lineRule="auto"/>
              <w:jc w:val="center"/>
              <w:textAlignment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3</w:t>
            </w:r>
          </w:p>
        </w:tc>
        <w:tc>
          <w:tcPr>
            <w:tcW w:w="1276" w:type="dxa"/>
            <w:tcBorders>
              <w:left w:val="single" w:color="auto" w:sz="4" w:space="0"/>
              <w:tl2br w:val="nil"/>
              <w:tr2bl w:val="nil"/>
            </w:tcBorders>
            <w:vAlign w:val="center"/>
          </w:tcPr>
          <w:p>
            <w:pPr>
              <w:widowControl/>
              <w:spacing w:after="0" w:line="300" w:lineRule="auto"/>
              <w:jc w:val="center"/>
              <w:textAlignment w:val="center"/>
              <w:rPr>
                <w:rFonts w:ascii="Segoe UI Symbol" w:hAnsi="Segoe UI Symbol" w:eastAsia="宋体" w:cs="Segoe UI Symbol"/>
                <w:color w:val="000000"/>
                <w:kern w:val="0"/>
                <w:sz w:val="21"/>
                <w:szCs w:val="21"/>
                <w:lang w:bidi="ar"/>
              </w:rPr>
            </w:pPr>
            <w:bookmarkStart w:id="1" w:name="_GoBack"/>
            <w:bookmarkEnd w:id="1"/>
          </w:p>
        </w:tc>
        <w:tc>
          <w:tcPr>
            <w:tcW w:w="7093" w:type="dxa"/>
            <w:tcBorders>
              <w:tl2br w:val="nil"/>
              <w:tr2bl w:val="nil"/>
            </w:tcBorders>
            <w:vAlign w:val="center"/>
          </w:tcPr>
          <w:p>
            <w:pPr>
              <w:spacing w:after="0" w:line="300" w:lineRule="auto"/>
              <w:jc w:val="both"/>
              <w:rPr>
                <w:rFonts w:ascii="Times New Roman" w:hAnsi="Times New Roman" w:eastAsia="宋体" w:cs="Times New Roman"/>
                <w:color w:val="00000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0" w:type="dxa"/>
            <w:tcBorders>
              <w:right w:val="single" w:color="auto" w:sz="4" w:space="0"/>
              <w:tl2br w:val="nil"/>
              <w:tr2bl w:val="nil"/>
            </w:tcBorders>
            <w:vAlign w:val="center"/>
          </w:tcPr>
          <w:p>
            <w:pPr>
              <w:spacing w:after="0" w:line="300"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4</w:t>
            </w:r>
          </w:p>
        </w:tc>
        <w:tc>
          <w:tcPr>
            <w:tcW w:w="1276" w:type="dxa"/>
            <w:tcBorders>
              <w:left w:val="single" w:color="auto" w:sz="4" w:space="0"/>
              <w:tl2br w:val="nil"/>
              <w:tr2bl w:val="nil"/>
            </w:tcBorders>
            <w:vAlign w:val="center"/>
          </w:tcPr>
          <w:p>
            <w:pPr>
              <w:spacing w:after="0" w:line="300"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★服务人员及社保要求</w:t>
            </w:r>
          </w:p>
        </w:tc>
        <w:tc>
          <w:tcPr>
            <w:tcW w:w="7093" w:type="dxa"/>
            <w:tcBorders>
              <w:tl2br w:val="nil"/>
              <w:tr2bl w:val="nil"/>
            </w:tcBorders>
            <w:vAlign w:val="center"/>
          </w:tcPr>
          <w:p>
            <w:pPr>
              <w:numPr>
                <w:ilvl w:val="0"/>
                <w:numId w:val="1"/>
              </w:numPr>
              <w:spacing w:after="0" w:line="300" w:lineRule="auto"/>
              <w:rPr>
                <w:rFonts w:ascii="Times New Roman" w:hAnsi="Times New Roman" w:eastAsia="宋体" w:cs="Times New Roman"/>
                <w:sz w:val="21"/>
                <w:szCs w:val="21"/>
              </w:rPr>
            </w:pPr>
            <w:r>
              <w:rPr>
                <w:rFonts w:ascii="Times New Roman" w:hAnsi="Times New Roman" w:eastAsia="宋体" w:cs="Times New Roman"/>
                <w:sz w:val="21"/>
                <w:szCs w:val="21"/>
              </w:rPr>
              <w:t>投标人须提供至少5人（至少包含1位水质分析工、2位污水处理工、2位水处理操作工）的人员清单（人员清单中至少包含姓名、身份证号、工种）以及由投标人缴纳的近6个月（2026年2月~2026年7月或2026年3月~2026年8月）的社保缴纳证明，社保缴纳证明必须由社保部门开具的或从社保网站打印的证明，证明中参保单位名称须与投标人单位名称一致（参保单位为投标人分公司的，视同为参保单位名称须与投标人单位名称一致）。上述资料中的人员信息应真实有效，前后一致，相关原件须留存备查</w:t>
            </w:r>
          </w:p>
          <w:p>
            <w:pPr>
              <w:numPr>
                <w:ilvl w:val="255"/>
                <w:numId w:val="0"/>
              </w:numPr>
              <w:spacing w:after="0" w:line="300" w:lineRule="auto"/>
              <w:rPr>
                <w:rFonts w:ascii="Times New Roman" w:hAnsi="Times New Roman" w:eastAsia="宋体" w:cs="Times New Roman"/>
                <w:sz w:val="21"/>
                <w:szCs w:val="21"/>
              </w:rPr>
            </w:pPr>
            <w:r>
              <w:rPr>
                <w:rFonts w:hint="eastAsia" w:ascii="Times New Roman" w:hAnsi="Times New Roman" w:eastAsia="宋体" w:cs="Times New Roman"/>
                <w:sz w:val="21"/>
                <w:szCs w:val="21"/>
              </w:rPr>
              <w:t>2、承诺满足本项目各岗位配置，中标后严格按照技术要求书中列明各岗位不同级别工种标准足额发放工人工资，不得克扣、拖欠人员工资，否则甲方有权解除合同并追究违约责任。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0" w:type="dxa"/>
            <w:tcBorders>
              <w:right w:val="single" w:color="auto" w:sz="4" w:space="0"/>
              <w:tl2br w:val="nil"/>
              <w:tr2bl w:val="nil"/>
            </w:tcBorders>
            <w:vAlign w:val="center"/>
          </w:tcPr>
          <w:p>
            <w:pPr>
              <w:spacing w:after="0" w:line="300"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5</w:t>
            </w:r>
          </w:p>
        </w:tc>
        <w:tc>
          <w:tcPr>
            <w:tcW w:w="1276" w:type="dxa"/>
            <w:tcBorders>
              <w:left w:val="single" w:color="auto" w:sz="4" w:space="0"/>
              <w:tl2br w:val="nil"/>
              <w:tr2bl w:val="nil"/>
            </w:tcBorders>
            <w:vAlign w:val="center"/>
          </w:tcPr>
          <w:p>
            <w:pPr>
              <w:spacing w:after="0" w:line="300"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★无欠薪失信记录</w:t>
            </w:r>
          </w:p>
        </w:tc>
        <w:tc>
          <w:tcPr>
            <w:tcW w:w="7093" w:type="dxa"/>
            <w:tcBorders>
              <w:tl2br w:val="nil"/>
              <w:tr2bl w:val="nil"/>
            </w:tcBorders>
            <w:vAlign w:val="center"/>
          </w:tcPr>
          <w:p>
            <w:pPr>
              <w:numPr>
                <w:ilvl w:val="255"/>
                <w:numId w:val="0"/>
              </w:numPr>
              <w:spacing w:after="0" w:line="300" w:lineRule="auto"/>
              <w:rPr>
                <w:rFonts w:ascii="Times New Roman" w:hAnsi="Times New Roman" w:eastAsia="宋体" w:cs="Times New Roman"/>
                <w:sz w:val="21"/>
                <w:szCs w:val="21"/>
              </w:rPr>
            </w:pPr>
            <w:r>
              <w:rPr>
                <w:rFonts w:hint="eastAsia" w:ascii="Times New Roman" w:hAnsi="Times New Roman" w:eastAsia="宋体" w:cs="Times New Roman"/>
                <w:sz w:val="21"/>
                <w:szCs w:val="21"/>
              </w:rPr>
              <w:t>1、</w:t>
            </w:r>
            <w:r>
              <w:rPr>
                <w:rFonts w:ascii="Times New Roman" w:hAnsi="Times New Roman" w:eastAsia="宋体" w:cs="Times New Roman"/>
                <w:sz w:val="21"/>
                <w:szCs w:val="21"/>
              </w:rPr>
              <w:t>投标人近36个月无人社部门公布的拖欠农民工工资失信联合惩戒记录，提供信用查询截图；存在欠薪惩戒记录直接否决投标。</w:t>
            </w:r>
          </w:p>
          <w:p>
            <w:pPr>
              <w:numPr>
                <w:ilvl w:val="255"/>
                <w:numId w:val="0"/>
              </w:numPr>
              <w:spacing w:after="0" w:line="300" w:lineRule="auto"/>
              <w:rPr>
                <w:rFonts w:ascii="Times New Roman" w:hAnsi="Times New Roman" w:eastAsia="宋体" w:cs="Times New Roman"/>
                <w:sz w:val="21"/>
                <w:szCs w:val="21"/>
              </w:rPr>
            </w:pPr>
            <w:r>
              <w:rPr>
                <w:rFonts w:hint="eastAsia" w:ascii="Times New Roman" w:hAnsi="Times New Roman" w:eastAsia="宋体" w:cs="Times New Roman"/>
                <w:sz w:val="21"/>
                <w:szCs w:val="21"/>
              </w:rPr>
              <w:t>2、</w:t>
            </w:r>
            <w:r>
              <w:rPr>
                <w:rFonts w:ascii="Times New Roman" w:hAnsi="Times New Roman" w:eastAsia="宋体" w:cs="Times New Roman"/>
                <w:sz w:val="21"/>
                <w:szCs w:val="21"/>
              </w:rPr>
              <w:t>投标人近36个月，不存在因查实拖欠员工</w:t>
            </w:r>
            <w:r>
              <w:rPr>
                <w:rFonts w:hint="eastAsia" w:ascii="Times New Roman" w:hAnsi="Times New Roman" w:eastAsia="宋体" w:cs="Times New Roman"/>
                <w:sz w:val="21"/>
                <w:szCs w:val="21"/>
              </w:rPr>
              <w:t>/</w:t>
            </w:r>
            <w:r>
              <w:rPr>
                <w:rFonts w:ascii="Times New Roman" w:hAnsi="Times New Roman" w:eastAsia="宋体" w:cs="Times New Roman"/>
                <w:sz w:val="21"/>
                <w:szCs w:val="21"/>
              </w:rPr>
              <w:t>农民工工资，被人力资源社会保障行政部门作出行政警告、责令改正的行政处理记录（经人社部门核查投诉不成立、调解结案且未查实存在拖欠工资违法行为的除外）。评标委员会可通过公开渠道复核该记录，经核查存在上述查实欠薪行政处理记录的，投标直接否决。</w:t>
            </w:r>
          </w:p>
          <w:p>
            <w:pPr>
              <w:numPr>
                <w:ilvl w:val="255"/>
                <w:numId w:val="0"/>
              </w:numPr>
              <w:spacing w:after="0" w:line="300" w:lineRule="auto"/>
              <w:rPr>
                <w:rFonts w:hint="eastAsia"/>
              </w:rPr>
            </w:pPr>
            <w:r>
              <w:rPr>
                <w:rFonts w:ascii="Times New Roman" w:hAnsi="Times New Roman" w:eastAsia="宋体" w:cs="Times New Roman"/>
                <w:sz w:val="21"/>
                <w:szCs w:val="21"/>
              </w:rPr>
              <w:t>注：投标人投标文件中须对此作出书面承诺。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16" w:type="dxa"/>
            <w:gridSpan w:val="2"/>
            <w:tcBorders>
              <w:tl2br w:val="nil"/>
              <w:tr2bl w:val="nil"/>
            </w:tcBorders>
            <w:vAlign w:val="center"/>
          </w:tcPr>
          <w:p>
            <w:pPr>
              <w:spacing w:after="0" w:line="30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★付款要求</w:t>
            </w:r>
          </w:p>
        </w:tc>
        <w:tc>
          <w:tcPr>
            <w:tcW w:w="7093" w:type="dxa"/>
            <w:tcBorders>
              <w:tl2br w:val="nil"/>
              <w:tr2bl w:val="nil"/>
            </w:tcBorders>
            <w:vAlign w:val="center"/>
          </w:tcPr>
          <w:p>
            <w:pPr>
              <w:spacing w:after="0" w:line="300" w:lineRule="auto"/>
              <w:rPr>
                <w:rFonts w:ascii="Times New Roman" w:hAnsi="Times New Roman" w:eastAsia="宋体" w:cs="Times New Roman"/>
                <w:sz w:val="21"/>
                <w:szCs w:val="21"/>
              </w:rPr>
            </w:pPr>
            <w:r>
              <w:rPr>
                <w:rFonts w:hint="eastAsia" w:ascii="Times New Roman" w:hAnsi="Times New Roman" w:eastAsia="宋体" w:cs="Times New Roman"/>
                <w:sz w:val="21"/>
                <w:szCs w:val="21"/>
              </w:rPr>
              <w:t>1、付款方式要求：银行电汇。</w:t>
            </w:r>
          </w:p>
          <w:p>
            <w:pPr>
              <w:numPr>
                <w:ilvl w:val="255"/>
                <w:numId w:val="0"/>
              </w:numPr>
              <w:spacing w:after="0" w:line="300" w:lineRule="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付款周期要求：乙方完成本合同项下《服务委托书》的具体工作、提交工作成果，且经甲方验收合格后，乙方向甲方执行方提供有效增值税专用发票及相关支持文件（具体见甲方执行用户下达的服务委托书的要求），甲方在收到有效增值税专用发票及相关支持文件并审核无误后【25】日，甲方按结算价格标准向乙方支付本次服务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16" w:type="dxa"/>
            <w:gridSpan w:val="2"/>
            <w:tcBorders>
              <w:tl2br w:val="nil"/>
              <w:tr2bl w:val="nil"/>
            </w:tcBorders>
            <w:vAlign w:val="center"/>
          </w:tcPr>
          <w:p>
            <w:pPr>
              <w:spacing w:after="0" w:line="30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★服务期要求</w:t>
            </w:r>
          </w:p>
        </w:tc>
        <w:tc>
          <w:tcPr>
            <w:tcW w:w="7093" w:type="dxa"/>
            <w:tcBorders>
              <w:tl2br w:val="nil"/>
              <w:tr2bl w:val="nil"/>
            </w:tcBorders>
            <w:vAlign w:val="center"/>
          </w:tcPr>
          <w:p>
            <w:pPr>
              <w:numPr>
                <w:ilvl w:val="255"/>
                <w:numId w:val="0"/>
              </w:numPr>
              <w:spacing w:after="0" w:line="300" w:lineRule="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本合同自双方签订之日起3 年。在合同执行阶段采用1+1+1 方式，即合同届满1 年，若双方对合同条款及合同价格均无异议，继续沿用1年，若无法达成一致，则合同自动终止，以此类推。（投标人无偏离视为响应）</w:t>
            </w:r>
          </w:p>
        </w:tc>
      </w:tr>
    </w:tbl>
    <w:p>
      <w:pPr>
        <w:spacing w:before="156" w:beforeLines="50" w:line="360" w:lineRule="auto"/>
      </w:pPr>
    </w:p>
    <w:p>
      <w:pPr>
        <w:spacing w:before="156" w:beforeLines="50" w:line="360" w:lineRule="auto"/>
      </w:pPr>
    </w:p>
    <w:p>
      <w:pPr>
        <w:spacing w:before="156" w:beforeLines="50" w:line="360" w:lineRule="auto"/>
      </w:pPr>
    </w:p>
    <w:p>
      <w:pPr>
        <w:spacing w:before="156" w:beforeLines="50" w:line="360" w:lineRule="auto"/>
      </w:pPr>
    </w:p>
    <w:p>
      <w:pPr>
        <w:spacing w:before="156" w:beforeLines="50" w:line="360" w:lineRule="auto"/>
        <w:rPr>
          <w:rFonts w:hint="eastAsia"/>
        </w:rPr>
      </w:pPr>
      <w:r>
        <w:rPr>
          <w:rFonts w:hint="eastAsia"/>
        </w:rPr>
        <w:t>二、详细评审（综合评分法）</w:t>
      </w:r>
    </w:p>
    <w:tbl>
      <w:tblPr>
        <w:tblStyle w:val="17"/>
        <w:tblW w:w="9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2"/>
        <w:gridCol w:w="1592"/>
        <w:gridCol w:w="6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494" w:type="dxa"/>
            <w:gridSpan w:val="2"/>
            <w:tcBorders>
              <w:top w:val="single" w:color="auto" w:sz="4" w:space="0"/>
              <w:left w:val="single" w:color="auto" w:sz="4" w:space="0"/>
              <w:bottom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条款内容</w:t>
            </w:r>
          </w:p>
        </w:tc>
        <w:tc>
          <w:tcPr>
            <w:tcW w:w="6041" w:type="dxa"/>
            <w:tcBorders>
              <w:top w:val="single" w:color="auto" w:sz="4" w:space="0"/>
              <w:left w:val="single" w:color="auto" w:sz="4" w:space="0"/>
              <w:bottom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3494" w:type="dxa"/>
            <w:gridSpan w:val="2"/>
            <w:tcBorders>
              <w:top w:val="single" w:color="auto" w:sz="4" w:space="0"/>
              <w:left w:val="single" w:color="auto" w:sz="4" w:space="0"/>
              <w:bottom w:val="single" w:color="auto" w:sz="4" w:space="0"/>
              <w:right w:val="single" w:color="auto" w:sz="4" w:space="0"/>
            </w:tcBorders>
            <w:vAlign w:val="center"/>
          </w:tcPr>
          <w:p>
            <w:pPr>
              <w:spacing w:line="320" w:lineRule="atLeast"/>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分值构成</w:t>
            </w:r>
          </w:p>
          <w:p>
            <w:pPr>
              <w:spacing w:line="320" w:lineRule="atLeast"/>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(总分100分)</w:t>
            </w:r>
          </w:p>
        </w:tc>
        <w:tc>
          <w:tcPr>
            <w:tcW w:w="6041" w:type="dxa"/>
            <w:tcBorders>
              <w:top w:val="single" w:color="auto" w:sz="4" w:space="0"/>
              <w:left w:val="single" w:color="auto" w:sz="4" w:space="0"/>
              <w:bottom w:val="single" w:color="auto" w:sz="4" w:space="0"/>
              <w:right w:val="single" w:color="auto" w:sz="4" w:space="0"/>
            </w:tcBorders>
            <w:vAlign w:val="center"/>
          </w:tcPr>
          <w:p>
            <w:pPr>
              <w:spacing w:line="320" w:lineRule="atLeast"/>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技术部分：</w:t>
            </w:r>
            <w:r>
              <w:rPr>
                <w:rFonts w:ascii="Times New Roman" w:hAnsi="Times New Roman" w:eastAsia="宋体" w:cs="Times New Roman"/>
                <w:spacing w:val="2"/>
                <w:sz w:val="21"/>
                <w:szCs w:val="21"/>
                <w:u w:val="single"/>
              </w:rPr>
              <w:t xml:space="preserve"> 20 </w:t>
            </w:r>
            <w:r>
              <w:rPr>
                <w:rFonts w:ascii="Times New Roman" w:hAnsi="Times New Roman" w:eastAsia="宋体" w:cs="Times New Roman"/>
                <w:spacing w:val="2"/>
                <w:sz w:val="21"/>
                <w:szCs w:val="21"/>
              </w:rPr>
              <w:t>分</w:t>
            </w:r>
          </w:p>
          <w:p>
            <w:pPr>
              <w:pStyle w:val="2"/>
              <w:rPr>
                <w:rFonts w:ascii="Times New Roman" w:hAnsi="Times New Roman" w:eastAsia="宋体" w:cs="Times New Roman"/>
                <w:sz w:val="21"/>
                <w:szCs w:val="21"/>
              </w:rPr>
            </w:pPr>
            <w:r>
              <w:rPr>
                <w:rFonts w:ascii="Times New Roman" w:hAnsi="Times New Roman" w:eastAsia="宋体" w:cs="Times New Roman"/>
                <w:color w:val="auto"/>
                <w:spacing w:val="2"/>
                <w:kern w:val="2"/>
                <w:sz w:val="21"/>
                <w:szCs w:val="21"/>
                <w:lang w:val="en-US"/>
              </w:rPr>
              <w:t>商务部分</w:t>
            </w:r>
            <w:r>
              <w:rPr>
                <w:rFonts w:ascii="Times New Roman" w:hAnsi="Times New Roman" w:eastAsia="宋体" w:cs="Times New Roman"/>
                <w:color w:val="auto"/>
                <w:spacing w:val="2"/>
                <w:kern w:val="2"/>
                <w:sz w:val="21"/>
                <w:szCs w:val="21"/>
              </w:rPr>
              <w:t>：</w:t>
            </w:r>
            <w:r>
              <w:rPr>
                <w:rFonts w:ascii="Times New Roman" w:hAnsi="Times New Roman" w:eastAsia="宋体" w:cs="Times New Roman"/>
                <w:color w:val="auto"/>
                <w:spacing w:val="2"/>
                <w:kern w:val="2"/>
                <w:sz w:val="21"/>
                <w:szCs w:val="21"/>
                <w:u w:val="single"/>
                <w:lang w:val="en-US"/>
              </w:rPr>
              <w:t xml:space="preserve"> 20 </w:t>
            </w:r>
            <w:r>
              <w:rPr>
                <w:rFonts w:ascii="Times New Roman" w:hAnsi="Times New Roman" w:eastAsia="宋体" w:cs="Times New Roman"/>
                <w:color w:val="auto"/>
                <w:spacing w:val="2"/>
                <w:kern w:val="2"/>
                <w:sz w:val="21"/>
                <w:szCs w:val="21"/>
              </w:rPr>
              <w:t>分</w:t>
            </w:r>
          </w:p>
          <w:p>
            <w:pPr>
              <w:spacing w:line="320" w:lineRule="atLeast"/>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投标报价：</w:t>
            </w:r>
            <w:r>
              <w:rPr>
                <w:rFonts w:ascii="Times New Roman" w:hAnsi="Times New Roman" w:eastAsia="宋体" w:cs="Times New Roman"/>
                <w:spacing w:val="2"/>
                <w:sz w:val="21"/>
                <w:szCs w:val="21"/>
                <w:u w:val="single"/>
              </w:rPr>
              <w:t xml:space="preserve"> 60 </w:t>
            </w:r>
            <w:r>
              <w:rPr>
                <w:rFonts w:ascii="Times New Roman" w:hAnsi="Times New Roman" w:eastAsia="宋体" w:cs="Times New Roman"/>
                <w:spacing w:val="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3494" w:type="dxa"/>
            <w:gridSpan w:val="2"/>
            <w:tcBorders>
              <w:top w:val="single" w:color="auto" w:sz="4" w:space="0"/>
              <w:left w:val="single" w:color="auto" w:sz="4" w:space="0"/>
              <w:bottom w:val="single" w:color="auto" w:sz="4" w:space="0"/>
              <w:right w:val="single" w:color="auto" w:sz="4" w:space="0"/>
            </w:tcBorders>
            <w:vAlign w:val="center"/>
          </w:tcPr>
          <w:p>
            <w:pPr>
              <w:spacing w:line="320" w:lineRule="atLeast"/>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评标基准价计算方法</w:t>
            </w:r>
          </w:p>
        </w:tc>
        <w:tc>
          <w:tcPr>
            <w:tcW w:w="6041" w:type="dxa"/>
            <w:tcBorders>
              <w:top w:val="single" w:color="auto" w:sz="4" w:space="0"/>
              <w:left w:val="single" w:color="auto" w:sz="4" w:space="0"/>
              <w:bottom w:val="single" w:color="auto" w:sz="4" w:space="0"/>
              <w:right w:val="single" w:color="auto" w:sz="4" w:space="0"/>
            </w:tcBorders>
            <w:vAlign w:val="center"/>
          </w:tcPr>
          <w:p>
            <w:pPr>
              <w:spacing w:line="320" w:lineRule="atLeast"/>
              <w:jc w:val="both"/>
              <w:rPr>
                <w:rFonts w:ascii="Times New Roman" w:hAnsi="Times New Roman" w:eastAsia="宋体" w:cs="Times New Roman"/>
                <w:spacing w:val="2"/>
                <w:sz w:val="21"/>
                <w:szCs w:val="21"/>
              </w:rPr>
            </w:pPr>
            <w:r>
              <w:rPr>
                <w:rStyle w:val="20"/>
                <w:rFonts w:ascii="Times New Roman" w:hAnsi="Times New Roman" w:eastAsia="宋体" w:cs="Times New Roman"/>
                <w:sz w:val="21"/>
                <w:szCs w:val="21"/>
              </w:rPr>
              <w:t>评标基准价=通过资格审查的全部有效投标报价中的最低值</w:t>
            </w:r>
            <w:r>
              <w:rPr>
                <w:rFonts w:ascii="Times New Roman" w:hAnsi="Times New Roman" w:eastAsia="宋体"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94" w:type="dxa"/>
            <w:gridSpan w:val="2"/>
            <w:tcBorders>
              <w:top w:val="single" w:color="auto" w:sz="4" w:space="0"/>
              <w:left w:val="single" w:color="auto" w:sz="4" w:space="0"/>
              <w:bottom w:val="single" w:color="auto" w:sz="4" w:space="0"/>
              <w:right w:val="single" w:color="auto" w:sz="4" w:space="0"/>
            </w:tcBorders>
            <w:vAlign w:val="center"/>
          </w:tcPr>
          <w:p>
            <w:pPr>
              <w:spacing w:line="320" w:lineRule="atLeast"/>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投标报价的偏差率计算公式</w:t>
            </w:r>
          </w:p>
        </w:tc>
        <w:tc>
          <w:tcPr>
            <w:tcW w:w="6041" w:type="dxa"/>
            <w:tcBorders>
              <w:top w:val="single" w:color="auto" w:sz="4" w:space="0"/>
              <w:left w:val="single" w:color="auto" w:sz="4" w:space="0"/>
              <w:bottom w:val="single" w:color="auto" w:sz="4" w:space="0"/>
              <w:right w:val="single" w:color="auto" w:sz="4" w:space="0"/>
            </w:tcBorders>
            <w:vAlign w:val="center"/>
          </w:tcPr>
          <w:p>
            <w:pPr>
              <w:pStyle w:val="44"/>
              <w:rPr>
                <w:rFonts w:ascii="Times New Roman" w:hAnsi="Times New Roman" w:eastAsia="宋体" w:cs="Times New Roman"/>
                <w:sz w:val="21"/>
              </w:rPr>
            </w:pPr>
            <w:r>
              <w:rPr>
                <w:rFonts w:ascii="Times New Roman" w:hAnsi="Times New Roman" w:eastAsia="宋体" w:cs="Times New Roman"/>
                <w:sz w:val="21"/>
              </w:rPr>
              <w:t>偏差率 = 100%×(有效投标报价－评标基准价)/ 评标基准价；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2" w:type="dxa"/>
            <w:vMerge w:val="restart"/>
            <w:tcBorders>
              <w:left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商务评分标准</w:t>
            </w:r>
          </w:p>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20分</w:t>
            </w:r>
          </w:p>
        </w:tc>
        <w:tc>
          <w:tcPr>
            <w:tcW w:w="1592" w:type="dxa"/>
            <w:tcBorders>
              <w:top w:val="single" w:color="auto" w:sz="4" w:space="0"/>
              <w:left w:val="single" w:color="auto" w:sz="4" w:space="0"/>
              <w:right w:val="single" w:color="auto" w:sz="4" w:space="0"/>
            </w:tcBorders>
            <w:vAlign w:val="center"/>
          </w:tcPr>
          <w:p>
            <w:pPr>
              <w:pStyle w:val="44"/>
              <w:jc w:val="center"/>
              <w:rPr>
                <w:rFonts w:ascii="Times New Roman" w:hAnsi="Times New Roman" w:eastAsia="宋体" w:cs="Times New Roman"/>
                <w:sz w:val="21"/>
              </w:rPr>
            </w:pPr>
            <w:r>
              <w:rPr>
                <w:rFonts w:ascii="Times New Roman" w:hAnsi="Times New Roman" w:eastAsia="宋体" w:cs="Times New Roman"/>
                <w:sz w:val="21"/>
              </w:rPr>
              <w:t>企业履约保障能力</w:t>
            </w:r>
          </w:p>
          <w:p>
            <w:pPr>
              <w:pStyle w:val="44"/>
              <w:jc w:val="center"/>
              <w:rPr>
                <w:rFonts w:ascii="Times New Roman" w:hAnsi="Times New Roman" w:eastAsia="宋体" w:cs="Times New Roman"/>
                <w:sz w:val="21"/>
              </w:rPr>
            </w:pPr>
            <w:r>
              <w:rPr>
                <w:rFonts w:ascii="Times New Roman" w:hAnsi="Times New Roman" w:eastAsia="宋体" w:cs="Times New Roman"/>
                <w:sz w:val="21"/>
              </w:rPr>
              <w:t>7分</w:t>
            </w:r>
          </w:p>
        </w:tc>
        <w:tc>
          <w:tcPr>
            <w:tcW w:w="6041" w:type="dxa"/>
            <w:tcBorders>
              <w:top w:val="single" w:color="auto" w:sz="4" w:space="0"/>
              <w:left w:val="single" w:color="auto" w:sz="4" w:space="0"/>
              <w:bottom w:val="single" w:color="auto" w:sz="4" w:space="0"/>
              <w:right w:val="single" w:color="auto" w:sz="4" w:space="0"/>
            </w:tcBorders>
            <w:vAlign w:val="center"/>
          </w:tcPr>
          <w:p>
            <w:pPr>
              <w:pStyle w:val="44"/>
              <w:numPr>
                <w:ilvl w:val="0"/>
                <w:numId w:val="2"/>
              </w:numPr>
              <w:rPr>
                <w:rFonts w:ascii="Times New Roman" w:hAnsi="Times New Roman" w:eastAsia="宋体" w:cs="Times New Roman"/>
                <w:sz w:val="21"/>
              </w:rPr>
            </w:pPr>
            <w:r>
              <w:rPr>
                <w:rFonts w:ascii="Times New Roman" w:hAnsi="Times New Roman" w:eastAsia="宋体" w:cs="Times New Roman"/>
                <w:sz w:val="21"/>
              </w:rPr>
              <w:t>同时具备：近3年无劳务纠纷、无欠薪投诉的证明材料+建立劳务用工风险保证金制度，得7分；</w:t>
            </w:r>
          </w:p>
          <w:p>
            <w:pPr>
              <w:pStyle w:val="44"/>
              <w:numPr>
                <w:ilvl w:val="0"/>
                <w:numId w:val="2"/>
              </w:numPr>
              <w:rPr>
                <w:rFonts w:ascii="Times New Roman" w:hAnsi="Times New Roman" w:eastAsia="宋体" w:cs="Times New Roman"/>
                <w:sz w:val="21"/>
              </w:rPr>
            </w:pPr>
            <w:r>
              <w:rPr>
                <w:rFonts w:ascii="Times New Roman" w:hAnsi="Times New Roman" w:eastAsia="宋体" w:cs="Times New Roman"/>
                <w:sz w:val="21"/>
              </w:rPr>
              <w:t>具备近3年无劳务纠纷、无欠薪投诉证明材料，但无劳务用工风险保证金制度，得4分；</w:t>
            </w:r>
          </w:p>
          <w:p>
            <w:pPr>
              <w:pStyle w:val="44"/>
              <w:numPr>
                <w:ilvl w:val="0"/>
                <w:numId w:val="2"/>
              </w:numPr>
              <w:rPr>
                <w:rFonts w:ascii="Times New Roman" w:hAnsi="Times New Roman" w:eastAsia="宋体" w:cs="Times New Roman"/>
                <w:sz w:val="21"/>
              </w:rPr>
            </w:pPr>
            <w:r>
              <w:rPr>
                <w:rFonts w:ascii="Times New Roman" w:hAnsi="Times New Roman" w:eastAsia="宋体" w:cs="Times New Roman"/>
                <w:sz w:val="21"/>
              </w:rPr>
              <w:t>仅提供部分证明材料，两项条件只满足其一，得2分；</w:t>
            </w:r>
          </w:p>
          <w:p>
            <w:pPr>
              <w:pStyle w:val="44"/>
              <w:rPr>
                <w:rFonts w:ascii="Times New Roman" w:hAnsi="Times New Roman" w:eastAsia="宋体" w:cs="Times New Roman"/>
                <w:sz w:val="21"/>
              </w:rPr>
            </w:pPr>
            <w:r>
              <w:rPr>
                <w:rFonts w:ascii="Times New Roman" w:hAnsi="Times New Roman" w:eastAsia="宋体" w:cs="Times New Roman"/>
                <w:sz w:val="21"/>
              </w:rPr>
              <w:t>4、无任何相关证明材料，得0分。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9" w:hRule="atLeast"/>
          <w:jc w:val="center"/>
        </w:trPr>
        <w:tc>
          <w:tcPr>
            <w:tcW w:w="1902" w:type="dxa"/>
            <w:vMerge w:val="continue"/>
            <w:tcBorders>
              <w:left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p>
        </w:tc>
        <w:tc>
          <w:tcPr>
            <w:tcW w:w="1592" w:type="dxa"/>
            <w:tcBorders>
              <w:top w:val="single" w:color="auto" w:sz="4" w:space="0"/>
              <w:left w:val="single" w:color="auto" w:sz="4" w:space="0"/>
              <w:right w:val="single" w:color="auto" w:sz="4" w:space="0"/>
            </w:tcBorders>
            <w:vAlign w:val="center"/>
          </w:tcPr>
          <w:p>
            <w:pPr>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服务响应及违约保障</w:t>
            </w:r>
          </w:p>
          <w:p>
            <w:pPr>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3分</w:t>
            </w:r>
          </w:p>
        </w:tc>
        <w:tc>
          <w:tcPr>
            <w:tcW w:w="6041" w:type="dxa"/>
            <w:tcBorders>
              <w:top w:val="single" w:color="auto" w:sz="4" w:space="0"/>
              <w:left w:val="single" w:color="auto" w:sz="4" w:space="0"/>
              <w:bottom w:val="single" w:color="auto" w:sz="4" w:space="0"/>
              <w:right w:val="single" w:color="auto" w:sz="4" w:space="0"/>
            </w:tcBorders>
            <w:vAlign w:val="center"/>
          </w:tcPr>
          <w:p>
            <w:pPr>
              <w:numPr>
                <w:ilvl w:val="0"/>
                <w:numId w:val="3"/>
              </w:numPr>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文件中完整制定工人欠薪违约赔偿条款、人员缺位违约赔偿条款，同时明确承诺甲方现场应急人员补位时限（≤24 小时），得3分；</w:t>
            </w:r>
          </w:p>
          <w:p>
            <w:pPr>
              <w:numPr>
                <w:ilvl w:val="0"/>
                <w:numId w:val="3"/>
              </w:numPr>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仅具备欠薪或人员缺位其中一类违约赔偿条款，应急补位要求响应不全，得1分；</w:t>
            </w:r>
          </w:p>
          <w:p>
            <w:pPr>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3、未制定相关违约赔偿条款，得0分。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3" w:hRule="atLeast"/>
          <w:jc w:val="center"/>
        </w:trPr>
        <w:tc>
          <w:tcPr>
            <w:tcW w:w="1902" w:type="dxa"/>
            <w:vMerge w:val="continue"/>
            <w:tcBorders>
              <w:left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p>
        </w:tc>
        <w:tc>
          <w:tcPr>
            <w:tcW w:w="1592" w:type="dxa"/>
            <w:tcBorders>
              <w:top w:val="single" w:color="auto" w:sz="4" w:space="0"/>
              <w:left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类似项目履约业绩</w:t>
            </w:r>
          </w:p>
          <w:p>
            <w:pPr>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5分</w:t>
            </w:r>
          </w:p>
        </w:tc>
        <w:tc>
          <w:tcPr>
            <w:tcW w:w="6041" w:type="dxa"/>
            <w:tcBorders>
              <w:top w:val="single" w:color="auto" w:sz="4" w:space="0"/>
              <w:left w:val="single" w:color="auto" w:sz="4" w:space="0"/>
              <w:bottom w:val="single" w:color="auto" w:sz="4" w:space="0"/>
              <w:right w:val="single" w:color="auto" w:sz="4" w:space="0"/>
            </w:tcBorders>
            <w:vAlign w:val="center"/>
          </w:tcPr>
          <w:p>
            <w:pPr>
              <w:numPr>
                <w:ilvl w:val="0"/>
                <w:numId w:val="4"/>
              </w:numPr>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在资格业绩基础上，新增≥1个合同金额50万元及以上工业现场劳务外包业绩，提供完整合同+验收证明材料，得5 分；</w:t>
            </w:r>
          </w:p>
          <w:p>
            <w:pPr>
              <w:numPr>
                <w:ilvl w:val="0"/>
                <w:numId w:val="4"/>
              </w:numPr>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提供业绩但缺少合同签署页/验收证明，业绩无效，得0 分；</w:t>
            </w:r>
          </w:p>
          <w:p>
            <w:pPr>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3、无额外有效同类业绩，得0分。本项最高5分。</w:t>
            </w:r>
          </w:p>
          <w:p>
            <w:pPr>
              <w:pStyle w:val="2"/>
              <w:rPr>
                <w:rFonts w:ascii="Times New Roman" w:hAnsi="Times New Roman" w:eastAsia="宋体" w:cs="Times New Roman"/>
                <w:sz w:val="21"/>
                <w:szCs w:val="21"/>
                <w:lang w:val="en-US"/>
              </w:rPr>
            </w:pPr>
            <w:r>
              <w:rPr>
                <w:rFonts w:ascii="Times New Roman" w:hAnsi="Times New Roman" w:eastAsia="宋体" w:cs="Times New Roman"/>
                <w:color w:val="auto"/>
                <w:spacing w:val="2"/>
                <w:sz w:val="21"/>
                <w:szCs w:val="21"/>
                <w:lang w:val="en-US"/>
              </w:rPr>
              <w:t>注：资格业绩为门槛，本项为加分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1902" w:type="dxa"/>
            <w:vMerge w:val="continue"/>
            <w:tcBorders>
              <w:left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p>
        </w:tc>
        <w:tc>
          <w:tcPr>
            <w:tcW w:w="1592" w:type="dxa"/>
            <w:tcBorders>
              <w:top w:val="single" w:color="auto" w:sz="4" w:space="0"/>
              <w:left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项目拟派人员社保保障能力</w:t>
            </w:r>
          </w:p>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5分</w:t>
            </w:r>
          </w:p>
          <w:p>
            <w:pPr>
              <w:jc w:val="center"/>
              <w:rPr>
                <w:rFonts w:ascii="Times New Roman" w:hAnsi="Times New Roman" w:eastAsia="宋体" w:cs="Times New Roman"/>
                <w:sz w:val="21"/>
                <w:szCs w:val="21"/>
              </w:rPr>
            </w:pPr>
          </w:p>
        </w:tc>
        <w:tc>
          <w:tcPr>
            <w:tcW w:w="6041" w:type="dxa"/>
            <w:tcBorders>
              <w:top w:val="single" w:color="auto" w:sz="4" w:space="0"/>
              <w:left w:val="single" w:color="auto" w:sz="4" w:space="0"/>
              <w:bottom w:val="single" w:color="auto" w:sz="4" w:space="0"/>
              <w:right w:val="single" w:color="auto" w:sz="4" w:space="0"/>
            </w:tcBorders>
            <w:vAlign w:val="center"/>
          </w:tcPr>
          <w:p>
            <w:pPr>
              <w:jc w:val="both"/>
              <w:rPr>
                <w:rFonts w:ascii="Times New Roman" w:hAnsi="Times New Roman" w:eastAsia="宋体" w:cs="Times New Roman"/>
                <w:b/>
                <w:bCs/>
                <w:spacing w:val="2"/>
                <w:sz w:val="21"/>
                <w:szCs w:val="21"/>
              </w:rPr>
            </w:pPr>
            <w:r>
              <w:rPr>
                <w:rFonts w:ascii="Times New Roman" w:hAnsi="Times New Roman" w:eastAsia="宋体" w:cs="Times New Roman"/>
                <w:b/>
                <w:bCs/>
                <w:spacing w:val="2"/>
                <w:sz w:val="21"/>
                <w:szCs w:val="21"/>
              </w:rPr>
              <w:t>评审依据：本项目拟派人员近3个月（2025 年12月-2026年2月或2026年3月-2026年5月）社保缴纳证明，社保清单与拟派人员清单一一对应，参保单位与投标人一致。</w:t>
            </w:r>
          </w:p>
          <w:p>
            <w:pPr>
              <w:numPr>
                <w:ilvl w:val="0"/>
                <w:numId w:val="5"/>
              </w:numPr>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拟派参保人员≥15人（基础5人之上增加10人及以上），得5分；</w:t>
            </w:r>
          </w:p>
          <w:p>
            <w:pPr>
              <w:numPr>
                <w:ilvl w:val="0"/>
                <w:numId w:val="5"/>
              </w:numPr>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拟派参保人员10-14人（基础5人之上增加5人及以上），得3分；</w:t>
            </w:r>
          </w:p>
          <w:p>
            <w:pPr>
              <w:numPr>
                <w:ilvl w:val="0"/>
                <w:numId w:val="5"/>
              </w:numPr>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拟派参保人员5-9人，仅满足最低配置，增加不足5人，得0分；</w:t>
            </w:r>
          </w:p>
          <w:p>
            <w:pPr>
              <w:jc w:val="both"/>
              <w:rPr>
                <w:rFonts w:ascii="Times New Roman" w:hAnsi="Times New Roman" w:eastAsia="宋体" w:cs="Times New Roman"/>
                <w:sz w:val="21"/>
                <w:szCs w:val="21"/>
              </w:rPr>
            </w:pPr>
            <w:r>
              <w:rPr>
                <w:rFonts w:ascii="Times New Roman" w:hAnsi="Times New Roman" w:eastAsia="宋体" w:cs="Times New Roman"/>
                <w:spacing w:val="2"/>
                <w:sz w:val="21"/>
                <w:szCs w:val="21"/>
              </w:rPr>
              <w:t>4、拟派参保人员＜5人或无有效社保证明材料，本项0分。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jc w:val="center"/>
        </w:trPr>
        <w:tc>
          <w:tcPr>
            <w:tcW w:w="1902" w:type="dxa"/>
            <w:vMerge w:val="restart"/>
            <w:tcBorders>
              <w:top w:val="single" w:color="auto" w:sz="4" w:space="0"/>
              <w:left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技术评分标准</w:t>
            </w:r>
          </w:p>
          <w:p>
            <w:pPr>
              <w:pStyle w:val="2"/>
              <w:ind w:firstLine="428" w:firstLineChars="200"/>
              <w:rPr>
                <w:rFonts w:ascii="Times New Roman" w:hAnsi="Times New Roman" w:eastAsia="宋体" w:cs="Times New Roman"/>
                <w:sz w:val="21"/>
                <w:szCs w:val="21"/>
                <w:lang w:val="en-US"/>
              </w:rPr>
            </w:pPr>
            <w:r>
              <w:rPr>
                <w:rFonts w:ascii="Times New Roman" w:hAnsi="Times New Roman" w:eastAsia="宋体" w:cs="Times New Roman"/>
                <w:color w:val="auto"/>
                <w:spacing w:val="2"/>
                <w:kern w:val="2"/>
                <w:sz w:val="21"/>
                <w:szCs w:val="21"/>
                <w:lang w:val="en-US"/>
              </w:rPr>
              <w:t>20分</w:t>
            </w: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pacing w:val="2"/>
                <w:sz w:val="21"/>
                <w:szCs w:val="21"/>
              </w:rPr>
            </w:pPr>
          </w:p>
        </w:tc>
        <w:tc>
          <w:tcPr>
            <w:tcW w:w="1592" w:type="dxa"/>
            <w:tcBorders>
              <w:top w:val="single" w:color="auto" w:sz="4" w:space="0"/>
              <w:left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人员配置与岗位保障方案</w:t>
            </w:r>
          </w:p>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10分</w:t>
            </w:r>
          </w:p>
        </w:tc>
        <w:tc>
          <w:tcPr>
            <w:tcW w:w="6041" w:type="dxa"/>
            <w:tcBorders>
              <w:top w:val="single" w:color="auto" w:sz="4" w:space="0"/>
              <w:left w:val="single" w:color="auto" w:sz="4" w:space="0"/>
              <w:bottom w:val="single" w:color="auto" w:sz="4" w:space="0"/>
              <w:right w:val="single" w:color="auto" w:sz="4" w:space="0"/>
            </w:tcBorders>
            <w:vAlign w:val="center"/>
          </w:tcPr>
          <w:p>
            <w:pPr>
              <w:widowControl/>
              <w:numPr>
                <w:ilvl w:val="0"/>
                <w:numId w:val="6"/>
              </w:numPr>
              <w:textAlignment w:val="center"/>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完全响应技术要求书全部岗位、工种、级别配置，岗位职责清晰完整，配套人员持证证明齐全，得10分；</w:t>
            </w:r>
          </w:p>
          <w:p>
            <w:pPr>
              <w:widowControl/>
              <w:numPr>
                <w:ilvl w:val="0"/>
                <w:numId w:val="6"/>
              </w:numPr>
              <w:textAlignment w:val="center"/>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岗位工种全部满足，但部分岗位职责描述简略，部分岗位缺少持证材料，得5分；</w:t>
            </w:r>
          </w:p>
          <w:p>
            <w:pPr>
              <w:widowControl/>
              <w:numPr>
                <w:ilvl w:val="0"/>
                <w:numId w:val="6"/>
              </w:numPr>
              <w:textAlignment w:val="center"/>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岗位配置存在缺项、工种级别不匹配，无岗位持证材料，得3分；</w:t>
            </w:r>
          </w:p>
          <w:p>
            <w:pPr>
              <w:widowControl/>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4、关键岗位缺失，方案内容简略，得0分。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3" w:hRule="atLeast"/>
          <w:jc w:val="center"/>
        </w:trPr>
        <w:tc>
          <w:tcPr>
            <w:tcW w:w="1902" w:type="dxa"/>
            <w:vMerge w:val="continue"/>
            <w:tcBorders>
              <w:left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p>
        </w:tc>
        <w:tc>
          <w:tcPr>
            <w:tcW w:w="1592" w:type="dxa"/>
            <w:tcBorders>
              <w:left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现场运维管理方案</w:t>
            </w:r>
          </w:p>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10分</w:t>
            </w:r>
          </w:p>
        </w:tc>
        <w:tc>
          <w:tcPr>
            <w:tcW w:w="6041"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1、投标文件内完整编制全部7项管理流程、管理制度；同时提供可印证制度落地的佐证材料（满足不少于3类）：</w:t>
            </w:r>
          </w:p>
          <w:p>
            <w:pPr>
              <w:widowControl/>
              <w:textAlignment w:val="center"/>
              <w:rPr>
                <w:rFonts w:ascii="Times New Roman" w:hAnsi="Times New Roman" w:eastAsia="宋体" w:cs="Times New Roman"/>
                <w:color w:val="000000"/>
                <w:kern w:val="0"/>
                <w:sz w:val="21"/>
                <w:szCs w:val="21"/>
                <w:lang w:bidi="ar"/>
              </w:rPr>
            </w:pPr>
            <w:r>
              <w:rPr>
                <w:rFonts w:ascii="Cambria Math" w:hAnsi="Cambria Math" w:eastAsia="宋体" w:cs="Cambria Math"/>
                <w:color w:val="000000"/>
                <w:kern w:val="0"/>
                <w:sz w:val="21"/>
                <w:szCs w:val="21"/>
                <w:lang w:bidi="ar"/>
              </w:rPr>
              <w:t>①</w:t>
            </w:r>
            <w:r>
              <w:rPr>
                <w:rFonts w:ascii="Times New Roman" w:hAnsi="Times New Roman" w:eastAsia="宋体" w:cs="Times New Roman"/>
                <w:color w:val="000000"/>
                <w:kern w:val="0"/>
                <w:sz w:val="21"/>
                <w:szCs w:val="21"/>
                <w:lang w:bidi="ar"/>
              </w:rPr>
              <w:t>过往项目工资专户开户证明/专户代发银行回单复印件；</w:t>
            </w:r>
          </w:p>
          <w:p>
            <w:pPr>
              <w:widowControl/>
              <w:textAlignment w:val="center"/>
              <w:rPr>
                <w:rFonts w:ascii="Times New Roman" w:hAnsi="Times New Roman" w:eastAsia="宋体" w:cs="Times New Roman"/>
                <w:color w:val="000000"/>
                <w:kern w:val="0"/>
                <w:sz w:val="21"/>
                <w:szCs w:val="21"/>
                <w:lang w:bidi="ar"/>
              </w:rPr>
            </w:pPr>
            <w:r>
              <w:rPr>
                <w:rFonts w:ascii="Cambria Math" w:hAnsi="Cambria Math" w:eastAsia="宋体" w:cs="Cambria Math"/>
                <w:color w:val="000000"/>
                <w:kern w:val="0"/>
                <w:sz w:val="21"/>
                <w:szCs w:val="21"/>
                <w:lang w:bidi="ar"/>
              </w:rPr>
              <w:t>②</w:t>
            </w:r>
            <w:r>
              <w:rPr>
                <w:rFonts w:ascii="Times New Roman" w:hAnsi="Times New Roman" w:eastAsia="宋体" w:cs="Times New Roman"/>
                <w:color w:val="000000"/>
                <w:kern w:val="0"/>
                <w:sz w:val="21"/>
                <w:szCs w:val="21"/>
                <w:lang w:bidi="ar"/>
              </w:rPr>
              <w:t>过往项目工资公示记录（公示照片、公示表）；</w:t>
            </w:r>
          </w:p>
          <w:p>
            <w:pPr>
              <w:widowControl/>
              <w:textAlignment w:val="center"/>
              <w:rPr>
                <w:rFonts w:ascii="Times New Roman" w:hAnsi="Times New Roman" w:eastAsia="宋体" w:cs="Times New Roman"/>
                <w:color w:val="000000"/>
                <w:kern w:val="0"/>
                <w:sz w:val="21"/>
                <w:szCs w:val="21"/>
                <w:lang w:bidi="ar"/>
              </w:rPr>
            </w:pPr>
            <w:r>
              <w:rPr>
                <w:rFonts w:ascii="Cambria Math" w:hAnsi="Cambria Math" w:eastAsia="宋体" w:cs="Cambria Math"/>
                <w:color w:val="000000"/>
                <w:kern w:val="0"/>
                <w:sz w:val="21"/>
                <w:szCs w:val="21"/>
                <w:lang w:bidi="ar"/>
              </w:rPr>
              <w:t>③</w:t>
            </w:r>
            <w:r>
              <w:rPr>
                <w:rFonts w:ascii="Times New Roman" w:hAnsi="Times New Roman" w:eastAsia="宋体" w:cs="Times New Roman"/>
                <w:color w:val="000000"/>
                <w:kern w:val="0"/>
                <w:sz w:val="21"/>
                <w:szCs w:val="21"/>
                <w:lang w:bidi="ar"/>
              </w:rPr>
              <w:t>项目工伤处置案例材料（工伤上报、理赔处置流程记录）；</w:t>
            </w:r>
          </w:p>
          <w:p>
            <w:pPr>
              <w:widowControl/>
              <w:textAlignment w:val="center"/>
              <w:rPr>
                <w:rFonts w:ascii="Times New Roman" w:hAnsi="Times New Roman" w:eastAsia="宋体" w:cs="Times New Roman"/>
                <w:color w:val="000000"/>
                <w:kern w:val="0"/>
                <w:sz w:val="21"/>
                <w:szCs w:val="21"/>
                <w:lang w:bidi="ar"/>
              </w:rPr>
            </w:pPr>
            <w:r>
              <w:rPr>
                <w:rFonts w:ascii="Cambria Math" w:hAnsi="Cambria Math" w:eastAsia="宋体" w:cs="Cambria Math"/>
                <w:color w:val="000000"/>
                <w:kern w:val="0"/>
                <w:sz w:val="21"/>
                <w:szCs w:val="21"/>
                <w:lang w:bidi="ar"/>
              </w:rPr>
              <w:t>④</w:t>
            </w:r>
            <w:r>
              <w:rPr>
                <w:rFonts w:ascii="Times New Roman" w:hAnsi="Times New Roman" w:eastAsia="宋体" w:cs="Times New Roman"/>
                <w:color w:val="000000"/>
                <w:kern w:val="0"/>
                <w:sz w:val="21"/>
                <w:szCs w:val="21"/>
                <w:lang w:bidi="ar"/>
              </w:rPr>
              <w:t>已实施项目人员考勤原始记录（考勤表、人脸识别/打卡台账样本）；</w:t>
            </w:r>
          </w:p>
          <w:p>
            <w:pPr>
              <w:widowControl/>
              <w:textAlignment w:val="center"/>
              <w:rPr>
                <w:rFonts w:ascii="Times New Roman" w:hAnsi="Times New Roman" w:eastAsia="宋体" w:cs="Times New Roman"/>
                <w:color w:val="000000"/>
                <w:kern w:val="0"/>
                <w:sz w:val="21"/>
                <w:szCs w:val="21"/>
                <w:lang w:bidi="ar"/>
              </w:rPr>
            </w:pPr>
            <w:r>
              <w:rPr>
                <w:rFonts w:ascii="Cambria Math" w:hAnsi="Cambria Math" w:eastAsia="宋体" w:cs="Cambria Math"/>
                <w:color w:val="000000"/>
                <w:kern w:val="0"/>
                <w:sz w:val="21"/>
                <w:szCs w:val="21"/>
                <w:lang w:bidi="ar"/>
              </w:rPr>
              <w:t>⑤</w:t>
            </w:r>
            <w:r>
              <w:rPr>
                <w:rFonts w:ascii="Times New Roman" w:hAnsi="Times New Roman" w:eastAsia="宋体" w:cs="Times New Roman"/>
                <w:color w:val="000000"/>
                <w:kern w:val="0"/>
                <w:sz w:val="21"/>
                <w:szCs w:val="21"/>
                <w:lang w:bidi="ar"/>
              </w:rPr>
              <w:t>已编制并执行的现场突发事件应急预案文本、演练记录。得10分；</w:t>
            </w:r>
          </w:p>
          <w:p>
            <w:pPr>
              <w:widowControl/>
              <w:textAlignment w:val="center"/>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2、投标文件具备考勤、工资核算发放核心管理流程；工资专户、现场应急预案7项要素中缺失其中1项；提供至少1项上述对应佐证材料，管理制度框架完整。得6分；</w:t>
            </w:r>
          </w:p>
          <w:p>
            <w:pPr>
              <w:widowControl/>
              <w:textAlignment w:val="center"/>
              <w:rPr>
                <w:rFonts w:ascii="Times New Roman" w:hAnsi="Times New Roman" w:eastAsia="宋体" w:cs="Times New Roman"/>
                <w:color w:val="000000"/>
                <w:kern w:val="0"/>
                <w:sz w:val="21"/>
                <w:szCs w:val="21"/>
                <w:lang w:bidi="ar"/>
              </w:rPr>
            </w:pPr>
            <w:r>
              <w:rPr>
                <w:rFonts w:ascii="Times New Roman" w:hAnsi="Times New Roman" w:eastAsia="宋体" w:cs="Times New Roman"/>
                <w:color w:val="000000"/>
                <w:kern w:val="0"/>
                <w:sz w:val="21"/>
                <w:szCs w:val="21"/>
                <w:lang w:bidi="ar"/>
              </w:rPr>
              <w:t>3、仅有基础人员管理文字描述，7项关键要素缺失≥2项；仅提供制度文本，无任何项目落地佐证材料。得3分；</w:t>
            </w:r>
          </w:p>
          <w:p>
            <w:pPr>
              <w:widowControl/>
              <w:textAlignment w:val="center"/>
              <w:rPr>
                <w:rFonts w:ascii="Times New Roman" w:hAnsi="Times New Roman" w:eastAsia="宋体" w:cs="Times New Roman"/>
                <w:spacing w:val="2"/>
                <w:sz w:val="21"/>
                <w:szCs w:val="21"/>
              </w:rPr>
            </w:pPr>
            <w:r>
              <w:rPr>
                <w:rFonts w:ascii="Times New Roman" w:hAnsi="Times New Roman" w:eastAsia="宋体" w:cs="Times New Roman"/>
                <w:color w:val="000000"/>
                <w:kern w:val="0"/>
                <w:sz w:val="21"/>
                <w:szCs w:val="21"/>
                <w:lang w:bidi="ar"/>
              </w:rPr>
              <w:t>4、方案内容简略，核心管理流程大量缺失，制度不具备可实施性。得0分。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6" w:hRule="atLeast"/>
          <w:jc w:val="center"/>
        </w:trPr>
        <w:tc>
          <w:tcPr>
            <w:tcW w:w="1902" w:type="dxa"/>
            <w:tcBorders>
              <w:top w:val="single" w:color="auto" w:sz="4" w:space="0"/>
              <w:left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p>
          <w:p>
            <w:pPr>
              <w:spacing w:line="320" w:lineRule="atLeast"/>
              <w:jc w:val="center"/>
              <w:rPr>
                <w:rFonts w:ascii="Times New Roman" w:hAnsi="Times New Roman" w:eastAsia="宋体" w:cs="Times New Roman"/>
                <w:sz w:val="21"/>
                <w:szCs w:val="21"/>
              </w:rPr>
            </w:pPr>
            <w:r>
              <w:rPr>
                <w:rFonts w:ascii="Times New Roman" w:hAnsi="Times New Roman" w:eastAsia="宋体" w:cs="Times New Roman"/>
                <w:sz w:val="21"/>
                <w:szCs w:val="21"/>
              </w:rPr>
              <w:t>投标报价</w:t>
            </w:r>
          </w:p>
          <w:p>
            <w:pPr>
              <w:spacing w:line="320" w:lineRule="atLeast"/>
              <w:jc w:val="center"/>
              <w:rPr>
                <w:rFonts w:ascii="Times New Roman" w:hAnsi="Times New Roman" w:eastAsia="宋体" w:cs="Times New Roman"/>
                <w:sz w:val="21"/>
                <w:szCs w:val="21"/>
              </w:rPr>
            </w:pPr>
            <w:r>
              <w:rPr>
                <w:rFonts w:ascii="Times New Roman" w:hAnsi="Times New Roman" w:eastAsia="宋体" w:cs="Times New Roman"/>
                <w:sz w:val="21"/>
                <w:szCs w:val="21"/>
              </w:rPr>
              <w:t>评分标准</w:t>
            </w:r>
          </w:p>
          <w:p>
            <w:pPr>
              <w:pStyle w:val="45"/>
              <w:ind w:firstLine="642" w:firstLineChars="300"/>
              <w:rPr>
                <w:spacing w:val="2"/>
                <w:kern w:val="2"/>
                <w:sz w:val="21"/>
                <w:szCs w:val="21"/>
                <w:lang w:eastAsia="zh-CN" w:bidi="ar-SA"/>
              </w:rPr>
            </w:pPr>
            <w:r>
              <w:rPr>
                <w:spacing w:val="2"/>
                <w:kern w:val="2"/>
                <w:sz w:val="21"/>
                <w:szCs w:val="21"/>
                <w:lang w:eastAsia="zh-CN" w:bidi="ar-SA"/>
              </w:rPr>
              <w:t>60分</w:t>
            </w:r>
          </w:p>
        </w:tc>
        <w:tc>
          <w:tcPr>
            <w:tcW w:w="1592" w:type="dxa"/>
            <w:tcBorders>
              <w:top w:val="single" w:color="auto" w:sz="4" w:space="0"/>
              <w:left w:val="single" w:color="auto" w:sz="4" w:space="0"/>
              <w:bottom w:val="single" w:color="auto" w:sz="4" w:space="0"/>
              <w:right w:val="single" w:color="auto" w:sz="4" w:space="0"/>
            </w:tcBorders>
            <w:vAlign w:val="center"/>
          </w:tcPr>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投标报价</w:t>
            </w:r>
          </w:p>
          <w:p>
            <w:pPr>
              <w:spacing w:line="320" w:lineRule="atLeast"/>
              <w:jc w:val="center"/>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60 分</w:t>
            </w:r>
          </w:p>
        </w:tc>
        <w:tc>
          <w:tcPr>
            <w:tcW w:w="6041" w:type="dxa"/>
            <w:tcBorders>
              <w:top w:val="single" w:color="auto" w:sz="4" w:space="0"/>
              <w:left w:val="single" w:color="auto" w:sz="4" w:space="0"/>
              <w:bottom w:val="single" w:color="auto" w:sz="4" w:space="0"/>
              <w:right w:val="single" w:color="auto" w:sz="4" w:space="0"/>
            </w:tcBorders>
            <w:vAlign w:val="center"/>
          </w:tcPr>
          <w:p>
            <w:pPr>
              <w:pStyle w:val="44"/>
              <w:numPr>
                <w:ilvl w:val="0"/>
                <w:numId w:val="7"/>
              </w:numPr>
              <w:rPr>
                <w:rFonts w:ascii="Times New Roman" w:hAnsi="Times New Roman" w:eastAsia="宋体" w:cs="Times New Roman"/>
                <w:sz w:val="21"/>
              </w:rPr>
            </w:pPr>
            <w:r>
              <w:rPr>
                <w:rStyle w:val="20"/>
                <w:rFonts w:ascii="Times New Roman" w:hAnsi="Times New Roman" w:eastAsia="宋体" w:cs="Times New Roman"/>
                <w:sz w:val="21"/>
              </w:rPr>
              <w:t>评标基准价=通过资格审查的全部有效投标报价中的最低值</w:t>
            </w:r>
            <w:r>
              <w:rPr>
                <w:rFonts w:ascii="Times New Roman" w:hAnsi="Times New Roman" w:eastAsia="宋体" w:cs="Times New Roman"/>
                <w:sz w:val="21"/>
              </w:rPr>
              <w:t>。</w:t>
            </w:r>
          </w:p>
          <w:p>
            <w:pPr>
              <w:pStyle w:val="44"/>
              <w:numPr>
                <w:ilvl w:val="0"/>
                <w:numId w:val="7"/>
              </w:numPr>
              <w:rPr>
                <w:rFonts w:ascii="Times New Roman" w:hAnsi="Times New Roman" w:eastAsia="宋体" w:cs="Times New Roman"/>
                <w:sz w:val="21"/>
              </w:rPr>
            </w:pPr>
            <w:r>
              <w:rPr>
                <w:rFonts w:ascii="Times New Roman" w:hAnsi="Times New Roman" w:eastAsia="宋体" w:cs="Times New Roman"/>
                <w:sz w:val="21"/>
              </w:rPr>
              <w:t>偏差率 = 100%×(有效投标报价－评标基准价)/评标基准价；</w:t>
            </w:r>
          </w:p>
          <w:p>
            <w:pPr>
              <w:pStyle w:val="44"/>
              <w:rPr>
                <w:rFonts w:ascii="Times New Roman" w:hAnsi="Times New Roman" w:eastAsia="宋体" w:cs="Times New Roman"/>
                <w:sz w:val="21"/>
              </w:rPr>
            </w:pPr>
            <w:r>
              <w:rPr>
                <w:rFonts w:ascii="Times New Roman" w:hAnsi="Times New Roman" w:eastAsia="宋体" w:cs="Times New Roman"/>
                <w:sz w:val="21"/>
              </w:rPr>
              <w:t>3、得分计算规则：</w:t>
            </w:r>
          </w:p>
          <w:p>
            <w:pPr>
              <w:pStyle w:val="44"/>
              <w:rPr>
                <w:rFonts w:ascii="Times New Roman" w:hAnsi="Times New Roman" w:eastAsia="宋体" w:cs="Times New Roman"/>
                <w:sz w:val="21"/>
              </w:rPr>
            </w:pPr>
            <w:r>
              <w:rPr>
                <w:rFonts w:ascii="Times New Roman" w:hAnsi="Times New Roman" w:eastAsia="宋体" w:cs="Times New Roman"/>
                <w:sz w:val="21"/>
              </w:rPr>
              <w:t>（1）0%＜偏差率≤5%：每高出1%扣0.25分；</w:t>
            </w:r>
          </w:p>
          <w:p>
            <w:pPr>
              <w:pStyle w:val="44"/>
              <w:rPr>
                <w:rFonts w:ascii="Times New Roman" w:hAnsi="Times New Roman" w:eastAsia="宋体" w:cs="Times New Roman"/>
                <w:sz w:val="21"/>
              </w:rPr>
            </w:pPr>
            <w:r>
              <w:rPr>
                <w:rFonts w:ascii="Times New Roman" w:hAnsi="Times New Roman" w:eastAsia="宋体" w:cs="Times New Roman"/>
                <w:sz w:val="21"/>
              </w:rPr>
              <w:t>（2）5%＜偏差率≤10%：超出5%部分，每高出1%扣0.2分；</w:t>
            </w:r>
          </w:p>
          <w:p>
            <w:pPr>
              <w:pStyle w:val="44"/>
              <w:rPr>
                <w:rFonts w:ascii="Times New Roman" w:hAnsi="Times New Roman" w:eastAsia="宋体" w:cs="Times New Roman"/>
                <w:sz w:val="21"/>
              </w:rPr>
            </w:pPr>
            <w:r>
              <w:rPr>
                <w:rFonts w:ascii="Times New Roman" w:hAnsi="Times New Roman" w:eastAsia="宋体" w:cs="Times New Roman"/>
                <w:sz w:val="21"/>
              </w:rPr>
              <w:t>（3）10%＜偏差率≤20%：超出10%部分，每高出1%扣0.15分；</w:t>
            </w:r>
          </w:p>
          <w:p>
            <w:pPr>
              <w:numPr>
                <w:ilvl w:val="255"/>
                <w:numId w:val="0"/>
              </w:numPr>
              <w:spacing w:line="320" w:lineRule="atLeast"/>
              <w:jc w:val="both"/>
              <w:rPr>
                <w:rFonts w:ascii="Times New Roman" w:hAnsi="Times New Roman" w:eastAsia="宋体" w:cs="Times New Roman"/>
                <w:spacing w:val="2"/>
                <w:sz w:val="21"/>
                <w:szCs w:val="21"/>
              </w:rPr>
            </w:pPr>
            <w:r>
              <w:rPr>
                <w:rFonts w:ascii="Times New Roman" w:hAnsi="Times New Roman" w:eastAsia="宋体" w:cs="Times New Roman"/>
                <w:spacing w:val="2"/>
                <w:sz w:val="21"/>
                <w:szCs w:val="21"/>
              </w:rPr>
              <w:t>（4）偏差率＞20%：超出20%部分，每高出1%扣0.1分。</w:t>
            </w:r>
          </w:p>
        </w:tc>
      </w:tr>
    </w:tbl>
    <w:p>
      <w:pPr>
        <w:spacing w:before="156" w:beforeLines="50" w:line="360" w:lineRule="auto"/>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Unicode MS">
    <w:altName w:val="宋体"/>
    <w:panose1 w:val="020B0604020202020204"/>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61324C"/>
    <w:multiLevelType w:val="singleLevel"/>
    <w:tmpl w:val="B361324C"/>
    <w:lvl w:ilvl="0" w:tentative="0">
      <w:start w:val="1"/>
      <w:numFmt w:val="decimal"/>
      <w:suff w:val="nothing"/>
      <w:lvlText w:val="%1、"/>
      <w:lvlJc w:val="left"/>
    </w:lvl>
  </w:abstractNum>
  <w:abstractNum w:abstractNumId="1">
    <w:nsid w:val="E9880F23"/>
    <w:multiLevelType w:val="singleLevel"/>
    <w:tmpl w:val="E9880F23"/>
    <w:lvl w:ilvl="0" w:tentative="0">
      <w:start w:val="1"/>
      <w:numFmt w:val="decimal"/>
      <w:suff w:val="nothing"/>
      <w:lvlText w:val="%1、"/>
      <w:lvlJc w:val="left"/>
    </w:lvl>
  </w:abstractNum>
  <w:abstractNum w:abstractNumId="2">
    <w:nsid w:val="F64367CA"/>
    <w:multiLevelType w:val="singleLevel"/>
    <w:tmpl w:val="F64367CA"/>
    <w:lvl w:ilvl="0" w:tentative="0">
      <w:start w:val="1"/>
      <w:numFmt w:val="decimal"/>
      <w:suff w:val="nothing"/>
      <w:lvlText w:val="%1、"/>
      <w:lvlJc w:val="left"/>
    </w:lvl>
  </w:abstractNum>
  <w:abstractNum w:abstractNumId="3">
    <w:nsid w:val="FBBDA557"/>
    <w:multiLevelType w:val="singleLevel"/>
    <w:tmpl w:val="FBBDA557"/>
    <w:lvl w:ilvl="0" w:tentative="0">
      <w:start w:val="1"/>
      <w:numFmt w:val="decimal"/>
      <w:suff w:val="nothing"/>
      <w:lvlText w:val="%1、"/>
      <w:lvlJc w:val="left"/>
    </w:lvl>
  </w:abstractNum>
  <w:abstractNum w:abstractNumId="4">
    <w:nsid w:val="1CA985F9"/>
    <w:multiLevelType w:val="singleLevel"/>
    <w:tmpl w:val="1CA985F9"/>
    <w:lvl w:ilvl="0" w:tentative="0">
      <w:start w:val="1"/>
      <w:numFmt w:val="decimal"/>
      <w:suff w:val="nothing"/>
      <w:lvlText w:val="%1、"/>
      <w:lvlJc w:val="left"/>
    </w:lvl>
  </w:abstractNum>
  <w:abstractNum w:abstractNumId="5">
    <w:nsid w:val="364A02A4"/>
    <w:multiLevelType w:val="singleLevel"/>
    <w:tmpl w:val="364A02A4"/>
    <w:lvl w:ilvl="0" w:tentative="0">
      <w:start w:val="1"/>
      <w:numFmt w:val="decimal"/>
      <w:suff w:val="nothing"/>
      <w:lvlText w:val="%1、"/>
      <w:lvlJc w:val="left"/>
    </w:lvl>
  </w:abstractNum>
  <w:abstractNum w:abstractNumId="6">
    <w:nsid w:val="36726594"/>
    <w:multiLevelType w:val="singleLevel"/>
    <w:tmpl w:val="36726594"/>
    <w:lvl w:ilvl="0" w:tentative="0">
      <w:start w:val="1"/>
      <w:numFmt w:val="decimal"/>
      <w:suff w:val="nothing"/>
      <w:lvlText w:val="%1、"/>
      <w:lvlJc w:val="left"/>
    </w:lvl>
  </w:abstractNum>
  <w:num w:numId="1">
    <w:abstractNumId w:val="4"/>
  </w:num>
  <w:num w:numId="2">
    <w:abstractNumId w:val="6"/>
  </w:num>
  <w:num w:numId="3">
    <w:abstractNumId w:val="2"/>
  </w:num>
  <w:num w:numId="4">
    <w:abstractNumId w:val="5"/>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599"/>
    <w:rsid w:val="00001599"/>
    <w:rsid w:val="0000291B"/>
    <w:rsid w:val="00012052"/>
    <w:rsid w:val="00037C14"/>
    <w:rsid w:val="00041E3B"/>
    <w:rsid w:val="000A0500"/>
    <w:rsid w:val="000E745D"/>
    <w:rsid w:val="00110DAA"/>
    <w:rsid w:val="00121320"/>
    <w:rsid w:val="00155B06"/>
    <w:rsid w:val="00184C33"/>
    <w:rsid w:val="00186C7D"/>
    <w:rsid w:val="00213BFE"/>
    <w:rsid w:val="002316E0"/>
    <w:rsid w:val="002428FF"/>
    <w:rsid w:val="00270FCD"/>
    <w:rsid w:val="002A42A8"/>
    <w:rsid w:val="002C19DC"/>
    <w:rsid w:val="002D1835"/>
    <w:rsid w:val="002F006D"/>
    <w:rsid w:val="0030742D"/>
    <w:rsid w:val="003170C3"/>
    <w:rsid w:val="00320BC6"/>
    <w:rsid w:val="00330F03"/>
    <w:rsid w:val="003943A0"/>
    <w:rsid w:val="003A559C"/>
    <w:rsid w:val="003B1276"/>
    <w:rsid w:val="003B5CD8"/>
    <w:rsid w:val="003C35FD"/>
    <w:rsid w:val="003D066F"/>
    <w:rsid w:val="003F653C"/>
    <w:rsid w:val="00403037"/>
    <w:rsid w:val="00416419"/>
    <w:rsid w:val="00424896"/>
    <w:rsid w:val="00442E65"/>
    <w:rsid w:val="004477AA"/>
    <w:rsid w:val="004B7E9C"/>
    <w:rsid w:val="004C1452"/>
    <w:rsid w:val="004D5079"/>
    <w:rsid w:val="00507CD2"/>
    <w:rsid w:val="00544391"/>
    <w:rsid w:val="00576175"/>
    <w:rsid w:val="005D6413"/>
    <w:rsid w:val="005F76E6"/>
    <w:rsid w:val="0062517F"/>
    <w:rsid w:val="00661287"/>
    <w:rsid w:val="006E1B38"/>
    <w:rsid w:val="006E6B02"/>
    <w:rsid w:val="006E7372"/>
    <w:rsid w:val="00712129"/>
    <w:rsid w:val="00712D51"/>
    <w:rsid w:val="00726188"/>
    <w:rsid w:val="0074122B"/>
    <w:rsid w:val="0075370C"/>
    <w:rsid w:val="00763183"/>
    <w:rsid w:val="00763316"/>
    <w:rsid w:val="0079495A"/>
    <w:rsid w:val="00795939"/>
    <w:rsid w:val="007B3C5B"/>
    <w:rsid w:val="007B565D"/>
    <w:rsid w:val="007C651F"/>
    <w:rsid w:val="008068C4"/>
    <w:rsid w:val="00847874"/>
    <w:rsid w:val="00863C46"/>
    <w:rsid w:val="008806F5"/>
    <w:rsid w:val="008B70CA"/>
    <w:rsid w:val="008E2E23"/>
    <w:rsid w:val="008F4C29"/>
    <w:rsid w:val="00900F95"/>
    <w:rsid w:val="00914FD6"/>
    <w:rsid w:val="00926D78"/>
    <w:rsid w:val="00991788"/>
    <w:rsid w:val="00996576"/>
    <w:rsid w:val="009E6092"/>
    <w:rsid w:val="00A03BC3"/>
    <w:rsid w:val="00A16F56"/>
    <w:rsid w:val="00A63DF6"/>
    <w:rsid w:val="00A71482"/>
    <w:rsid w:val="00A80167"/>
    <w:rsid w:val="00A80F19"/>
    <w:rsid w:val="00A8255F"/>
    <w:rsid w:val="00A8380D"/>
    <w:rsid w:val="00AF3F3A"/>
    <w:rsid w:val="00B03842"/>
    <w:rsid w:val="00B57946"/>
    <w:rsid w:val="00B63364"/>
    <w:rsid w:val="00B9182B"/>
    <w:rsid w:val="00BE6519"/>
    <w:rsid w:val="00C24DD5"/>
    <w:rsid w:val="00C61661"/>
    <w:rsid w:val="00CB48CD"/>
    <w:rsid w:val="00CC4B5D"/>
    <w:rsid w:val="00CE32E5"/>
    <w:rsid w:val="00CE723B"/>
    <w:rsid w:val="00CF063F"/>
    <w:rsid w:val="00CF6652"/>
    <w:rsid w:val="00D03923"/>
    <w:rsid w:val="00D12BBF"/>
    <w:rsid w:val="00D33F87"/>
    <w:rsid w:val="00D75511"/>
    <w:rsid w:val="00D879B8"/>
    <w:rsid w:val="00DA278A"/>
    <w:rsid w:val="00DB20D2"/>
    <w:rsid w:val="00DC4ADB"/>
    <w:rsid w:val="00DD67AA"/>
    <w:rsid w:val="00E07FA9"/>
    <w:rsid w:val="00E15961"/>
    <w:rsid w:val="00E25472"/>
    <w:rsid w:val="00E4360E"/>
    <w:rsid w:val="00E546EC"/>
    <w:rsid w:val="00EE3DDD"/>
    <w:rsid w:val="00EE63F3"/>
    <w:rsid w:val="00F55788"/>
    <w:rsid w:val="00F679F1"/>
    <w:rsid w:val="00F71EC0"/>
    <w:rsid w:val="00F81CDC"/>
    <w:rsid w:val="00FB7C5D"/>
    <w:rsid w:val="00FE6047"/>
    <w:rsid w:val="00FE690F"/>
    <w:rsid w:val="2D314CC9"/>
    <w:rsid w:val="2EA15E7F"/>
    <w:rsid w:val="3B90705F"/>
    <w:rsid w:val="3CAF32CC"/>
    <w:rsid w:val="3F7744AA"/>
    <w:rsid w:val="467A5248"/>
    <w:rsid w:val="4BDF4256"/>
    <w:rsid w:val="4D83025A"/>
    <w:rsid w:val="511939F4"/>
    <w:rsid w:val="553A46CB"/>
    <w:rsid w:val="60BA4A10"/>
    <w:rsid w:val="62184EFE"/>
    <w:rsid w:val="622A5268"/>
    <w:rsid w:val="632E6C9A"/>
    <w:rsid w:val="6B565D76"/>
    <w:rsid w:val="6E5367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4">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5">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6">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7">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8">
    <w:name w:val="heading 5"/>
    <w:basedOn w:val="1"/>
    <w:next w:val="1"/>
    <w:link w:val="26"/>
    <w:semiHidden/>
    <w:unhideWhenUsed/>
    <w:qFormat/>
    <w:uiPriority w:val="9"/>
    <w:pPr>
      <w:keepNext/>
      <w:keepLines/>
      <w:spacing w:before="80" w:after="40"/>
      <w:outlineLvl w:val="4"/>
    </w:pPr>
    <w:rPr>
      <w:rFonts w:cstheme="majorBidi"/>
      <w:color w:val="2F5597" w:themeColor="accent1" w:themeShade="BF"/>
      <w:sz w:val="24"/>
    </w:rPr>
  </w:style>
  <w:style w:type="paragraph" w:styleId="9">
    <w:name w:val="heading 6"/>
    <w:basedOn w:val="1"/>
    <w:next w:val="1"/>
    <w:link w:val="27"/>
    <w:semiHidden/>
    <w:unhideWhenUsed/>
    <w:qFormat/>
    <w:uiPriority w:val="9"/>
    <w:pPr>
      <w:keepNext/>
      <w:keepLines/>
      <w:spacing w:before="40" w:after="0"/>
      <w:outlineLvl w:val="5"/>
    </w:pPr>
    <w:rPr>
      <w:rFonts w:cstheme="majorBidi"/>
      <w:b/>
      <w:bCs/>
      <w:color w:val="2F5597" w:themeColor="accent1" w:themeShade="BF"/>
    </w:rPr>
  </w:style>
  <w:style w:type="paragraph" w:styleId="10">
    <w:name w:val="heading 7"/>
    <w:basedOn w:val="1"/>
    <w:next w:val="1"/>
    <w:link w:val="28"/>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3">
    <w:name w:val="heading 8"/>
    <w:basedOn w:val="1"/>
    <w:next w:val="1"/>
    <w:link w:val="29"/>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0"/>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2">
    <w:name w:val="Normal Indent"/>
    <w:basedOn w:val="1"/>
    <w:next w:val="3"/>
    <w:uiPriority w:val="0"/>
    <w:rPr>
      <w:rFonts w:cs="Calibri"/>
      <w:color w:val="000000"/>
      <w:kern w:val="1"/>
      <w:lang w:val="zh-CN"/>
    </w:rPr>
  </w:style>
  <w:style w:type="paragraph" w:styleId="12">
    <w:name w:val="footer"/>
    <w:basedOn w:val="1"/>
    <w:link w:val="41"/>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40"/>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2"/>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pPr>
      <w:spacing w:beforeAutospacing="1" w:after="0" w:afterAutospacing="1"/>
    </w:pPr>
    <w:rPr>
      <w:rFonts w:cs="Times New Roman"/>
      <w:kern w:val="0"/>
      <w:sz w:val="24"/>
    </w:rPr>
  </w:style>
  <w:style w:type="paragraph" w:styleId="16">
    <w:name w:val="Title"/>
    <w:basedOn w:val="1"/>
    <w:next w:val="1"/>
    <w:link w:val="31"/>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styleId="21">
    <w:name w:val="Hyperlink"/>
    <w:basedOn w:val="19"/>
    <w:unhideWhenUsed/>
    <w:qFormat/>
    <w:uiPriority w:val="99"/>
    <w:rPr>
      <w:color w:val="0563C1" w:themeColor="hyperlink"/>
      <w:u w:val="single"/>
      <w14:textFill>
        <w14:solidFill>
          <w14:schemeClr w14:val="hlink"/>
        </w14:solidFill>
      </w14:textFill>
    </w:rPr>
  </w:style>
  <w:style w:type="character" w:customStyle="1" w:styleId="22">
    <w:name w:val="标题 1 字符"/>
    <w:basedOn w:val="19"/>
    <w:link w:val="4"/>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19"/>
    <w:link w:val="5"/>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19"/>
    <w:link w:val="6"/>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19"/>
    <w:link w:val="7"/>
    <w:semiHidden/>
    <w:qFormat/>
    <w:uiPriority w:val="9"/>
    <w:rPr>
      <w:rFonts w:cstheme="majorBidi"/>
      <w:color w:val="2F5597" w:themeColor="accent1" w:themeShade="BF"/>
      <w:sz w:val="28"/>
      <w:szCs w:val="28"/>
    </w:rPr>
  </w:style>
  <w:style w:type="character" w:customStyle="1" w:styleId="26">
    <w:name w:val="标题 5 字符"/>
    <w:basedOn w:val="19"/>
    <w:link w:val="8"/>
    <w:semiHidden/>
    <w:qFormat/>
    <w:uiPriority w:val="9"/>
    <w:rPr>
      <w:rFonts w:cstheme="majorBidi"/>
      <w:color w:val="2F5597" w:themeColor="accent1" w:themeShade="BF"/>
      <w:sz w:val="24"/>
    </w:rPr>
  </w:style>
  <w:style w:type="character" w:customStyle="1" w:styleId="27">
    <w:name w:val="标题 6 字符"/>
    <w:basedOn w:val="19"/>
    <w:link w:val="9"/>
    <w:semiHidden/>
    <w:qFormat/>
    <w:uiPriority w:val="9"/>
    <w:rPr>
      <w:rFonts w:cstheme="majorBidi"/>
      <w:b/>
      <w:bCs/>
      <w:color w:val="2F5597" w:themeColor="accent1" w:themeShade="BF"/>
    </w:rPr>
  </w:style>
  <w:style w:type="character" w:customStyle="1" w:styleId="28">
    <w:name w:val="标题 7 字符"/>
    <w:basedOn w:val="19"/>
    <w:link w:val="1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19"/>
    <w:link w:val="3"/>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19"/>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19"/>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明显强调1"/>
    <w:basedOn w:val="19"/>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8">
    <w:name w:val="明显引用 字符"/>
    <w:basedOn w:val="19"/>
    <w:link w:val="37"/>
    <w:qFormat/>
    <w:uiPriority w:val="30"/>
    <w:rPr>
      <w:i/>
      <w:iCs/>
      <w:color w:val="2F5597" w:themeColor="accent1" w:themeShade="BF"/>
    </w:rPr>
  </w:style>
  <w:style w:type="character" w:customStyle="1" w:styleId="39">
    <w:name w:val="明显参考1"/>
    <w:basedOn w:val="19"/>
    <w:qFormat/>
    <w:uiPriority w:val="32"/>
    <w:rPr>
      <w:b/>
      <w:bCs/>
      <w:smallCaps/>
      <w:color w:val="2F5597" w:themeColor="accent1" w:themeShade="BF"/>
      <w:spacing w:val="5"/>
    </w:rPr>
  </w:style>
  <w:style w:type="character" w:customStyle="1" w:styleId="40">
    <w:name w:val="页眉 字符"/>
    <w:basedOn w:val="19"/>
    <w:link w:val="13"/>
    <w:qFormat/>
    <w:uiPriority w:val="99"/>
    <w:rPr>
      <w:sz w:val="18"/>
      <w:szCs w:val="18"/>
    </w:rPr>
  </w:style>
  <w:style w:type="character" w:customStyle="1" w:styleId="41">
    <w:name w:val="页脚 字符"/>
    <w:basedOn w:val="19"/>
    <w:link w:val="12"/>
    <w:qFormat/>
    <w:uiPriority w:val="99"/>
    <w:rPr>
      <w:sz w:val="18"/>
      <w:szCs w:val="18"/>
    </w:rPr>
  </w:style>
  <w:style w:type="paragraph" w:customStyle="1" w:styleId="42">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43">
    <w:name w:val="未处理的提及1"/>
    <w:basedOn w:val="19"/>
    <w:semiHidden/>
    <w:unhideWhenUsed/>
    <w:qFormat/>
    <w:uiPriority w:val="99"/>
    <w:rPr>
      <w:color w:val="605E5C"/>
      <w:shd w:val="clear" w:color="auto" w:fill="E1DFDD"/>
    </w:rPr>
  </w:style>
  <w:style w:type="paragraph" w:customStyle="1" w:styleId="44">
    <w:name w:val="表内正文"/>
    <w:basedOn w:val="1"/>
    <w:qFormat/>
    <w:uiPriority w:val="0"/>
    <w:pPr>
      <w:spacing w:line="320" w:lineRule="atLeast"/>
    </w:pPr>
    <w:rPr>
      <w:spacing w:val="2"/>
      <w:szCs w:val="21"/>
    </w:rPr>
  </w:style>
  <w:style w:type="paragraph" w:styleId="45">
    <w:name w:val="No Spacing"/>
    <w:qFormat/>
    <w:uiPriority w:val="0"/>
    <w:rPr>
      <w:rFonts w:ascii="Times New Roman" w:hAnsi="Times New Roman" w:eastAsia="宋体" w:cs="Times New Roman"/>
      <w:sz w:val="22"/>
      <w:szCs w:val="22"/>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24890-22F8-4C31-A220-542870205E75}">
  <ds:schemaRefs/>
</ds:datastoreItem>
</file>

<file path=docProps/app.xml><?xml version="1.0" encoding="utf-8"?>
<Properties xmlns="http://schemas.openxmlformats.org/officeDocument/2006/extended-properties" xmlns:vt="http://schemas.openxmlformats.org/officeDocument/2006/docPropsVTypes">
  <Template>Normal</Template>
  <Pages>6</Pages>
  <Words>1817</Words>
  <Characters>1837</Characters>
  <Lines>96</Lines>
  <Paragraphs>60</Paragraphs>
  <TotalTime>22</TotalTime>
  <ScaleCrop>false</ScaleCrop>
  <LinksUpToDate>false</LinksUpToDate>
  <CharactersWithSpaces>3594</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2026-08-26T06:15:00Z</dcterms:created>
  <dc:creator>知 肖</dc:creator>
  <cp:lastModifiedBy>王</cp:lastModifiedBy>
  <dcterms:modified xsi:type="dcterms:W3CDTF">2026-09-18T02:50:28Z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eyJoZGlkIjoiMzZmYWNjOTA2NmQ2YTAxYTIxNDM4Nzc3MTgxOWQxNDIiLCJ1c2VySWQiOiIyODI3ODAxNTUifQ==</vt:lpwstr>
  </property>
  <property fmtid="{D5CDD505-2E9C-101B-9397-08002B2CF9AE}" pid="3" name="KSOProductBuildVer">
    <vt:lpwstr>2052-11.8.2.12309</vt:lpwstr>
  </property>
  <property fmtid="{D5CDD505-2E9C-101B-9397-08002B2CF9AE}" pid="4" name="ICV">
    <vt:lpwstr>F5F604AB47AF4C6A98FBC27B11B98CAE_12</vt:lpwstr>
  </property>
</Properties>
</file>