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仿宋" w:hAnsi="仿宋" w:eastAsia="仿宋" w:cs="Times New Roman"/>
          <w:bCs/>
          <w:kern w:val="44"/>
          <w:sz w:val="44"/>
          <w:szCs w:val="44"/>
        </w:rPr>
      </w:pPr>
      <w:bookmarkStart w:id="0" w:name="OLE_LINK1"/>
      <w:r>
        <w:rPr>
          <w:rFonts w:ascii="仿宋" w:hAnsi="仿宋" w:eastAsia="仿宋" w:cs="Times New Roman"/>
          <w:bCs/>
          <w:kern w:val="44"/>
          <w:sz w:val="44"/>
          <w:szCs w:val="44"/>
        </w:rPr>
        <w:t>采办计划公告</w:t>
      </w:r>
    </w:p>
    <w:p>
      <w:pPr>
        <w:spacing w:line="560" w:lineRule="exact"/>
        <w:rPr>
          <w:rFonts w:ascii="仿宋" w:hAnsi="仿宋" w:eastAsia="仿宋" w:cs="Times New Roman"/>
          <w:sz w:val="32"/>
        </w:rPr>
      </w:pPr>
    </w:p>
    <w:p>
      <w:pPr>
        <w:tabs>
          <w:tab w:val="left" w:pos="993"/>
          <w:tab w:val="left" w:pos="1134"/>
          <w:tab w:val="left" w:pos="1418"/>
        </w:tabs>
        <w:spacing w:line="560" w:lineRule="exact"/>
        <w:ind w:firstLine="640" w:firstLineChars="200"/>
        <w:rPr>
          <w:rFonts w:ascii="仿宋" w:hAnsi="仿宋" w:eastAsia="仿宋" w:cs="Times New Roman"/>
          <w:sz w:val="32"/>
          <w:szCs w:val="32"/>
        </w:rPr>
      </w:pPr>
      <w:bookmarkStart w:id="1" w:name="OLE_LINK2"/>
      <w:r>
        <w:rPr>
          <w:rFonts w:ascii="仿宋" w:hAnsi="仿宋" w:eastAsia="仿宋" w:cs="Times New Roman"/>
          <w:sz w:val="32"/>
          <w:szCs w:val="32"/>
        </w:rPr>
        <w:t>为便于供应商及时了解项目采办信息，现将</w:t>
      </w:r>
      <w:r>
        <w:rPr>
          <w:rFonts w:ascii="仿宋" w:hAnsi="仿宋" w:eastAsia="仿宋" w:cs="Times New Roman"/>
          <w:sz w:val="32"/>
          <w:szCs w:val="32"/>
          <w:u w:val="single"/>
        </w:rPr>
        <w:t>（</w:t>
      </w:r>
      <w:r>
        <w:rPr>
          <w:rFonts w:hint="eastAsia" w:ascii="仿宋" w:hAnsi="仿宋" w:eastAsia="仿宋" w:cs="Times New Roman"/>
          <w:sz w:val="32"/>
          <w:szCs w:val="32"/>
          <w:u w:val="single"/>
        </w:rPr>
        <w:t>海油发展-化工品类部-</w:t>
      </w:r>
      <w:r>
        <w:rPr>
          <w:rFonts w:hint="eastAsia" w:ascii="仿宋" w:hAnsi="仿宋" w:eastAsia="仿宋" w:cs="Times New Roman"/>
          <w:sz w:val="32"/>
          <w:szCs w:val="32"/>
          <w:u w:val="single"/>
          <w:lang w:eastAsia="zh-CN"/>
        </w:rPr>
        <w:t>工程技术公司2026-2029年乙酸采购专有协议（二次公开）</w:t>
      </w:r>
      <w:r>
        <w:rPr>
          <w:rFonts w:ascii="仿宋" w:hAnsi="仿宋" w:eastAsia="仿宋" w:cs="Times New Roman"/>
          <w:sz w:val="32"/>
          <w:szCs w:val="32"/>
          <w:u w:val="single"/>
        </w:rPr>
        <w:t>）</w:t>
      </w:r>
      <w:r>
        <w:rPr>
          <w:rFonts w:ascii="仿宋" w:hAnsi="仿宋" w:eastAsia="仿宋" w:cs="Times New Roman"/>
          <w:sz w:val="32"/>
          <w:szCs w:val="32"/>
        </w:rPr>
        <w:t>的采办计划公开如下：</w:t>
      </w:r>
    </w:p>
    <w:tbl>
      <w:tblPr>
        <w:tblStyle w:val="11"/>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72"/>
        <w:gridCol w:w="1701"/>
        <w:gridCol w:w="2551"/>
        <w:gridCol w:w="1843"/>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序号</w:t>
            </w:r>
          </w:p>
        </w:tc>
        <w:tc>
          <w:tcPr>
            <w:tcW w:w="1872"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采办包</w:t>
            </w:r>
          </w:p>
          <w:p>
            <w:pPr>
              <w:jc w:val="center"/>
              <w:rPr>
                <w:rFonts w:ascii="仿宋" w:hAnsi="仿宋" w:eastAsia="仿宋" w:cs="Times New Roman"/>
                <w:kern w:val="0"/>
                <w:sz w:val="24"/>
                <w:szCs w:val="24"/>
              </w:rPr>
            </w:pPr>
            <w:r>
              <w:rPr>
                <w:rFonts w:ascii="仿宋" w:hAnsi="仿宋" w:eastAsia="仿宋" w:cs="Times New Roman"/>
                <w:kern w:val="0"/>
                <w:sz w:val="24"/>
                <w:szCs w:val="24"/>
              </w:rPr>
              <w:t>名称</w:t>
            </w:r>
          </w:p>
        </w:tc>
        <w:tc>
          <w:tcPr>
            <w:tcW w:w="170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采购范围与主要技术指标</w:t>
            </w:r>
          </w:p>
        </w:tc>
        <w:tc>
          <w:tcPr>
            <w:tcW w:w="255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预计发标时间</w:t>
            </w:r>
          </w:p>
          <w:p>
            <w:pPr>
              <w:jc w:val="center"/>
              <w:rPr>
                <w:rFonts w:ascii="仿宋" w:hAnsi="仿宋" w:eastAsia="仿宋" w:cs="Times New Roman"/>
                <w:kern w:val="0"/>
                <w:sz w:val="24"/>
                <w:szCs w:val="24"/>
              </w:rPr>
            </w:pPr>
            <w:r>
              <w:rPr>
                <w:rFonts w:ascii="仿宋" w:hAnsi="仿宋" w:eastAsia="仿宋" w:cs="Times New Roman"/>
                <w:kern w:val="0"/>
                <w:sz w:val="24"/>
                <w:szCs w:val="24"/>
              </w:rPr>
              <w:t>（填写到月）</w:t>
            </w:r>
          </w:p>
        </w:tc>
        <w:tc>
          <w:tcPr>
            <w:tcW w:w="1843"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供应商资质基本要求</w:t>
            </w:r>
          </w:p>
        </w:tc>
        <w:tc>
          <w:tcPr>
            <w:tcW w:w="53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68" w:type="dxa"/>
            <w:vAlign w:val="center"/>
          </w:tcPr>
          <w:p>
            <w:pPr>
              <w:ind w:firstLine="480" w:firstLineChars="200"/>
              <w:rPr>
                <w:rFonts w:ascii="仿宋" w:hAnsi="仿宋" w:eastAsia="仿宋" w:cs="Times New Roman"/>
                <w:kern w:val="0"/>
                <w:sz w:val="24"/>
                <w:szCs w:val="24"/>
              </w:rPr>
            </w:pPr>
          </w:p>
        </w:tc>
        <w:tc>
          <w:tcPr>
            <w:tcW w:w="1872"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工程技术公司2026-2029年乙酸采购专有协议（二次公开）</w:t>
            </w:r>
            <w:r>
              <w:rPr>
                <w:rFonts w:ascii="仿宋" w:hAnsi="仿宋" w:eastAsia="仿宋" w:cs="Times New Roman"/>
                <w:kern w:val="0"/>
                <w:sz w:val="24"/>
                <w:szCs w:val="24"/>
                <w:u w:val="single"/>
              </w:rPr>
              <w:t>）</w:t>
            </w:r>
          </w:p>
        </w:tc>
        <w:tc>
          <w:tcPr>
            <w:tcW w:w="1701"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具体要求详见附件</w:t>
            </w:r>
            <w:r>
              <w:rPr>
                <w:rFonts w:ascii="仿宋" w:hAnsi="仿宋" w:eastAsia="仿宋" w:cs="Times New Roman"/>
                <w:kern w:val="0"/>
                <w:sz w:val="24"/>
                <w:szCs w:val="24"/>
                <w:u w:val="single"/>
              </w:rPr>
              <w:t>1。</w:t>
            </w:r>
          </w:p>
        </w:tc>
        <w:tc>
          <w:tcPr>
            <w:tcW w:w="2551"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2026年</w:t>
            </w:r>
            <w:r>
              <w:rPr>
                <w:rFonts w:hint="eastAsia" w:ascii="仿宋" w:hAnsi="仿宋" w:eastAsia="仿宋" w:cs="Times New Roman"/>
                <w:kern w:val="0"/>
                <w:sz w:val="24"/>
                <w:szCs w:val="24"/>
                <w:u w:val="single"/>
                <w:lang w:val="en-US" w:eastAsia="zh-CN"/>
              </w:rPr>
              <w:t>9月</w:t>
            </w:r>
            <w:r>
              <w:rPr>
                <w:rFonts w:ascii="仿宋" w:hAnsi="仿宋" w:eastAsia="仿宋" w:cs="Times New Roman"/>
                <w:kern w:val="0"/>
                <w:sz w:val="24"/>
                <w:szCs w:val="24"/>
                <w:u w:val="single"/>
              </w:rPr>
              <w:t>）</w:t>
            </w:r>
          </w:p>
        </w:tc>
        <w:tc>
          <w:tcPr>
            <w:tcW w:w="1843"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详见附件2</w:t>
            </w:r>
          </w:p>
        </w:tc>
        <w:tc>
          <w:tcPr>
            <w:tcW w:w="538" w:type="dxa"/>
            <w:vAlign w:val="center"/>
          </w:tcPr>
          <w:p>
            <w:pPr>
              <w:rPr>
                <w:rFonts w:ascii="仿宋" w:hAnsi="仿宋" w:eastAsia="仿宋" w:cs="Times New Roman"/>
                <w:kern w:val="0"/>
                <w:sz w:val="24"/>
                <w:szCs w:val="24"/>
                <w:u w:val="single"/>
              </w:rPr>
            </w:pPr>
          </w:p>
        </w:tc>
      </w:tr>
    </w:tbl>
    <w:p>
      <w:pPr>
        <w:tabs>
          <w:tab w:val="left" w:pos="993"/>
          <w:tab w:val="left" w:pos="1134"/>
          <w:tab w:val="left" w:pos="1418"/>
        </w:tabs>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hint="eastAsia" w:ascii="仿宋" w:hAnsi="仿宋" w:eastAsia="仿宋" w:cs="Times New Roman"/>
          <w:sz w:val="32"/>
          <w:szCs w:val="32"/>
        </w:rPr>
      </w:pPr>
      <w:r>
        <w:rPr>
          <w:rFonts w:ascii="仿宋" w:hAnsi="仿宋" w:eastAsia="仿宋" w:cs="Times New Roman"/>
          <w:sz w:val="32"/>
          <w:szCs w:val="32"/>
        </w:rPr>
        <w:t>本次公告有效期是（</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9月11日</w:t>
      </w:r>
      <w:r>
        <w:rPr>
          <w:rFonts w:ascii="仿宋" w:hAnsi="仿宋" w:eastAsia="仿宋" w:cs="Times New Roman"/>
          <w:sz w:val="32"/>
          <w:szCs w:val="32"/>
        </w:rPr>
        <w:t>）至（</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9月17日</w:t>
      </w:r>
      <w:r>
        <w:rPr>
          <w:rFonts w:ascii="仿宋" w:hAnsi="仿宋" w:eastAsia="仿宋" w:cs="Times New Roman"/>
          <w:sz w:val="32"/>
          <w:szCs w:val="32"/>
        </w:rPr>
        <w:t>）止。在此期间，</w:t>
      </w:r>
      <w:r>
        <w:rPr>
          <w:rFonts w:hint="eastAsia" w:ascii="仿宋" w:hAnsi="仿宋" w:eastAsia="仿宋" w:cs="Times New Roman"/>
          <w:sz w:val="32"/>
          <w:szCs w:val="32"/>
        </w:rPr>
        <w:t>有意向参与本项目的供应商，请在系统中进行反馈。</w:t>
      </w:r>
    </w:p>
    <w:p>
      <w:pPr>
        <w:pStyle w:val="7"/>
        <w:rPr>
          <w:rFonts w:hint="eastAsia" w:ascii="仿宋" w:hAnsi="仿宋" w:eastAsia="仿宋" w:cs="Times New Roman"/>
          <w:sz w:val="32"/>
          <w:szCs w:val="32"/>
        </w:rPr>
      </w:pPr>
    </w:p>
    <w:p>
      <w:pPr>
        <w:pStyle w:val="7"/>
        <w:rPr>
          <w:rFonts w:hint="eastAsia" w:ascii="仿宋" w:hAnsi="仿宋" w:eastAsia="仿宋" w:cs="Times New Roman"/>
          <w:sz w:val="32"/>
          <w:szCs w:val="32"/>
        </w:rPr>
      </w:pPr>
    </w:p>
    <w:p>
      <w:pPr>
        <w:tabs>
          <w:tab w:val="left" w:pos="993"/>
          <w:tab w:val="left" w:pos="1134"/>
          <w:tab w:val="left" w:pos="1418"/>
        </w:tabs>
        <w:spacing w:line="600" w:lineRule="exact"/>
        <w:rPr>
          <w:rFonts w:ascii="仿宋" w:hAnsi="仿宋" w:eastAsia="仿宋" w:cs="Times New Roman"/>
          <w:sz w:val="28"/>
          <w:szCs w:val="28"/>
        </w:rPr>
      </w:pPr>
    </w:p>
    <w:p>
      <w:pPr>
        <w:tabs>
          <w:tab w:val="left" w:pos="993"/>
          <w:tab w:val="left" w:pos="1134"/>
          <w:tab w:val="left" w:pos="1418"/>
        </w:tabs>
        <w:spacing w:line="600" w:lineRule="exact"/>
        <w:ind w:right="480" w:firstLine="960" w:firstLineChars="300"/>
        <w:jc w:val="right"/>
        <w:rPr>
          <w:rFonts w:ascii="仿宋" w:hAnsi="仿宋" w:eastAsia="仿宋" w:cs="Times New Roman"/>
          <w:sz w:val="32"/>
          <w:szCs w:val="32"/>
        </w:rPr>
      </w:pPr>
      <w:r>
        <w:rPr>
          <w:rFonts w:hint="eastAsia" w:ascii="仿宋" w:hAnsi="仿宋" w:eastAsia="仿宋" w:cs="Times New Roman"/>
          <w:sz w:val="32"/>
          <w:szCs w:val="32"/>
        </w:rPr>
        <w:t>中海油能源发展股份有限公司</w:t>
      </w:r>
    </w:p>
    <w:p>
      <w:pPr>
        <w:tabs>
          <w:tab w:val="left" w:pos="993"/>
          <w:tab w:val="left" w:pos="1134"/>
          <w:tab w:val="left" w:pos="1418"/>
        </w:tabs>
        <w:spacing w:line="600" w:lineRule="exact"/>
        <w:ind w:right="480" w:firstLine="960" w:firstLineChars="300"/>
        <w:jc w:val="left"/>
        <w:rPr>
          <w:rFonts w:ascii="仿宋" w:hAnsi="仿宋" w:eastAsia="仿宋" w:cs="Times New Roman"/>
          <w:sz w:val="32"/>
          <w:szCs w:val="32"/>
        </w:rPr>
      </w:pPr>
      <w:r>
        <w:rPr>
          <w:rFonts w:ascii="仿宋" w:hAnsi="仿宋" w:eastAsia="仿宋" w:cs="Times New Roman"/>
          <w:sz w:val="32"/>
          <w:szCs w:val="32"/>
        </w:rPr>
        <w:t xml:space="preserve">                         采办共享中心</w:t>
      </w:r>
    </w:p>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9月11日</w:t>
      </w:r>
      <w:r>
        <w:rPr>
          <w:rFonts w:ascii="仿宋" w:hAnsi="仿宋" w:eastAsia="仿宋" w:cs="Times New Roman"/>
          <w:sz w:val="32"/>
          <w:szCs w:val="32"/>
        </w:rPr>
        <w:t xml:space="preserve">   </w:t>
      </w:r>
    </w:p>
    <w:bookmarkEnd w:id="0"/>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p>
    <w:bookmarkEnd w:id="1"/>
    <w:p>
      <w:pPr>
        <w:widowControl/>
        <w:jc w:val="left"/>
        <w:rPr>
          <w:rFonts w:ascii="仿宋" w:hAnsi="仿宋" w:eastAsia="仿宋" w:cs="Times New Roman"/>
          <w:sz w:val="32"/>
          <w:szCs w:val="32"/>
        </w:rPr>
      </w:pPr>
      <w:r>
        <w:rPr>
          <w:rFonts w:ascii="仿宋" w:hAnsi="仿宋" w:eastAsia="仿宋" w:cs="Times New Roman"/>
          <w:sz w:val="32"/>
          <w:szCs w:val="32"/>
        </w:rPr>
        <w:br w:type="page"/>
      </w:r>
    </w:p>
    <w:p>
      <w:pPr>
        <w:tabs>
          <w:tab w:val="left" w:pos="993"/>
          <w:tab w:val="left" w:pos="1134"/>
          <w:tab w:val="left" w:pos="1418"/>
        </w:tabs>
        <w:spacing w:line="600" w:lineRule="exact"/>
        <w:ind w:right="1120"/>
        <w:jc w:val="left"/>
        <w:rPr>
          <w:rFonts w:ascii="仿宋" w:hAnsi="仿宋" w:eastAsia="仿宋"/>
          <w:sz w:val="24"/>
        </w:rPr>
      </w:pPr>
      <w:r>
        <w:rPr>
          <w:rFonts w:hint="eastAsia" w:ascii="仿宋" w:hAnsi="仿宋" w:eastAsia="仿宋" w:cs="Times New Roman"/>
          <w:sz w:val="32"/>
          <w:szCs w:val="32"/>
        </w:rPr>
        <w:t>附件1：</w:t>
      </w:r>
    </w:p>
    <w:p>
      <w:pPr>
        <w:pStyle w:val="31"/>
        <w:spacing w:before="120" w:after="120" w:line="360" w:lineRule="auto"/>
        <w:ind w:left="600"/>
        <w:outlineLvl w:val="0"/>
        <w:rPr>
          <w:rFonts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1、需求一览表</w:t>
      </w:r>
    </w:p>
    <w:tbl>
      <w:tblPr>
        <w:tblStyle w:val="10"/>
        <w:tblW w:w="10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2444"/>
        <w:gridCol w:w="1936"/>
        <w:gridCol w:w="1554"/>
        <w:gridCol w:w="1184"/>
        <w:gridCol w:w="1064"/>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47"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序号</w:t>
            </w:r>
          </w:p>
        </w:tc>
        <w:tc>
          <w:tcPr>
            <w:tcW w:w="244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物资名称</w:t>
            </w:r>
          </w:p>
        </w:tc>
        <w:tc>
          <w:tcPr>
            <w:tcW w:w="1936"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规格型号</w:t>
            </w:r>
          </w:p>
        </w:tc>
        <w:tc>
          <w:tcPr>
            <w:tcW w:w="155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lang w:val="en-US" w:eastAsia="zh-CN"/>
              </w:rPr>
              <w:t>年度预估</w:t>
            </w:r>
            <w:r>
              <w:rPr>
                <w:rFonts w:hint="eastAsia" w:ascii="仿宋" w:hAnsi="仿宋" w:eastAsia="仿宋" w:cs="仿宋"/>
                <w:b w:val="0"/>
                <w:bCs w:val="0"/>
                <w:sz w:val="22"/>
                <w:szCs w:val="22"/>
              </w:rPr>
              <w:t>数量及单位</w:t>
            </w:r>
          </w:p>
        </w:tc>
        <w:tc>
          <w:tcPr>
            <w:tcW w:w="118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交货期</w:t>
            </w:r>
          </w:p>
        </w:tc>
        <w:tc>
          <w:tcPr>
            <w:tcW w:w="106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交货地点</w:t>
            </w:r>
          </w:p>
        </w:tc>
        <w:tc>
          <w:tcPr>
            <w:tcW w:w="2207"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447" w:type="dxa"/>
            <w:vAlign w:val="center"/>
          </w:tcPr>
          <w:p>
            <w:pPr>
              <w:pStyle w:val="5"/>
              <w:tabs>
                <w:tab w:val="left" w:pos="0"/>
              </w:tabs>
              <w:ind w:left="-190" w:leftChars="-93" w:hanging="5" w:firstLineChars="0"/>
              <w:jc w:val="center"/>
              <w:rPr>
                <w:rFonts w:hint="eastAsia" w:ascii="仿宋" w:hAnsi="仿宋" w:eastAsia="仿宋" w:cs="仿宋"/>
                <w:b w:val="0"/>
                <w:bCs w:val="0"/>
                <w:sz w:val="21"/>
                <w:szCs w:val="21"/>
              </w:rPr>
            </w:pPr>
            <w:r>
              <w:rPr>
                <w:rFonts w:hint="eastAsia" w:ascii="仿宋" w:hAnsi="仿宋" w:eastAsia="仿宋" w:cs="仿宋"/>
                <w:b w:val="0"/>
                <w:bCs w:val="0"/>
                <w:i w:val="0"/>
                <w:iCs w:val="0"/>
                <w:color w:val="auto"/>
                <w:spacing w:val="0"/>
                <w:kern w:val="0"/>
                <w:sz w:val="21"/>
                <w:szCs w:val="21"/>
                <w:highlight w:val="none"/>
                <w:u w:val="none"/>
                <w:lang w:val="en-US" w:eastAsia="zh-CN" w:bidi="ar"/>
              </w:rPr>
              <w:t>1</w:t>
            </w:r>
          </w:p>
        </w:tc>
        <w:tc>
          <w:tcPr>
            <w:tcW w:w="2444" w:type="dxa"/>
            <w:vAlign w:val="center"/>
          </w:tcPr>
          <w:p>
            <w:pPr>
              <w:pStyle w:val="3"/>
              <w:snapToGrid w:val="0"/>
              <w:spacing w:line="240" w:lineRule="auto"/>
              <w:ind w:right="125" w:rightChars="0" w:firstLine="0" w:firstLineChars="0"/>
              <w:jc w:val="center"/>
              <w:rPr>
                <w:rFonts w:hint="eastAsia" w:ascii="仿宋" w:hAnsi="仿宋" w:eastAsia="仿宋" w:cs="仿宋"/>
                <w:b w:val="0"/>
                <w:bCs w:val="0"/>
                <w:sz w:val="21"/>
                <w:szCs w:val="21"/>
                <w:lang w:eastAsia="zh-CN"/>
              </w:rPr>
            </w:pPr>
            <w:r>
              <w:rPr>
                <w:rFonts w:hint="eastAsia" w:ascii="仿宋" w:hAnsi="仿宋" w:eastAsia="仿宋" w:cs="仿宋"/>
                <w:color w:val="auto"/>
                <w:kern w:val="0"/>
                <w:sz w:val="21"/>
                <w:szCs w:val="21"/>
                <w:highlight w:val="none"/>
                <w:lang w:val="en-US" w:eastAsia="zh-CN" w:bidi="ar-SA"/>
              </w:rPr>
              <w:t>乙酸</w:t>
            </w:r>
          </w:p>
        </w:tc>
        <w:tc>
          <w:tcPr>
            <w:tcW w:w="1936" w:type="dxa"/>
            <w:vAlign w:val="center"/>
          </w:tcPr>
          <w:p>
            <w:pPr>
              <w:pStyle w:val="3"/>
              <w:snapToGrid w:val="0"/>
              <w:spacing w:line="240" w:lineRule="auto"/>
              <w:ind w:right="125" w:rightChars="0" w:firstLine="0" w:firstLineChars="0"/>
              <w:jc w:val="center"/>
              <w:rPr>
                <w:rFonts w:hint="default" w:ascii="仿宋" w:hAnsi="仿宋" w:eastAsia="仿宋" w:cs="仿宋"/>
                <w:b w:val="0"/>
                <w:bCs w:val="0"/>
                <w:sz w:val="21"/>
                <w:szCs w:val="21"/>
                <w:lang w:val="en-US" w:eastAsia="zh-CN"/>
              </w:rPr>
            </w:pPr>
            <w:r>
              <w:rPr>
                <w:rFonts w:hint="default" w:ascii="仿宋" w:hAnsi="仿宋" w:eastAsia="仿宋" w:cs="仿宋"/>
                <w:color w:val="auto"/>
                <w:kern w:val="0"/>
                <w:sz w:val="21"/>
                <w:szCs w:val="21"/>
                <w:highlight w:val="none"/>
                <w:lang w:val="en-US" w:eastAsia="zh-CN" w:bidi="ar-SA"/>
              </w:rPr>
              <w:t>Ⅱ型\≥99.5%\液体</w:t>
            </w:r>
          </w:p>
        </w:tc>
        <w:tc>
          <w:tcPr>
            <w:tcW w:w="1554" w:type="dxa"/>
            <w:vAlign w:val="center"/>
          </w:tcPr>
          <w:p>
            <w:pPr>
              <w:pStyle w:val="5"/>
              <w:ind w:left="0" w:leftChars="0" w:firstLine="0" w:firstLineChars="0"/>
              <w:jc w:val="center"/>
              <w:rPr>
                <w:rFonts w:hint="eastAsia" w:ascii="仿宋" w:hAnsi="仿宋" w:eastAsia="仿宋" w:cs="仿宋"/>
                <w:b w:val="0"/>
                <w:bCs w:val="0"/>
                <w:sz w:val="21"/>
                <w:szCs w:val="21"/>
                <w:lang w:val="en-US" w:eastAsia="zh-CN"/>
              </w:rPr>
            </w:pPr>
            <w:r>
              <w:rPr>
                <w:rFonts w:hint="eastAsia" w:ascii="仿宋" w:hAnsi="仿宋" w:eastAsia="仿宋" w:cs="仿宋"/>
                <w:b w:val="0"/>
                <w:bCs w:val="0"/>
                <w:i w:val="0"/>
                <w:iCs w:val="0"/>
                <w:color w:val="auto"/>
                <w:spacing w:val="0"/>
                <w:kern w:val="0"/>
                <w:sz w:val="21"/>
                <w:szCs w:val="21"/>
                <w:highlight w:val="none"/>
                <w:u w:val="none"/>
                <w:lang w:val="en-US" w:eastAsia="zh-CN" w:bidi="ar"/>
              </w:rPr>
              <w:t>187000KG</w:t>
            </w:r>
          </w:p>
        </w:tc>
        <w:tc>
          <w:tcPr>
            <w:tcW w:w="1184" w:type="dxa"/>
            <w:vAlign w:val="center"/>
          </w:tcPr>
          <w:p>
            <w:pPr>
              <w:pStyle w:val="5"/>
              <w:adjustRightInd w:val="0"/>
              <w:snapToGrid w:val="0"/>
              <w:spacing w:line="240" w:lineRule="auto"/>
              <w:jc w:val="center"/>
              <w:rPr>
                <w:rFonts w:hint="eastAsia" w:ascii="仿宋" w:hAnsi="仿宋" w:eastAsia="仿宋" w:cs="仿宋"/>
                <w:b w:val="0"/>
                <w:bCs w:val="0"/>
                <w:sz w:val="21"/>
                <w:szCs w:val="21"/>
                <w:lang w:eastAsia="zh-CN"/>
              </w:rPr>
            </w:pPr>
            <w:r>
              <w:rPr>
                <w:rFonts w:hint="eastAsia" w:ascii="仿宋" w:hAnsi="仿宋" w:eastAsia="仿宋" w:cs="仿宋"/>
                <w:b w:val="0"/>
                <w:bCs w:val="0"/>
                <w:sz w:val="21"/>
                <w:szCs w:val="21"/>
              </w:rPr>
              <w:t>产品到货周期应在7天（以自然日为准）内，退换货周期应不超过5天（以自然日为准），具体以通知为准。</w:t>
            </w:r>
          </w:p>
        </w:tc>
        <w:tc>
          <w:tcPr>
            <w:tcW w:w="1064" w:type="dxa"/>
            <w:vAlign w:val="center"/>
          </w:tcPr>
          <w:p>
            <w:pPr>
              <w:pStyle w:val="5"/>
              <w:adjustRightInd w:val="0"/>
              <w:snapToGrid w:val="0"/>
              <w:spacing w:line="240" w:lineRule="auto"/>
              <w:jc w:val="center"/>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广东省惠州市大亚湾石化区滨海八路中海油能源发展股份有限公司工程技术惠州分公司</w:t>
            </w:r>
          </w:p>
        </w:tc>
        <w:tc>
          <w:tcPr>
            <w:tcW w:w="2207" w:type="dxa"/>
            <w:vAlign w:val="center"/>
          </w:tcPr>
          <w:p>
            <w:pPr>
              <w:pStyle w:val="5"/>
              <w:rPr>
                <w:rFonts w:hint="eastAsia" w:ascii="仿宋" w:hAnsi="仿宋" w:eastAsia="仿宋" w:cs="仿宋"/>
                <w:b w:val="0"/>
                <w:bCs w:val="0"/>
                <w:color w:val="000000"/>
                <w:sz w:val="21"/>
                <w:szCs w:val="21"/>
                <w:lang w:eastAsia="zh-CN"/>
              </w:rPr>
            </w:pPr>
            <w:r>
              <w:rPr>
                <w:rFonts w:hint="eastAsia" w:ascii="仿宋" w:hAnsi="仿宋" w:eastAsia="仿宋" w:cs="仿宋"/>
                <w:b w:val="0"/>
                <w:bCs w:val="0"/>
                <w:color w:val="000000"/>
                <w:sz w:val="21"/>
                <w:szCs w:val="21"/>
              </w:rPr>
              <w:t>按照交货批次付款。卖方在每批次实际交付货物并经买方执行方验收合格之日起，卖方3日内向买方执行方提供有效增值税专用发票及相关支持文件，买方执行方于</w:t>
            </w:r>
            <w:r>
              <w:rPr>
                <w:rFonts w:hint="eastAsia" w:ascii="仿宋" w:hAnsi="仿宋" w:eastAsia="仿宋" w:cs="仿宋"/>
                <w:b w:val="0"/>
                <w:bCs w:val="0"/>
                <w:color w:val="000000"/>
                <w:sz w:val="21"/>
                <w:szCs w:val="21"/>
                <w:lang w:val="en-US" w:eastAsia="zh-CN"/>
              </w:rPr>
              <w:t>45</w:t>
            </w:r>
            <w:r>
              <w:rPr>
                <w:rFonts w:hint="eastAsia" w:ascii="仿宋" w:hAnsi="仿宋" w:eastAsia="仿宋" w:cs="仿宋"/>
                <w:b w:val="0"/>
                <w:bCs w:val="0"/>
                <w:color w:val="000000"/>
                <w:sz w:val="21"/>
                <w:szCs w:val="21"/>
              </w:rPr>
              <w:t>个日历日内以银行电汇支付订单价款</w:t>
            </w:r>
            <w:r>
              <w:rPr>
                <w:rFonts w:hint="eastAsia" w:ascii="仿宋" w:hAnsi="仿宋" w:eastAsia="仿宋" w:cs="仿宋"/>
                <w:b w:val="0"/>
                <w:bCs w:val="0"/>
                <w:color w:val="000000"/>
                <w:sz w:val="21"/>
                <w:szCs w:val="21"/>
                <w:lang w:eastAsia="zh-CN"/>
              </w:rPr>
              <w:t>。</w:t>
            </w:r>
          </w:p>
        </w:tc>
      </w:tr>
    </w:tbl>
    <w:p>
      <w:pPr>
        <w:keepNext w:val="0"/>
        <w:keepLines w:val="0"/>
        <w:widowControl/>
        <w:suppressLineNumbers w:val="0"/>
        <w:jc w:val="center"/>
        <w:textAlignment w:val="center"/>
        <w:rPr>
          <w:rFonts w:hint="default" w:ascii="仿宋" w:hAnsi="仿宋" w:eastAsia="仿宋" w:cs="仿宋"/>
          <w:b w:val="0"/>
          <w:bCs w:val="0"/>
          <w:sz w:val="21"/>
          <w:szCs w:val="21"/>
          <w:lang w:val="en-US" w:eastAsia="zh-CN"/>
        </w:rPr>
      </w:pPr>
      <w:bookmarkStart w:id="2" w:name="_Toc13248929"/>
      <w:bookmarkStart w:id="3" w:name="_Toc13249326"/>
    </w:p>
    <w:p>
      <w:pPr>
        <w:pStyle w:val="31"/>
        <w:spacing w:before="120" w:after="120" w:line="360" w:lineRule="auto"/>
        <w:ind w:left="600"/>
        <w:outlineLvl w:val="0"/>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单次最小送货量</w:t>
      </w:r>
      <w:r>
        <w:rPr>
          <w:rFonts w:hint="eastAsia" w:ascii="仿宋" w:hAnsi="仿宋" w:eastAsia="仿宋" w:cs="仿宋"/>
          <w:b w:val="0"/>
          <w:bCs w:val="0"/>
          <w:sz w:val="24"/>
          <w:szCs w:val="24"/>
          <w:lang w:val="en-US" w:eastAsia="zh-CN"/>
        </w:rPr>
        <w:t>5</w:t>
      </w:r>
      <w:r>
        <w:rPr>
          <w:rFonts w:hint="default" w:ascii="仿宋" w:hAnsi="仿宋" w:eastAsia="仿宋" w:cs="仿宋"/>
          <w:b w:val="0"/>
          <w:bCs w:val="0"/>
          <w:sz w:val="24"/>
          <w:szCs w:val="24"/>
          <w:lang w:val="en-US" w:eastAsia="zh-CN"/>
        </w:rPr>
        <w:t>吨</w:t>
      </w:r>
    </w:p>
    <w:p>
      <w:pPr>
        <w:pStyle w:val="31"/>
        <w:numPr>
          <w:ilvl w:val="0"/>
          <w:numId w:val="1"/>
        </w:numPr>
        <w:spacing w:before="120" w:after="120" w:line="360" w:lineRule="auto"/>
        <w:ind w:left="760" w:leftChars="0" w:firstLine="0" w:firstLineChars="0"/>
        <w:outlineLvl w:val="0"/>
        <w:rPr>
          <w:rFonts w:hint="eastAsia"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主要技术指标</w:t>
      </w:r>
    </w:p>
    <w:p>
      <w:pPr>
        <w:pStyle w:val="31"/>
        <w:keepNext w:val="0"/>
        <w:keepLines w:val="0"/>
        <w:pageBreakBefore w:val="0"/>
        <w:widowControl w:val="0"/>
        <w:numPr>
          <w:ilvl w:val="0"/>
          <w:numId w:val="0"/>
        </w:numPr>
        <w:kinsoku/>
        <w:wordWrap/>
        <w:overflowPunct/>
        <w:topLinePunct w:val="0"/>
        <w:autoSpaceDE w:val="0"/>
        <w:autoSpaceDN w:val="0"/>
        <w:bidi w:val="0"/>
        <w:adjustRightInd w:val="0"/>
        <w:snapToGrid/>
        <w:spacing w:before="120" w:after="120" w:line="360" w:lineRule="auto"/>
        <w:ind w:firstLine="560" w:firstLineChars="200"/>
        <w:textAlignment w:val="auto"/>
        <w:outlineLvl w:val="0"/>
        <w:rPr>
          <w:rFonts w:hint="default" w:ascii="Times New Roman" w:hAnsi="Times New Roman" w:eastAsia="仿宋" w:cs="Times New Roman"/>
          <w:color w:val="auto"/>
          <w:kern w:val="2"/>
          <w:sz w:val="28"/>
          <w:szCs w:val="28"/>
          <w:highlight w:val="none"/>
          <w:lang w:val="en-US" w:eastAsia="zh-CN" w:bidi="ar-SA"/>
        </w:rPr>
      </w:pPr>
      <w:r>
        <w:rPr>
          <w:rFonts w:hint="eastAsia" w:ascii="Times New Roman" w:hAnsi="Times New Roman" w:eastAsia="仿宋" w:cs="Times New Roman"/>
          <w:color w:val="auto"/>
          <w:kern w:val="2"/>
          <w:sz w:val="28"/>
          <w:szCs w:val="28"/>
          <w:highlight w:val="none"/>
          <w:lang w:val="en-US" w:eastAsia="zh-CN" w:bidi="ar-SA"/>
        </w:rPr>
        <w:t>按照《GB/T 1628-2020  工业用冰乙酸》中Ⅱ型指标执行。</w:t>
      </w:r>
    </w:p>
    <w:tbl>
      <w:tblPr>
        <w:tblStyle w:val="11"/>
        <w:tblW w:w="10038"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2"/>
        <w:gridCol w:w="4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项目</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外观</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透明液体，无悬浮物和机械杂质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色度/Hazen单位（铂-钴色号）</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乙酸，ｗ/%</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水分，w/%</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甲酸，w/%</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乙醛，w/%</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蒸发残渣，w/%</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铁（Fe），w/%</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≤0.0002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高锰酸钾时间/min</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2"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丙酸，w/%</w:t>
            </w:r>
          </w:p>
        </w:tc>
        <w:tc>
          <w:tcPr>
            <w:tcW w:w="4096" w:type="dxa"/>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≤0.08</w:t>
            </w:r>
          </w:p>
        </w:tc>
      </w:tr>
    </w:tbl>
    <w:p>
      <w:pPr>
        <w:pStyle w:val="31"/>
        <w:numPr>
          <w:ilvl w:val="0"/>
          <w:numId w:val="0"/>
        </w:numPr>
        <w:spacing w:before="120" w:after="120" w:line="360" w:lineRule="auto"/>
        <w:ind w:left="760" w:leftChars="0"/>
        <w:outlineLvl w:val="0"/>
        <w:rPr>
          <w:rFonts w:hint="default" w:ascii="仿宋" w:hAnsi="仿宋" w:eastAsia="仿宋" w:cs="Times New Roman"/>
          <w:b/>
          <w:bCs/>
          <w:color w:val="auto"/>
          <w:kern w:val="2"/>
          <w:sz w:val="32"/>
          <w:szCs w:val="32"/>
          <w:lang w:val="en-US" w:eastAsia="zh-CN"/>
        </w:rPr>
      </w:pPr>
    </w:p>
    <w:bookmarkEnd w:id="2"/>
    <w:bookmarkEnd w:id="3"/>
    <w:p>
      <w:pPr>
        <w:pStyle w:val="31"/>
        <w:spacing w:before="120" w:after="120" w:line="360" w:lineRule="auto"/>
        <w:ind w:firstLine="643" w:firstLineChars="200"/>
        <w:outlineLvl w:val="0"/>
        <w:rPr>
          <w:rFonts w:ascii="仿宋" w:hAnsi="仿宋" w:eastAsia="仿宋" w:cs="Times New Roman"/>
          <w:b/>
          <w:bCs/>
          <w:color w:val="auto"/>
          <w:kern w:val="2"/>
          <w:sz w:val="32"/>
          <w:szCs w:val="32"/>
        </w:rPr>
      </w:pPr>
      <w:r>
        <w:rPr>
          <w:rFonts w:ascii="仿宋" w:hAnsi="仿宋" w:eastAsia="仿宋" w:cs="Times New Roman"/>
          <w:b/>
          <w:bCs/>
          <w:color w:val="auto"/>
          <w:kern w:val="2"/>
          <w:sz w:val="32"/>
          <w:szCs w:val="32"/>
        </w:rPr>
        <w:t>3</w:t>
      </w:r>
      <w:r>
        <w:rPr>
          <w:rFonts w:hint="eastAsia" w:ascii="仿宋" w:hAnsi="仿宋" w:eastAsia="仿宋" w:cs="Times New Roman"/>
          <w:b/>
          <w:bCs/>
          <w:color w:val="auto"/>
          <w:kern w:val="2"/>
          <w:sz w:val="32"/>
          <w:szCs w:val="32"/>
        </w:rPr>
        <w:t>、项目联系人</w:t>
      </w:r>
    </w:p>
    <w:p>
      <w:pPr>
        <w:widowControl/>
        <w:spacing w:line="600" w:lineRule="exact"/>
        <w:ind w:firstLine="560" w:firstLineChars="200"/>
        <w:jc w:val="left"/>
        <w:outlineLvl w:val="0"/>
        <w:rPr>
          <w:rFonts w:ascii="仿宋" w:hAnsi="仿宋" w:eastAsia="仿宋"/>
          <w:sz w:val="20"/>
          <w:szCs w:val="21"/>
        </w:rPr>
      </w:pPr>
      <w:r>
        <w:rPr>
          <w:rFonts w:hint="eastAsia" w:ascii="仿宋" w:hAnsi="仿宋" w:eastAsia="仿宋" w:cs="仿宋_GB2312"/>
          <w:color w:val="333333"/>
          <w:sz w:val="28"/>
          <w:szCs w:val="28"/>
          <w:lang w:bidi="ar"/>
        </w:rPr>
        <w:t>请感兴趣的供应商于</w:t>
      </w:r>
      <w:r>
        <w:rPr>
          <w:rFonts w:hint="eastAsia" w:ascii="仿宋" w:hAnsi="仿宋" w:eastAsia="仿宋" w:cs="Times New Roman"/>
          <w:color w:val="333333"/>
          <w:sz w:val="28"/>
          <w:szCs w:val="28"/>
          <w:lang w:eastAsia="zh-CN" w:bidi="ar"/>
        </w:rPr>
        <w:t>2026年</w:t>
      </w:r>
      <w:r>
        <w:rPr>
          <w:rFonts w:hint="eastAsia" w:ascii="仿宋" w:hAnsi="仿宋" w:eastAsia="仿宋" w:cs="Times New Roman"/>
          <w:color w:val="333333"/>
          <w:sz w:val="28"/>
          <w:szCs w:val="28"/>
          <w:lang w:val="en-US" w:eastAsia="zh-CN" w:bidi="ar"/>
        </w:rPr>
        <w:t>9月17日18</w:t>
      </w:r>
      <w:r>
        <w:rPr>
          <w:rFonts w:ascii="仿宋" w:hAnsi="仿宋" w:eastAsia="仿宋" w:cs="Times New Roman"/>
          <w:color w:val="333333"/>
          <w:sz w:val="28"/>
          <w:szCs w:val="28"/>
          <w:lang w:bidi="ar"/>
        </w:rPr>
        <w:t>:</w:t>
      </w:r>
      <w:r>
        <w:rPr>
          <w:rFonts w:hint="eastAsia" w:ascii="仿宋" w:hAnsi="仿宋" w:eastAsia="仿宋" w:cs="Times New Roman"/>
          <w:color w:val="333333"/>
          <w:sz w:val="28"/>
          <w:szCs w:val="28"/>
          <w:lang w:val="en-US" w:eastAsia="zh-CN" w:bidi="ar"/>
        </w:rPr>
        <w:t>00</w:t>
      </w:r>
      <w:r>
        <w:rPr>
          <w:rFonts w:hint="eastAsia" w:ascii="仿宋" w:hAnsi="仿宋" w:eastAsia="仿宋" w:cs="仿宋_GB2312"/>
          <w:color w:val="333333"/>
          <w:sz w:val="28"/>
          <w:szCs w:val="28"/>
          <w:lang w:bidi="ar"/>
        </w:rPr>
        <w:t>前，在计划公告意见反馈处填报参与意向即可。</w:t>
      </w:r>
    </w:p>
    <w:p>
      <w:pPr>
        <w:widowControl/>
        <w:spacing w:line="600" w:lineRule="exact"/>
        <w:ind w:firstLine="560" w:firstLineChars="200"/>
        <w:jc w:val="left"/>
        <w:outlineLvl w:val="0"/>
        <w:rPr>
          <w:rFonts w:ascii="仿宋" w:hAnsi="仿宋" w:eastAsia="仿宋"/>
        </w:rPr>
      </w:pPr>
      <w:r>
        <w:rPr>
          <w:rFonts w:hint="eastAsia" w:ascii="仿宋" w:hAnsi="仿宋" w:eastAsia="仿宋" w:cs="仿宋_GB2312"/>
          <w:color w:val="333333"/>
          <w:sz w:val="28"/>
          <w:szCs w:val="28"/>
          <w:lang w:bidi="ar"/>
        </w:rPr>
        <w:t>联系人：黄金鑫</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电</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话：</w:t>
      </w:r>
      <w:r>
        <w:rPr>
          <w:rFonts w:ascii="仿宋" w:hAnsi="仿宋" w:eastAsia="仿宋" w:cs="Times New Roman"/>
          <w:color w:val="333333"/>
          <w:sz w:val="28"/>
          <w:szCs w:val="28"/>
          <w:lang w:bidi="ar"/>
        </w:rPr>
        <w:t>022-25802226</w:t>
      </w:r>
    </w:p>
    <w:p>
      <w:pPr>
        <w:widowControl/>
        <w:spacing w:line="600" w:lineRule="exact"/>
        <w:ind w:firstLine="560" w:firstLineChars="200"/>
        <w:jc w:val="left"/>
        <w:outlineLvl w:val="0"/>
        <w:rPr>
          <w:rStyle w:val="20"/>
          <w:rFonts w:ascii="仿宋" w:hAnsi="仿宋" w:eastAsia="仿宋" w:cs="Times New Roman"/>
          <w:sz w:val="28"/>
          <w:szCs w:val="28"/>
          <w:lang w:bidi="ar"/>
        </w:rPr>
      </w:pPr>
      <w:r>
        <w:rPr>
          <w:rFonts w:hint="eastAsia" w:ascii="仿宋" w:hAnsi="仿宋" w:eastAsia="仿宋" w:cs="仿宋_GB2312"/>
          <w:color w:val="333333"/>
          <w:sz w:val="28"/>
          <w:szCs w:val="28"/>
          <w:lang w:bidi="ar"/>
        </w:rPr>
        <w:t>邮</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箱：</w:t>
      </w:r>
      <w:r>
        <w:fldChar w:fldCharType="begin"/>
      </w:r>
      <w:r>
        <w:instrText xml:space="preserve"> HYPERLINK "mailto:huangjx14@cnooc.com.cn" </w:instrText>
      </w:r>
      <w:r>
        <w:fldChar w:fldCharType="separate"/>
      </w:r>
      <w:r>
        <w:rPr>
          <w:rStyle w:val="20"/>
          <w:rFonts w:ascii="仿宋" w:hAnsi="仿宋" w:eastAsia="仿宋" w:cs="Times New Roman"/>
          <w:sz w:val="28"/>
          <w:szCs w:val="28"/>
          <w:lang w:bidi="ar"/>
        </w:rPr>
        <w:t>huangjx14@cnooc.com.cn</w:t>
      </w:r>
      <w:r>
        <w:rPr>
          <w:rStyle w:val="20"/>
          <w:rFonts w:ascii="仿宋" w:hAnsi="仿宋" w:eastAsia="仿宋" w:cs="Times New Roman"/>
          <w:sz w:val="28"/>
          <w:szCs w:val="28"/>
          <w:lang w:bidi="ar"/>
        </w:rPr>
        <w:fldChar w:fldCharType="end"/>
      </w:r>
    </w:p>
    <w:p>
      <w:pPr>
        <w:widowControl/>
        <w:spacing w:line="600" w:lineRule="exact"/>
        <w:ind w:firstLine="560" w:firstLineChars="200"/>
        <w:jc w:val="left"/>
        <w:outlineLvl w:val="0"/>
        <w:rPr>
          <w:rStyle w:val="20"/>
          <w:rFonts w:ascii="仿宋" w:hAnsi="仿宋" w:eastAsia="仿宋" w:cs="Times New Roman"/>
          <w:sz w:val="28"/>
          <w:szCs w:val="28"/>
          <w:lang w:bidi="ar"/>
        </w:rPr>
      </w:pPr>
      <w:r>
        <w:rPr>
          <w:rStyle w:val="20"/>
          <w:rFonts w:hint="eastAsia" w:ascii="仿宋" w:hAnsi="仿宋" w:eastAsia="仿宋" w:cs="Times New Roman"/>
          <w:sz w:val="28"/>
          <w:szCs w:val="28"/>
          <w:lang w:bidi="ar"/>
        </w:rPr>
        <w:t>社会监督电话：022-25802262</w:t>
      </w:r>
    </w:p>
    <w:p>
      <w:pPr>
        <w:widowControl/>
        <w:spacing w:line="600" w:lineRule="exact"/>
        <w:ind w:firstLine="560" w:firstLineChars="200"/>
        <w:jc w:val="left"/>
        <w:outlineLvl w:val="0"/>
        <w:rPr>
          <w:rStyle w:val="20"/>
          <w:rFonts w:ascii="仿宋" w:hAnsi="仿宋" w:eastAsia="仿宋" w:cs="Times New Roman"/>
          <w:sz w:val="28"/>
          <w:szCs w:val="28"/>
          <w:lang w:bidi="ar"/>
        </w:rPr>
      </w:pPr>
    </w:p>
    <w:p>
      <w:pPr>
        <w:widowControl/>
        <w:spacing w:line="600" w:lineRule="exact"/>
        <w:ind w:firstLine="560" w:firstLineChars="200"/>
        <w:jc w:val="left"/>
        <w:outlineLvl w:val="0"/>
        <w:rPr>
          <w:rStyle w:val="20"/>
          <w:rFonts w:ascii="仿宋" w:hAnsi="仿宋" w:eastAsia="仿宋" w:cs="Times New Roman"/>
          <w:sz w:val="28"/>
          <w:szCs w:val="28"/>
          <w:lang w:bidi="ar"/>
        </w:rPr>
      </w:pPr>
    </w:p>
    <w:p>
      <w:pPr>
        <w:widowControl/>
        <w:spacing w:line="600" w:lineRule="exact"/>
        <w:ind w:firstLine="560" w:firstLineChars="200"/>
        <w:jc w:val="left"/>
        <w:outlineLvl w:val="0"/>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tabs>
          <w:tab w:val="left" w:pos="993"/>
          <w:tab w:val="left" w:pos="1134"/>
          <w:tab w:val="left" w:pos="1418"/>
        </w:tabs>
        <w:spacing w:line="560" w:lineRule="exact"/>
        <w:outlineLvl w:val="0"/>
        <w:rPr>
          <w:rFonts w:ascii="仿宋" w:hAnsi="仿宋" w:eastAsia="仿宋" w:cs="Times New Roman"/>
          <w:sz w:val="32"/>
          <w:szCs w:val="32"/>
        </w:rPr>
      </w:pPr>
      <w:r>
        <w:rPr>
          <w:rFonts w:hint="eastAsia" w:ascii="仿宋" w:hAnsi="仿宋" w:eastAsia="仿宋" w:cs="Times New Roman"/>
          <w:sz w:val="32"/>
          <w:szCs w:val="32"/>
        </w:rPr>
        <w:t xml:space="preserve">附件2供应商资质基本要求 </w:t>
      </w:r>
    </w:p>
    <w:tbl>
      <w:tblPr>
        <w:tblStyle w:val="10"/>
        <w:tblW w:w="5045" w:type="pct"/>
        <w:jc w:val="center"/>
        <w:tblLayout w:type="autofit"/>
        <w:tblCellMar>
          <w:top w:w="0" w:type="dxa"/>
          <w:left w:w="0" w:type="dxa"/>
          <w:bottom w:w="0" w:type="dxa"/>
          <w:right w:w="0" w:type="dxa"/>
        </w:tblCellMar>
      </w:tblPr>
      <w:tblGrid>
        <w:gridCol w:w="1318"/>
        <w:gridCol w:w="7076"/>
      </w:tblGrid>
      <w:tr>
        <w:tblPrEx>
          <w:tblCellMar>
            <w:top w:w="0" w:type="dxa"/>
            <w:left w:w="0" w:type="dxa"/>
            <w:bottom w:w="0" w:type="dxa"/>
            <w:right w:w="0" w:type="dxa"/>
          </w:tblCellMar>
        </w:tblPrEx>
        <w:trPr>
          <w:trHeight w:val="2196" w:hRule="atLeast"/>
          <w:jc w:val="center"/>
        </w:trPr>
        <w:tc>
          <w:tcPr>
            <w:tcW w:w="785" w:type="pct"/>
            <w:tcBorders>
              <w:top w:val="single" w:color="000000" w:sz="4" w:space="0"/>
              <w:left w:val="single" w:color="000000" w:sz="6" w:space="0"/>
              <w:bottom w:val="single" w:color="000000" w:sz="4" w:space="0"/>
              <w:right w:val="single" w:color="000000" w:sz="4" w:space="0"/>
            </w:tcBorders>
            <w:vAlign w:val="center"/>
          </w:tcPr>
          <w:p>
            <w:pPr>
              <w:pStyle w:val="3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资质要求</w:t>
            </w:r>
          </w:p>
          <w:p>
            <w:pPr>
              <w:pStyle w:val="32"/>
              <w:jc w:val="both"/>
              <w:rPr>
                <w:rFonts w:hint="eastAsia" w:ascii="仿宋" w:hAnsi="仿宋" w:eastAsia="仿宋" w:cs="仿宋"/>
                <w:sz w:val="24"/>
                <w:szCs w:val="24"/>
                <w:lang w:eastAsia="zh-CN"/>
              </w:rPr>
            </w:pPr>
          </w:p>
        </w:tc>
        <w:tc>
          <w:tcPr>
            <w:tcW w:w="4214" w:type="pct"/>
            <w:tcBorders>
              <w:top w:val="single" w:color="000000" w:sz="4" w:space="0"/>
              <w:left w:val="nil"/>
              <w:bottom w:val="single" w:color="000000" w:sz="4" w:space="0"/>
              <w:right w:val="single" w:color="000000" w:sz="4" w:space="0"/>
            </w:tcBorders>
            <w:vAlign w:val="center"/>
          </w:tcPr>
          <w:p>
            <w:pPr>
              <w:pStyle w:val="3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1.申请人须是中华人民共和国境内注册的独立法人单位，具有合法有效的企业法人营业执照、税务登记证及组织机构代码证或证照合一的营业执照；</w:t>
            </w:r>
          </w:p>
          <w:p>
            <w:pPr>
              <w:pStyle w:val="3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2.申请人须是中华人民共和国境内具有独立承担民事责任能力的法人，或具备国家认可经营资格的其他组织；</w:t>
            </w:r>
          </w:p>
          <w:p>
            <w:pPr>
              <w:pStyle w:val="32"/>
              <w:jc w:val="both"/>
              <w:rPr>
                <w:rFonts w:hint="default" w:ascii="仿宋" w:hAnsi="仿宋" w:eastAsia="仿宋" w:cs="仿宋"/>
                <w:sz w:val="24"/>
                <w:szCs w:val="24"/>
                <w:lang w:val="en-US" w:eastAsia="zh-CN"/>
              </w:rPr>
            </w:pPr>
            <w:bookmarkStart w:id="4" w:name="_GoBack"/>
            <w:bookmarkEnd w:id="4"/>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申请人</w:t>
            </w:r>
            <w:r>
              <w:rPr>
                <w:rFonts w:hint="eastAsia" w:ascii="仿宋" w:hAnsi="仿宋" w:eastAsia="仿宋" w:cs="仿宋"/>
                <w:sz w:val="24"/>
                <w:szCs w:val="24"/>
                <w:lang w:val="en-US" w:eastAsia="zh-CN"/>
              </w:rPr>
              <w:t>具备安全生产许可证，且其范围包含【乙酸[含量＞80%]或醋酸冰醋酸或冰乙酸】。</w:t>
            </w:r>
          </w:p>
          <w:p>
            <w:pPr>
              <w:pStyle w:val="32"/>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r>
              <w:rPr>
                <w:rFonts w:hint="default" w:ascii="仿宋" w:hAnsi="仿宋" w:eastAsia="仿宋" w:cs="仿宋"/>
                <w:sz w:val="24"/>
                <w:szCs w:val="24"/>
                <w:lang w:val="en-US" w:eastAsia="zh-CN"/>
              </w:rPr>
              <w:t>.该项采购仅允许制造商参与，不接受代理商、贸易商。</w:t>
            </w:r>
          </w:p>
          <w:p>
            <w:pPr>
              <w:pStyle w:val="32"/>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制造商相关证明材料须提供以下证明</w:t>
            </w:r>
          </w:p>
          <w:p>
            <w:pPr>
              <w:pStyle w:val="32"/>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default" w:ascii="仿宋" w:hAnsi="仿宋" w:eastAsia="仿宋" w:cs="仿宋"/>
                <w:sz w:val="24"/>
                <w:szCs w:val="24"/>
                <w:lang w:val="en-US" w:eastAsia="zh-CN"/>
              </w:rPr>
              <w:t>申请人须提供有效期内的三体系管理认证证书（质量管理体系认证，环境管理体系认证，职业健康安全管理体系认证），GB/T19001（ISO9001）质量体系认证证书认证范围须包括</w:t>
            </w:r>
            <w:r>
              <w:rPr>
                <w:rFonts w:hint="eastAsia" w:ascii="仿宋" w:hAnsi="仿宋" w:eastAsia="仿宋" w:cs="仿宋"/>
                <w:sz w:val="24"/>
                <w:szCs w:val="24"/>
                <w:lang w:val="en-US" w:eastAsia="zh-CN"/>
              </w:rPr>
              <w:t>乙酸[含量＞80%]或醋酸冰醋酸或冰乙酸</w:t>
            </w:r>
            <w:r>
              <w:rPr>
                <w:rFonts w:hint="default" w:ascii="仿宋" w:hAnsi="仿宋" w:eastAsia="仿宋" w:cs="仿宋"/>
                <w:sz w:val="24"/>
                <w:szCs w:val="24"/>
                <w:lang w:val="en-US" w:eastAsia="zh-CN"/>
              </w:rPr>
              <w:t>或专有化学品或油田水处理剂或油田化学药剂或油田药剂或油田措施药剂或油田化学助剂或采油助剂或油田助剂或油气集输药剂或油田专用助剂或助剂或石油助剂或石油钻井助剂或石油钻采助剂的生产或加工或制造。国内认证机构签发的证书可在中国国家认证认可监督管理委员会网站(http://www.cnca.gov.cn/)核实。如果有国家相关部门发布的最新体系标准，以最新体系标准为准。投标时需提供原件扫描件（原件备查）。2）申请人须提供厂房/库房和生产设备的证明材料，申请人关联公司（母、子公司）的不视为自有。A.若申请人自有的厂房或库房须提供①厂房或库房产权证明材料；②厂房或库房照片；若租赁的厂房或库房须提供①正式的租赁合同或协议（产权所有者与租赁合同（协议）中的出租人（方）名称一致，承租人（方）与申请人名称一致）；②出租方厂房或库房产权证明材料；③厂房或库房照片。B. 申请人须提供至少1套标的物相关的自有或租赁加工生产所需的关键生产设备（反应釜或聚合釜或配制釜或搅拌罐等）的证明材料，申请人关联公司（母、子公司）的不视为自有。若申请人自有的设备须提供①设备照片或铭牌照片、②采购合同或发票；租赁的设备须提供①设备照片或铭牌照片、②租赁合同。</w:t>
            </w:r>
          </w:p>
        </w:tc>
      </w:tr>
    </w:tbl>
    <w:p>
      <w:pPr>
        <w:pStyle w:val="7"/>
        <w:rPr>
          <w:rFonts w:ascii="仿宋" w:hAnsi="仿宋" w:eastAsia="仿宋"/>
        </w:rPr>
      </w:pPr>
    </w:p>
    <w:p>
      <w:pPr>
        <w:pStyle w:val="7"/>
        <w:rPr>
          <w:rFonts w:ascii="仿宋" w:hAnsi="仿宋" w:eastAsia="仿宋"/>
        </w:rPr>
      </w:pPr>
    </w:p>
    <w:p>
      <w:pPr>
        <w:pStyle w:val="7"/>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CIDFont+F4">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016F70"/>
    <w:multiLevelType w:val="singleLevel"/>
    <w:tmpl w:val="BF016F70"/>
    <w:lvl w:ilvl="0" w:tentative="0">
      <w:start w:val="2"/>
      <w:numFmt w:val="decimal"/>
      <w:suff w:val="nothing"/>
      <w:lvlText w:val="%1、"/>
      <w:lvlJc w:val="left"/>
      <w:pPr>
        <w:ind w:left="76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3MDMzNmYxMjRmNWYyMzBmYjk2YmJmZTkyNzk4MTAifQ=="/>
  </w:docVars>
  <w:rsids>
    <w:rsidRoot w:val="00AE20AB"/>
    <w:rsid w:val="000216E2"/>
    <w:rsid w:val="001D4237"/>
    <w:rsid w:val="002E3C4A"/>
    <w:rsid w:val="00331055"/>
    <w:rsid w:val="0033735D"/>
    <w:rsid w:val="00371254"/>
    <w:rsid w:val="004029A6"/>
    <w:rsid w:val="00411A38"/>
    <w:rsid w:val="004874A5"/>
    <w:rsid w:val="004917F4"/>
    <w:rsid w:val="004C7AFB"/>
    <w:rsid w:val="004F7164"/>
    <w:rsid w:val="005D7510"/>
    <w:rsid w:val="005F0FF7"/>
    <w:rsid w:val="006976BF"/>
    <w:rsid w:val="006A60F6"/>
    <w:rsid w:val="006E4F13"/>
    <w:rsid w:val="00703896"/>
    <w:rsid w:val="007A7F89"/>
    <w:rsid w:val="007D73E6"/>
    <w:rsid w:val="007E2B6E"/>
    <w:rsid w:val="0081063D"/>
    <w:rsid w:val="0089189B"/>
    <w:rsid w:val="008C1CC8"/>
    <w:rsid w:val="008C38F3"/>
    <w:rsid w:val="009A18CE"/>
    <w:rsid w:val="009F6966"/>
    <w:rsid w:val="00A1038A"/>
    <w:rsid w:val="00AE20AB"/>
    <w:rsid w:val="00B014B0"/>
    <w:rsid w:val="00B679B4"/>
    <w:rsid w:val="00C07AC2"/>
    <w:rsid w:val="00C451F2"/>
    <w:rsid w:val="00C51FDD"/>
    <w:rsid w:val="00CA23A2"/>
    <w:rsid w:val="00D127EC"/>
    <w:rsid w:val="00E607B8"/>
    <w:rsid w:val="00E769E7"/>
    <w:rsid w:val="00E93761"/>
    <w:rsid w:val="00ED277A"/>
    <w:rsid w:val="00EE4BE5"/>
    <w:rsid w:val="00F56602"/>
    <w:rsid w:val="00FA2452"/>
    <w:rsid w:val="010C5A7B"/>
    <w:rsid w:val="02E5364E"/>
    <w:rsid w:val="03473362"/>
    <w:rsid w:val="051B5E8B"/>
    <w:rsid w:val="061B2869"/>
    <w:rsid w:val="06BC6527"/>
    <w:rsid w:val="06D64A89"/>
    <w:rsid w:val="083A49AF"/>
    <w:rsid w:val="0C4D4E59"/>
    <w:rsid w:val="0C616DDD"/>
    <w:rsid w:val="0F3F2B2F"/>
    <w:rsid w:val="11380EA0"/>
    <w:rsid w:val="113C79BD"/>
    <w:rsid w:val="11511F61"/>
    <w:rsid w:val="11A46680"/>
    <w:rsid w:val="125D5E2E"/>
    <w:rsid w:val="12902616"/>
    <w:rsid w:val="13D053C0"/>
    <w:rsid w:val="145F157F"/>
    <w:rsid w:val="173061A8"/>
    <w:rsid w:val="176C72BF"/>
    <w:rsid w:val="17D97B37"/>
    <w:rsid w:val="18001EB7"/>
    <w:rsid w:val="194400BE"/>
    <w:rsid w:val="1A9429E0"/>
    <w:rsid w:val="1D0A73B1"/>
    <w:rsid w:val="1DB23D88"/>
    <w:rsid w:val="1E66474C"/>
    <w:rsid w:val="1ECC2895"/>
    <w:rsid w:val="1FC305F0"/>
    <w:rsid w:val="20CC42AE"/>
    <w:rsid w:val="216F239A"/>
    <w:rsid w:val="2245341D"/>
    <w:rsid w:val="22880290"/>
    <w:rsid w:val="23E53F2A"/>
    <w:rsid w:val="24BE47FC"/>
    <w:rsid w:val="278220C7"/>
    <w:rsid w:val="29BB473E"/>
    <w:rsid w:val="2AD33FFA"/>
    <w:rsid w:val="2BCB7E65"/>
    <w:rsid w:val="2BD87947"/>
    <w:rsid w:val="2D410831"/>
    <w:rsid w:val="2DDF18E0"/>
    <w:rsid w:val="2E2F1115"/>
    <w:rsid w:val="2FC048E3"/>
    <w:rsid w:val="2FF328C9"/>
    <w:rsid w:val="30C41C11"/>
    <w:rsid w:val="329D451D"/>
    <w:rsid w:val="344A2458"/>
    <w:rsid w:val="34C346A0"/>
    <w:rsid w:val="356928AF"/>
    <w:rsid w:val="372B09DB"/>
    <w:rsid w:val="38521F98"/>
    <w:rsid w:val="386579B7"/>
    <w:rsid w:val="387A0CA7"/>
    <w:rsid w:val="3AA4467B"/>
    <w:rsid w:val="3C943B5A"/>
    <w:rsid w:val="3EA03BF2"/>
    <w:rsid w:val="3F41091E"/>
    <w:rsid w:val="404D430C"/>
    <w:rsid w:val="41E53E7C"/>
    <w:rsid w:val="434515C1"/>
    <w:rsid w:val="43985384"/>
    <w:rsid w:val="4407712C"/>
    <w:rsid w:val="44457410"/>
    <w:rsid w:val="44DD6666"/>
    <w:rsid w:val="46452296"/>
    <w:rsid w:val="47120827"/>
    <w:rsid w:val="48BB08BB"/>
    <w:rsid w:val="4AEB794E"/>
    <w:rsid w:val="4CE81270"/>
    <w:rsid w:val="4E8A1EFE"/>
    <w:rsid w:val="4EEA3369"/>
    <w:rsid w:val="4FD9320F"/>
    <w:rsid w:val="50330614"/>
    <w:rsid w:val="507906CA"/>
    <w:rsid w:val="52641C79"/>
    <w:rsid w:val="535D2377"/>
    <w:rsid w:val="58843DB0"/>
    <w:rsid w:val="59400090"/>
    <w:rsid w:val="596F1B3B"/>
    <w:rsid w:val="59C30797"/>
    <w:rsid w:val="5A9F3B06"/>
    <w:rsid w:val="5DA84B68"/>
    <w:rsid w:val="5E0A56D8"/>
    <w:rsid w:val="5EC7698C"/>
    <w:rsid w:val="5EC96B76"/>
    <w:rsid w:val="5F530EF2"/>
    <w:rsid w:val="622E70A1"/>
    <w:rsid w:val="62D1212E"/>
    <w:rsid w:val="63616199"/>
    <w:rsid w:val="63E112D8"/>
    <w:rsid w:val="64930F59"/>
    <w:rsid w:val="669811DF"/>
    <w:rsid w:val="66CE5E36"/>
    <w:rsid w:val="68F64541"/>
    <w:rsid w:val="68F8137F"/>
    <w:rsid w:val="6A2D2040"/>
    <w:rsid w:val="6B5C2732"/>
    <w:rsid w:val="6DAC0CFD"/>
    <w:rsid w:val="6FBB7E47"/>
    <w:rsid w:val="725C4944"/>
    <w:rsid w:val="731E13FB"/>
    <w:rsid w:val="75225F35"/>
    <w:rsid w:val="7A0F316A"/>
    <w:rsid w:val="7ABF0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next w:val="1"/>
    <w:unhideWhenUsed/>
    <w:qFormat/>
    <w:uiPriority w:val="1"/>
    <w:pPr>
      <w:ind w:firstLine="200" w:firstLineChars="200"/>
    </w:pPr>
    <w:rPr>
      <w:rFonts w:ascii="Microsoft YaHei UI" w:hAnsi="Microsoft YaHei UI" w:eastAsia="Microsoft YaHei UI"/>
      <w:kern w:val="0"/>
      <w:szCs w:val="21"/>
      <w:lang w:eastAsia="en-US"/>
    </w:rPr>
  </w:style>
  <w:style w:type="paragraph" w:styleId="6">
    <w:name w:val="Date"/>
    <w:basedOn w:val="1"/>
    <w:next w:val="1"/>
    <w:link w:val="28"/>
    <w:semiHidden/>
    <w:unhideWhenUsed/>
    <w:qFormat/>
    <w:uiPriority w:val="99"/>
    <w:pPr>
      <w:ind w:left="100" w:leftChars="2500"/>
    </w:pPr>
  </w:style>
  <w:style w:type="paragraph" w:styleId="7">
    <w:name w:val="footer"/>
    <w:basedOn w:val="1"/>
    <w:link w:val="26"/>
    <w:unhideWhenUsed/>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FollowedHyperlink"/>
    <w:basedOn w:val="12"/>
    <w:semiHidden/>
    <w:unhideWhenUsed/>
    <w:qFormat/>
    <w:uiPriority w:val="99"/>
    <w:rPr>
      <w:color w:val="333333"/>
      <w:u w:val="none"/>
    </w:rPr>
  </w:style>
  <w:style w:type="character" w:styleId="15">
    <w:name w:val="Emphasis"/>
    <w:basedOn w:val="12"/>
    <w:qFormat/>
    <w:uiPriority w:val="20"/>
    <w:rPr>
      <w:b/>
      <w:bCs/>
    </w:rPr>
  </w:style>
  <w:style w:type="character" w:styleId="16">
    <w:name w:val="HTML Definition"/>
    <w:basedOn w:val="12"/>
    <w:semiHidden/>
    <w:unhideWhenUsed/>
    <w:qFormat/>
    <w:uiPriority w:val="99"/>
  </w:style>
  <w:style w:type="character" w:styleId="17">
    <w:name w:val="HTML Typewriter"/>
    <w:basedOn w:val="12"/>
    <w:semiHidden/>
    <w:unhideWhenUsed/>
    <w:qFormat/>
    <w:uiPriority w:val="99"/>
    <w:rPr>
      <w:rFonts w:hint="default" w:ascii="monospace" w:hAnsi="monospace" w:eastAsia="monospace" w:cs="monospace"/>
      <w:sz w:val="20"/>
    </w:rPr>
  </w:style>
  <w:style w:type="character" w:styleId="18">
    <w:name w:val="HTML Acronym"/>
    <w:basedOn w:val="12"/>
    <w:semiHidden/>
    <w:unhideWhenUsed/>
    <w:qFormat/>
    <w:uiPriority w:val="99"/>
  </w:style>
  <w:style w:type="character" w:styleId="19">
    <w:name w:val="HTML Variable"/>
    <w:basedOn w:val="12"/>
    <w:semiHidden/>
    <w:unhideWhenUsed/>
    <w:qFormat/>
    <w:uiPriority w:val="99"/>
  </w:style>
  <w:style w:type="character" w:styleId="20">
    <w:name w:val="Hyperlink"/>
    <w:basedOn w:val="12"/>
    <w:semiHidden/>
    <w:unhideWhenUsed/>
    <w:qFormat/>
    <w:uiPriority w:val="99"/>
    <w:rPr>
      <w:color w:val="333333"/>
      <w:u w:val="none"/>
    </w:rPr>
  </w:style>
  <w:style w:type="character" w:styleId="21">
    <w:name w:val="HTML Code"/>
    <w:basedOn w:val="12"/>
    <w:semiHidden/>
    <w:unhideWhenUsed/>
    <w:qFormat/>
    <w:uiPriority w:val="99"/>
    <w:rPr>
      <w:rFonts w:hint="default" w:ascii="monospace" w:hAnsi="monospace" w:eastAsia="monospace" w:cs="monospace"/>
      <w:sz w:val="20"/>
    </w:rPr>
  </w:style>
  <w:style w:type="character" w:styleId="22">
    <w:name w:val="HTML Cite"/>
    <w:basedOn w:val="12"/>
    <w:semiHidden/>
    <w:unhideWhenUsed/>
    <w:qFormat/>
    <w:uiPriority w:val="99"/>
  </w:style>
  <w:style w:type="character" w:styleId="23">
    <w:name w:val="HTML Keyboard"/>
    <w:basedOn w:val="12"/>
    <w:semiHidden/>
    <w:unhideWhenUsed/>
    <w:qFormat/>
    <w:uiPriority w:val="99"/>
    <w:rPr>
      <w:rFonts w:ascii="monospace" w:hAnsi="monospace" w:eastAsia="monospace" w:cs="monospace"/>
      <w:sz w:val="20"/>
    </w:rPr>
  </w:style>
  <w:style w:type="character" w:styleId="24">
    <w:name w:val="HTML Sample"/>
    <w:basedOn w:val="12"/>
    <w:semiHidden/>
    <w:unhideWhenUsed/>
    <w:qFormat/>
    <w:uiPriority w:val="99"/>
    <w:rPr>
      <w:rFonts w:hint="default" w:ascii="monospace" w:hAnsi="monospace" w:eastAsia="monospace" w:cs="monospace"/>
    </w:rPr>
  </w:style>
  <w:style w:type="character" w:customStyle="1" w:styleId="25">
    <w:name w:val="页眉 字符"/>
    <w:basedOn w:val="12"/>
    <w:link w:val="8"/>
    <w:qFormat/>
    <w:uiPriority w:val="99"/>
    <w:rPr>
      <w:sz w:val="18"/>
      <w:szCs w:val="18"/>
    </w:rPr>
  </w:style>
  <w:style w:type="character" w:customStyle="1" w:styleId="26">
    <w:name w:val="页脚 字符"/>
    <w:basedOn w:val="12"/>
    <w:link w:val="7"/>
    <w:qFormat/>
    <w:uiPriority w:val="99"/>
    <w:rPr>
      <w:sz w:val="18"/>
      <w:szCs w:val="18"/>
    </w:rPr>
  </w:style>
  <w:style w:type="paragraph" w:styleId="27">
    <w:name w:val="List Paragraph"/>
    <w:basedOn w:val="1"/>
    <w:qFormat/>
    <w:uiPriority w:val="34"/>
    <w:pPr>
      <w:ind w:firstLine="420" w:firstLineChars="200"/>
    </w:pPr>
  </w:style>
  <w:style w:type="character" w:customStyle="1" w:styleId="28">
    <w:name w:val="日期 字符"/>
    <w:basedOn w:val="12"/>
    <w:link w:val="6"/>
    <w:semiHidden/>
    <w:qFormat/>
    <w:uiPriority w:val="99"/>
  </w:style>
  <w:style w:type="character" w:customStyle="1" w:styleId="29">
    <w:name w:val="fontstyle01"/>
    <w:basedOn w:val="12"/>
    <w:qFormat/>
    <w:uiPriority w:val="0"/>
    <w:rPr>
      <w:rFonts w:hint="default" w:ascii="CIDFont+F4" w:hAnsi="CIDFont+F4"/>
      <w:color w:val="000000"/>
      <w:sz w:val="24"/>
      <w:szCs w:val="24"/>
    </w:rPr>
  </w:style>
  <w:style w:type="table" w:customStyle="1" w:styleId="30">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1">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2">
    <w:name w:val="Table Paragraph"/>
    <w:basedOn w:val="1"/>
    <w:qFormat/>
    <w:uiPriority w:val="0"/>
    <w:pPr>
      <w:jc w:val="left"/>
    </w:pPr>
    <w:rPr>
      <w:kern w:val="0"/>
      <w:sz w:val="22"/>
      <w:lang w:eastAsia="en-US"/>
    </w:rPr>
  </w:style>
  <w:style w:type="paragraph" w:customStyle="1" w:styleId="33">
    <w:name w:val="设计正文2"/>
    <w:basedOn w:val="1"/>
    <w:qFormat/>
    <w:uiPriority w:val="0"/>
    <w:pPr>
      <w:snapToGrid w:val="0"/>
      <w:spacing w:before="160" w:line="320" w:lineRule="atLeast"/>
    </w:pPr>
    <w:rPr>
      <w:rFonts w:ascii="Times New Roman" w:hAnsi="Times New Roman" w:eastAsia="宋体" w:cs="Times New Roman"/>
      <w:sz w:val="24"/>
      <w:szCs w:val="20"/>
    </w:rPr>
  </w:style>
  <w:style w:type="character" w:customStyle="1" w:styleId="34">
    <w:name w:val="comboiconspanclear"/>
    <w:basedOn w:val="12"/>
    <w:qFormat/>
    <w:uiPriority w:val="0"/>
  </w:style>
  <w:style w:type="character" w:customStyle="1" w:styleId="35">
    <w:name w:val="comboiconspan"/>
    <w:basedOn w:val="12"/>
    <w:qFormat/>
    <w:uiPriority w:val="0"/>
  </w:style>
  <w:style w:type="character" w:customStyle="1" w:styleId="36">
    <w:name w:val="ui-icon48"/>
    <w:basedOn w:val="12"/>
    <w:qFormat/>
    <w:uiPriority w:val="0"/>
  </w:style>
  <w:style w:type="character" w:customStyle="1" w:styleId="37">
    <w:name w:val="clear"/>
    <w:basedOn w:val="12"/>
    <w:qFormat/>
    <w:uiPriority w:val="0"/>
  </w:style>
  <w:style w:type="character" w:customStyle="1" w:styleId="38">
    <w:name w:val="select"/>
    <w:basedOn w:val="12"/>
    <w:qFormat/>
    <w:uiPriority w:val="0"/>
  </w:style>
  <w:style w:type="paragraph" w:customStyle="1" w:styleId="39">
    <w:name w:val="_Style 37"/>
    <w:basedOn w:val="1"/>
    <w:next w:val="1"/>
    <w:qFormat/>
    <w:uiPriority w:val="0"/>
    <w:pPr>
      <w:pBdr>
        <w:bottom w:val="single" w:color="auto" w:sz="6" w:space="1"/>
      </w:pBdr>
      <w:jc w:val="center"/>
    </w:pPr>
    <w:rPr>
      <w:rFonts w:ascii="Arial" w:eastAsia="宋体"/>
      <w:vanish/>
      <w:sz w:val="16"/>
    </w:rPr>
  </w:style>
  <w:style w:type="paragraph" w:customStyle="1" w:styleId="40">
    <w:name w:val="_Style 38"/>
    <w:basedOn w:val="1"/>
    <w:next w:val="1"/>
    <w:qFormat/>
    <w:uiPriority w:val="0"/>
    <w:pPr>
      <w:pBdr>
        <w:top w:val="single" w:color="auto" w:sz="6" w:space="1"/>
      </w:pBdr>
      <w:jc w:val="center"/>
    </w:pPr>
    <w:rPr>
      <w:rFonts w:ascii="Arial" w:eastAsia="宋体"/>
      <w:vanish/>
      <w:sz w:val="16"/>
    </w:rPr>
  </w:style>
  <w:style w:type="character" w:customStyle="1" w:styleId="41">
    <w:name w:val="font31"/>
    <w:basedOn w:val="12"/>
    <w:qFormat/>
    <w:uiPriority w:val="0"/>
    <w:rPr>
      <w:rFonts w:hint="default" w:ascii="Times New Roman" w:hAnsi="Times New Roman" w:cs="Times New Roman"/>
      <w:color w:val="000000"/>
      <w:sz w:val="24"/>
      <w:szCs w:val="24"/>
      <w:u w:val="none"/>
    </w:rPr>
  </w:style>
  <w:style w:type="table" w:customStyle="1" w:styleId="42">
    <w:name w:val="网格型3"/>
    <w:basedOn w:val="10"/>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180</Words>
  <Characters>1032</Characters>
  <Lines>8</Lines>
  <Paragraphs>2</Paragraphs>
  <TotalTime>0</TotalTime>
  <ScaleCrop>false</ScaleCrop>
  <LinksUpToDate>false</LinksUpToDate>
  <CharactersWithSpaces>1210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黄金鑫</cp:lastModifiedBy>
  <dcterms:modified xsi:type="dcterms:W3CDTF">2026-09-11T10:11:28Z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465F0A84F3944F8C89686179B095F711</vt:lpwstr>
  </property>
  <property fmtid="{D5CDD505-2E9C-101B-9397-08002B2CF9AE}" pid="4" name="KSOTemplateDocerSaveRecord">
    <vt:lpwstr>eyJoZGlkIjoiOTQ3MDMzNmYxMjRmNWYyMzBmYjk2YmJmZTkyNzk4MTAifQ==</vt:lpwstr>
  </property>
</Properties>
</file>